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F2A7264">
      <w:pPr>
        <w:rPr>
          <w:rFonts w:ascii="Times New Roman" w:hAnsi="Times New Roman" w:eastAsia="仿宋_GB2312" w:cs="Times New Roman"/>
          <w:color w:val="auto"/>
          <w:sz w:val="36"/>
          <w:szCs w:val="36"/>
          <w:u w:val="none"/>
        </w:rPr>
      </w:pPr>
    </w:p>
    <w:p w14:paraId="6414D9AB">
      <w:pPr>
        <w:rPr>
          <w:rFonts w:ascii="Times New Roman" w:hAnsi="Times New Roman" w:eastAsia="仿宋_GB2312" w:cs="Times New Roman"/>
          <w:color w:val="auto"/>
          <w:sz w:val="36"/>
          <w:szCs w:val="36"/>
          <w:u w:val="none"/>
        </w:rPr>
      </w:pPr>
    </w:p>
    <w:p w14:paraId="6C626E9F">
      <w:pPr>
        <w:rPr>
          <w:rFonts w:ascii="Times New Roman" w:hAnsi="Times New Roman" w:eastAsia="仿宋_GB2312" w:cs="Times New Roman"/>
          <w:color w:val="auto"/>
          <w:sz w:val="36"/>
          <w:szCs w:val="36"/>
          <w:u w:val="none"/>
        </w:rPr>
      </w:pPr>
    </w:p>
    <w:p w14:paraId="04A1DE48">
      <w:pPr>
        <w:rPr>
          <w:rFonts w:ascii="Times New Roman" w:hAnsi="Times New Roman" w:eastAsia="仿宋_GB2312" w:cs="Times New Roman"/>
          <w:color w:val="auto"/>
          <w:sz w:val="36"/>
          <w:szCs w:val="36"/>
          <w:u w:val="none"/>
        </w:rPr>
      </w:pPr>
    </w:p>
    <w:p w14:paraId="68058068">
      <w:pPr>
        <w:rPr>
          <w:rFonts w:ascii="Times New Roman" w:hAnsi="Times New Roman" w:eastAsia="仿宋_GB2312" w:cs="Times New Roman"/>
          <w:color w:val="auto"/>
          <w:sz w:val="36"/>
          <w:szCs w:val="36"/>
          <w:u w:val="none"/>
        </w:rPr>
      </w:pPr>
    </w:p>
    <w:p w14:paraId="02FE6DBC">
      <w:pPr>
        <w:adjustRightInd w:val="0"/>
        <w:snapToGrid w:val="0"/>
        <w:jc w:val="center"/>
        <w:outlineLvl w:val="0"/>
        <w:rPr>
          <w:rFonts w:ascii="Times New Roman" w:hAnsi="Times New Roman" w:eastAsia="方正小标宋_GBK" w:cs="Times New Roman"/>
          <w:bCs/>
          <w:color w:val="auto"/>
          <w:sz w:val="72"/>
          <w:szCs w:val="72"/>
          <w:u w:val="none"/>
        </w:rPr>
      </w:pPr>
      <w:r>
        <w:rPr>
          <w:rFonts w:ascii="Times New Roman" w:hAnsi="Times New Roman" w:eastAsia="黑体" w:cs="Times New Roman"/>
          <w:bCs/>
          <w:color w:val="auto"/>
          <w:sz w:val="72"/>
          <w:szCs w:val="72"/>
          <w:u w:val="none"/>
        </w:rPr>
        <w:t>建设项目环境影响报告表</w:t>
      </w:r>
    </w:p>
    <w:p w14:paraId="2E84AA3C">
      <w:pPr>
        <w:adjustRightInd w:val="0"/>
        <w:snapToGrid w:val="0"/>
        <w:spacing w:before="192" w:beforeLines="80"/>
        <w:jc w:val="center"/>
        <w:rPr>
          <w:rFonts w:ascii="Times New Roman" w:hAnsi="Times New Roman" w:eastAsia="楷体_GB2312" w:cs="Times New Roman"/>
          <w:bCs/>
          <w:color w:val="auto"/>
          <w:sz w:val="48"/>
          <w:szCs w:val="48"/>
          <w:u w:val="none"/>
        </w:rPr>
      </w:pPr>
      <w:r>
        <w:rPr>
          <w:rFonts w:ascii="Times New Roman" w:hAnsi="Times New Roman" w:eastAsia="楷体_GB2312" w:cs="Times New Roman"/>
          <w:bCs/>
          <w:color w:val="auto"/>
          <w:sz w:val="48"/>
          <w:szCs w:val="48"/>
          <w:u w:val="none"/>
        </w:rPr>
        <w:t>（污染影响类）</w:t>
      </w:r>
    </w:p>
    <w:p w14:paraId="3FF175E7">
      <w:pPr>
        <w:adjustRightInd w:val="0"/>
        <w:snapToGrid w:val="0"/>
        <w:spacing w:line="288" w:lineRule="auto"/>
        <w:jc w:val="center"/>
        <w:outlineLvl w:val="0"/>
        <w:rPr>
          <w:rFonts w:ascii="Times New Roman" w:hAnsi="Times New Roman" w:eastAsia="华文仿宋" w:cs="Times New Roman"/>
          <w:color w:val="auto"/>
          <w:kern w:val="44"/>
          <w:sz w:val="44"/>
          <w:szCs w:val="44"/>
          <w:u w:val="none"/>
        </w:rPr>
      </w:pPr>
    </w:p>
    <w:p w14:paraId="58B72E7E">
      <w:pPr>
        <w:jc w:val="center"/>
        <w:rPr>
          <w:rFonts w:ascii="Times New Roman" w:hAnsi="Times New Roman" w:eastAsia="仿宋" w:cs="Times New Roman"/>
          <w:color w:val="auto"/>
          <w:sz w:val="52"/>
          <w:szCs w:val="52"/>
          <w:u w:val="none"/>
        </w:rPr>
      </w:pPr>
    </w:p>
    <w:p w14:paraId="56D0A2F8">
      <w:pPr>
        <w:ind w:firstLine="1040"/>
        <w:rPr>
          <w:rFonts w:ascii="Times New Roman" w:hAnsi="Times New Roman" w:eastAsia="仿宋" w:cs="Times New Roman"/>
          <w:color w:val="auto"/>
          <w:sz w:val="44"/>
          <w:szCs w:val="44"/>
          <w:u w:val="none"/>
        </w:rPr>
      </w:pPr>
    </w:p>
    <w:p w14:paraId="31B8E003">
      <w:pPr>
        <w:adjustRightInd w:val="0"/>
        <w:snapToGrid w:val="0"/>
        <w:spacing w:line="480" w:lineRule="auto"/>
        <w:ind w:firstLine="1080" w:firstLineChars="300"/>
        <w:jc w:val="both"/>
        <w:rPr>
          <w:rFonts w:hint="eastAsia" w:ascii="Times New Roman" w:hAnsi="Times New Roman" w:eastAsia="仿宋_GB2312" w:cs="Times New Roman"/>
          <w:color w:val="auto"/>
          <w:sz w:val="36"/>
          <w:szCs w:val="36"/>
          <w:highlight w:val="none"/>
          <w:u w:val="single"/>
          <w:lang w:eastAsia="zh-CN"/>
        </w:rPr>
      </w:pPr>
      <w:r>
        <w:rPr>
          <w:rFonts w:ascii="Times New Roman" w:hAnsi="Times New Roman" w:eastAsia="仿宋_GB2312" w:cs="Times New Roman"/>
          <w:color w:val="auto"/>
          <w:sz w:val="36"/>
          <w:szCs w:val="36"/>
          <w:u w:val="none"/>
        </w:rPr>
        <w:t>项目名称：</w:t>
      </w:r>
      <w:r>
        <w:rPr>
          <w:rFonts w:hint="eastAsia" w:ascii="Times New Roman" w:hAnsi="Times New Roman" w:eastAsia="仿宋_GB2312" w:cs="Times New Roman"/>
          <w:color w:val="auto"/>
          <w:sz w:val="36"/>
          <w:szCs w:val="36"/>
          <w:highlight w:val="none"/>
          <w:u w:val="single"/>
          <w:lang w:eastAsia="zh-CN"/>
        </w:rPr>
        <w:t>平煤煌龙新能源有限公司</w:t>
      </w:r>
      <w:r>
        <w:rPr>
          <w:rFonts w:hint="eastAsia" w:eastAsia="仿宋_GB2312" w:cs="Times New Roman"/>
          <w:color w:val="auto"/>
          <w:sz w:val="36"/>
          <w:szCs w:val="36"/>
          <w:highlight w:val="none"/>
          <w:u w:val="single"/>
          <w:lang w:val="en-US" w:eastAsia="zh-CN"/>
        </w:rPr>
        <w:t>八</w:t>
      </w:r>
      <w:r>
        <w:rPr>
          <w:rFonts w:hint="eastAsia" w:ascii="Times New Roman" w:hAnsi="Times New Roman" w:eastAsia="仿宋_GB2312" w:cs="Times New Roman"/>
          <w:color w:val="auto"/>
          <w:sz w:val="36"/>
          <w:szCs w:val="36"/>
          <w:highlight w:val="none"/>
          <w:u w:val="single"/>
          <w:lang w:eastAsia="zh-CN"/>
        </w:rPr>
        <w:t>矿</w:t>
      </w:r>
      <w:r>
        <w:rPr>
          <w:rFonts w:hint="eastAsia" w:eastAsia="仿宋_GB2312" w:cs="Times New Roman"/>
          <w:color w:val="auto"/>
          <w:sz w:val="36"/>
          <w:szCs w:val="36"/>
          <w:highlight w:val="none"/>
          <w:u w:val="single"/>
          <w:lang w:val="en-US" w:eastAsia="zh-CN"/>
        </w:rPr>
        <w:t>二井</w:t>
      </w:r>
      <w:r>
        <w:rPr>
          <w:rFonts w:hint="eastAsia" w:ascii="Times New Roman" w:hAnsi="Times New Roman" w:eastAsia="仿宋_GB2312" w:cs="Times New Roman"/>
          <w:color w:val="auto"/>
          <w:sz w:val="36"/>
          <w:szCs w:val="36"/>
          <w:highlight w:val="none"/>
          <w:u w:val="single"/>
          <w:lang w:eastAsia="zh-CN"/>
        </w:rPr>
        <w:t>瓦斯</w:t>
      </w:r>
    </w:p>
    <w:p w14:paraId="5E3725B6">
      <w:pPr>
        <w:adjustRightInd w:val="0"/>
        <w:snapToGrid w:val="0"/>
        <w:spacing w:line="480" w:lineRule="auto"/>
        <w:ind w:firstLine="2880" w:firstLineChars="800"/>
        <w:jc w:val="both"/>
        <w:rPr>
          <w:rFonts w:hint="eastAsia" w:ascii="Times New Roman" w:hAnsi="Times New Roman" w:eastAsia="仿宋_GB2312" w:cs="Times New Roman"/>
          <w:color w:val="auto"/>
          <w:sz w:val="36"/>
          <w:szCs w:val="36"/>
          <w:highlight w:val="none"/>
          <w:u w:val="single"/>
          <w:lang w:eastAsia="zh-CN"/>
        </w:rPr>
      </w:pPr>
      <w:r>
        <w:rPr>
          <w:rFonts w:hint="eastAsia" w:ascii="Times New Roman" w:hAnsi="Times New Roman" w:eastAsia="仿宋_GB2312" w:cs="Times New Roman"/>
          <w:color w:val="auto"/>
          <w:sz w:val="36"/>
          <w:szCs w:val="36"/>
          <w:highlight w:val="none"/>
          <w:u w:val="single"/>
          <w:lang w:eastAsia="zh-CN"/>
        </w:rPr>
        <w:t>发电</w:t>
      </w:r>
      <w:r>
        <w:rPr>
          <w:rFonts w:hint="eastAsia" w:eastAsia="仿宋_GB2312" w:cs="Times New Roman"/>
          <w:color w:val="auto"/>
          <w:sz w:val="36"/>
          <w:szCs w:val="36"/>
          <w:highlight w:val="none"/>
          <w:u w:val="single"/>
          <w:lang w:val="en-US" w:eastAsia="zh-CN"/>
        </w:rPr>
        <w:t>站新建</w:t>
      </w:r>
      <w:r>
        <w:rPr>
          <w:rFonts w:hint="eastAsia" w:ascii="Times New Roman" w:hAnsi="Times New Roman" w:eastAsia="仿宋_GB2312" w:cs="Times New Roman"/>
          <w:color w:val="auto"/>
          <w:sz w:val="36"/>
          <w:szCs w:val="36"/>
          <w:highlight w:val="none"/>
          <w:u w:val="single"/>
          <w:lang w:eastAsia="zh-CN"/>
        </w:rPr>
        <w:t>项目</w:t>
      </w:r>
    </w:p>
    <w:p w14:paraId="6D9A1F0F">
      <w:pPr>
        <w:adjustRightInd w:val="0"/>
        <w:snapToGrid w:val="0"/>
        <w:spacing w:line="480" w:lineRule="auto"/>
        <w:ind w:firstLine="1080" w:firstLineChars="300"/>
        <w:jc w:val="both"/>
        <w:rPr>
          <w:rFonts w:ascii="Times New Roman" w:hAnsi="Times New Roman" w:eastAsia="仿宋_GB2312" w:cs="Times New Roman"/>
          <w:color w:val="auto"/>
          <w:sz w:val="36"/>
          <w:szCs w:val="36"/>
          <w:highlight w:val="none"/>
          <w:u w:val="none"/>
        </w:rPr>
      </w:pPr>
      <w:r>
        <w:rPr>
          <w:rFonts w:ascii="Times New Roman" w:hAnsi="Times New Roman" w:eastAsia="仿宋_GB2312" w:cs="Times New Roman"/>
          <w:color w:val="auto"/>
          <w:sz w:val="36"/>
          <w:szCs w:val="36"/>
          <w:highlight w:val="none"/>
          <w:u w:val="none"/>
        </w:rPr>
        <w:t>建设单位（盖章）：</w:t>
      </w:r>
      <w:r>
        <w:rPr>
          <w:rFonts w:hint="eastAsia" w:ascii="Times New Roman" w:hAnsi="Times New Roman" w:eastAsia="仿宋_GB2312" w:cs="Times New Roman"/>
          <w:color w:val="auto"/>
          <w:sz w:val="36"/>
          <w:szCs w:val="36"/>
          <w:highlight w:val="none"/>
          <w:u w:val="single"/>
          <w:lang w:val="en-US" w:eastAsia="zh-CN"/>
        </w:rPr>
        <w:t>河南超蓝能源科技有限公司</w:t>
      </w:r>
    </w:p>
    <w:p w14:paraId="1CD9DA38">
      <w:pPr>
        <w:adjustRightInd w:val="0"/>
        <w:snapToGrid w:val="0"/>
        <w:spacing w:line="480" w:lineRule="auto"/>
        <w:ind w:firstLine="1080" w:firstLineChars="300"/>
        <w:jc w:val="both"/>
        <w:rPr>
          <w:rFonts w:hint="default" w:ascii="Times New Roman" w:hAnsi="Times New Roman" w:eastAsia="仿宋_GB2312" w:cs="Times New Roman"/>
          <w:color w:val="auto"/>
          <w:sz w:val="36"/>
          <w:szCs w:val="36"/>
          <w:u w:val="none"/>
          <w:lang w:val="en-US" w:eastAsia="zh-CN"/>
        </w:rPr>
      </w:pPr>
      <w:r>
        <w:rPr>
          <w:rFonts w:ascii="Times New Roman" w:hAnsi="Times New Roman" w:eastAsia="仿宋_GB2312" w:cs="Times New Roman"/>
          <w:color w:val="auto"/>
          <w:sz w:val="36"/>
          <w:szCs w:val="36"/>
          <w:highlight w:val="none"/>
          <w:u w:val="none"/>
        </w:rPr>
        <w:t>编制日期：</w:t>
      </w:r>
      <w:r>
        <w:rPr>
          <w:rFonts w:hint="eastAsia" w:ascii="宋体" w:hAnsi="宋体" w:eastAsia="宋体" w:cs="宋体"/>
          <w:b w:val="0"/>
          <w:bCs w:val="0"/>
          <w:color w:val="auto"/>
          <w:sz w:val="36"/>
          <w:szCs w:val="36"/>
          <w:highlight w:val="none"/>
          <w:u w:val="none"/>
        </w:rPr>
        <w:t xml:space="preserve"> </w:t>
      </w:r>
      <w:r>
        <w:rPr>
          <w:rFonts w:hint="eastAsia" w:ascii="宋体" w:hAnsi="宋体" w:eastAsia="宋体" w:cs="宋体"/>
          <w:b w:val="0"/>
          <w:bCs w:val="0"/>
          <w:color w:val="auto"/>
          <w:sz w:val="36"/>
          <w:szCs w:val="36"/>
          <w:highlight w:val="none"/>
          <w:u w:val="single"/>
          <w:lang w:val="en-US" w:eastAsia="zh-CN"/>
        </w:rPr>
        <w:t xml:space="preserve">    </w:t>
      </w:r>
      <w:r>
        <w:rPr>
          <w:rFonts w:hint="eastAsia" w:ascii="宋体" w:hAnsi="宋体" w:cs="宋体"/>
          <w:b w:val="0"/>
          <w:bCs w:val="0"/>
          <w:color w:val="auto"/>
          <w:sz w:val="36"/>
          <w:szCs w:val="36"/>
          <w:highlight w:val="none"/>
          <w:u w:val="single"/>
          <w:lang w:val="en-US" w:eastAsia="zh-CN"/>
        </w:rPr>
        <w:t xml:space="preserve"> </w:t>
      </w:r>
      <w:r>
        <w:rPr>
          <w:rFonts w:hint="eastAsia" w:ascii="宋体" w:hAnsi="宋体" w:eastAsia="宋体" w:cs="宋体"/>
          <w:b w:val="0"/>
          <w:bCs w:val="0"/>
          <w:color w:val="auto"/>
          <w:sz w:val="36"/>
          <w:szCs w:val="36"/>
          <w:highlight w:val="none"/>
          <w:u w:val="single"/>
          <w:lang w:val="en-US" w:eastAsia="zh-CN"/>
        </w:rPr>
        <w:t xml:space="preserve"> </w:t>
      </w:r>
      <w:r>
        <w:rPr>
          <w:rFonts w:hint="eastAsia" w:ascii="宋体" w:hAnsi="宋体" w:eastAsia="宋体" w:cs="宋体"/>
          <w:b w:val="0"/>
          <w:bCs w:val="0"/>
          <w:color w:val="auto"/>
          <w:sz w:val="36"/>
          <w:szCs w:val="36"/>
          <w:highlight w:val="none"/>
          <w:u w:val="single"/>
        </w:rPr>
        <w:t>202</w:t>
      </w:r>
      <w:r>
        <w:rPr>
          <w:rFonts w:hint="eastAsia" w:ascii="宋体" w:hAnsi="宋体" w:eastAsia="宋体" w:cs="宋体"/>
          <w:b w:val="0"/>
          <w:bCs w:val="0"/>
          <w:color w:val="auto"/>
          <w:sz w:val="36"/>
          <w:szCs w:val="36"/>
          <w:highlight w:val="none"/>
          <w:u w:val="single"/>
          <w:lang w:val="en-US" w:eastAsia="zh-CN"/>
        </w:rPr>
        <w:t>4</w:t>
      </w:r>
      <w:r>
        <w:rPr>
          <w:rFonts w:hint="eastAsia" w:ascii="宋体" w:hAnsi="宋体" w:eastAsia="宋体" w:cs="宋体"/>
          <w:b w:val="0"/>
          <w:bCs w:val="0"/>
          <w:color w:val="auto"/>
          <w:sz w:val="36"/>
          <w:szCs w:val="36"/>
          <w:highlight w:val="none"/>
          <w:u w:val="single"/>
        </w:rPr>
        <w:t>年</w:t>
      </w:r>
      <w:r>
        <w:rPr>
          <w:rFonts w:hint="eastAsia" w:ascii="宋体" w:hAnsi="宋体" w:eastAsia="宋体" w:cs="宋体"/>
          <w:b w:val="0"/>
          <w:bCs w:val="0"/>
          <w:color w:val="auto"/>
          <w:sz w:val="36"/>
          <w:szCs w:val="36"/>
          <w:highlight w:val="none"/>
          <w:u w:val="single"/>
          <w:lang w:val="en-US" w:eastAsia="zh-CN"/>
        </w:rPr>
        <w:t>1</w:t>
      </w:r>
      <w:r>
        <w:rPr>
          <w:rFonts w:hint="eastAsia" w:ascii="宋体" w:hAnsi="宋体" w:cs="宋体"/>
          <w:b w:val="0"/>
          <w:bCs w:val="0"/>
          <w:color w:val="auto"/>
          <w:sz w:val="36"/>
          <w:szCs w:val="36"/>
          <w:highlight w:val="none"/>
          <w:u w:val="single"/>
          <w:lang w:val="en-US" w:eastAsia="zh-CN"/>
        </w:rPr>
        <w:t>2</w:t>
      </w:r>
      <w:r>
        <w:rPr>
          <w:rFonts w:hint="eastAsia" w:ascii="宋体" w:hAnsi="宋体" w:eastAsia="宋体" w:cs="宋体"/>
          <w:b w:val="0"/>
          <w:bCs w:val="0"/>
          <w:color w:val="auto"/>
          <w:sz w:val="36"/>
          <w:szCs w:val="36"/>
          <w:highlight w:val="none"/>
          <w:u w:val="single"/>
        </w:rPr>
        <w:t>月</w:t>
      </w:r>
      <w:r>
        <w:rPr>
          <w:rFonts w:hint="eastAsia" w:ascii="宋体" w:hAnsi="宋体" w:eastAsia="宋体" w:cs="宋体"/>
          <w:b w:val="0"/>
          <w:bCs w:val="0"/>
          <w:color w:val="auto"/>
          <w:sz w:val="36"/>
          <w:szCs w:val="36"/>
          <w:highlight w:val="none"/>
          <w:u w:val="single"/>
          <w:lang w:val="en-US" w:eastAsia="zh-CN"/>
        </w:rPr>
        <w:t xml:space="preserve">   </w:t>
      </w:r>
      <w:r>
        <w:rPr>
          <w:rFonts w:hint="eastAsia" w:ascii="宋体" w:hAnsi="宋体" w:cs="宋体"/>
          <w:b w:val="0"/>
          <w:bCs w:val="0"/>
          <w:color w:val="auto"/>
          <w:sz w:val="36"/>
          <w:szCs w:val="36"/>
          <w:highlight w:val="none"/>
          <w:u w:val="single"/>
          <w:lang w:val="en-US" w:eastAsia="zh-CN"/>
        </w:rPr>
        <w:t xml:space="preserve"> </w:t>
      </w:r>
      <w:r>
        <w:rPr>
          <w:rFonts w:hint="eastAsia" w:ascii="宋体" w:hAnsi="宋体" w:eastAsia="宋体" w:cs="宋体"/>
          <w:b w:val="0"/>
          <w:bCs w:val="0"/>
          <w:color w:val="auto"/>
          <w:sz w:val="36"/>
          <w:szCs w:val="36"/>
          <w:highlight w:val="none"/>
          <w:u w:val="single"/>
          <w:lang w:val="en-US" w:eastAsia="zh-CN"/>
        </w:rPr>
        <w:t xml:space="preserve">  </w:t>
      </w:r>
      <w:r>
        <w:rPr>
          <w:rFonts w:hint="eastAsia" w:ascii="宋体" w:hAnsi="宋体" w:eastAsia="宋体" w:cs="宋体"/>
          <w:b w:val="0"/>
          <w:bCs w:val="0"/>
          <w:color w:val="auto"/>
          <w:sz w:val="36"/>
          <w:szCs w:val="36"/>
          <w:u w:val="single"/>
          <w:lang w:val="en-US" w:eastAsia="zh-CN"/>
        </w:rPr>
        <w:t xml:space="preserve">  </w:t>
      </w:r>
    </w:p>
    <w:p w14:paraId="05F2D925">
      <w:pPr>
        <w:adjustRightInd w:val="0"/>
        <w:snapToGrid w:val="0"/>
        <w:spacing w:line="288" w:lineRule="auto"/>
        <w:ind w:firstLine="1040"/>
        <w:rPr>
          <w:rFonts w:ascii="Times New Roman" w:hAnsi="Times New Roman" w:eastAsia="仿宋_GB2312" w:cs="Times New Roman"/>
          <w:color w:val="auto"/>
          <w:sz w:val="36"/>
          <w:szCs w:val="36"/>
          <w:u w:val="none"/>
        </w:rPr>
      </w:pPr>
    </w:p>
    <w:p w14:paraId="7D439FEA">
      <w:pPr>
        <w:adjustRightInd w:val="0"/>
        <w:snapToGrid w:val="0"/>
        <w:spacing w:line="288" w:lineRule="auto"/>
        <w:ind w:firstLine="1040"/>
        <w:rPr>
          <w:rFonts w:ascii="Times New Roman" w:hAnsi="Times New Roman" w:eastAsia="仿宋_GB2312" w:cs="Times New Roman"/>
          <w:color w:val="auto"/>
          <w:sz w:val="36"/>
          <w:szCs w:val="36"/>
          <w:u w:val="none"/>
        </w:rPr>
      </w:pPr>
    </w:p>
    <w:p w14:paraId="777DD198">
      <w:pPr>
        <w:adjustRightInd w:val="0"/>
        <w:snapToGrid w:val="0"/>
        <w:spacing w:line="288" w:lineRule="auto"/>
        <w:ind w:firstLine="1040"/>
        <w:rPr>
          <w:rFonts w:ascii="Times New Roman" w:hAnsi="Times New Roman" w:eastAsia="仿宋_GB2312" w:cs="Times New Roman"/>
          <w:color w:val="auto"/>
          <w:sz w:val="36"/>
          <w:szCs w:val="36"/>
          <w:u w:val="none"/>
        </w:rPr>
      </w:pPr>
    </w:p>
    <w:p w14:paraId="3A064D0C">
      <w:pPr>
        <w:adjustRightInd w:val="0"/>
        <w:snapToGrid w:val="0"/>
        <w:spacing w:line="288" w:lineRule="auto"/>
        <w:ind w:firstLine="1040"/>
        <w:rPr>
          <w:rFonts w:ascii="Times New Roman" w:hAnsi="Times New Roman" w:eastAsia="仿宋_GB2312" w:cs="Times New Roman"/>
          <w:color w:val="auto"/>
          <w:sz w:val="36"/>
          <w:szCs w:val="36"/>
          <w:u w:val="none"/>
        </w:rPr>
      </w:pPr>
    </w:p>
    <w:p w14:paraId="40B0ADFF">
      <w:pPr>
        <w:adjustRightInd w:val="0"/>
        <w:snapToGrid w:val="0"/>
        <w:spacing w:line="288" w:lineRule="auto"/>
        <w:ind w:firstLine="1040"/>
        <w:rPr>
          <w:rFonts w:ascii="Times New Roman" w:hAnsi="Times New Roman" w:eastAsia="仿宋_GB2312" w:cs="Times New Roman"/>
          <w:color w:val="auto"/>
          <w:sz w:val="36"/>
          <w:szCs w:val="36"/>
          <w:u w:val="none"/>
        </w:rPr>
      </w:pPr>
    </w:p>
    <w:p w14:paraId="5C3CFB25">
      <w:pPr>
        <w:adjustRightInd w:val="0"/>
        <w:snapToGrid w:val="0"/>
        <w:spacing w:line="288" w:lineRule="auto"/>
        <w:jc w:val="center"/>
        <w:rPr>
          <w:rFonts w:hint="eastAsia" w:ascii="Times New Roman" w:hAnsi="Times New Roman" w:cs="Times New Roman"/>
          <w:color w:val="auto"/>
          <w:u w:val="none"/>
          <w:lang w:eastAsia="zh-CN"/>
        </w:rPr>
        <w:sectPr>
          <w:footerReference r:id="rId3" w:type="default"/>
          <w:pgSz w:w="11906" w:h="16838"/>
          <w:pgMar w:top="1440" w:right="1080" w:bottom="1440" w:left="1080" w:header="851" w:footer="851" w:gutter="0"/>
          <w:pgBorders>
            <w:top w:val="none" w:sz="0" w:space="0"/>
            <w:left w:val="none" w:sz="0" w:space="0"/>
            <w:bottom w:val="none" w:sz="0" w:space="0"/>
            <w:right w:val="none" w:sz="0" w:space="0"/>
          </w:pgBorders>
          <w:lnNumType w:countBy="0" w:restart="continuous"/>
          <w:pgNumType w:fmt="decimal" w:start="1"/>
          <w:cols w:space="720" w:num="1"/>
          <w:docGrid w:linePitch="312" w:charSpace="0"/>
        </w:sectPr>
      </w:pPr>
      <w:r>
        <w:rPr>
          <w:rFonts w:ascii="Times New Roman" w:hAnsi="Times New Roman" w:eastAsia="楷体_GB2312" w:cs="Times New Roman"/>
          <w:color w:val="auto"/>
          <w:sz w:val="36"/>
          <w:szCs w:val="36"/>
          <w:u w:val="none"/>
        </w:rPr>
        <w:t>中华人民共和国生态环境部制</w:t>
      </w:r>
    </w:p>
    <w:p w14:paraId="254A855F">
      <w:pPr>
        <w:spacing w:beforeLines="50" w:afterLines="50"/>
        <w:jc w:val="center"/>
        <w:outlineLvl w:val="0"/>
        <w:rPr>
          <w:rFonts w:ascii="Times New Roman" w:hAnsi="Times New Roman" w:eastAsia="黑体" w:cs="Times New Roman"/>
          <w:b/>
          <w:bCs/>
          <w:color w:val="auto"/>
          <w:sz w:val="30"/>
          <w:szCs w:val="30"/>
          <w:u w:val="none"/>
        </w:rPr>
        <w:sectPr>
          <w:footerReference r:id="rId4" w:type="default"/>
          <w:pgSz w:w="11906" w:h="16838"/>
          <w:pgMar w:top="1440" w:right="1531" w:bottom="1440" w:left="1531" w:header="851" w:footer="851" w:gutter="0"/>
          <w:pgBorders>
            <w:top w:val="none" w:sz="0" w:space="0"/>
            <w:left w:val="none" w:sz="0" w:space="0"/>
            <w:bottom w:val="none" w:sz="0" w:space="0"/>
            <w:right w:val="none" w:sz="0" w:space="0"/>
          </w:pgBorders>
          <w:lnNumType w:countBy="0" w:restart="continuous"/>
          <w:pgNumType w:fmt="numberInDash" w:start="1"/>
          <w:cols w:space="720" w:num="1"/>
          <w:docGrid w:linePitch="312" w:charSpace="0"/>
        </w:sectPr>
      </w:pPr>
      <w:r>
        <w:drawing>
          <wp:inline distT="0" distB="0" distL="114300" distR="114300">
            <wp:extent cx="6419850" cy="8740775"/>
            <wp:effectExtent l="0" t="0" r="11430" b="6985"/>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11"/>
                    <a:stretch>
                      <a:fillRect/>
                    </a:stretch>
                  </pic:blipFill>
                  <pic:spPr>
                    <a:xfrm>
                      <a:off x="0" y="0"/>
                      <a:ext cx="6419850" cy="8740775"/>
                    </a:xfrm>
                    <a:prstGeom prst="rect">
                      <a:avLst/>
                    </a:prstGeom>
                    <a:noFill/>
                    <a:ln>
                      <a:noFill/>
                    </a:ln>
                  </pic:spPr>
                </pic:pic>
              </a:graphicData>
            </a:graphic>
          </wp:inline>
        </w:drawing>
      </w:r>
      <w:r>
        <w:drawing>
          <wp:inline distT="0" distB="0" distL="114300" distR="114300">
            <wp:extent cx="6350000" cy="8616950"/>
            <wp:effectExtent l="0" t="0" r="5080" b="889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2"/>
                    <a:stretch>
                      <a:fillRect/>
                    </a:stretch>
                  </pic:blipFill>
                  <pic:spPr>
                    <a:xfrm>
                      <a:off x="0" y="0"/>
                      <a:ext cx="6350000" cy="8616950"/>
                    </a:xfrm>
                    <a:prstGeom prst="rect">
                      <a:avLst/>
                    </a:prstGeom>
                    <a:noFill/>
                    <a:ln>
                      <a:noFill/>
                    </a:ln>
                  </pic:spPr>
                </pic:pic>
              </a:graphicData>
            </a:graphic>
          </wp:inline>
        </w:drawing>
      </w:r>
    </w:p>
    <w:p w14:paraId="7428BB99">
      <w:pPr>
        <w:spacing w:beforeLines="50" w:afterLines="50"/>
        <w:jc w:val="center"/>
        <w:outlineLvl w:val="0"/>
        <w:rPr>
          <w:rFonts w:ascii="Times New Roman" w:hAnsi="Times New Roman" w:eastAsia="黑体" w:cs="Times New Roman"/>
          <w:b/>
          <w:bCs/>
          <w:color w:val="auto"/>
          <w:sz w:val="30"/>
          <w:szCs w:val="30"/>
          <w:u w:val="none"/>
        </w:rPr>
        <w:sectPr>
          <w:pgSz w:w="11906" w:h="16838"/>
          <w:pgMar w:top="1440" w:right="1531" w:bottom="1440" w:left="1531" w:header="851" w:footer="851" w:gutter="0"/>
          <w:pgBorders>
            <w:top w:val="none" w:sz="0" w:space="0"/>
            <w:left w:val="none" w:sz="0" w:space="0"/>
            <w:bottom w:val="none" w:sz="0" w:space="0"/>
            <w:right w:val="none" w:sz="0" w:space="0"/>
          </w:pgBorders>
          <w:lnNumType w:countBy="0" w:restart="continuous"/>
          <w:pgNumType w:fmt="numberInDash" w:start="1"/>
          <w:cols w:space="720" w:num="1"/>
          <w:docGrid w:linePitch="312" w:charSpace="0"/>
        </w:sectPr>
      </w:pPr>
      <w:r>
        <w:drawing>
          <wp:inline distT="0" distB="0" distL="114300" distR="114300">
            <wp:extent cx="6249035" cy="8825230"/>
            <wp:effectExtent l="0" t="0" r="14605" b="13970"/>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13"/>
                    <a:srcRect l="15140" t="10176" r="8464" b="13793"/>
                    <a:stretch>
                      <a:fillRect/>
                    </a:stretch>
                  </pic:blipFill>
                  <pic:spPr>
                    <a:xfrm>
                      <a:off x="0" y="0"/>
                      <a:ext cx="6249035" cy="8825230"/>
                    </a:xfrm>
                    <a:prstGeom prst="rect">
                      <a:avLst/>
                    </a:prstGeom>
                    <a:noFill/>
                    <a:ln>
                      <a:noFill/>
                    </a:ln>
                  </pic:spPr>
                </pic:pic>
              </a:graphicData>
            </a:graphic>
          </wp:inline>
        </w:drawing>
      </w:r>
    </w:p>
    <w:p w14:paraId="156EAD9F">
      <w:pPr>
        <w:spacing w:beforeLines="50" w:afterLines="50"/>
        <w:jc w:val="center"/>
        <w:outlineLvl w:val="0"/>
        <w:rPr>
          <w:rFonts w:ascii="Times New Roman" w:hAnsi="Times New Roman" w:eastAsia="黑体" w:cs="Times New Roman"/>
          <w:b/>
          <w:bCs/>
          <w:color w:val="auto"/>
          <w:sz w:val="30"/>
          <w:szCs w:val="30"/>
          <w:u w:val="none"/>
        </w:rPr>
        <w:sectPr>
          <w:pgSz w:w="11906" w:h="16838"/>
          <w:pgMar w:top="1440" w:right="1531" w:bottom="1440" w:left="1531" w:header="851" w:footer="851" w:gutter="0"/>
          <w:pgBorders>
            <w:top w:val="none" w:sz="0" w:space="0"/>
            <w:left w:val="none" w:sz="0" w:space="0"/>
            <w:bottom w:val="none" w:sz="0" w:space="0"/>
            <w:right w:val="none" w:sz="0" w:space="0"/>
          </w:pgBorders>
          <w:lnNumType w:countBy="0" w:restart="continuous"/>
          <w:pgNumType w:fmt="numberInDash" w:start="1"/>
          <w:cols w:space="720" w:num="1"/>
          <w:docGrid w:linePitch="312" w:charSpace="0"/>
        </w:sectPr>
      </w:pPr>
      <w:r>
        <w:drawing>
          <wp:inline distT="0" distB="0" distL="114300" distR="114300">
            <wp:extent cx="6274435" cy="8825865"/>
            <wp:effectExtent l="0" t="0" r="4445" b="13335"/>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14"/>
                    <a:stretch>
                      <a:fillRect/>
                    </a:stretch>
                  </pic:blipFill>
                  <pic:spPr>
                    <a:xfrm>
                      <a:off x="0" y="0"/>
                      <a:ext cx="6274435" cy="8825865"/>
                    </a:xfrm>
                    <a:prstGeom prst="rect">
                      <a:avLst/>
                    </a:prstGeom>
                    <a:noFill/>
                    <a:ln>
                      <a:noFill/>
                    </a:ln>
                  </pic:spPr>
                </pic:pic>
              </a:graphicData>
            </a:graphic>
          </wp:inline>
        </w:drawing>
      </w:r>
    </w:p>
    <w:p w14:paraId="3F762ABB">
      <w:pPr>
        <w:spacing w:beforeLines="50" w:afterLines="50"/>
        <w:jc w:val="center"/>
        <w:outlineLvl w:val="0"/>
        <w:sectPr>
          <w:pgSz w:w="11906" w:h="16838"/>
          <w:pgMar w:top="1440" w:right="1531" w:bottom="1440" w:left="1531" w:header="851" w:footer="851" w:gutter="0"/>
          <w:pgBorders>
            <w:top w:val="none" w:sz="0" w:space="0"/>
            <w:left w:val="none" w:sz="0" w:space="0"/>
            <w:bottom w:val="none" w:sz="0" w:space="0"/>
            <w:right w:val="none" w:sz="0" w:space="0"/>
          </w:pgBorders>
          <w:lnNumType w:countBy="0" w:restart="continuous"/>
          <w:pgNumType w:fmt="numberInDash" w:start="1"/>
          <w:cols w:space="720" w:num="1"/>
          <w:docGrid w:linePitch="312" w:charSpace="0"/>
        </w:sectPr>
      </w:pPr>
      <w:r>
        <w:drawing>
          <wp:inline distT="0" distB="0" distL="114300" distR="114300">
            <wp:extent cx="6342380" cy="8762365"/>
            <wp:effectExtent l="0" t="0" r="12700" b="635"/>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15"/>
                    <a:stretch>
                      <a:fillRect/>
                    </a:stretch>
                  </pic:blipFill>
                  <pic:spPr>
                    <a:xfrm>
                      <a:off x="0" y="0"/>
                      <a:ext cx="6342380" cy="8762365"/>
                    </a:xfrm>
                    <a:prstGeom prst="rect">
                      <a:avLst/>
                    </a:prstGeom>
                    <a:noFill/>
                    <a:ln>
                      <a:noFill/>
                    </a:ln>
                  </pic:spPr>
                </pic:pic>
              </a:graphicData>
            </a:graphic>
          </wp:inline>
        </w:drawing>
      </w:r>
    </w:p>
    <w:p w14:paraId="0B71FAFF">
      <w:pPr>
        <w:spacing w:beforeLines="50" w:afterLines="50"/>
        <w:jc w:val="center"/>
        <w:outlineLvl w:val="0"/>
        <w:sectPr>
          <w:pgSz w:w="11906" w:h="16838"/>
          <w:pgMar w:top="1440" w:right="1531" w:bottom="1440" w:left="1531" w:header="851" w:footer="851" w:gutter="0"/>
          <w:pgBorders>
            <w:top w:val="none" w:sz="0" w:space="0"/>
            <w:left w:val="none" w:sz="0" w:space="0"/>
            <w:bottom w:val="none" w:sz="0" w:space="0"/>
            <w:right w:val="none" w:sz="0" w:space="0"/>
          </w:pgBorders>
          <w:lnNumType w:countBy="0" w:restart="continuous"/>
          <w:pgNumType w:fmt="numberInDash" w:start="1"/>
          <w:cols w:space="720" w:num="1"/>
          <w:docGrid w:linePitch="312" w:charSpace="0"/>
        </w:sectPr>
      </w:pPr>
      <w:bookmarkStart w:id="2" w:name="_GoBack"/>
      <w:r>
        <w:drawing>
          <wp:inline distT="0" distB="0" distL="114300" distR="114300">
            <wp:extent cx="6264275" cy="8812530"/>
            <wp:effectExtent l="0" t="0" r="14605" b="11430"/>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16"/>
                    <a:stretch>
                      <a:fillRect/>
                    </a:stretch>
                  </pic:blipFill>
                  <pic:spPr>
                    <a:xfrm>
                      <a:off x="0" y="0"/>
                      <a:ext cx="6264275" cy="8812530"/>
                    </a:xfrm>
                    <a:prstGeom prst="rect">
                      <a:avLst/>
                    </a:prstGeom>
                    <a:noFill/>
                    <a:ln>
                      <a:noFill/>
                    </a:ln>
                  </pic:spPr>
                </pic:pic>
              </a:graphicData>
            </a:graphic>
          </wp:inline>
        </w:drawing>
      </w:r>
      <w:bookmarkEnd w:id="2"/>
    </w:p>
    <w:p w14:paraId="07A1273D">
      <w:pPr>
        <w:spacing w:beforeLines="50" w:afterLines="50"/>
        <w:jc w:val="center"/>
        <w:outlineLvl w:val="0"/>
        <w:sectPr>
          <w:footerReference r:id="rId5" w:type="default"/>
          <w:pgSz w:w="11906" w:h="16838"/>
          <w:pgMar w:top="1440" w:right="1531" w:bottom="1440" w:left="1531" w:header="851" w:footer="851" w:gutter="0"/>
          <w:pgBorders>
            <w:top w:val="none" w:sz="0" w:space="0"/>
            <w:left w:val="none" w:sz="0" w:space="0"/>
            <w:bottom w:val="none" w:sz="0" w:space="0"/>
            <w:right w:val="none" w:sz="0" w:space="0"/>
          </w:pgBorders>
          <w:lnNumType w:countBy="0" w:restart="continuous"/>
          <w:pgNumType w:fmt="numberInDash" w:start="1"/>
          <w:cols w:space="720" w:num="1"/>
          <w:docGrid w:linePitch="312" w:charSpace="0"/>
        </w:sectPr>
      </w:pPr>
      <w:r>
        <w:drawing>
          <wp:inline distT="0" distB="0" distL="114300" distR="114300">
            <wp:extent cx="6283325" cy="8817610"/>
            <wp:effectExtent l="0" t="0" r="10795" b="6350"/>
            <wp:docPr id="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pic:cNvPicPr>
                      <a:picLocks noChangeAspect="1"/>
                    </pic:cNvPicPr>
                  </pic:nvPicPr>
                  <pic:blipFill>
                    <a:blip r:embed="rId17"/>
                    <a:stretch>
                      <a:fillRect/>
                    </a:stretch>
                  </pic:blipFill>
                  <pic:spPr>
                    <a:xfrm>
                      <a:off x="0" y="0"/>
                      <a:ext cx="6283325" cy="8817610"/>
                    </a:xfrm>
                    <a:prstGeom prst="rect">
                      <a:avLst/>
                    </a:prstGeom>
                    <a:noFill/>
                    <a:ln>
                      <a:noFill/>
                    </a:ln>
                  </pic:spPr>
                </pic:pic>
              </a:graphicData>
            </a:graphic>
          </wp:inline>
        </w:drawing>
      </w:r>
    </w:p>
    <w:p w14:paraId="0353475A">
      <w:pPr>
        <w:spacing w:beforeLines="50" w:afterLines="50"/>
        <w:jc w:val="center"/>
        <w:outlineLvl w:val="0"/>
        <w:rPr>
          <w:rFonts w:ascii="Times New Roman" w:hAnsi="Times New Roman" w:eastAsia="黑体" w:cs="Times New Roman"/>
          <w:b/>
          <w:bCs/>
          <w:color w:val="auto"/>
          <w:sz w:val="30"/>
          <w:szCs w:val="30"/>
          <w:u w:val="none"/>
        </w:rPr>
      </w:pPr>
      <w:r>
        <w:rPr>
          <w:rFonts w:ascii="Times New Roman" w:hAnsi="Times New Roman" w:eastAsia="黑体" w:cs="Times New Roman"/>
          <w:b/>
          <w:bCs/>
          <w:color w:val="auto"/>
          <w:sz w:val="30"/>
          <w:szCs w:val="30"/>
          <w:u w:val="none"/>
        </w:rPr>
        <w:t>一、建设项目基本情况</w:t>
      </w:r>
    </w:p>
    <w:tbl>
      <w:tblPr>
        <w:tblStyle w:val="32"/>
        <w:tblpPr w:leftFromText="181" w:rightFromText="181" w:vertAnchor="text" w:horzAnchor="page" w:tblpX="1435" w:tblpY="1"/>
        <w:tblOverlap w:val="never"/>
        <w:tblW w:w="8839" w:type="dxa"/>
        <w:tblInd w:w="85"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772"/>
        <w:gridCol w:w="2145"/>
        <w:gridCol w:w="1831"/>
        <w:gridCol w:w="3091"/>
      </w:tblGrid>
      <w:tr w14:paraId="5D8FF5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4" w:hRule="atLeast"/>
        </w:trPr>
        <w:tc>
          <w:tcPr>
            <w:tcW w:w="1772" w:type="dxa"/>
            <w:tcMar>
              <w:top w:w="16" w:type="dxa"/>
              <w:left w:w="16" w:type="dxa"/>
              <w:right w:w="16" w:type="dxa"/>
            </w:tcMar>
            <w:vAlign w:val="center"/>
          </w:tcPr>
          <w:p w14:paraId="632B5ACB">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z w:val="24"/>
                <w:u w:val="none"/>
              </w:rPr>
            </w:pPr>
            <w:r>
              <w:rPr>
                <w:rFonts w:ascii="Times New Roman" w:hAnsi="Times New Roman" w:cs="Times New Roman"/>
                <w:b w:val="0"/>
                <w:bCs w:val="0"/>
                <w:color w:val="auto"/>
                <w:sz w:val="24"/>
                <w:u w:val="none"/>
              </w:rPr>
              <w:t>建设项目名称</w:t>
            </w:r>
          </w:p>
        </w:tc>
        <w:tc>
          <w:tcPr>
            <w:tcW w:w="7067" w:type="dxa"/>
            <w:gridSpan w:val="3"/>
            <w:vAlign w:val="center"/>
          </w:tcPr>
          <w:p w14:paraId="0C4B49B5">
            <w:pPr>
              <w:keepNext w:val="0"/>
              <w:keepLines w:val="0"/>
              <w:pageBreakBefore w:val="0"/>
              <w:widowControl w:val="0"/>
              <w:kinsoku/>
              <w:wordWrap/>
              <w:overflowPunct/>
              <w:bidi w:val="0"/>
              <w:adjustRightInd w:val="0"/>
              <w:snapToGrid w:val="0"/>
              <w:spacing w:line="240" w:lineRule="auto"/>
              <w:jc w:val="center"/>
              <w:rPr>
                <w:rFonts w:hint="eastAsia" w:ascii="Times New Roman" w:hAnsi="Times New Roman" w:eastAsia="宋体" w:cs="Times New Roman"/>
                <w:color w:val="auto"/>
                <w:sz w:val="24"/>
                <w:u w:val="none"/>
                <w:lang w:eastAsia="zh-CN"/>
              </w:rPr>
            </w:pPr>
            <w:r>
              <w:rPr>
                <w:rFonts w:hint="eastAsia" w:cs="Times New Roman"/>
                <w:color w:val="auto"/>
                <w:sz w:val="24"/>
                <w:u w:val="none"/>
                <w:lang w:eastAsia="zh-CN"/>
              </w:rPr>
              <w:t>平煤煌龙新能源有限公司八矿二井瓦斯发电站新建项目</w:t>
            </w:r>
          </w:p>
        </w:tc>
      </w:tr>
      <w:tr w14:paraId="47F7CF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3" w:hRule="atLeast"/>
        </w:trPr>
        <w:tc>
          <w:tcPr>
            <w:tcW w:w="1772" w:type="dxa"/>
            <w:tcMar>
              <w:top w:w="16" w:type="dxa"/>
              <w:left w:w="16" w:type="dxa"/>
              <w:right w:w="16" w:type="dxa"/>
            </w:tcMar>
            <w:vAlign w:val="center"/>
          </w:tcPr>
          <w:p w14:paraId="42CC30EB">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z w:val="24"/>
                <w:u w:val="none"/>
              </w:rPr>
            </w:pPr>
            <w:r>
              <w:rPr>
                <w:rFonts w:ascii="Times New Roman" w:hAnsi="Times New Roman" w:cs="Times New Roman"/>
                <w:b w:val="0"/>
                <w:bCs w:val="0"/>
                <w:color w:val="auto"/>
                <w:sz w:val="24"/>
                <w:u w:val="none"/>
              </w:rPr>
              <w:t>项目代码</w:t>
            </w:r>
          </w:p>
        </w:tc>
        <w:tc>
          <w:tcPr>
            <w:tcW w:w="7067" w:type="dxa"/>
            <w:gridSpan w:val="3"/>
            <w:vAlign w:val="center"/>
          </w:tcPr>
          <w:p w14:paraId="23A3FA0B">
            <w:pPr>
              <w:keepNext w:val="0"/>
              <w:keepLines w:val="0"/>
              <w:pageBreakBefore w:val="0"/>
              <w:widowControl w:val="0"/>
              <w:kinsoku/>
              <w:wordWrap/>
              <w:overflowPunct/>
              <w:bidi w:val="0"/>
              <w:adjustRightInd w:val="0"/>
              <w:snapToGrid w:val="0"/>
              <w:spacing w:line="240" w:lineRule="auto"/>
              <w:jc w:val="center"/>
              <w:rPr>
                <w:rFonts w:hint="default" w:ascii="Times New Roman" w:hAnsi="Times New Roman" w:eastAsia="宋体" w:cs="Times New Roman"/>
                <w:color w:val="auto"/>
                <w:sz w:val="24"/>
                <w:u w:val="none"/>
                <w:lang w:val="en-US" w:eastAsia="zh-CN"/>
              </w:rPr>
            </w:pPr>
            <w:r>
              <w:rPr>
                <w:rFonts w:hint="eastAsia" w:cs="Times New Roman"/>
                <w:color w:val="auto"/>
                <w:sz w:val="24"/>
                <w:u w:val="none"/>
                <w:lang w:val="en-US" w:eastAsia="zh-CN"/>
              </w:rPr>
              <w:t>2303-410422-04-01-244302</w:t>
            </w:r>
          </w:p>
        </w:tc>
      </w:tr>
      <w:tr w14:paraId="36AAFC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42" w:hRule="atLeast"/>
        </w:trPr>
        <w:tc>
          <w:tcPr>
            <w:tcW w:w="1772" w:type="dxa"/>
            <w:tcMar>
              <w:top w:w="16" w:type="dxa"/>
              <w:left w:w="16" w:type="dxa"/>
              <w:right w:w="16" w:type="dxa"/>
            </w:tcMar>
            <w:vAlign w:val="center"/>
          </w:tcPr>
          <w:p w14:paraId="38D1B912">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z w:val="24"/>
                <w:u w:val="none"/>
              </w:rPr>
            </w:pPr>
            <w:r>
              <w:rPr>
                <w:rFonts w:ascii="Times New Roman" w:hAnsi="Times New Roman" w:cs="Times New Roman"/>
                <w:b w:val="0"/>
                <w:bCs w:val="0"/>
                <w:color w:val="auto"/>
                <w:sz w:val="24"/>
                <w:u w:val="none"/>
              </w:rPr>
              <w:t>建设单位联系人</w:t>
            </w:r>
          </w:p>
        </w:tc>
        <w:tc>
          <w:tcPr>
            <w:tcW w:w="2145" w:type="dxa"/>
            <w:vAlign w:val="center"/>
          </w:tcPr>
          <w:p w14:paraId="72F9891D">
            <w:pPr>
              <w:keepNext w:val="0"/>
              <w:keepLines w:val="0"/>
              <w:pageBreakBefore w:val="0"/>
              <w:widowControl w:val="0"/>
              <w:kinsoku/>
              <w:wordWrap/>
              <w:overflowPunct/>
              <w:bidi w:val="0"/>
              <w:adjustRightInd w:val="0"/>
              <w:snapToGrid w:val="0"/>
              <w:spacing w:line="240" w:lineRule="auto"/>
              <w:jc w:val="center"/>
              <w:rPr>
                <w:rFonts w:hint="default" w:ascii="Times New Roman" w:hAnsi="Times New Roman" w:eastAsia="宋体" w:cs="Times New Roman"/>
                <w:color w:val="auto"/>
                <w:sz w:val="24"/>
                <w:u w:val="none"/>
                <w:lang w:val="en-US" w:eastAsia="zh-CN"/>
              </w:rPr>
            </w:pPr>
            <w:r>
              <w:rPr>
                <w:rFonts w:hint="eastAsia" w:ascii="Times New Roman" w:hAnsi="Times New Roman" w:cs="Times New Roman"/>
                <w:color w:val="auto"/>
                <w:sz w:val="24"/>
                <w:u w:val="none"/>
                <w:lang w:val="en-US" w:eastAsia="zh-CN"/>
              </w:rPr>
              <w:t>王永飞</w:t>
            </w:r>
          </w:p>
        </w:tc>
        <w:tc>
          <w:tcPr>
            <w:tcW w:w="1831" w:type="dxa"/>
            <w:vAlign w:val="center"/>
          </w:tcPr>
          <w:p w14:paraId="49E39DFE">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color w:val="auto"/>
                <w:sz w:val="24"/>
                <w:u w:val="none"/>
              </w:rPr>
            </w:pPr>
            <w:r>
              <w:rPr>
                <w:rFonts w:ascii="Times New Roman" w:hAnsi="Times New Roman" w:cs="Times New Roman"/>
                <w:b w:val="0"/>
                <w:bCs w:val="0"/>
                <w:color w:val="auto"/>
                <w:sz w:val="24"/>
                <w:u w:val="none"/>
              </w:rPr>
              <w:t>联系方式</w:t>
            </w:r>
          </w:p>
        </w:tc>
        <w:tc>
          <w:tcPr>
            <w:tcW w:w="3091" w:type="dxa"/>
            <w:vAlign w:val="center"/>
          </w:tcPr>
          <w:p w14:paraId="6D2887C9">
            <w:pPr>
              <w:keepNext w:val="0"/>
              <w:keepLines w:val="0"/>
              <w:pageBreakBefore w:val="0"/>
              <w:widowControl w:val="0"/>
              <w:kinsoku/>
              <w:wordWrap/>
              <w:overflowPunct/>
              <w:bidi w:val="0"/>
              <w:adjustRightInd w:val="0"/>
              <w:snapToGrid w:val="0"/>
              <w:spacing w:line="240" w:lineRule="auto"/>
              <w:jc w:val="center"/>
              <w:rPr>
                <w:rFonts w:hint="default" w:ascii="Times New Roman" w:hAnsi="Times New Roman" w:eastAsia="宋体" w:cs="Times New Roman"/>
                <w:color w:val="auto"/>
                <w:sz w:val="24"/>
                <w:u w:val="none"/>
                <w:lang w:val="en-US" w:eastAsia="zh-CN"/>
              </w:rPr>
            </w:pPr>
            <w:r>
              <w:rPr>
                <w:rFonts w:hint="eastAsia" w:ascii="Times New Roman" w:hAnsi="Times New Roman" w:cs="Times New Roman"/>
                <w:color w:val="auto"/>
                <w:sz w:val="24"/>
                <w:u w:val="none"/>
                <w:lang w:val="en-US" w:eastAsia="zh-CN"/>
              </w:rPr>
              <w:t>13781096526</w:t>
            </w:r>
          </w:p>
        </w:tc>
      </w:tr>
      <w:tr w14:paraId="02C117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75" w:hRule="atLeast"/>
        </w:trPr>
        <w:tc>
          <w:tcPr>
            <w:tcW w:w="1772" w:type="dxa"/>
            <w:tcMar>
              <w:top w:w="16" w:type="dxa"/>
              <w:left w:w="16" w:type="dxa"/>
              <w:right w:w="16" w:type="dxa"/>
            </w:tcMar>
            <w:vAlign w:val="center"/>
          </w:tcPr>
          <w:p w14:paraId="7FE517C8">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z w:val="24"/>
                <w:u w:val="none"/>
              </w:rPr>
            </w:pPr>
            <w:r>
              <w:rPr>
                <w:rFonts w:ascii="Times New Roman" w:hAnsi="Times New Roman" w:cs="Times New Roman"/>
                <w:b w:val="0"/>
                <w:bCs w:val="0"/>
                <w:color w:val="auto"/>
                <w:sz w:val="24"/>
                <w:u w:val="none"/>
              </w:rPr>
              <w:t>建设地点</w:t>
            </w:r>
          </w:p>
        </w:tc>
        <w:tc>
          <w:tcPr>
            <w:tcW w:w="7067" w:type="dxa"/>
            <w:gridSpan w:val="3"/>
            <w:vAlign w:val="center"/>
          </w:tcPr>
          <w:p w14:paraId="0D8ABEC6">
            <w:pPr>
              <w:keepNext w:val="0"/>
              <w:keepLines w:val="0"/>
              <w:pageBreakBefore w:val="0"/>
              <w:widowControl w:val="0"/>
              <w:kinsoku/>
              <w:wordWrap/>
              <w:overflowPunct/>
              <w:bidi w:val="0"/>
              <w:adjustRightInd w:val="0"/>
              <w:snapToGrid w:val="0"/>
              <w:spacing w:line="240" w:lineRule="auto"/>
              <w:jc w:val="center"/>
              <w:rPr>
                <w:rFonts w:hint="eastAsia" w:ascii="Times New Roman" w:hAnsi="Times New Roman" w:eastAsia="宋体" w:cs="Times New Roman"/>
                <w:color w:val="auto"/>
                <w:sz w:val="24"/>
                <w:u w:val="none"/>
                <w:lang w:eastAsia="zh-CN"/>
              </w:rPr>
            </w:pPr>
            <w:r>
              <w:rPr>
                <w:color w:val="auto"/>
                <w:sz w:val="24"/>
                <w:szCs w:val="24"/>
                <w:u w:val="none"/>
              </w:rPr>
              <w:t>河南省</w:t>
            </w:r>
            <w:r>
              <w:rPr>
                <w:rFonts w:hint="eastAsia"/>
                <w:color w:val="auto"/>
                <w:sz w:val="24"/>
                <w:szCs w:val="24"/>
                <w:u w:val="none"/>
              </w:rPr>
              <w:t>平顶山</w:t>
            </w:r>
            <w:r>
              <w:rPr>
                <w:color w:val="auto"/>
                <w:sz w:val="24"/>
                <w:szCs w:val="24"/>
                <w:u w:val="none"/>
              </w:rPr>
              <w:t>市</w:t>
            </w:r>
            <w:r>
              <w:rPr>
                <w:rFonts w:hint="eastAsia" w:cs="Times New Roman"/>
                <w:color w:val="auto"/>
                <w:sz w:val="24"/>
                <w:szCs w:val="24"/>
                <w:u w:val="none"/>
                <w:lang w:val="en-US" w:eastAsia="zh-CN"/>
              </w:rPr>
              <w:t>叶</w:t>
            </w:r>
            <w:r>
              <w:rPr>
                <w:rFonts w:hint="eastAsia"/>
                <w:color w:val="auto"/>
                <w:sz w:val="24"/>
                <w:szCs w:val="24"/>
                <w:u w:val="none"/>
              </w:rPr>
              <w:t>县</w:t>
            </w:r>
            <w:r>
              <w:rPr>
                <w:rFonts w:hint="eastAsia" w:cs="Times New Roman"/>
                <w:color w:val="auto"/>
                <w:sz w:val="24"/>
                <w:u w:val="none"/>
                <w:lang w:eastAsia="zh-CN"/>
              </w:rPr>
              <w:t>洪庄杨乡张集村、贾庄村</w:t>
            </w:r>
          </w:p>
        </w:tc>
      </w:tr>
      <w:tr w14:paraId="72BA8A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02" w:hRule="atLeast"/>
        </w:trPr>
        <w:tc>
          <w:tcPr>
            <w:tcW w:w="1772" w:type="dxa"/>
            <w:tcMar>
              <w:top w:w="16" w:type="dxa"/>
              <w:left w:w="16" w:type="dxa"/>
              <w:right w:w="16" w:type="dxa"/>
            </w:tcMar>
            <w:vAlign w:val="center"/>
          </w:tcPr>
          <w:p w14:paraId="70B6D08B">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z w:val="24"/>
                <w:u w:val="none"/>
              </w:rPr>
            </w:pPr>
            <w:r>
              <w:rPr>
                <w:rFonts w:ascii="Times New Roman" w:hAnsi="Times New Roman" w:cs="Times New Roman"/>
                <w:b w:val="0"/>
                <w:bCs w:val="0"/>
                <w:color w:val="auto"/>
                <w:sz w:val="24"/>
                <w:u w:val="none"/>
              </w:rPr>
              <w:t>地理坐标</w:t>
            </w:r>
          </w:p>
        </w:tc>
        <w:tc>
          <w:tcPr>
            <w:tcW w:w="7067" w:type="dxa"/>
            <w:gridSpan w:val="3"/>
            <w:vAlign w:val="center"/>
          </w:tcPr>
          <w:p w14:paraId="77B0C0AD">
            <w:pPr>
              <w:keepNext w:val="0"/>
              <w:keepLines w:val="0"/>
              <w:pageBreakBefore w:val="0"/>
              <w:widowControl w:val="0"/>
              <w:kinsoku/>
              <w:wordWrap/>
              <w:overflowPunct/>
              <w:bidi w:val="0"/>
              <w:spacing w:line="240" w:lineRule="auto"/>
              <w:jc w:val="center"/>
              <w:rPr>
                <w:rFonts w:hint="eastAsia" w:ascii="Times New Roman" w:hAnsi="Times New Roman" w:eastAsia="宋体" w:cs="Times New Roman"/>
                <w:color w:val="auto"/>
                <w:sz w:val="24"/>
                <w:highlight w:val="yellow"/>
                <w:u w:val="none"/>
                <w:lang w:eastAsia="zh-CN"/>
              </w:rPr>
            </w:pPr>
            <w:r>
              <w:rPr>
                <w:rFonts w:hint="eastAsia" w:cs="Times New Roman"/>
                <w:color w:val="auto"/>
                <w:sz w:val="24"/>
                <w:highlight w:val="none"/>
                <w:u w:val="none"/>
                <w:lang w:eastAsia="zh-CN"/>
              </w:rPr>
              <w:t>（</w:t>
            </w:r>
            <w:r>
              <w:rPr>
                <w:rFonts w:ascii="Times New Roman" w:hAnsi="Times New Roman" w:cs="Times New Roman"/>
                <w:color w:val="auto"/>
                <w:sz w:val="24"/>
                <w:highlight w:val="none"/>
                <w:u w:val="none"/>
              </w:rPr>
              <w:t>经度11</w:t>
            </w:r>
            <w:r>
              <w:rPr>
                <w:rFonts w:hint="eastAsia" w:ascii="Times New Roman" w:hAnsi="Times New Roman" w:cs="Times New Roman"/>
                <w:color w:val="auto"/>
                <w:sz w:val="24"/>
                <w:highlight w:val="none"/>
                <w:u w:val="none"/>
                <w:lang w:val="en-US" w:eastAsia="zh-CN"/>
              </w:rPr>
              <w:t>3</w:t>
            </w:r>
            <w:r>
              <w:rPr>
                <w:rFonts w:ascii="Times New Roman" w:hAnsi="Times New Roman" w:cs="Times New Roman"/>
                <w:color w:val="auto"/>
                <w:sz w:val="24"/>
                <w:highlight w:val="none"/>
                <w:u w:val="none"/>
              </w:rPr>
              <w:t>度</w:t>
            </w:r>
            <w:r>
              <w:rPr>
                <w:rFonts w:hint="eastAsia" w:cs="Times New Roman"/>
                <w:color w:val="auto"/>
                <w:sz w:val="24"/>
                <w:highlight w:val="none"/>
                <w:u w:val="none"/>
                <w:lang w:val="en-US" w:eastAsia="zh-CN"/>
              </w:rPr>
              <w:t>47</w:t>
            </w:r>
            <w:r>
              <w:rPr>
                <w:rFonts w:ascii="Times New Roman" w:hAnsi="Times New Roman" w:cs="Times New Roman"/>
                <w:color w:val="auto"/>
                <w:sz w:val="24"/>
                <w:highlight w:val="none"/>
                <w:u w:val="none"/>
              </w:rPr>
              <w:t>分</w:t>
            </w:r>
            <w:r>
              <w:rPr>
                <w:rFonts w:hint="eastAsia" w:cs="Times New Roman"/>
                <w:color w:val="auto"/>
                <w:sz w:val="24"/>
                <w:highlight w:val="none"/>
                <w:u w:val="none"/>
                <w:lang w:val="en-US" w:eastAsia="zh-CN"/>
              </w:rPr>
              <w:t>92</w:t>
            </w:r>
            <w:r>
              <w:rPr>
                <w:rFonts w:hint="eastAsia" w:ascii="Times New Roman" w:hAnsi="Times New Roman" w:cs="Times New Roman"/>
                <w:color w:val="auto"/>
                <w:sz w:val="24"/>
                <w:highlight w:val="none"/>
                <w:u w:val="none"/>
                <w:lang w:val="en-US" w:eastAsia="zh-CN"/>
              </w:rPr>
              <w:t>.</w:t>
            </w:r>
            <w:r>
              <w:rPr>
                <w:rFonts w:hint="eastAsia" w:cs="Times New Roman"/>
                <w:color w:val="auto"/>
                <w:sz w:val="24"/>
                <w:highlight w:val="none"/>
                <w:u w:val="none"/>
                <w:lang w:val="en-US" w:eastAsia="zh-CN"/>
              </w:rPr>
              <w:t>961</w:t>
            </w:r>
            <w:r>
              <w:rPr>
                <w:rFonts w:ascii="Times New Roman" w:hAnsi="Times New Roman" w:cs="Times New Roman"/>
                <w:color w:val="auto"/>
                <w:sz w:val="24"/>
                <w:highlight w:val="none"/>
                <w:u w:val="none"/>
              </w:rPr>
              <w:t>秒，纬度3</w:t>
            </w:r>
            <w:r>
              <w:rPr>
                <w:rFonts w:hint="eastAsia" w:ascii="Times New Roman" w:hAnsi="Times New Roman" w:cs="Times New Roman"/>
                <w:color w:val="auto"/>
                <w:sz w:val="24"/>
                <w:highlight w:val="none"/>
                <w:u w:val="none"/>
                <w:lang w:val="en-US" w:eastAsia="zh-CN"/>
              </w:rPr>
              <w:t>3</w:t>
            </w:r>
            <w:r>
              <w:rPr>
                <w:rFonts w:ascii="Times New Roman" w:hAnsi="Times New Roman" w:cs="Times New Roman"/>
                <w:color w:val="auto"/>
                <w:sz w:val="24"/>
                <w:highlight w:val="none"/>
                <w:u w:val="none"/>
              </w:rPr>
              <w:t>度</w:t>
            </w:r>
            <w:r>
              <w:rPr>
                <w:rFonts w:hint="eastAsia" w:cs="Times New Roman"/>
                <w:color w:val="auto"/>
                <w:sz w:val="24"/>
                <w:highlight w:val="none"/>
                <w:u w:val="none"/>
                <w:lang w:val="en-US" w:eastAsia="zh-CN"/>
              </w:rPr>
              <w:t>7</w:t>
            </w:r>
            <w:r>
              <w:rPr>
                <w:rFonts w:hint="eastAsia" w:ascii="Times New Roman" w:hAnsi="Times New Roman" w:cs="Times New Roman"/>
                <w:color w:val="auto"/>
                <w:sz w:val="24"/>
                <w:highlight w:val="none"/>
                <w:u w:val="none"/>
                <w:lang w:val="en-US" w:eastAsia="zh-CN"/>
              </w:rPr>
              <w:t>3</w:t>
            </w:r>
            <w:r>
              <w:rPr>
                <w:rFonts w:ascii="Times New Roman" w:hAnsi="Times New Roman" w:cs="Times New Roman"/>
                <w:color w:val="auto"/>
                <w:sz w:val="24"/>
                <w:highlight w:val="none"/>
                <w:u w:val="none"/>
              </w:rPr>
              <w:t>分</w:t>
            </w:r>
            <w:r>
              <w:rPr>
                <w:rFonts w:hint="eastAsia" w:cs="Times New Roman"/>
                <w:color w:val="auto"/>
                <w:sz w:val="24"/>
                <w:highlight w:val="none"/>
                <w:u w:val="none"/>
                <w:lang w:val="en-US" w:eastAsia="zh-CN"/>
              </w:rPr>
              <w:t>40</w:t>
            </w:r>
            <w:r>
              <w:rPr>
                <w:rFonts w:hint="eastAsia" w:ascii="Times New Roman" w:hAnsi="Times New Roman" w:cs="Times New Roman"/>
                <w:color w:val="auto"/>
                <w:sz w:val="24"/>
                <w:highlight w:val="none"/>
                <w:u w:val="none"/>
                <w:lang w:val="en-US" w:eastAsia="zh-CN"/>
              </w:rPr>
              <w:t>.</w:t>
            </w:r>
            <w:r>
              <w:rPr>
                <w:rFonts w:hint="eastAsia" w:cs="Times New Roman"/>
                <w:color w:val="auto"/>
                <w:sz w:val="24"/>
                <w:highlight w:val="none"/>
                <w:u w:val="none"/>
                <w:lang w:val="en-US" w:eastAsia="zh-CN"/>
              </w:rPr>
              <w:t>223</w:t>
            </w:r>
            <w:r>
              <w:rPr>
                <w:rFonts w:ascii="Times New Roman" w:hAnsi="Times New Roman" w:cs="Times New Roman"/>
                <w:color w:val="auto"/>
                <w:sz w:val="24"/>
                <w:highlight w:val="none"/>
                <w:u w:val="none"/>
              </w:rPr>
              <w:t>秒</w:t>
            </w:r>
            <w:r>
              <w:rPr>
                <w:rFonts w:hint="eastAsia" w:cs="Times New Roman"/>
                <w:color w:val="auto"/>
                <w:sz w:val="24"/>
                <w:highlight w:val="none"/>
                <w:u w:val="none"/>
                <w:lang w:eastAsia="zh-CN"/>
              </w:rPr>
              <w:t>）</w:t>
            </w:r>
          </w:p>
        </w:tc>
      </w:tr>
      <w:tr w14:paraId="4EF985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81" w:hRule="atLeast"/>
        </w:trPr>
        <w:tc>
          <w:tcPr>
            <w:tcW w:w="1772" w:type="dxa"/>
            <w:tcMar>
              <w:top w:w="16" w:type="dxa"/>
              <w:left w:w="16" w:type="dxa"/>
              <w:right w:w="16" w:type="dxa"/>
            </w:tcMar>
            <w:vAlign w:val="center"/>
          </w:tcPr>
          <w:p w14:paraId="4D0ACBAB">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z w:val="24"/>
                <w:highlight w:val="none"/>
                <w:u w:val="none"/>
              </w:rPr>
            </w:pPr>
            <w:r>
              <w:rPr>
                <w:rFonts w:ascii="Times New Roman" w:hAnsi="Times New Roman" w:cs="Times New Roman"/>
                <w:b w:val="0"/>
                <w:bCs w:val="0"/>
                <w:color w:val="auto"/>
                <w:sz w:val="24"/>
                <w:highlight w:val="none"/>
                <w:u w:val="none"/>
              </w:rPr>
              <w:t>国民经济</w:t>
            </w:r>
          </w:p>
          <w:p w14:paraId="1BEB0C79">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z w:val="24"/>
                <w:highlight w:val="none"/>
                <w:u w:val="none"/>
              </w:rPr>
            </w:pPr>
            <w:r>
              <w:rPr>
                <w:rFonts w:ascii="Times New Roman" w:hAnsi="Times New Roman" w:cs="Times New Roman"/>
                <w:b w:val="0"/>
                <w:bCs w:val="0"/>
                <w:color w:val="auto"/>
                <w:sz w:val="24"/>
                <w:highlight w:val="none"/>
                <w:u w:val="none"/>
              </w:rPr>
              <w:t>行业类别</w:t>
            </w:r>
          </w:p>
        </w:tc>
        <w:tc>
          <w:tcPr>
            <w:tcW w:w="2145" w:type="dxa"/>
            <w:vAlign w:val="center"/>
          </w:tcPr>
          <w:p w14:paraId="7DD50E2A">
            <w:pPr>
              <w:keepNext w:val="0"/>
              <w:keepLines w:val="0"/>
              <w:pageBreakBefore w:val="0"/>
              <w:widowControl w:val="0"/>
              <w:kinsoku/>
              <w:wordWrap/>
              <w:overflowPunct/>
              <w:bidi w:val="0"/>
              <w:adjustRightInd w:val="0"/>
              <w:snapToGrid w:val="0"/>
              <w:spacing w:line="240" w:lineRule="auto"/>
              <w:jc w:val="center"/>
              <w:rPr>
                <w:rFonts w:hint="default"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kern w:val="0"/>
                <w:sz w:val="24"/>
                <w:szCs w:val="24"/>
                <w:u w:val="none"/>
                <w:lang w:val="en-US" w:eastAsia="zh-CN"/>
              </w:rPr>
              <w:t>D441</w:t>
            </w:r>
            <w:r>
              <w:rPr>
                <w:rFonts w:hint="eastAsia" w:cs="Times New Roman"/>
                <w:color w:val="auto"/>
                <w:kern w:val="0"/>
                <w:sz w:val="24"/>
                <w:szCs w:val="24"/>
                <w:u w:val="none"/>
                <w:lang w:val="en-US" w:eastAsia="zh-CN"/>
              </w:rPr>
              <w:t>9其他电力生产</w:t>
            </w:r>
          </w:p>
        </w:tc>
        <w:tc>
          <w:tcPr>
            <w:tcW w:w="1831" w:type="dxa"/>
            <w:vAlign w:val="center"/>
          </w:tcPr>
          <w:p w14:paraId="70B6D893">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z w:val="24"/>
                <w:highlight w:val="none"/>
                <w:u w:val="none"/>
              </w:rPr>
            </w:pPr>
            <w:r>
              <w:rPr>
                <w:rFonts w:ascii="Times New Roman" w:hAnsi="Times New Roman" w:cs="Times New Roman"/>
                <w:b w:val="0"/>
                <w:bCs w:val="0"/>
                <w:color w:val="auto"/>
                <w:sz w:val="24"/>
                <w:highlight w:val="none"/>
                <w:u w:val="none"/>
              </w:rPr>
              <w:t>建设项目</w:t>
            </w:r>
          </w:p>
          <w:p w14:paraId="46619B71">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z w:val="24"/>
                <w:highlight w:val="none"/>
                <w:u w:val="none"/>
              </w:rPr>
            </w:pPr>
            <w:r>
              <w:rPr>
                <w:rFonts w:ascii="Times New Roman" w:hAnsi="Times New Roman" w:cs="Times New Roman"/>
                <w:b w:val="0"/>
                <w:bCs w:val="0"/>
                <w:color w:val="auto"/>
                <w:sz w:val="24"/>
                <w:highlight w:val="none"/>
                <w:u w:val="none"/>
              </w:rPr>
              <w:t>行业类别</w:t>
            </w:r>
          </w:p>
        </w:tc>
        <w:tc>
          <w:tcPr>
            <w:tcW w:w="3091" w:type="dxa"/>
            <w:vAlign w:val="center"/>
          </w:tcPr>
          <w:p w14:paraId="63942AC3">
            <w:pPr>
              <w:keepNext w:val="0"/>
              <w:keepLines w:val="0"/>
              <w:pageBreakBefore w:val="0"/>
              <w:widowControl w:val="0"/>
              <w:kinsoku/>
              <w:wordWrap/>
              <w:overflowPunct/>
              <w:bidi w:val="0"/>
              <w:adjustRightInd w:val="0"/>
              <w:snapToGrid w:val="0"/>
              <w:spacing w:line="240" w:lineRule="auto"/>
              <w:jc w:val="center"/>
              <w:rPr>
                <w:rFonts w:hint="default" w:ascii="Times New Roman" w:hAnsi="Times New Roman" w:cs="Times New Roman"/>
                <w:color w:val="auto"/>
                <w:sz w:val="24"/>
                <w:u w:val="none"/>
                <w:lang w:val="en-US"/>
              </w:rPr>
            </w:pPr>
            <w:r>
              <w:rPr>
                <w:rFonts w:hint="eastAsia" w:ascii="Times New Roman" w:hAnsi="Times New Roman" w:eastAsia="宋体" w:cs="Times New Roman"/>
                <w:color w:val="auto"/>
                <w:sz w:val="24"/>
                <w:highlight w:val="none"/>
                <w:u w:val="none"/>
                <w:lang w:val="en-US" w:eastAsia="zh-CN"/>
              </w:rPr>
              <w:t xml:space="preserve">四十一、电力、热力生产和供应业 </w:t>
            </w:r>
            <w:r>
              <w:rPr>
                <w:rFonts w:hint="eastAsia" w:cs="Times New Roman"/>
                <w:color w:val="auto"/>
                <w:sz w:val="24"/>
                <w:highlight w:val="none"/>
                <w:u w:val="none"/>
                <w:lang w:val="en-US" w:eastAsia="zh-CN"/>
              </w:rPr>
              <w:t>87</w:t>
            </w:r>
            <w:r>
              <w:rPr>
                <w:rFonts w:hint="eastAsia" w:ascii="Times New Roman" w:hAnsi="Times New Roman" w:eastAsia="宋体" w:cs="Times New Roman"/>
                <w:color w:val="auto"/>
                <w:sz w:val="24"/>
                <w:highlight w:val="none"/>
                <w:u w:val="none"/>
                <w:lang w:val="en-US" w:eastAsia="zh-CN"/>
              </w:rPr>
              <w:t xml:space="preserve"> </w:t>
            </w:r>
            <w:r>
              <w:rPr>
                <w:rFonts w:hint="eastAsia" w:cs="Times New Roman"/>
                <w:color w:val="auto"/>
                <w:sz w:val="24"/>
                <w:highlight w:val="none"/>
                <w:u w:val="none"/>
                <w:lang w:val="en-US" w:eastAsia="zh-CN"/>
              </w:rPr>
              <w:t>火力发电4411-单纯利用余气（含煤矿瓦斯）发电</w:t>
            </w:r>
          </w:p>
        </w:tc>
      </w:tr>
      <w:tr w14:paraId="2B3BE6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96" w:hRule="atLeast"/>
        </w:trPr>
        <w:tc>
          <w:tcPr>
            <w:tcW w:w="1772" w:type="dxa"/>
            <w:tcMar>
              <w:top w:w="16" w:type="dxa"/>
              <w:left w:w="16" w:type="dxa"/>
              <w:right w:w="16" w:type="dxa"/>
            </w:tcMar>
            <w:vAlign w:val="center"/>
          </w:tcPr>
          <w:p w14:paraId="6C55CE46">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z w:val="24"/>
                <w:u w:val="none"/>
              </w:rPr>
            </w:pPr>
            <w:r>
              <w:rPr>
                <w:rFonts w:ascii="Times New Roman" w:hAnsi="Times New Roman" w:cs="Times New Roman"/>
                <w:b w:val="0"/>
                <w:bCs w:val="0"/>
                <w:color w:val="auto"/>
                <w:sz w:val="24"/>
                <w:u w:val="none"/>
              </w:rPr>
              <w:t>建设性质</w:t>
            </w:r>
          </w:p>
        </w:tc>
        <w:tc>
          <w:tcPr>
            <w:tcW w:w="2145" w:type="dxa"/>
            <w:vAlign w:val="center"/>
          </w:tcPr>
          <w:p w14:paraId="4E10EABD">
            <w:pPr>
              <w:keepNext w:val="0"/>
              <w:keepLines w:val="0"/>
              <w:pageBreakBefore w:val="0"/>
              <w:widowControl w:val="0"/>
              <w:kinsoku/>
              <w:wordWrap/>
              <w:overflowPunct/>
              <w:bidi w:val="0"/>
              <w:spacing w:line="240" w:lineRule="auto"/>
              <w:jc w:val="left"/>
              <w:rPr>
                <w:rFonts w:ascii="Times New Roman" w:hAnsi="Times New Roman" w:eastAsia="宋体" w:cs="Times New Roman"/>
                <w:color w:val="auto"/>
                <w:sz w:val="24"/>
                <w:szCs w:val="24"/>
                <w:u w:val="none"/>
              </w:rPr>
            </w:pPr>
            <w:r>
              <w:rPr>
                <w:rFonts w:hint="eastAsia" w:ascii="Times New Roman" w:hAnsi="Times New Roman" w:cs="Times New Roman"/>
                <w:color w:val="auto"/>
                <w:sz w:val="24"/>
                <w:u w:val="none"/>
                <w:lang w:eastAsia="zh-CN"/>
              </w:rPr>
              <w:sym w:font="Wingdings 2" w:char="0052"/>
            </w:r>
            <w:r>
              <w:rPr>
                <w:rFonts w:ascii="Times New Roman" w:hAnsi="Times New Roman" w:eastAsia="宋体" w:cs="Times New Roman"/>
                <w:color w:val="auto"/>
                <w:sz w:val="24"/>
                <w:szCs w:val="24"/>
                <w:u w:val="none"/>
              </w:rPr>
              <w:t>新建（迁建）</w:t>
            </w:r>
          </w:p>
          <w:p w14:paraId="56CB095F">
            <w:pPr>
              <w:keepNext w:val="0"/>
              <w:keepLines w:val="0"/>
              <w:pageBreakBefore w:val="0"/>
              <w:widowControl w:val="0"/>
              <w:kinsoku/>
              <w:wordWrap/>
              <w:overflowPunct/>
              <w:bidi w:val="0"/>
              <w:spacing w:line="240" w:lineRule="auto"/>
              <w:jc w:val="left"/>
              <w:rPr>
                <w:rFonts w:ascii="Times New Roman" w:hAnsi="Times New Roman" w:eastAsia="宋体" w:cs="Times New Roman"/>
                <w:color w:val="auto"/>
                <w:sz w:val="24"/>
                <w:szCs w:val="24"/>
                <w:u w:val="none"/>
              </w:rPr>
            </w:pPr>
            <w:r>
              <w:rPr>
                <w:rFonts w:hint="eastAsia" w:ascii="Times New Roman" w:hAnsi="Times New Roman" w:cs="Times New Roman"/>
                <w:color w:val="auto"/>
                <w:sz w:val="24"/>
                <w:u w:val="none"/>
                <w:lang w:eastAsia="zh-CN"/>
              </w:rPr>
              <w:t>□</w:t>
            </w:r>
            <w:r>
              <w:rPr>
                <w:rFonts w:ascii="Times New Roman" w:hAnsi="Times New Roman" w:eastAsia="宋体" w:cs="Times New Roman"/>
                <w:color w:val="auto"/>
                <w:sz w:val="24"/>
                <w:szCs w:val="24"/>
                <w:u w:val="none"/>
              </w:rPr>
              <w:t>改建</w:t>
            </w:r>
          </w:p>
          <w:p w14:paraId="541763C7">
            <w:pPr>
              <w:keepNext w:val="0"/>
              <w:keepLines w:val="0"/>
              <w:pageBreakBefore w:val="0"/>
              <w:widowControl w:val="0"/>
              <w:kinsoku/>
              <w:wordWrap/>
              <w:overflowPunct/>
              <w:bidi w:val="0"/>
              <w:spacing w:line="240" w:lineRule="auto"/>
              <w:jc w:val="left"/>
              <w:rPr>
                <w:rFonts w:ascii="Times New Roman" w:hAnsi="Times New Roman" w:eastAsia="宋体" w:cs="Times New Roman"/>
                <w:color w:val="auto"/>
                <w:sz w:val="24"/>
                <w:szCs w:val="24"/>
                <w:u w:val="none"/>
              </w:rPr>
            </w:pPr>
            <w:r>
              <w:rPr>
                <w:rFonts w:hint="eastAsia" w:ascii="Times New Roman" w:hAnsi="Times New Roman" w:cs="Times New Roman"/>
                <w:color w:val="auto"/>
                <w:sz w:val="24"/>
                <w:u w:val="none"/>
                <w:lang w:eastAsia="zh-CN"/>
              </w:rPr>
              <w:t>□</w:t>
            </w:r>
            <w:r>
              <w:rPr>
                <w:rFonts w:ascii="Times New Roman" w:hAnsi="Times New Roman" w:eastAsia="宋体" w:cs="Times New Roman"/>
                <w:color w:val="auto"/>
                <w:sz w:val="24"/>
                <w:szCs w:val="24"/>
                <w:u w:val="none"/>
              </w:rPr>
              <w:t>扩建</w:t>
            </w:r>
          </w:p>
          <w:p w14:paraId="796C5135">
            <w:pPr>
              <w:keepNext w:val="0"/>
              <w:keepLines w:val="0"/>
              <w:pageBreakBefore w:val="0"/>
              <w:widowControl w:val="0"/>
              <w:kinsoku/>
              <w:wordWrap/>
              <w:overflowPunct/>
              <w:bidi w:val="0"/>
              <w:spacing w:line="240" w:lineRule="auto"/>
              <w:jc w:val="left"/>
              <w:rPr>
                <w:rFonts w:ascii="Times New Roman" w:hAnsi="Times New Roman" w:cs="Times New Roman"/>
                <w:color w:val="auto"/>
                <w:sz w:val="24"/>
                <w:u w:val="none"/>
              </w:rPr>
            </w:pPr>
            <w:r>
              <w:rPr>
                <w:rFonts w:hint="eastAsia" w:ascii="Times New Roman" w:hAnsi="Times New Roman" w:cs="Times New Roman"/>
                <w:color w:val="auto"/>
                <w:sz w:val="24"/>
                <w:u w:val="none"/>
                <w:lang w:eastAsia="zh-CN"/>
              </w:rPr>
              <w:t>□</w:t>
            </w:r>
            <w:r>
              <w:rPr>
                <w:rFonts w:ascii="Times New Roman" w:hAnsi="Times New Roman" w:eastAsia="宋体" w:cs="Times New Roman"/>
                <w:color w:val="auto"/>
                <w:sz w:val="24"/>
                <w:szCs w:val="24"/>
                <w:u w:val="none"/>
              </w:rPr>
              <w:t>技术改造</w:t>
            </w:r>
          </w:p>
        </w:tc>
        <w:tc>
          <w:tcPr>
            <w:tcW w:w="1831" w:type="dxa"/>
            <w:vAlign w:val="center"/>
          </w:tcPr>
          <w:p w14:paraId="5D581F8D">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z w:val="24"/>
                <w:u w:val="none"/>
              </w:rPr>
            </w:pPr>
            <w:r>
              <w:rPr>
                <w:rFonts w:ascii="Times New Roman" w:hAnsi="Times New Roman" w:cs="Times New Roman"/>
                <w:b w:val="0"/>
                <w:bCs w:val="0"/>
                <w:color w:val="auto"/>
                <w:sz w:val="24"/>
                <w:u w:val="none"/>
              </w:rPr>
              <w:t>建设项目</w:t>
            </w:r>
          </w:p>
          <w:p w14:paraId="59AC982C">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z w:val="24"/>
                <w:u w:val="none"/>
              </w:rPr>
            </w:pPr>
            <w:r>
              <w:rPr>
                <w:rFonts w:ascii="Times New Roman" w:hAnsi="Times New Roman" w:cs="Times New Roman"/>
                <w:b w:val="0"/>
                <w:bCs w:val="0"/>
                <w:color w:val="auto"/>
                <w:sz w:val="24"/>
                <w:u w:val="none"/>
              </w:rPr>
              <w:t>申报情形</w:t>
            </w:r>
          </w:p>
        </w:tc>
        <w:tc>
          <w:tcPr>
            <w:tcW w:w="3091" w:type="dxa"/>
            <w:vAlign w:val="center"/>
          </w:tcPr>
          <w:p w14:paraId="7600DA81">
            <w:pPr>
              <w:keepNext w:val="0"/>
              <w:keepLines w:val="0"/>
              <w:pageBreakBefore w:val="0"/>
              <w:widowControl w:val="0"/>
              <w:kinsoku/>
              <w:wordWrap/>
              <w:overflowPunct/>
              <w:bidi w:val="0"/>
              <w:spacing w:line="240" w:lineRule="auto"/>
              <w:jc w:val="left"/>
              <w:rPr>
                <w:rFonts w:ascii="Times New Roman" w:hAnsi="Times New Roman" w:cs="Times New Roman"/>
                <w:color w:val="auto"/>
                <w:sz w:val="24"/>
                <w:u w:val="none"/>
              </w:rPr>
            </w:pPr>
            <w:r>
              <w:rPr>
                <w:rFonts w:hint="eastAsia" w:ascii="Times New Roman" w:hAnsi="Times New Roman" w:cs="Times New Roman"/>
                <w:color w:val="auto"/>
                <w:sz w:val="24"/>
                <w:u w:val="none"/>
                <w:lang w:eastAsia="zh-CN"/>
              </w:rPr>
              <w:sym w:font="Wingdings 2" w:char="0052"/>
            </w:r>
            <w:r>
              <w:rPr>
                <w:rFonts w:ascii="Times New Roman" w:hAnsi="Times New Roman" w:cs="Times New Roman"/>
                <w:color w:val="auto"/>
                <w:sz w:val="24"/>
                <w:u w:val="none"/>
              </w:rPr>
              <w:t xml:space="preserve">首次申报项目             </w:t>
            </w:r>
          </w:p>
          <w:p w14:paraId="49B15C01">
            <w:pPr>
              <w:keepNext w:val="0"/>
              <w:keepLines w:val="0"/>
              <w:pageBreakBefore w:val="0"/>
              <w:widowControl w:val="0"/>
              <w:kinsoku/>
              <w:wordWrap/>
              <w:overflowPunct/>
              <w:bidi w:val="0"/>
              <w:spacing w:line="240" w:lineRule="auto"/>
              <w:jc w:val="left"/>
              <w:rPr>
                <w:rFonts w:ascii="Times New Roman" w:hAnsi="Times New Roman" w:cs="Times New Roman"/>
                <w:color w:val="auto"/>
                <w:sz w:val="24"/>
                <w:u w:val="none"/>
              </w:rPr>
            </w:pPr>
            <w:r>
              <w:rPr>
                <w:rFonts w:hint="eastAsia" w:ascii="Times New Roman" w:hAnsi="Times New Roman" w:cs="Times New Roman"/>
                <w:color w:val="auto"/>
                <w:sz w:val="24"/>
                <w:u w:val="none"/>
                <w:lang w:eastAsia="zh-CN"/>
              </w:rPr>
              <w:t>□</w:t>
            </w:r>
            <w:r>
              <w:rPr>
                <w:rFonts w:ascii="Times New Roman" w:hAnsi="Times New Roman" w:cs="Times New Roman"/>
                <w:color w:val="auto"/>
                <w:sz w:val="24"/>
                <w:u w:val="none"/>
              </w:rPr>
              <w:t>不予批准后再次申报项目</w:t>
            </w:r>
          </w:p>
          <w:p w14:paraId="0F724442">
            <w:pPr>
              <w:keepNext w:val="0"/>
              <w:keepLines w:val="0"/>
              <w:pageBreakBefore w:val="0"/>
              <w:widowControl w:val="0"/>
              <w:kinsoku/>
              <w:wordWrap/>
              <w:overflowPunct/>
              <w:bidi w:val="0"/>
              <w:spacing w:line="240" w:lineRule="auto"/>
              <w:jc w:val="left"/>
              <w:rPr>
                <w:rFonts w:ascii="Times New Roman" w:hAnsi="Times New Roman" w:cs="Times New Roman"/>
                <w:color w:val="auto"/>
                <w:sz w:val="24"/>
                <w:u w:val="none"/>
              </w:rPr>
            </w:pPr>
            <w:r>
              <w:rPr>
                <w:rFonts w:hint="eastAsia" w:ascii="Times New Roman" w:hAnsi="Times New Roman" w:cs="Times New Roman"/>
                <w:color w:val="auto"/>
                <w:sz w:val="24"/>
                <w:u w:val="none"/>
                <w:lang w:eastAsia="zh-CN"/>
              </w:rPr>
              <w:t>□</w:t>
            </w:r>
            <w:r>
              <w:rPr>
                <w:rFonts w:ascii="Times New Roman" w:hAnsi="Times New Roman" w:cs="Times New Roman"/>
                <w:color w:val="auto"/>
                <w:sz w:val="24"/>
                <w:u w:val="none"/>
              </w:rPr>
              <w:t xml:space="preserve">超五年重新审核项目     </w:t>
            </w:r>
          </w:p>
          <w:p w14:paraId="5B59D225">
            <w:pPr>
              <w:keepNext w:val="0"/>
              <w:keepLines w:val="0"/>
              <w:pageBreakBefore w:val="0"/>
              <w:widowControl w:val="0"/>
              <w:kinsoku/>
              <w:wordWrap/>
              <w:overflowPunct/>
              <w:bidi w:val="0"/>
              <w:spacing w:line="240" w:lineRule="auto"/>
              <w:jc w:val="left"/>
              <w:rPr>
                <w:rFonts w:ascii="Times New Roman" w:hAnsi="Times New Roman" w:cs="Times New Roman"/>
                <w:color w:val="auto"/>
                <w:sz w:val="24"/>
                <w:u w:val="none"/>
              </w:rPr>
            </w:pPr>
            <w:r>
              <w:rPr>
                <w:rFonts w:hint="eastAsia" w:ascii="Times New Roman" w:hAnsi="Times New Roman" w:cs="Times New Roman"/>
                <w:color w:val="auto"/>
                <w:sz w:val="24"/>
                <w:u w:val="none"/>
                <w:lang w:eastAsia="zh-CN"/>
              </w:rPr>
              <w:t>□</w:t>
            </w:r>
            <w:r>
              <w:rPr>
                <w:rFonts w:ascii="Times New Roman" w:hAnsi="Times New Roman" w:cs="Times New Roman"/>
                <w:color w:val="auto"/>
                <w:sz w:val="24"/>
                <w:u w:val="none"/>
              </w:rPr>
              <w:t>重大变动重新报批项目</w:t>
            </w:r>
          </w:p>
        </w:tc>
      </w:tr>
      <w:tr w14:paraId="2CC2DC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95" w:hRule="atLeast"/>
        </w:trPr>
        <w:tc>
          <w:tcPr>
            <w:tcW w:w="1772" w:type="dxa"/>
            <w:tcMar>
              <w:top w:w="16" w:type="dxa"/>
              <w:left w:w="16" w:type="dxa"/>
              <w:right w:w="16" w:type="dxa"/>
            </w:tcMar>
            <w:vAlign w:val="center"/>
          </w:tcPr>
          <w:p w14:paraId="295499F2">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z w:val="24"/>
                <w:u w:val="none"/>
              </w:rPr>
            </w:pPr>
            <w:r>
              <w:rPr>
                <w:rFonts w:ascii="Times New Roman" w:hAnsi="Times New Roman" w:cs="Times New Roman"/>
                <w:b w:val="0"/>
                <w:bCs w:val="0"/>
                <w:color w:val="auto"/>
                <w:sz w:val="24"/>
                <w:u w:val="none"/>
              </w:rPr>
              <w:t>项目审批（核准/备案）部门</w:t>
            </w:r>
          </w:p>
          <w:p w14:paraId="5E029713">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z w:val="24"/>
                <w:u w:val="none"/>
              </w:rPr>
            </w:pPr>
            <w:r>
              <w:rPr>
                <w:rFonts w:ascii="Times New Roman" w:hAnsi="Times New Roman" w:cs="Times New Roman"/>
                <w:b w:val="0"/>
                <w:bCs w:val="0"/>
                <w:color w:val="auto"/>
                <w:sz w:val="24"/>
                <w:u w:val="none"/>
              </w:rPr>
              <w:t>（选填）</w:t>
            </w:r>
          </w:p>
        </w:tc>
        <w:tc>
          <w:tcPr>
            <w:tcW w:w="2145" w:type="dxa"/>
            <w:vAlign w:val="center"/>
          </w:tcPr>
          <w:p w14:paraId="5C28D76C">
            <w:pPr>
              <w:keepNext w:val="0"/>
              <w:keepLines w:val="0"/>
              <w:pageBreakBefore w:val="0"/>
              <w:widowControl w:val="0"/>
              <w:kinsoku/>
              <w:wordWrap/>
              <w:overflowPunct/>
              <w:bidi w:val="0"/>
              <w:adjustRightInd w:val="0"/>
              <w:snapToGrid w:val="0"/>
              <w:spacing w:line="240" w:lineRule="auto"/>
              <w:jc w:val="center"/>
              <w:rPr>
                <w:rFonts w:hint="eastAsia" w:cs="Times New Roman"/>
                <w:color w:val="auto"/>
                <w:sz w:val="24"/>
                <w:u w:val="none"/>
                <w:lang w:eastAsia="zh-CN"/>
              </w:rPr>
            </w:pPr>
            <w:r>
              <w:rPr>
                <w:rFonts w:hint="eastAsia" w:cs="Times New Roman"/>
                <w:color w:val="auto"/>
                <w:sz w:val="24"/>
                <w:u w:val="none"/>
                <w:lang w:eastAsia="zh-CN"/>
              </w:rPr>
              <w:t>叶县发展和</w:t>
            </w:r>
          </w:p>
          <w:p w14:paraId="2618185B">
            <w:pPr>
              <w:keepNext w:val="0"/>
              <w:keepLines w:val="0"/>
              <w:pageBreakBefore w:val="0"/>
              <w:widowControl w:val="0"/>
              <w:kinsoku/>
              <w:wordWrap/>
              <w:overflowPunct/>
              <w:bidi w:val="0"/>
              <w:adjustRightInd w:val="0"/>
              <w:snapToGrid w:val="0"/>
              <w:spacing w:line="240" w:lineRule="auto"/>
              <w:jc w:val="center"/>
              <w:rPr>
                <w:rFonts w:hint="eastAsia" w:ascii="Times New Roman" w:hAnsi="Times New Roman" w:eastAsia="宋体" w:cs="Times New Roman"/>
                <w:color w:val="auto"/>
                <w:sz w:val="24"/>
                <w:u w:val="none"/>
                <w:lang w:eastAsia="zh-CN"/>
              </w:rPr>
            </w:pPr>
            <w:r>
              <w:rPr>
                <w:rFonts w:hint="eastAsia" w:cs="Times New Roman"/>
                <w:color w:val="auto"/>
                <w:sz w:val="24"/>
                <w:u w:val="none"/>
                <w:lang w:eastAsia="zh-CN"/>
              </w:rPr>
              <w:t>改革委员会</w:t>
            </w:r>
          </w:p>
        </w:tc>
        <w:tc>
          <w:tcPr>
            <w:tcW w:w="1831" w:type="dxa"/>
            <w:vAlign w:val="center"/>
          </w:tcPr>
          <w:p w14:paraId="176365A6">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z w:val="24"/>
                <w:u w:val="none"/>
              </w:rPr>
            </w:pPr>
            <w:r>
              <w:rPr>
                <w:rFonts w:ascii="Times New Roman" w:hAnsi="Times New Roman" w:cs="Times New Roman"/>
                <w:b w:val="0"/>
                <w:bCs w:val="0"/>
                <w:color w:val="auto"/>
                <w:sz w:val="24"/>
                <w:u w:val="none"/>
              </w:rPr>
              <w:t>项目审批（核准/</w:t>
            </w:r>
          </w:p>
          <w:p w14:paraId="144C9653">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z w:val="24"/>
                <w:u w:val="none"/>
              </w:rPr>
            </w:pPr>
            <w:r>
              <w:rPr>
                <w:rFonts w:ascii="Times New Roman" w:hAnsi="Times New Roman" w:cs="Times New Roman"/>
                <w:b w:val="0"/>
                <w:bCs w:val="0"/>
                <w:color w:val="auto"/>
                <w:sz w:val="24"/>
                <w:u w:val="none"/>
              </w:rPr>
              <w:t>备案）文号（选填）</w:t>
            </w:r>
          </w:p>
        </w:tc>
        <w:tc>
          <w:tcPr>
            <w:tcW w:w="3091" w:type="dxa"/>
            <w:vAlign w:val="center"/>
          </w:tcPr>
          <w:p w14:paraId="40ABDDA5">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color w:val="auto"/>
                <w:sz w:val="24"/>
                <w:u w:val="none"/>
              </w:rPr>
            </w:pPr>
            <w:r>
              <w:rPr>
                <w:rFonts w:hint="eastAsia" w:cs="Times New Roman"/>
                <w:color w:val="auto"/>
                <w:sz w:val="24"/>
                <w:u w:val="none"/>
                <w:lang w:val="en-US" w:eastAsia="zh-CN"/>
              </w:rPr>
              <w:t>2303-410422-04-01-244302</w:t>
            </w:r>
          </w:p>
        </w:tc>
      </w:tr>
      <w:tr w14:paraId="23C7F1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02" w:hRule="atLeast"/>
        </w:trPr>
        <w:tc>
          <w:tcPr>
            <w:tcW w:w="1772" w:type="dxa"/>
            <w:tcMar>
              <w:top w:w="16" w:type="dxa"/>
              <w:left w:w="16" w:type="dxa"/>
              <w:right w:w="16" w:type="dxa"/>
            </w:tcMar>
            <w:vAlign w:val="center"/>
          </w:tcPr>
          <w:p w14:paraId="0A475274">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z w:val="24"/>
                <w:u w:val="none"/>
              </w:rPr>
            </w:pPr>
            <w:r>
              <w:rPr>
                <w:rFonts w:ascii="Times New Roman" w:hAnsi="Times New Roman" w:cs="Times New Roman"/>
                <w:b w:val="0"/>
                <w:bCs w:val="0"/>
                <w:color w:val="auto"/>
                <w:sz w:val="24"/>
                <w:u w:val="none"/>
              </w:rPr>
              <w:t>总投资（万元）</w:t>
            </w:r>
          </w:p>
        </w:tc>
        <w:tc>
          <w:tcPr>
            <w:tcW w:w="2145" w:type="dxa"/>
            <w:vAlign w:val="center"/>
          </w:tcPr>
          <w:p w14:paraId="27E1B59A">
            <w:pPr>
              <w:keepNext w:val="0"/>
              <w:keepLines w:val="0"/>
              <w:pageBreakBefore w:val="0"/>
              <w:widowControl w:val="0"/>
              <w:kinsoku/>
              <w:wordWrap/>
              <w:overflowPunct/>
              <w:bidi w:val="0"/>
              <w:adjustRightInd w:val="0"/>
              <w:snapToGrid w:val="0"/>
              <w:spacing w:line="240" w:lineRule="auto"/>
              <w:jc w:val="center"/>
              <w:rPr>
                <w:rFonts w:hint="default" w:ascii="Times New Roman" w:hAnsi="Times New Roman" w:eastAsia="宋体" w:cs="Times New Roman"/>
                <w:color w:val="auto"/>
                <w:sz w:val="24"/>
                <w:u w:val="none"/>
                <w:lang w:val="en-US" w:eastAsia="zh-CN"/>
              </w:rPr>
            </w:pPr>
            <w:r>
              <w:rPr>
                <w:rFonts w:hint="eastAsia" w:cs="Times New Roman"/>
                <w:color w:val="auto"/>
                <w:sz w:val="24"/>
                <w:highlight w:val="none"/>
                <w:u w:val="none"/>
                <w:lang w:val="en-US" w:eastAsia="zh-CN"/>
              </w:rPr>
              <w:t>2000</w:t>
            </w:r>
          </w:p>
        </w:tc>
        <w:tc>
          <w:tcPr>
            <w:tcW w:w="1831" w:type="dxa"/>
            <w:tcMar>
              <w:top w:w="16" w:type="dxa"/>
              <w:left w:w="16" w:type="dxa"/>
              <w:right w:w="16" w:type="dxa"/>
            </w:tcMar>
            <w:vAlign w:val="center"/>
          </w:tcPr>
          <w:p w14:paraId="13D9165D">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z w:val="24"/>
                <w:u w:val="none"/>
              </w:rPr>
            </w:pPr>
            <w:r>
              <w:rPr>
                <w:rFonts w:ascii="Times New Roman" w:hAnsi="Times New Roman" w:cs="Times New Roman"/>
                <w:b w:val="0"/>
                <w:bCs w:val="0"/>
                <w:color w:val="auto"/>
                <w:sz w:val="24"/>
                <w:highlight w:val="none"/>
                <w:u w:val="none"/>
              </w:rPr>
              <w:t>环保投资（万元）</w:t>
            </w:r>
          </w:p>
        </w:tc>
        <w:tc>
          <w:tcPr>
            <w:tcW w:w="3091" w:type="dxa"/>
            <w:vAlign w:val="center"/>
          </w:tcPr>
          <w:p w14:paraId="6865B33D">
            <w:pPr>
              <w:keepNext w:val="0"/>
              <w:keepLines w:val="0"/>
              <w:pageBreakBefore w:val="0"/>
              <w:widowControl w:val="0"/>
              <w:kinsoku/>
              <w:wordWrap/>
              <w:overflowPunct/>
              <w:bidi w:val="0"/>
              <w:adjustRightInd w:val="0"/>
              <w:snapToGrid w:val="0"/>
              <w:spacing w:line="240" w:lineRule="auto"/>
              <w:jc w:val="center"/>
              <w:rPr>
                <w:rFonts w:hint="default" w:ascii="Times New Roman" w:hAnsi="Times New Roman" w:eastAsia="宋体" w:cs="Times New Roman"/>
                <w:color w:val="auto"/>
                <w:sz w:val="24"/>
                <w:highlight w:val="none"/>
                <w:u w:val="none"/>
                <w:lang w:val="en-US" w:eastAsia="zh-CN"/>
              </w:rPr>
            </w:pPr>
            <w:r>
              <w:rPr>
                <w:rFonts w:hint="eastAsia" w:cs="Times New Roman"/>
                <w:b w:val="0"/>
                <w:bCs w:val="0"/>
                <w:color w:val="auto"/>
                <w:sz w:val="24"/>
                <w:highlight w:val="none"/>
                <w:u w:val="none"/>
                <w:lang w:val="en-US" w:eastAsia="zh-CN"/>
              </w:rPr>
              <w:t>40</w:t>
            </w:r>
          </w:p>
        </w:tc>
      </w:tr>
      <w:tr w14:paraId="6F1D45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11" w:hRule="atLeast"/>
        </w:trPr>
        <w:tc>
          <w:tcPr>
            <w:tcW w:w="1772" w:type="dxa"/>
            <w:tcMar>
              <w:top w:w="16" w:type="dxa"/>
              <w:left w:w="16" w:type="dxa"/>
              <w:right w:w="16" w:type="dxa"/>
            </w:tcMar>
            <w:vAlign w:val="center"/>
          </w:tcPr>
          <w:p w14:paraId="2CB9A76B">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z w:val="24"/>
                <w:highlight w:val="none"/>
                <w:u w:val="none"/>
              </w:rPr>
            </w:pPr>
            <w:r>
              <w:rPr>
                <w:rFonts w:ascii="Times New Roman" w:hAnsi="Times New Roman" w:cs="Times New Roman"/>
                <w:b w:val="0"/>
                <w:bCs w:val="0"/>
                <w:color w:val="auto"/>
                <w:sz w:val="24"/>
                <w:highlight w:val="none"/>
                <w:u w:val="none"/>
              </w:rPr>
              <w:t>环保投资占比（%）</w:t>
            </w:r>
          </w:p>
        </w:tc>
        <w:tc>
          <w:tcPr>
            <w:tcW w:w="2145" w:type="dxa"/>
            <w:vAlign w:val="center"/>
          </w:tcPr>
          <w:p w14:paraId="55A0C501">
            <w:pPr>
              <w:keepNext w:val="0"/>
              <w:keepLines w:val="0"/>
              <w:pageBreakBefore w:val="0"/>
              <w:widowControl w:val="0"/>
              <w:kinsoku/>
              <w:wordWrap/>
              <w:overflowPunct/>
              <w:bidi w:val="0"/>
              <w:adjustRightInd w:val="0"/>
              <w:snapToGrid w:val="0"/>
              <w:spacing w:line="240" w:lineRule="auto"/>
              <w:jc w:val="center"/>
              <w:rPr>
                <w:rFonts w:hint="default" w:ascii="Times New Roman" w:hAnsi="Times New Roman" w:eastAsia="宋体" w:cs="Times New Roman"/>
                <w:color w:val="auto"/>
                <w:sz w:val="24"/>
                <w:u w:val="none"/>
                <w:lang w:val="en-US" w:eastAsia="zh-CN"/>
              </w:rPr>
            </w:pPr>
            <w:r>
              <w:rPr>
                <w:rFonts w:hint="eastAsia" w:cs="Times New Roman"/>
                <w:b w:val="0"/>
                <w:bCs w:val="0"/>
                <w:color w:val="auto"/>
                <w:sz w:val="24"/>
                <w:u w:val="none"/>
                <w:lang w:val="en-US" w:eastAsia="zh-CN"/>
              </w:rPr>
              <w:t>2.0</w:t>
            </w:r>
          </w:p>
        </w:tc>
        <w:tc>
          <w:tcPr>
            <w:tcW w:w="1831" w:type="dxa"/>
            <w:tcMar>
              <w:top w:w="16" w:type="dxa"/>
              <w:left w:w="16" w:type="dxa"/>
              <w:right w:w="16" w:type="dxa"/>
            </w:tcMar>
            <w:vAlign w:val="center"/>
          </w:tcPr>
          <w:p w14:paraId="460E5CC0">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z w:val="24"/>
                <w:highlight w:val="none"/>
                <w:u w:val="none"/>
              </w:rPr>
            </w:pPr>
            <w:r>
              <w:rPr>
                <w:rFonts w:ascii="Times New Roman" w:hAnsi="Times New Roman" w:cs="Times New Roman"/>
                <w:b w:val="0"/>
                <w:bCs w:val="0"/>
                <w:color w:val="auto"/>
                <w:sz w:val="24"/>
                <w:highlight w:val="none"/>
                <w:u w:val="none"/>
              </w:rPr>
              <w:t>施工工期</w:t>
            </w:r>
          </w:p>
        </w:tc>
        <w:tc>
          <w:tcPr>
            <w:tcW w:w="3091" w:type="dxa"/>
            <w:vAlign w:val="center"/>
          </w:tcPr>
          <w:p w14:paraId="72295D0B">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color w:val="auto"/>
                <w:sz w:val="24"/>
                <w:highlight w:val="none"/>
                <w:u w:val="none"/>
              </w:rPr>
            </w:pPr>
            <w:r>
              <w:rPr>
                <w:rFonts w:hint="eastAsia" w:ascii="Times New Roman" w:hAnsi="Times New Roman" w:cs="Times New Roman"/>
                <w:color w:val="auto"/>
                <w:sz w:val="24"/>
                <w:highlight w:val="none"/>
                <w:u w:val="none"/>
                <w:lang w:val="en-US" w:eastAsia="zh-CN"/>
              </w:rPr>
              <w:t>3</w:t>
            </w:r>
            <w:r>
              <w:rPr>
                <w:rFonts w:hint="eastAsia" w:ascii="Times New Roman" w:hAnsi="Times New Roman" w:cs="Times New Roman"/>
                <w:color w:val="auto"/>
                <w:sz w:val="24"/>
                <w:highlight w:val="none"/>
                <w:u w:val="none"/>
              </w:rPr>
              <w:t>个月</w:t>
            </w:r>
          </w:p>
        </w:tc>
      </w:tr>
      <w:tr w14:paraId="25B557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2" w:hRule="atLeast"/>
        </w:trPr>
        <w:tc>
          <w:tcPr>
            <w:tcW w:w="1772" w:type="dxa"/>
            <w:tcMar>
              <w:top w:w="16" w:type="dxa"/>
              <w:left w:w="16" w:type="dxa"/>
              <w:right w:w="16" w:type="dxa"/>
            </w:tcMar>
            <w:vAlign w:val="center"/>
          </w:tcPr>
          <w:p w14:paraId="63E710A5">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z w:val="24"/>
                <w:u w:val="none"/>
              </w:rPr>
            </w:pPr>
            <w:r>
              <w:rPr>
                <w:rFonts w:ascii="Times New Roman" w:hAnsi="Times New Roman" w:cs="Times New Roman"/>
                <w:b w:val="0"/>
                <w:bCs w:val="0"/>
                <w:color w:val="auto"/>
                <w:sz w:val="24"/>
                <w:u w:val="none"/>
              </w:rPr>
              <w:t>是否开工建设</w:t>
            </w:r>
          </w:p>
        </w:tc>
        <w:tc>
          <w:tcPr>
            <w:tcW w:w="2145" w:type="dxa"/>
            <w:vAlign w:val="center"/>
          </w:tcPr>
          <w:p w14:paraId="77DEB02A">
            <w:pPr>
              <w:keepNext w:val="0"/>
              <w:keepLines w:val="0"/>
              <w:pageBreakBefore w:val="0"/>
              <w:widowControl w:val="0"/>
              <w:kinsoku/>
              <w:wordWrap/>
              <w:overflowPunct/>
              <w:bidi w:val="0"/>
              <w:adjustRightInd w:val="0"/>
              <w:snapToGrid w:val="0"/>
              <w:spacing w:line="240" w:lineRule="auto"/>
              <w:rPr>
                <w:rFonts w:ascii="Times New Roman" w:hAnsi="Times New Roman" w:cs="Times New Roman"/>
                <w:color w:val="auto"/>
                <w:sz w:val="24"/>
                <w:u w:val="none"/>
              </w:rPr>
            </w:pPr>
            <w:r>
              <w:rPr>
                <w:rFonts w:hint="eastAsia" w:ascii="Times New Roman" w:hAnsi="Times New Roman" w:cs="Times New Roman"/>
                <w:color w:val="auto"/>
                <w:sz w:val="24"/>
                <w:u w:val="none"/>
                <w:lang w:eastAsia="zh-CN"/>
              </w:rPr>
              <w:sym w:font="Wingdings 2" w:char="0052"/>
            </w:r>
            <w:r>
              <w:rPr>
                <w:rFonts w:ascii="Times New Roman" w:hAnsi="Times New Roman" w:cs="Times New Roman"/>
                <w:color w:val="auto"/>
                <w:sz w:val="24"/>
                <w:u w:val="none"/>
              </w:rPr>
              <w:t>否</w:t>
            </w:r>
          </w:p>
          <w:p w14:paraId="04B310DC">
            <w:pPr>
              <w:keepNext w:val="0"/>
              <w:keepLines w:val="0"/>
              <w:pageBreakBefore w:val="0"/>
              <w:widowControl w:val="0"/>
              <w:kinsoku/>
              <w:wordWrap/>
              <w:overflowPunct/>
              <w:bidi w:val="0"/>
              <w:adjustRightInd w:val="0"/>
              <w:snapToGrid w:val="0"/>
              <w:spacing w:line="240" w:lineRule="auto"/>
              <w:rPr>
                <w:rFonts w:ascii="Times New Roman" w:hAnsi="Times New Roman" w:cs="Times New Roman"/>
                <w:color w:val="auto"/>
                <w:sz w:val="24"/>
                <w:u w:val="none"/>
              </w:rPr>
            </w:pPr>
            <w:r>
              <w:rPr>
                <w:rFonts w:hint="eastAsia" w:ascii="Times New Roman" w:hAnsi="Times New Roman" w:cs="Times New Roman"/>
                <w:color w:val="auto"/>
                <w:sz w:val="24"/>
                <w:u w:val="none"/>
                <w:lang w:eastAsia="zh-CN"/>
              </w:rPr>
              <w:t>□</w:t>
            </w:r>
            <w:r>
              <w:rPr>
                <w:rFonts w:ascii="Times New Roman" w:hAnsi="Times New Roman" w:cs="Times New Roman"/>
                <w:color w:val="auto"/>
                <w:sz w:val="24"/>
                <w:u w:val="none"/>
              </w:rPr>
              <w:t>是：</w:t>
            </w:r>
          </w:p>
        </w:tc>
        <w:tc>
          <w:tcPr>
            <w:tcW w:w="1831" w:type="dxa"/>
            <w:tcMar>
              <w:top w:w="16" w:type="dxa"/>
              <w:left w:w="16" w:type="dxa"/>
              <w:right w:w="16" w:type="dxa"/>
            </w:tcMar>
            <w:vAlign w:val="center"/>
          </w:tcPr>
          <w:p w14:paraId="1C81000C">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pacing w:val="-6"/>
                <w:sz w:val="24"/>
                <w:u w:val="none"/>
              </w:rPr>
            </w:pPr>
            <w:r>
              <w:rPr>
                <w:rFonts w:ascii="Times New Roman" w:hAnsi="Times New Roman" w:cs="Times New Roman"/>
                <w:b w:val="0"/>
                <w:bCs w:val="0"/>
                <w:color w:val="auto"/>
                <w:spacing w:val="-6"/>
                <w:sz w:val="24"/>
                <w:u w:val="none"/>
              </w:rPr>
              <w:t>用地（用海）</w:t>
            </w:r>
          </w:p>
          <w:p w14:paraId="6EEAE84D">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sz w:val="24"/>
                <w:u w:val="none"/>
              </w:rPr>
            </w:pPr>
            <w:r>
              <w:rPr>
                <w:rFonts w:ascii="Times New Roman" w:hAnsi="Times New Roman" w:cs="Times New Roman"/>
                <w:b w:val="0"/>
                <w:bCs w:val="0"/>
                <w:color w:val="auto"/>
                <w:spacing w:val="-6"/>
                <w:sz w:val="24"/>
                <w:u w:val="none"/>
              </w:rPr>
              <w:t>面积（m</w:t>
            </w:r>
            <w:r>
              <w:rPr>
                <w:rFonts w:ascii="Times New Roman" w:hAnsi="Times New Roman" w:cs="Times New Roman"/>
                <w:b w:val="0"/>
                <w:bCs w:val="0"/>
                <w:color w:val="auto"/>
                <w:spacing w:val="-6"/>
                <w:sz w:val="24"/>
                <w:u w:val="none"/>
                <w:vertAlign w:val="superscript"/>
              </w:rPr>
              <w:t>2</w:t>
            </w:r>
            <w:r>
              <w:rPr>
                <w:rFonts w:ascii="Times New Roman" w:hAnsi="Times New Roman" w:cs="Times New Roman"/>
                <w:b w:val="0"/>
                <w:bCs w:val="0"/>
                <w:color w:val="auto"/>
                <w:spacing w:val="-6"/>
                <w:sz w:val="24"/>
                <w:u w:val="none"/>
              </w:rPr>
              <w:t>）</w:t>
            </w:r>
          </w:p>
        </w:tc>
        <w:tc>
          <w:tcPr>
            <w:tcW w:w="3091" w:type="dxa"/>
            <w:vAlign w:val="center"/>
          </w:tcPr>
          <w:p w14:paraId="7EBC0BBE">
            <w:pPr>
              <w:keepNext w:val="0"/>
              <w:keepLines w:val="0"/>
              <w:pageBreakBefore w:val="0"/>
              <w:widowControl w:val="0"/>
              <w:kinsoku/>
              <w:wordWrap/>
              <w:overflowPunct/>
              <w:bidi w:val="0"/>
              <w:adjustRightInd w:val="0"/>
              <w:snapToGrid w:val="0"/>
              <w:spacing w:line="240" w:lineRule="auto"/>
              <w:jc w:val="center"/>
              <w:rPr>
                <w:rFonts w:hint="default"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1500</w:t>
            </w:r>
          </w:p>
        </w:tc>
      </w:tr>
      <w:tr w14:paraId="527776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58" w:hRule="atLeast"/>
        </w:trPr>
        <w:tc>
          <w:tcPr>
            <w:tcW w:w="1772" w:type="dxa"/>
            <w:vAlign w:val="center"/>
          </w:tcPr>
          <w:p w14:paraId="7EA6829A">
            <w:pPr>
              <w:keepNext w:val="0"/>
              <w:keepLines w:val="0"/>
              <w:pageBreakBefore w:val="0"/>
              <w:widowControl w:val="0"/>
              <w:kinsoku/>
              <w:wordWrap/>
              <w:overflowPunct/>
              <w:autoSpaceDE w:val="0"/>
              <w:autoSpaceDN w:val="0"/>
              <w:bidi w:val="0"/>
              <w:adjustRightInd w:val="0"/>
              <w:snapToGrid w:val="0"/>
              <w:spacing w:line="240" w:lineRule="auto"/>
              <w:jc w:val="center"/>
              <w:rPr>
                <w:rFonts w:ascii="Times New Roman" w:hAnsi="Times New Roman" w:cs="Times New Roman"/>
                <w:b/>
                <w:bCs/>
                <w:color w:val="auto"/>
                <w:kern w:val="0"/>
                <w:sz w:val="24"/>
                <w:u w:val="none"/>
              </w:rPr>
            </w:pPr>
            <w:r>
              <w:rPr>
                <w:rFonts w:ascii="Times New Roman" w:hAnsi="Times New Roman" w:cs="Times New Roman"/>
                <w:b w:val="0"/>
                <w:bCs w:val="0"/>
                <w:color w:val="auto"/>
                <w:kern w:val="0"/>
                <w:sz w:val="24"/>
                <w:u w:val="none"/>
              </w:rPr>
              <w:t>专项评价设置情况</w:t>
            </w:r>
          </w:p>
        </w:tc>
        <w:tc>
          <w:tcPr>
            <w:tcW w:w="7067" w:type="dxa"/>
            <w:gridSpan w:val="3"/>
            <w:vAlign w:val="center"/>
          </w:tcPr>
          <w:p w14:paraId="17DEC216">
            <w:pPr>
              <w:pStyle w:val="7"/>
              <w:keepNext w:val="0"/>
              <w:keepLines w:val="0"/>
              <w:pageBreakBefore w:val="0"/>
              <w:widowControl w:val="0"/>
              <w:numPr>
                <w:ilvl w:val="0"/>
                <w:numId w:val="0"/>
              </w:numPr>
              <w:kinsoku/>
              <w:wordWrap/>
              <w:overflowPunct/>
              <w:bidi w:val="0"/>
              <w:spacing w:line="240" w:lineRule="auto"/>
              <w:jc w:val="center"/>
              <w:rPr>
                <w:rFonts w:hint="default" w:ascii="Times New Roman" w:hAnsi="Times New Roman" w:eastAsia="黑体" w:cs="Times New Roman"/>
                <w:b w:val="0"/>
                <w:bCs w:val="0"/>
                <w:color w:val="auto"/>
                <w:sz w:val="24"/>
                <w:szCs w:val="24"/>
                <w:u w:val="none"/>
              </w:rPr>
            </w:pPr>
            <w:r>
              <w:rPr>
                <w:rFonts w:hint="default" w:ascii="Times New Roman" w:hAnsi="Times New Roman" w:eastAsia="黑体" w:cs="Times New Roman"/>
                <w:b w:val="0"/>
                <w:bCs w:val="0"/>
                <w:color w:val="auto"/>
                <w:sz w:val="24"/>
                <w:szCs w:val="24"/>
                <w:u w:val="none"/>
              </w:rPr>
              <w:t>表1 专项评价设置原则表</w:t>
            </w:r>
          </w:p>
          <w:tbl>
            <w:tblPr>
              <w:tblStyle w:val="32"/>
              <w:tblW w:w="6966"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075"/>
              <w:gridCol w:w="2585"/>
              <w:gridCol w:w="1975"/>
              <w:gridCol w:w="1331"/>
            </w:tblGrid>
            <w:tr w14:paraId="4CE2144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075" w:type="dxa"/>
                  <w:tcBorders>
                    <w:tl2br w:val="nil"/>
                    <w:tr2bl w:val="nil"/>
                  </w:tcBorders>
                  <w:vAlign w:val="center"/>
                </w:tcPr>
                <w:p w14:paraId="2EFB8F2E">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ascii="Times New Roman" w:hAnsi="Times New Roman" w:cs="Times New Roman"/>
                      <w:b w:val="0"/>
                      <w:bCs w:val="0"/>
                      <w:color w:val="auto"/>
                      <w:sz w:val="21"/>
                      <w:szCs w:val="21"/>
                      <w:u w:val="none"/>
                    </w:rPr>
                  </w:pPr>
                  <w:r>
                    <w:rPr>
                      <w:rFonts w:ascii="Times New Roman" w:hAnsi="Times New Roman" w:cs="Times New Roman"/>
                      <w:b w:val="0"/>
                      <w:bCs w:val="0"/>
                      <w:color w:val="auto"/>
                      <w:sz w:val="21"/>
                      <w:szCs w:val="21"/>
                      <w:u w:val="none"/>
                    </w:rPr>
                    <w:t>专项评价的类别</w:t>
                  </w:r>
                </w:p>
              </w:tc>
              <w:tc>
                <w:tcPr>
                  <w:tcW w:w="2585" w:type="dxa"/>
                  <w:tcBorders>
                    <w:tl2br w:val="nil"/>
                    <w:tr2bl w:val="nil"/>
                  </w:tcBorders>
                  <w:vAlign w:val="center"/>
                </w:tcPr>
                <w:p w14:paraId="49BA016D">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ascii="Times New Roman" w:hAnsi="Times New Roman" w:cs="Times New Roman"/>
                      <w:b w:val="0"/>
                      <w:bCs w:val="0"/>
                      <w:color w:val="auto"/>
                      <w:sz w:val="21"/>
                      <w:szCs w:val="21"/>
                      <w:u w:val="none"/>
                    </w:rPr>
                  </w:pPr>
                  <w:r>
                    <w:rPr>
                      <w:rFonts w:ascii="Times New Roman" w:hAnsi="Times New Roman" w:cs="Times New Roman"/>
                      <w:b w:val="0"/>
                      <w:bCs w:val="0"/>
                      <w:color w:val="auto"/>
                      <w:sz w:val="21"/>
                      <w:szCs w:val="21"/>
                      <w:u w:val="none"/>
                    </w:rPr>
                    <w:t>设置原则</w:t>
                  </w:r>
                </w:p>
              </w:tc>
              <w:tc>
                <w:tcPr>
                  <w:tcW w:w="1975" w:type="dxa"/>
                  <w:tcBorders>
                    <w:tl2br w:val="nil"/>
                    <w:tr2bl w:val="nil"/>
                  </w:tcBorders>
                  <w:vAlign w:val="center"/>
                </w:tcPr>
                <w:p w14:paraId="3887F069">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ascii="Times New Roman" w:hAnsi="Times New Roman" w:cs="Times New Roman"/>
                      <w:b w:val="0"/>
                      <w:bCs w:val="0"/>
                      <w:color w:val="auto"/>
                      <w:sz w:val="21"/>
                      <w:szCs w:val="21"/>
                      <w:u w:val="none"/>
                    </w:rPr>
                  </w:pPr>
                  <w:r>
                    <w:rPr>
                      <w:rFonts w:ascii="Times New Roman" w:hAnsi="Times New Roman" w:cs="Times New Roman"/>
                      <w:b w:val="0"/>
                      <w:bCs w:val="0"/>
                      <w:color w:val="auto"/>
                      <w:sz w:val="21"/>
                      <w:szCs w:val="21"/>
                      <w:u w:val="none"/>
                    </w:rPr>
                    <w:t>本项目</w:t>
                  </w:r>
                </w:p>
              </w:tc>
              <w:tc>
                <w:tcPr>
                  <w:tcW w:w="1331" w:type="dxa"/>
                  <w:tcBorders>
                    <w:tl2br w:val="nil"/>
                    <w:tr2bl w:val="nil"/>
                  </w:tcBorders>
                  <w:vAlign w:val="center"/>
                </w:tcPr>
                <w:p w14:paraId="6DC60E1C">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ascii="Times New Roman" w:hAnsi="Times New Roman" w:cs="Times New Roman"/>
                      <w:b w:val="0"/>
                      <w:bCs w:val="0"/>
                      <w:color w:val="auto"/>
                      <w:sz w:val="21"/>
                      <w:szCs w:val="21"/>
                      <w:u w:val="none"/>
                    </w:rPr>
                  </w:pPr>
                  <w:r>
                    <w:rPr>
                      <w:rFonts w:ascii="Times New Roman" w:hAnsi="Times New Roman" w:cs="Times New Roman"/>
                      <w:b w:val="0"/>
                      <w:bCs w:val="0"/>
                      <w:color w:val="auto"/>
                      <w:sz w:val="21"/>
                      <w:szCs w:val="21"/>
                      <w:u w:val="none"/>
                    </w:rPr>
                    <w:t>是否需设置专项评价</w:t>
                  </w:r>
                </w:p>
              </w:tc>
            </w:tr>
            <w:tr w14:paraId="150E852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75" w:type="dxa"/>
                  <w:tcBorders>
                    <w:tl2br w:val="nil"/>
                    <w:tr2bl w:val="nil"/>
                  </w:tcBorders>
                  <w:vAlign w:val="center"/>
                </w:tcPr>
                <w:p w14:paraId="3CA9B27C">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大气</w:t>
                  </w:r>
                </w:p>
              </w:tc>
              <w:tc>
                <w:tcPr>
                  <w:tcW w:w="2585" w:type="dxa"/>
                  <w:tcBorders>
                    <w:tl2br w:val="nil"/>
                    <w:tr2bl w:val="nil"/>
                  </w:tcBorders>
                  <w:vAlign w:val="center"/>
                </w:tcPr>
                <w:p w14:paraId="65B74619">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排放废气含有毒有害污染物</w:t>
                  </w:r>
                  <w:r>
                    <w:rPr>
                      <w:rFonts w:ascii="Times New Roman" w:hAnsi="Times New Roman" w:cs="Times New Roman"/>
                      <w:color w:val="auto"/>
                      <w:sz w:val="21"/>
                      <w:szCs w:val="21"/>
                      <w:u w:val="none"/>
                      <w:vertAlign w:val="superscript"/>
                    </w:rPr>
                    <w:t>1</w:t>
                  </w:r>
                  <w:r>
                    <w:rPr>
                      <w:rFonts w:ascii="Times New Roman" w:hAnsi="Times New Roman" w:cs="Times New Roman"/>
                      <w:color w:val="auto"/>
                      <w:sz w:val="21"/>
                      <w:szCs w:val="21"/>
                      <w:u w:val="none"/>
                    </w:rPr>
                    <w:t>、二噁英、苯并[</w:t>
                  </w:r>
                  <w:r>
                    <w:rPr>
                      <w:rFonts w:ascii="Times New Roman" w:hAnsi="Times New Roman" w:cs="Times New Roman"/>
                      <w:i/>
                      <w:color w:val="auto"/>
                      <w:sz w:val="21"/>
                      <w:szCs w:val="21"/>
                      <w:u w:val="none"/>
                    </w:rPr>
                    <w:t>a</w:t>
                  </w:r>
                  <w:r>
                    <w:rPr>
                      <w:rFonts w:ascii="Times New Roman" w:hAnsi="Times New Roman" w:cs="Times New Roman"/>
                      <w:color w:val="auto"/>
                      <w:sz w:val="21"/>
                      <w:szCs w:val="21"/>
                      <w:u w:val="none"/>
                    </w:rPr>
                    <w:t>]芘、氰化物、氯气且厂界外500米范围内有环境空气保护目标</w:t>
                  </w:r>
                  <w:r>
                    <w:rPr>
                      <w:rFonts w:ascii="Times New Roman" w:hAnsi="Times New Roman" w:cs="Times New Roman"/>
                      <w:color w:val="auto"/>
                      <w:sz w:val="21"/>
                      <w:szCs w:val="21"/>
                      <w:u w:val="none"/>
                      <w:vertAlign w:val="superscript"/>
                    </w:rPr>
                    <w:t>2</w:t>
                  </w:r>
                  <w:r>
                    <w:rPr>
                      <w:rFonts w:ascii="Times New Roman" w:hAnsi="Times New Roman" w:cs="Times New Roman"/>
                      <w:color w:val="auto"/>
                      <w:sz w:val="21"/>
                      <w:szCs w:val="21"/>
                      <w:u w:val="none"/>
                    </w:rPr>
                    <w:t>的建设项目。</w:t>
                  </w:r>
                </w:p>
              </w:tc>
              <w:tc>
                <w:tcPr>
                  <w:tcW w:w="1975" w:type="dxa"/>
                  <w:tcBorders>
                    <w:tl2br w:val="nil"/>
                    <w:tr2bl w:val="nil"/>
                  </w:tcBorders>
                  <w:vAlign w:val="center"/>
                </w:tcPr>
                <w:p w14:paraId="229468FD">
                  <w:pPr>
                    <w:pStyle w:val="11"/>
                    <w:keepNext w:val="0"/>
                    <w:keepLines w:val="0"/>
                    <w:pageBreakBefore w:val="0"/>
                    <w:widowControl w:val="0"/>
                    <w:kinsoku/>
                    <w:wordWrap/>
                    <w:overflowPunct/>
                    <w:autoSpaceDE/>
                    <w:autoSpaceDN/>
                    <w:bidi w:val="0"/>
                    <w:spacing w:line="240" w:lineRule="auto"/>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本项目废气污染不涉及有毒有害污染物排放。</w:t>
                  </w:r>
                </w:p>
              </w:tc>
              <w:tc>
                <w:tcPr>
                  <w:tcW w:w="1331" w:type="dxa"/>
                  <w:tcBorders>
                    <w:tl2br w:val="nil"/>
                    <w:tr2bl w:val="nil"/>
                  </w:tcBorders>
                  <w:vAlign w:val="center"/>
                </w:tcPr>
                <w:p w14:paraId="10569B23">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否</w:t>
                  </w:r>
                </w:p>
              </w:tc>
            </w:tr>
            <w:tr w14:paraId="6A30B37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6" w:hRule="atLeast"/>
                <w:jc w:val="center"/>
              </w:trPr>
              <w:tc>
                <w:tcPr>
                  <w:tcW w:w="1075" w:type="dxa"/>
                  <w:tcBorders>
                    <w:tl2br w:val="nil"/>
                    <w:tr2bl w:val="nil"/>
                  </w:tcBorders>
                  <w:vAlign w:val="center"/>
                </w:tcPr>
                <w:p w14:paraId="37CC9AD6">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地表水</w:t>
                  </w:r>
                </w:p>
              </w:tc>
              <w:tc>
                <w:tcPr>
                  <w:tcW w:w="2585" w:type="dxa"/>
                  <w:tcBorders>
                    <w:tl2br w:val="nil"/>
                    <w:tr2bl w:val="nil"/>
                  </w:tcBorders>
                  <w:vAlign w:val="center"/>
                </w:tcPr>
                <w:p w14:paraId="5BBBDEB7">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新增工业废水直排建设项目（槽罐车外送污水处理厂的除外）；新增废水直排的污水集中处理厂。</w:t>
                  </w:r>
                </w:p>
              </w:tc>
              <w:tc>
                <w:tcPr>
                  <w:tcW w:w="1975" w:type="dxa"/>
                  <w:tcBorders>
                    <w:tl2br w:val="nil"/>
                    <w:tr2bl w:val="nil"/>
                  </w:tcBorders>
                  <w:vAlign w:val="center"/>
                </w:tcPr>
                <w:p w14:paraId="48CF24B1">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本项目</w:t>
                  </w:r>
                  <w:r>
                    <w:rPr>
                      <w:rFonts w:hint="eastAsia" w:ascii="Times New Roman" w:hAnsi="Times New Roman" w:cs="Times New Roman"/>
                      <w:color w:val="auto"/>
                      <w:sz w:val="21"/>
                      <w:szCs w:val="21"/>
                      <w:u w:val="none"/>
                      <w:lang w:val="en-US" w:eastAsia="zh-CN"/>
                    </w:rPr>
                    <w:t>不涉及</w:t>
                  </w:r>
                  <w:r>
                    <w:rPr>
                      <w:rFonts w:ascii="Times New Roman" w:hAnsi="Times New Roman" w:cs="Times New Roman"/>
                      <w:color w:val="auto"/>
                      <w:sz w:val="21"/>
                      <w:szCs w:val="21"/>
                      <w:u w:val="none"/>
                    </w:rPr>
                    <w:t>新增工业废水直排。</w:t>
                  </w:r>
                </w:p>
              </w:tc>
              <w:tc>
                <w:tcPr>
                  <w:tcW w:w="1331" w:type="dxa"/>
                  <w:tcBorders>
                    <w:tl2br w:val="nil"/>
                    <w:tr2bl w:val="nil"/>
                  </w:tcBorders>
                  <w:vAlign w:val="center"/>
                </w:tcPr>
                <w:p w14:paraId="0D203EF1">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否</w:t>
                  </w:r>
                </w:p>
              </w:tc>
            </w:tr>
            <w:tr w14:paraId="296DEAB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75" w:type="dxa"/>
                  <w:tcBorders>
                    <w:tl2br w:val="nil"/>
                    <w:tr2bl w:val="nil"/>
                  </w:tcBorders>
                  <w:vAlign w:val="center"/>
                </w:tcPr>
                <w:p w14:paraId="7D14A937">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环境风险</w:t>
                  </w:r>
                </w:p>
              </w:tc>
              <w:tc>
                <w:tcPr>
                  <w:tcW w:w="2585" w:type="dxa"/>
                  <w:tcBorders>
                    <w:tl2br w:val="nil"/>
                    <w:tr2bl w:val="nil"/>
                  </w:tcBorders>
                  <w:vAlign w:val="center"/>
                </w:tcPr>
                <w:p w14:paraId="19360104">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有毒有害和易燃易爆危险物质存储量超过临界量</w:t>
                  </w:r>
                  <w:r>
                    <w:rPr>
                      <w:rFonts w:ascii="Times New Roman" w:hAnsi="Times New Roman" w:cs="Times New Roman"/>
                      <w:color w:val="auto"/>
                      <w:sz w:val="21"/>
                      <w:szCs w:val="21"/>
                      <w:u w:val="none"/>
                      <w:vertAlign w:val="superscript"/>
                    </w:rPr>
                    <w:t>3</w:t>
                  </w:r>
                  <w:r>
                    <w:rPr>
                      <w:rFonts w:ascii="Times New Roman" w:hAnsi="Times New Roman" w:cs="Times New Roman"/>
                      <w:color w:val="auto"/>
                      <w:sz w:val="21"/>
                      <w:szCs w:val="21"/>
                      <w:u w:val="none"/>
                    </w:rPr>
                    <w:t>的建设项目。</w:t>
                  </w:r>
                </w:p>
              </w:tc>
              <w:tc>
                <w:tcPr>
                  <w:tcW w:w="1975" w:type="dxa"/>
                  <w:tcBorders>
                    <w:tl2br w:val="nil"/>
                    <w:tr2bl w:val="nil"/>
                  </w:tcBorders>
                  <w:vAlign w:val="center"/>
                </w:tcPr>
                <w:p w14:paraId="7A2215E5">
                  <w:pPr>
                    <w:pStyle w:val="11"/>
                    <w:keepNext w:val="0"/>
                    <w:keepLines w:val="0"/>
                    <w:pageBreakBefore w:val="0"/>
                    <w:widowControl w:val="0"/>
                    <w:kinsoku/>
                    <w:wordWrap/>
                    <w:overflowPunct/>
                    <w:autoSpaceDE/>
                    <w:autoSpaceDN/>
                    <w:bidi w:val="0"/>
                    <w:spacing w:line="240" w:lineRule="auto"/>
                    <w:jc w:val="center"/>
                    <w:textAlignment w:val="auto"/>
                    <w:rPr>
                      <w:rFonts w:ascii="Times New Roman" w:hAnsi="Times New Roman" w:cs="Times New Roman"/>
                      <w:color w:val="auto"/>
                      <w:sz w:val="21"/>
                      <w:szCs w:val="21"/>
                      <w:u w:val="none"/>
                    </w:rPr>
                  </w:pPr>
                  <w:r>
                    <w:rPr>
                      <w:rFonts w:hint="eastAsia" w:ascii="Times New Roman" w:hAnsi="Times New Roman" w:cs="Times New Roman"/>
                      <w:color w:val="auto"/>
                      <w:sz w:val="21"/>
                      <w:szCs w:val="21"/>
                      <w:u w:val="none"/>
                    </w:rPr>
                    <w:t>本项目涉环境风险物质主要为瓦斯混合气以及矿</w:t>
                  </w:r>
                  <w:r>
                    <w:rPr>
                      <w:rFonts w:hint="eastAsia" w:ascii="Times New Roman" w:hAnsi="Times New Roman" w:cs="Times New Roman"/>
                      <w:color w:val="auto"/>
                      <w:sz w:val="21"/>
                      <w:szCs w:val="21"/>
                      <w:highlight w:val="none"/>
                      <w:u w:val="none"/>
                    </w:rPr>
                    <w:t>物油，Q值=</w:t>
                  </w:r>
                  <w:r>
                    <w:rPr>
                      <w:rFonts w:hint="eastAsia" w:cs="Times New Roman"/>
                      <w:color w:val="auto"/>
                      <w:sz w:val="21"/>
                      <w:szCs w:val="21"/>
                      <w:highlight w:val="none"/>
                      <w:u w:val="none"/>
                      <w:lang w:val="en-US" w:eastAsia="zh-CN"/>
                    </w:rPr>
                    <w:t>0.000936</w:t>
                  </w:r>
                  <w:r>
                    <w:rPr>
                      <w:rFonts w:hint="eastAsia" w:ascii="Times New Roman" w:hAnsi="Times New Roman" w:cs="Times New Roman"/>
                      <w:color w:val="auto"/>
                      <w:sz w:val="21"/>
                      <w:szCs w:val="21"/>
                      <w:highlight w:val="none"/>
                      <w:u w:val="none"/>
                    </w:rPr>
                    <w:t>＜1，</w:t>
                  </w:r>
                  <w:r>
                    <w:rPr>
                      <w:rFonts w:hint="eastAsia" w:ascii="Times New Roman" w:hAnsi="Times New Roman" w:cs="Times New Roman"/>
                      <w:color w:val="auto"/>
                      <w:sz w:val="21"/>
                      <w:szCs w:val="21"/>
                      <w:u w:val="none"/>
                    </w:rPr>
                    <w:t>因此</w:t>
                  </w:r>
                  <w:r>
                    <w:rPr>
                      <w:rFonts w:hint="eastAsia" w:cs="Times New Roman"/>
                      <w:color w:val="auto"/>
                      <w:sz w:val="21"/>
                      <w:szCs w:val="21"/>
                      <w:u w:val="none"/>
                      <w:lang w:val="en-US" w:eastAsia="zh-CN"/>
                    </w:rPr>
                    <w:t>不</w:t>
                  </w:r>
                  <w:r>
                    <w:rPr>
                      <w:rFonts w:hint="eastAsia" w:ascii="Times New Roman" w:hAnsi="Times New Roman" w:cs="Times New Roman"/>
                      <w:color w:val="auto"/>
                      <w:sz w:val="21"/>
                      <w:szCs w:val="21"/>
                      <w:u w:val="none"/>
                    </w:rPr>
                    <w:t>需要设置环境风险专项评价</w:t>
                  </w:r>
                </w:p>
              </w:tc>
              <w:tc>
                <w:tcPr>
                  <w:tcW w:w="1331" w:type="dxa"/>
                  <w:tcBorders>
                    <w:tl2br w:val="nil"/>
                    <w:tr2bl w:val="nil"/>
                  </w:tcBorders>
                  <w:vAlign w:val="center"/>
                </w:tcPr>
                <w:p w14:paraId="146AA7AA">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否</w:t>
                  </w:r>
                </w:p>
              </w:tc>
            </w:tr>
            <w:tr w14:paraId="769CD49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75" w:type="dxa"/>
                  <w:tcBorders>
                    <w:tl2br w:val="nil"/>
                    <w:tr2bl w:val="nil"/>
                  </w:tcBorders>
                  <w:vAlign w:val="center"/>
                </w:tcPr>
                <w:p w14:paraId="1F71C1E1">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生态</w:t>
                  </w:r>
                </w:p>
              </w:tc>
              <w:tc>
                <w:tcPr>
                  <w:tcW w:w="2585" w:type="dxa"/>
                  <w:tcBorders>
                    <w:tl2br w:val="nil"/>
                    <w:tr2bl w:val="nil"/>
                  </w:tcBorders>
                  <w:vAlign w:val="center"/>
                </w:tcPr>
                <w:p w14:paraId="03EEB81B">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取水口下游500米范围内有重要水生生物的自然产卵场、索饵场、越冬场和洄游通道的新增河道取水的污染类建设项目。</w:t>
                  </w:r>
                </w:p>
              </w:tc>
              <w:tc>
                <w:tcPr>
                  <w:tcW w:w="1975" w:type="dxa"/>
                  <w:tcBorders>
                    <w:tl2br w:val="nil"/>
                    <w:tr2bl w:val="nil"/>
                  </w:tcBorders>
                  <w:vAlign w:val="center"/>
                </w:tcPr>
                <w:p w14:paraId="40B20A56">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本项目不涉及。</w:t>
                  </w:r>
                </w:p>
              </w:tc>
              <w:tc>
                <w:tcPr>
                  <w:tcW w:w="1331" w:type="dxa"/>
                  <w:tcBorders>
                    <w:tl2br w:val="nil"/>
                    <w:tr2bl w:val="nil"/>
                  </w:tcBorders>
                  <w:vAlign w:val="center"/>
                </w:tcPr>
                <w:p w14:paraId="2ED31475">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否</w:t>
                  </w:r>
                </w:p>
              </w:tc>
            </w:tr>
            <w:tr w14:paraId="1D5C63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75" w:type="dxa"/>
                  <w:tcBorders>
                    <w:tl2br w:val="nil"/>
                    <w:tr2bl w:val="nil"/>
                  </w:tcBorders>
                  <w:vAlign w:val="center"/>
                </w:tcPr>
                <w:p w14:paraId="73C769D2">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海洋</w:t>
                  </w:r>
                </w:p>
              </w:tc>
              <w:tc>
                <w:tcPr>
                  <w:tcW w:w="2585" w:type="dxa"/>
                  <w:tcBorders>
                    <w:tl2br w:val="nil"/>
                    <w:tr2bl w:val="nil"/>
                  </w:tcBorders>
                  <w:vAlign w:val="center"/>
                </w:tcPr>
                <w:p w14:paraId="2AD66E07">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直接向海排放污染物的海洋工程建设项目。</w:t>
                  </w:r>
                </w:p>
              </w:tc>
              <w:tc>
                <w:tcPr>
                  <w:tcW w:w="1975" w:type="dxa"/>
                  <w:tcBorders>
                    <w:tl2br w:val="nil"/>
                    <w:tr2bl w:val="nil"/>
                  </w:tcBorders>
                  <w:vAlign w:val="center"/>
                </w:tcPr>
                <w:p w14:paraId="7FD94BAF">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本项目不涉及。</w:t>
                  </w:r>
                </w:p>
              </w:tc>
              <w:tc>
                <w:tcPr>
                  <w:tcW w:w="1331" w:type="dxa"/>
                  <w:tcBorders>
                    <w:tl2br w:val="nil"/>
                    <w:tr2bl w:val="nil"/>
                  </w:tcBorders>
                  <w:vAlign w:val="center"/>
                </w:tcPr>
                <w:p w14:paraId="43DAAB3B">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否</w:t>
                  </w:r>
                </w:p>
              </w:tc>
            </w:tr>
          </w:tbl>
          <w:p w14:paraId="4B6840A5">
            <w:pPr>
              <w:keepNext w:val="0"/>
              <w:keepLines w:val="0"/>
              <w:pageBreakBefore w:val="0"/>
              <w:widowControl w:val="0"/>
              <w:tabs>
                <w:tab w:val="left" w:pos="576"/>
                <w:tab w:val="left" w:pos="2520"/>
                <w:tab w:val="left" w:pos="5180"/>
              </w:tabs>
              <w:kinsoku/>
              <w:wordWrap/>
              <w:overflowPunct/>
              <w:topLinePunct/>
              <w:bidi w:val="0"/>
              <w:adjustRightInd w:val="0"/>
              <w:snapToGrid w:val="0"/>
              <w:spacing w:line="240" w:lineRule="auto"/>
              <w:jc w:val="left"/>
              <w:rPr>
                <w:rFonts w:ascii="Times New Roman" w:hAnsi="Times New Roman" w:cs="Times New Roman"/>
                <w:snapToGrid w:val="0"/>
                <w:color w:val="auto"/>
                <w:sz w:val="21"/>
                <w:szCs w:val="21"/>
                <w:u w:val="none"/>
              </w:rPr>
            </w:pPr>
            <w:bookmarkStart w:id="0" w:name="_Hlk57731875"/>
            <w:r>
              <w:rPr>
                <w:rFonts w:ascii="Times New Roman" w:hAnsi="Times New Roman" w:cs="Times New Roman"/>
                <w:bCs/>
                <w:snapToGrid w:val="0"/>
                <w:color w:val="auto"/>
                <w:sz w:val="21"/>
                <w:szCs w:val="21"/>
                <w:u w:val="none"/>
              </w:rPr>
              <w:t>注：1.</w:t>
            </w:r>
            <w:r>
              <w:rPr>
                <w:rFonts w:ascii="Times New Roman" w:hAnsi="Times New Roman" w:cs="Times New Roman"/>
                <w:snapToGrid w:val="0"/>
                <w:color w:val="auto"/>
                <w:sz w:val="21"/>
                <w:szCs w:val="21"/>
                <w:u w:val="none"/>
              </w:rPr>
              <w:t>废气中有毒有害污染物指纳入《有毒有害大气污染物名录》的污染物（不包括无排放标准的污染物）</w:t>
            </w:r>
            <w:bookmarkEnd w:id="0"/>
            <w:r>
              <w:rPr>
                <w:rFonts w:ascii="Times New Roman" w:hAnsi="Times New Roman" w:cs="Times New Roman"/>
                <w:snapToGrid w:val="0"/>
                <w:color w:val="auto"/>
                <w:sz w:val="21"/>
                <w:szCs w:val="21"/>
                <w:u w:val="none"/>
              </w:rPr>
              <w:t>。</w:t>
            </w:r>
          </w:p>
          <w:p w14:paraId="3C559D88">
            <w:pPr>
              <w:keepNext w:val="0"/>
              <w:keepLines w:val="0"/>
              <w:pageBreakBefore w:val="0"/>
              <w:widowControl w:val="0"/>
              <w:tabs>
                <w:tab w:val="left" w:pos="576"/>
                <w:tab w:val="left" w:pos="2520"/>
                <w:tab w:val="left" w:pos="5180"/>
              </w:tabs>
              <w:kinsoku/>
              <w:wordWrap/>
              <w:overflowPunct/>
              <w:topLinePunct/>
              <w:bidi w:val="0"/>
              <w:adjustRightInd w:val="0"/>
              <w:snapToGrid w:val="0"/>
              <w:spacing w:line="240" w:lineRule="auto"/>
              <w:jc w:val="left"/>
              <w:rPr>
                <w:rFonts w:ascii="Times New Roman" w:hAnsi="Times New Roman" w:cs="Times New Roman"/>
                <w:snapToGrid w:val="0"/>
                <w:color w:val="auto"/>
                <w:sz w:val="21"/>
                <w:szCs w:val="21"/>
                <w:u w:val="none"/>
              </w:rPr>
            </w:pPr>
            <w:r>
              <w:rPr>
                <w:rFonts w:ascii="Times New Roman" w:hAnsi="Times New Roman" w:cs="Times New Roman"/>
                <w:snapToGrid w:val="0"/>
                <w:color w:val="auto"/>
                <w:sz w:val="21"/>
                <w:szCs w:val="21"/>
                <w:u w:val="none"/>
              </w:rPr>
              <w:t>2.环境空气保护目标指自然保护区、风景名胜区、居住区、文化区和农村地区中人群较集中的区域。</w:t>
            </w:r>
          </w:p>
          <w:p w14:paraId="7A43B8EC">
            <w:pPr>
              <w:keepNext w:val="0"/>
              <w:keepLines w:val="0"/>
              <w:pageBreakBefore w:val="0"/>
              <w:widowControl w:val="0"/>
              <w:kinsoku/>
              <w:wordWrap w:val="0"/>
              <w:overflowPunct/>
              <w:topLinePunct w:val="0"/>
              <w:autoSpaceDE w:val="0"/>
              <w:autoSpaceDN w:val="0"/>
              <w:bidi w:val="0"/>
              <w:adjustRightInd w:val="0"/>
              <w:snapToGrid w:val="0"/>
              <w:spacing w:line="240" w:lineRule="auto"/>
              <w:jc w:val="left"/>
              <w:textAlignment w:val="auto"/>
              <w:rPr>
                <w:rFonts w:ascii="Times New Roman" w:hAnsi="Times New Roman" w:cs="Times New Roman"/>
                <w:snapToGrid w:val="0"/>
                <w:color w:val="auto"/>
                <w:sz w:val="21"/>
                <w:szCs w:val="21"/>
                <w:u w:val="none"/>
              </w:rPr>
            </w:pPr>
            <w:r>
              <w:rPr>
                <w:rFonts w:ascii="Times New Roman" w:hAnsi="Times New Roman" w:cs="Times New Roman"/>
                <w:snapToGrid w:val="0"/>
                <w:color w:val="auto"/>
                <w:sz w:val="21"/>
                <w:szCs w:val="21"/>
                <w:u w:val="none"/>
              </w:rPr>
              <w:t>3.临界量及其计算方法可参考《建设项目环境风险评价技术导则》（HJ 169</w:t>
            </w:r>
            <w:r>
              <w:rPr>
                <w:rFonts w:hint="eastAsia" w:cs="Times New Roman"/>
                <w:snapToGrid w:val="0"/>
                <w:color w:val="auto"/>
                <w:sz w:val="21"/>
                <w:szCs w:val="21"/>
                <w:u w:val="none"/>
                <w:lang w:val="en-US" w:eastAsia="zh-CN"/>
              </w:rPr>
              <w:t>-2018</w:t>
            </w:r>
            <w:r>
              <w:rPr>
                <w:rFonts w:ascii="Times New Roman" w:hAnsi="Times New Roman" w:cs="Times New Roman"/>
                <w:snapToGrid w:val="0"/>
                <w:color w:val="auto"/>
                <w:sz w:val="21"/>
                <w:szCs w:val="21"/>
                <w:u w:val="none"/>
              </w:rPr>
              <w:t>）附录B、附录C。</w:t>
            </w:r>
          </w:p>
          <w:p w14:paraId="65852B38">
            <w:pPr>
              <w:keepNext w:val="0"/>
              <w:keepLines w:val="0"/>
              <w:pageBreakBefore w:val="0"/>
              <w:widowControl w:val="0"/>
              <w:kinsoku/>
              <w:wordWrap/>
              <w:overflowPunct/>
              <w:autoSpaceDE w:val="0"/>
              <w:autoSpaceDN w:val="0"/>
              <w:bidi w:val="0"/>
              <w:adjustRightInd w:val="0"/>
              <w:snapToGrid w:val="0"/>
              <w:spacing w:line="240" w:lineRule="auto"/>
              <w:jc w:val="both"/>
              <w:rPr>
                <w:rFonts w:hint="default" w:ascii="Times New Roman" w:hAnsi="Times New Roman" w:eastAsia="宋体" w:cs="Times New Roman"/>
                <w:snapToGrid w:val="0"/>
                <w:color w:val="auto"/>
                <w:u w:val="none"/>
                <w:lang w:val="en-US" w:eastAsia="zh-CN"/>
              </w:rPr>
            </w:pPr>
            <w:r>
              <w:rPr>
                <w:rFonts w:hint="eastAsia" w:ascii="Times New Roman" w:hAnsi="Times New Roman" w:cs="Times New Roman"/>
                <w:b w:val="0"/>
                <w:bCs w:val="0"/>
                <w:color w:val="auto"/>
                <w:sz w:val="21"/>
                <w:szCs w:val="21"/>
                <w:u w:val="none"/>
                <w:lang w:val="en-US" w:eastAsia="zh-CN"/>
              </w:rPr>
              <w:t>因此</w:t>
            </w:r>
            <w:r>
              <w:rPr>
                <w:rFonts w:hint="eastAsia" w:cs="Times New Roman"/>
                <w:b w:val="0"/>
                <w:bCs w:val="0"/>
                <w:color w:val="auto"/>
                <w:sz w:val="21"/>
                <w:szCs w:val="21"/>
                <w:u w:val="none"/>
                <w:lang w:val="en-US" w:eastAsia="zh-CN"/>
              </w:rPr>
              <w:t>，</w:t>
            </w:r>
            <w:r>
              <w:rPr>
                <w:rFonts w:hint="eastAsia" w:ascii="Times New Roman" w:hAnsi="Times New Roman" w:cs="Times New Roman"/>
                <w:b w:val="0"/>
                <w:bCs w:val="0"/>
                <w:color w:val="auto"/>
                <w:sz w:val="21"/>
                <w:szCs w:val="21"/>
                <w:u w:val="none"/>
              </w:rPr>
              <w:t>专项评价设置情况</w:t>
            </w:r>
            <w:r>
              <w:rPr>
                <w:rFonts w:hint="eastAsia" w:cs="Times New Roman"/>
                <w:b w:val="0"/>
                <w:bCs w:val="0"/>
                <w:color w:val="auto"/>
                <w:sz w:val="21"/>
                <w:szCs w:val="21"/>
                <w:u w:val="none"/>
                <w:lang w:val="en-US" w:eastAsia="zh-CN"/>
              </w:rPr>
              <w:t>为无</w:t>
            </w:r>
          </w:p>
        </w:tc>
      </w:tr>
      <w:tr w14:paraId="3E9655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1772" w:type="dxa"/>
            <w:vAlign w:val="center"/>
          </w:tcPr>
          <w:p w14:paraId="4AB84885">
            <w:pPr>
              <w:keepNext w:val="0"/>
              <w:keepLines w:val="0"/>
              <w:pageBreakBefore w:val="0"/>
              <w:widowControl w:val="0"/>
              <w:kinsoku/>
              <w:wordWrap/>
              <w:overflowPunct/>
              <w:autoSpaceDE w:val="0"/>
              <w:autoSpaceDN w:val="0"/>
              <w:bidi w:val="0"/>
              <w:adjustRightInd w:val="0"/>
              <w:snapToGrid w:val="0"/>
              <w:spacing w:line="240" w:lineRule="auto"/>
              <w:jc w:val="center"/>
              <w:rPr>
                <w:rFonts w:ascii="Times New Roman" w:hAnsi="Times New Roman" w:cs="Times New Roman"/>
                <w:b w:val="0"/>
                <w:bCs w:val="0"/>
                <w:color w:val="auto"/>
                <w:kern w:val="0"/>
                <w:sz w:val="24"/>
                <w:u w:val="none"/>
              </w:rPr>
            </w:pPr>
            <w:r>
              <w:rPr>
                <w:rFonts w:ascii="Times New Roman" w:hAnsi="Times New Roman" w:cs="Times New Roman"/>
                <w:b w:val="0"/>
                <w:bCs w:val="0"/>
                <w:color w:val="auto"/>
                <w:sz w:val="24"/>
                <w:u w:val="none"/>
              </w:rPr>
              <w:t>规划情况</w:t>
            </w:r>
          </w:p>
        </w:tc>
        <w:tc>
          <w:tcPr>
            <w:tcW w:w="7067" w:type="dxa"/>
            <w:gridSpan w:val="3"/>
            <w:vAlign w:val="center"/>
          </w:tcPr>
          <w:p w14:paraId="66433A5D">
            <w:pPr>
              <w:keepNext w:val="0"/>
              <w:keepLines w:val="0"/>
              <w:pageBreakBefore w:val="0"/>
              <w:widowControl w:val="0"/>
              <w:kinsoku/>
              <w:wordWrap/>
              <w:overflowPunct/>
              <w:bidi w:val="0"/>
              <w:adjustRightInd w:val="0"/>
              <w:snapToGrid w:val="0"/>
              <w:spacing w:line="240" w:lineRule="auto"/>
              <w:jc w:val="center"/>
              <w:textAlignment w:val="baseline"/>
              <w:rPr>
                <w:rFonts w:ascii="Times New Roman" w:hAnsi="Times New Roman" w:cs="Times New Roman"/>
                <w:color w:val="auto"/>
                <w:kern w:val="0"/>
                <w:sz w:val="24"/>
                <w:highlight w:val="yellow"/>
                <w:u w:val="none"/>
              </w:rPr>
            </w:pPr>
            <w:r>
              <w:rPr>
                <w:rFonts w:hint="eastAsia" w:ascii="Times New Roman" w:hAnsi="Times New Roman" w:cs="Times New Roman"/>
                <w:b w:val="0"/>
                <w:bCs w:val="0"/>
                <w:color w:val="auto"/>
                <w:sz w:val="24"/>
                <w:u w:val="none"/>
              </w:rPr>
              <w:t>无</w:t>
            </w:r>
          </w:p>
        </w:tc>
      </w:tr>
      <w:tr w14:paraId="4FD3F7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4" w:hRule="atLeast"/>
        </w:trPr>
        <w:tc>
          <w:tcPr>
            <w:tcW w:w="1772" w:type="dxa"/>
            <w:vAlign w:val="center"/>
          </w:tcPr>
          <w:p w14:paraId="2820BDF0">
            <w:pPr>
              <w:keepNext w:val="0"/>
              <w:keepLines w:val="0"/>
              <w:pageBreakBefore w:val="0"/>
              <w:widowControl w:val="0"/>
              <w:kinsoku/>
              <w:wordWrap/>
              <w:overflowPunct/>
              <w:bidi w:val="0"/>
              <w:adjustRightInd w:val="0"/>
              <w:snapToGrid w:val="0"/>
              <w:spacing w:line="240" w:lineRule="auto"/>
              <w:jc w:val="center"/>
              <w:rPr>
                <w:rFonts w:ascii="Times New Roman" w:hAnsi="Times New Roman" w:cs="Times New Roman"/>
                <w:b w:val="0"/>
                <w:bCs w:val="0"/>
                <w:color w:val="auto"/>
                <w:kern w:val="0"/>
                <w:sz w:val="24"/>
                <w:u w:val="none"/>
              </w:rPr>
            </w:pPr>
            <w:r>
              <w:rPr>
                <w:rFonts w:ascii="Times New Roman" w:hAnsi="Times New Roman" w:cs="Times New Roman"/>
                <w:b w:val="0"/>
                <w:bCs w:val="0"/>
                <w:color w:val="auto"/>
                <w:sz w:val="24"/>
                <w:u w:val="none"/>
              </w:rPr>
              <w:t>规划环境影响评价情况</w:t>
            </w:r>
          </w:p>
        </w:tc>
        <w:tc>
          <w:tcPr>
            <w:tcW w:w="7067" w:type="dxa"/>
            <w:gridSpan w:val="3"/>
            <w:vAlign w:val="center"/>
          </w:tcPr>
          <w:p w14:paraId="1E66AFA8">
            <w:pPr>
              <w:keepNext w:val="0"/>
              <w:keepLines w:val="0"/>
              <w:pageBreakBefore w:val="0"/>
              <w:widowControl w:val="0"/>
              <w:kinsoku/>
              <w:wordWrap/>
              <w:overflowPunct/>
              <w:bidi w:val="0"/>
              <w:snapToGrid w:val="0"/>
              <w:spacing w:line="240" w:lineRule="auto"/>
              <w:jc w:val="center"/>
              <w:rPr>
                <w:rFonts w:ascii="Times New Roman" w:hAnsi="Times New Roman" w:cs="Times New Roman"/>
                <w:color w:val="auto"/>
                <w:u w:val="none"/>
              </w:rPr>
            </w:pPr>
            <w:r>
              <w:rPr>
                <w:rFonts w:hint="eastAsia" w:ascii="Times New Roman" w:hAnsi="Times New Roman" w:cs="Times New Roman"/>
                <w:color w:val="auto"/>
                <w:sz w:val="24"/>
                <w:u w:val="none"/>
              </w:rPr>
              <w:t>无</w:t>
            </w:r>
          </w:p>
        </w:tc>
      </w:tr>
      <w:tr w14:paraId="144D82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6" w:hRule="atLeast"/>
        </w:trPr>
        <w:tc>
          <w:tcPr>
            <w:tcW w:w="1772" w:type="dxa"/>
            <w:vAlign w:val="center"/>
          </w:tcPr>
          <w:p w14:paraId="3D08780C">
            <w:pPr>
              <w:keepNext w:val="0"/>
              <w:keepLines w:val="0"/>
              <w:pageBreakBefore w:val="0"/>
              <w:widowControl w:val="0"/>
              <w:kinsoku/>
              <w:wordWrap/>
              <w:overflowPunct/>
              <w:autoSpaceDE w:val="0"/>
              <w:autoSpaceDN w:val="0"/>
              <w:bidi w:val="0"/>
              <w:adjustRightInd w:val="0"/>
              <w:snapToGrid w:val="0"/>
              <w:spacing w:line="240" w:lineRule="auto"/>
              <w:jc w:val="center"/>
              <w:rPr>
                <w:rFonts w:ascii="Times New Roman" w:hAnsi="Times New Roman" w:cs="Times New Roman"/>
                <w:b w:val="0"/>
                <w:bCs w:val="0"/>
                <w:color w:val="auto"/>
                <w:sz w:val="24"/>
                <w:u w:val="none"/>
              </w:rPr>
            </w:pPr>
            <w:r>
              <w:rPr>
                <w:rFonts w:ascii="Times New Roman" w:hAnsi="Times New Roman" w:cs="Times New Roman"/>
                <w:b w:val="0"/>
                <w:bCs w:val="0"/>
                <w:color w:val="auto"/>
                <w:kern w:val="0"/>
                <w:sz w:val="24"/>
                <w:u w:val="none"/>
              </w:rPr>
              <w:t>规划及规划环境影响评价符合性分析</w:t>
            </w:r>
          </w:p>
        </w:tc>
        <w:tc>
          <w:tcPr>
            <w:tcW w:w="7067" w:type="dxa"/>
            <w:gridSpan w:val="3"/>
            <w:vAlign w:val="center"/>
          </w:tcPr>
          <w:p w14:paraId="4B146E83">
            <w:pPr>
              <w:keepNext w:val="0"/>
              <w:keepLines w:val="0"/>
              <w:pageBreakBefore w:val="0"/>
              <w:widowControl w:val="0"/>
              <w:kinsoku/>
              <w:wordWrap/>
              <w:overflowPunct/>
              <w:bidi w:val="0"/>
              <w:spacing w:line="240" w:lineRule="auto"/>
              <w:jc w:val="center"/>
              <w:textAlignment w:val="baseline"/>
              <w:rPr>
                <w:rFonts w:ascii="Times New Roman" w:hAnsi="Times New Roman" w:cs="Times New Roman"/>
                <w:color w:val="auto"/>
                <w:sz w:val="24"/>
                <w:u w:val="none"/>
              </w:rPr>
            </w:pPr>
            <w:r>
              <w:rPr>
                <w:rFonts w:hint="eastAsia" w:ascii="Times New Roman" w:hAnsi="Times New Roman" w:cs="Times New Roman"/>
                <w:b w:val="0"/>
                <w:bCs w:val="0"/>
                <w:color w:val="auto"/>
                <w:sz w:val="24"/>
                <w:u w:val="none"/>
              </w:rPr>
              <w:t>无</w:t>
            </w:r>
          </w:p>
        </w:tc>
      </w:tr>
    </w:tbl>
    <w:tbl>
      <w:tblPr>
        <w:tblStyle w:val="32"/>
        <w:tblW w:w="879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61"/>
        <w:gridCol w:w="8234"/>
      </w:tblGrid>
      <w:tr w14:paraId="0CFE7D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48" w:hRule="atLeast"/>
          <w:jc w:val="center"/>
        </w:trPr>
        <w:tc>
          <w:tcPr>
            <w:tcW w:w="561" w:type="dxa"/>
            <w:vAlign w:val="center"/>
          </w:tcPr>
          <w:p w14:paraId="547849F0">
            <w:pPr>
              <w:autoSpaceDE w:val="0"/>
              <w:autoSpaceDN w:val="0"/>
              <w:adjustRightInd w:val="0"/>
              <w:snapToGrid w:val="0"/>
              <w:jc w:val="center"/>
              <w:rPr>
                <w:rFonts w:ascii="Times New Roman" w:hAnsi="Times New Roman" w:cs="Times New Roman"/>
                <w:b/>
                <w:bCs/>
                <w:color w:val="auto"/>
                <w:sz w:val="24"/>
                <w:u w:val="none"/>
              </w:rPr>
            </w:pPr>
            <w:r>
              <w:rPr>
                <w:rFonts w:ascii="Times New Roman" w:hAnsi="Times New Roman" w:cs="Times New Roman"/>
                <w:b/>
                <w:bCs/>
                <w:color w:val="auto"/>
                <w:kern w:val="0"/>
                <w:sz w:val="24"/>
                <w:u w:val="none"/>
              </w:rPr>
              <w:t>其他符合性分析</w:t>
            </w:r>
          </w:p>
        </w:tc>
        <w:tc>
          <w:tcPr>
            <w:tcW w:w="8234" w:type="dxa"/>
            <w:vAlign w:val="center"/>
          </w:tcPr>
          <w:p w14:paraId="334671E3">
            <w:pPr>
              <w:pStyle w:val="94"/>
              <w:keepNext w:val="0"/>
              <w:keepLines w:val="0"/>
              <w:pageBreakBefore w:val="0"/>
              <w:widowControl w:val="0"/>
              <w:kinsoku/>
              <w:wordWrap/>
              <w:overflowPunct w:val="0"/>
              <w:topLinePunct w:val="0"/>
              <w:autoSpaceDE/>
              <w:autoSpaceDN/>
              <w:bidi w:val="0"/>
              <w:adjustRightInd/>
              <w:snapToGrid w:val="0"/>
              <w:spacing w:before="0" w:after="0" w:line="500" w:lineRule="exact"/>
              <w:ind w:left="0" w:leftChars="0" w:firstLine="482" w:firstLineChars="200"/>
              <w:textAlignment w:val="auto"/>
              <w:rPr>
                <w:rFonts w:hint="default" w:ascii="Times New Roman" w:hAnsi="Times New Roman" w:eastAsia="宋体" w:cs="Times New Roman"/>
                <w:b/>
                <w:color w:val="auto"/>
                <w:sz w:val="24"/>
                <w:szCs w:val="24"/>
                <w:u w:val="none"/>
                <w:lang w:val="en-US" w:eastAsia="zh-CN"/>
              </w:rPr>
            </w:pPr>
            <w:r>
              <w:rPr>
                <w:rFonts w:hint="eastAsia" w:ascii="Times New Roman" w:hAnsi="Times New Roman" w:eastAsia="宋体" w:cs="Times New Roman"/>
                <w:b/>
                <w:color w:val="auto"/>
                <w:sz w:val="24"/>
                <w:szCs w:val="24"/>
                <w:u w:val="none"/>
                <w:lang w:val="en-US" w:eastAsia="zh-CN"/>
              </w:rPr>
              <w:t>1</w:t>
            </w:r>
            <w:r>
              <w:rPr>
                <w:rFonts w:hint="eastAsia" w:eastAsia="宋体" w:cs="Times New Roman"/>
                <w:b/>
                <w:color w:val="auto"/>
                <w:sz w:val="24"/>
                <w:szCs w:val="24"/>
                <w:u w:val="none"/>
                <w:lang w:val="en-US" w:eastAsia="zh-CN"/>
              </w:rPr>
              <w:t>、</w:t>
            </w:r>
            <w:r>
              <w:rPr>
                <w:rFonts w:hint="eastAsia" w:ascii="Times New Roman" w:hAnsi="Times New Roman" w:eastAsia="宋体" w:cs="Times New Roman"/>
                <w:b/>
                <w:color w:val="auto"/>
                <w:sz w:val="24"/>
                <w:szCs w:val="24"/>
                <w:u w:val="none"/>
                <w:lang w:val="en-US" w:eastAsia="zh-CN"/>
              </w:rPr>
              <w:t>与相关政策和当地规划相符性分析</w:t>
            </w:r>
          </w:p>
          <w:p w14:paraId="3EEEC413">
            <w:pPr>
              <w:pStyle w:val="94"/>
              <w:keepNext w:val="0"/>
              <w:keepLines w:val="0"/>
              <w:pageBreakBefore w:val="0"/>
              <w:widowControl w:val="0"/>
              <w:kinsoku/>
              <w:wordWrap/>
              <w:overflowPunct w:val="0"/>
              <w:topLinePunct w:val="0"/>
              <w:autoSpaceDE/>
              <w:autoSpaceDN/>
              <w:bidi w:val="0"/>
              <w:adjustRightInd/>
              <w:snapToGrid w:val="0"/>
              <w:spacing w:before="0" w:after="0" w:line="500" w:lineRule="exact"/>
              <w:ind w:left="0" w:leftChars="0" w:firstLine="482" w:firstLineChars="200"/>
              <w:textAlignment w:val="auto"/>
              <w:rPr>
                <w:rFonts w:ascii="Times New Roman" w:hAnsi="Times New Roman" w:eastAsia="宋体" w:cs="Times New Roman"/>
                <w:b/>
                <w:color w:val="auto"/>
                <w:sz w:val="24"/>
                <w:szCs w:val="24"/>
                <w:u w:val="none"/>
              </w:rPr>
            </w:pPr>
            <w:r>
              <w:rPr>
                <w:rFonts w:ascii="Times New Roman" w:hAnsi="Times New Roman" w:eastAsia="宋体" w:cs="Times New Roman"/>
                <w:b/>
                <w:color w:val="auto"/>
                <w:sz w:val="24"/>
                <w:szCs w:val="24"/>
                <w:u w:val="none"/>
              </w:rPr>
              <w:t>1</w:t>
            </w:r>
            <w:r>
              <w:rPr>
                <w:rFonts w:hint="eastAsia" w:ascii="Times New Roman" w:hAnsi="Times New Roman" w:eastAsia="宋体" w:cs="Times New Roman"/>
                <w:b/>
                <w:color w:val="auto"/>
                <w:sz w:val="24"/>
                <w:szCs w:val="24"/>
                <w:u w:val="none"/>
                <w:lang w:val="en-US" w:eastAsia="zh-CN"/>
              </w:rPr>
              <w:t>.1</w:t>
            </w:r>
            <w:r>
              <w:rPr>
                <w:rFonts w:ascii="Times New Roman" w:hAnsi="Times New Roman" w:eastAsia="宋体" w:cs="Times New Roman"/>
                <w:b/>
                <w:color w:val="auto"/>
                <w:sz w:val="24"/>
                <w:szCs w:val="24"/>
                <w:u w:val="none"/>
              </w:rPr>
              <w:t>与产业政策符合性分析</w:t>
            </w:r>
          </w:p>
          <w:p w14:paraId="5DC332EB">
            <w:pPr>
              <w:keepNext w:val="0"/>
              <w:keepLines w:val="0"/>
              <w:pageBreakBefore w:val="0"/>
              <w:widowControl w:val="0"/>
              <w:kinsoku/>
              <w:wordWrap/>
              <w:topLinePunct w:val="0"/>
              <w:autoSpaceDE/>
              <w:autoSpaceDN/>
              <w:bidi w:val="0"/>
              <w:adjustRightInd w:val="0"/>
              <w:snapToGrid w:val="0"/>
              <w:spacing w:line="500" w:lineRule="exact"/>
              <w:ind w:firstLine="480" w:firstLineChars="200"/>
              <w:textAlignment w:val="auto"/>
              <w:rPr>
                <w:rFonts w:hint="eastAsia" w:ascii="Times New Roman" w:hAnsi="Times New Roman" w:eastAsia="宋体" w:cs="Times New Roman"/>
                <w:color w:val="auto"/>
                <w:sz w:val="24"/>
                <w:u w:val="none"/>
              </w:rPr>
            </w:pPr>
            <w:r>
              <w:rPr>
                <w:rFonts w:hint="eastAsia" w:ascii="Times New Roman" w:hAnsi="Times New Roman" w:eastAsia="宋体" w:cs="Times New Roman"/>
                <w:b w:val="0"/>
                <w:bCs w:val="0"/>
                <w:color w:val="auto"/>
                <w:sz w:val="24"/>
                <w:szCs w:val="24"/>
                <w:u w:val="none"/>
              </w:rPr>
              <w:t>本项目</w:t>
            </w:r>
            <w:r>
              <w:rPr>
                <w:rFonts w:hint="eastAsia" w:ascii="Times New Roman" w:hAnsi="Times New Roman" w:eastAsia="宋体" w:cs="Times New Roman"/>
                <w:b w:val="0"/>
                <w:bCs w:val="0"/>
                <w:color w:val="auto"/>
                <w:sz w:val="24"/>
                <w:szCs w:val="24"/>
                <w:u w:val="none"/>
                <w:lang w:val="en-US" w:eastAsia="zh-CN"/>
              </w:rPr>
              <w:t>利用矿井瓦斯发电</w:t>
            </w:r>
            <w:r>
              <w:rPr>
                <w:rFonts w:hint="eastAsia" w:ascii="Times New Roman" w:hAnsi="Times New Roman" w:eastAsia="宋体" w:cs="Times New Roman"/>
                <w:color w:val="auto"/>
                <w:sz w:val="24"/>
                <w:u w:val="none"/>
                <w:lang w:val="zh-CN"/>
              </w:rPr>
              <w:t>，查阅</w:t>
            </w:r>
            <w:r>
              <w:rPr>
                <w:rFonts w:hint="eastAsia" w:ascii="Times New Roman" w:hAnsi="Times New Roman" w:eastAsia="宋体" w:cs="Times New Roman"/>
                <w:color w:val="auto"/>
                <w:sz w:val="24"/>
                <w:szCs w:val="24"/>
                <w:u w:val="none"/>
                <w:lang w:val="zh-CN"/>
              </w:rPr>
              <w:t>《产业结构调整指导目录（20</w:t>
            </w:r>
            <w:r>
              <w:rPr>
                <w:rFonts w:hint="eastAsia" w:cs="Times New Roman"/>
                <w:color w:val="auto"/>
                <w:sz w:val="24"/>
                <w:szCs w:val="24"/>
                <w:u w:val="none"/>
                <w:lang w:val="en-US" w:eastAsia="zh-CN"/>
              </w:rPr>
              <w:t>24</w:t>
            </w:r>
            <w:r>
              <w:rPr>
                <w:rFonts w:hint="eastAsia" w:ascii="Times New Roman" w:hAnsi="Times New Roman" w:eastAsia="宋体" w:cs="Times New Roman"/>
                <w:color w:val="auto"/>
                <w:sz w:val="24"/>
                <w:szCs w:val="24"/>
                <w:u w:val="none"/>
                <w:lang w:val="zh-CN"/>
              </w:rPr>
              <w:t>年本）》，该项目</w:t>
            </w:r>
            <w:r>
              <w:rPr>
                <w:rFonts w:hint="eastAsia" w:ascii="Times New Roman" w:hAnsi="Times New Roman" w:eastAsia="宋体" w:cs="Times New Roman"/>
                <w:b w:val="0"/>
                <w:bCs w:val="0"/>
                <w:color w:val="auto"/>
                <w:sz w:val="24"/>
                <w:szCs w:val="24"/>
                <w:u w:val="none"/>
                <w:lang w:val="en-US" w:eastAsia="zh-CN"/>
              </w:rPr>
              <w:t>瓦斯发电</w:t>
            </w:r>
            <w:r>
              <w:rPr>
                <w:rFonts w:hint="eastAsia" w:ascii="Times New Roman" w:hAnsi="Times New Roman" w:eastAsia="宋体" w:cs="Times New Roman"/>
                <w:color w:val="auto"/>
                <w:sz w:val="24"/>
                <w:u w:val="none"/>
              </w:rPr>
              <w:t>不属于“限制类”和“淘汰类”</w:t>
            </w:r>
            <w:r>
              <w:rPr>
                <w:rFonts w:hint="eastAsia" w:ascii="Times New Roman" w:hAnsi="Times New Roman" w:eastAsia="宋体" w:cs="Times New Roman"/>
                <w:color w:val="auto"/>
                <w:sz w:val="24"/>
                <w:u w:val="none"/>
                <w:lang w:eastAsia="zh-CN"/>
              </w:rPr>
              <w:t>，</w:t>
            </w:r>
            <w:r>
              <w:rPr>
                <w:rFonts w:hint="eastAsia" w:ascii="Times New Roman" w:hAnsi="Times New Roman" w:eastAsia="宋体" w:cs="Times New Roman"/>
                <w:color w:val="auto"/>
                <w:sz w:val="24"/>
                <w:szCs w:val="24"/>
                <w:u w:val="none"/>
                <w:lang w:val="zh-CN"/>
              </w:rPr>
              <w:t>属于</w:t>
            </w:r>
            <w:r>
              <w:rPr>
                <w:rFonts w:hint="eastAsia" w:ascii="Times New Roman" w:hAnsi="Times New Roman" w:eastAsia="宋体" w:cs="Times New Roman"/>
                <w:color w:val="auto"/>
                <w:sz w:val="24"/>
                <w:u w:val="none"/>
              </w:rPr>
              <w:t>“</w:t>
            </w:r>
            <w:r>
              <w:rPr>
                <w:rFonts w:hint="eastAsia" w:ascii="Times New Roman" w:hAnsi="Times New Roman" w:eastAsia="宋体" w:cs="Times New Roman"/>
                <w:color w:val="auto"/>
                <w:sz w:val="24"/>
                <w:szCs w:val="24"/>
                <w:u w:val="none"/>
                <w:lang w:val="en-US" w:eastAsia="zh-CN"/>
              </w:rPr>
              <w:t>鼓励类</w:t>
            </w:r>
            <w:r>
              <w:rPr>
                <w:rFonts w:hint="eastAsia" w:ascii="Times New Roman" w:hAnsi="Times New Roman" w:eastAsia="宋体" w:cs="Times New Roman"/>
                <w:color w:val="auto"/>
                <w:sz w:val="24"/>
                <w:u w:val="none"/>
              </w:rPr>
              <w:t>”</w:t>
            </w:r>
            <w:r>
              <w:rPr>
                <w:rFonts w:hint="eastAsia" w:ascii="Times New Roman" w:hAnsi="Times New Roman" w:eastAsia="宋体" w:cs="Times New Roman"/>
                <w:color w:val="auto"/>
                <w:spacing w:val="0"/>
                <w:w w:val="100"/>
                <w:kern w:val="2"/>
                <w:position w:val="0"/>
                <w:sz w:val="24"/>
                <w:szCs w:val="24"/>
                <w:highlight w:val="none"/>
                <w:u w:val="none"/>
                <w:lang w:eastAsia="zh-CN"/>
              </w:rPr>
              <w:t>第</w:t>
            </w:r>
            <w:r>
              <w:rPr>
                <w:rFonts w:hint="eastAsia" w:ascii="Times New Roman" w:hAnsi="Times New Roman" w:eastAsia="宋体" w:cs="Times New Roman"/>
                <w:color w:val="auto"/>
                <w:spacing w:val="0"/>
                <w:w w:val="100"/>
                <w:kern w:val="2"/>
                <w:position w:val="0"/>
                <w:sz w:val="24"/>
                <w:szCs w:val="24"/>
                <w:highlight w:val="none"/>
                <w:u w:val="none"/>
                <w:lang w:val="en-US" w:eastAsia="zh-CN"/>
              </w:rPr>
              <w:t>四条</w:t>
            </w:r>
            <w:r>
              <w:rPr>
                <w:rFonts w:hint="eastAsia" w:ascii="Times New Roman" w:hAnsi="Times New Roman" w:eastAsia="宋体" w:cs="Times New Roman"/>
                <w:color w:val="auto"/>
                <w:spacing w:val="0"/>
                <w:w w:val="100"/>
                <w:kern w:val="2"/>
                <w:position w:val="0"/>
                <w:sz w:val="24"/>
                <w:szCs w:val="24"/>
                <w:highlight w:val="none"/>
                <w:u w:val="none"/>
                <w:lang w:eastAsia="zh-CN"/>
              </w:rPr>
              <w:t>第</w:t>
            </w:r>
            <w:r>
              <w:rPr>
                <w:rFonts w:hint="eastAsia" w:cs="Times New Roman"/>
                <w:color w:val="auto"/>
                <w:spacing w:val="0"/>
                <w:w w:val="100"/>
                <w:kern w:val="2"/>
                <w:position w:val="0"/>
                <w:sz w:val="24"/>
                <w:szCs w:val="24"/>
                <w:highlight w:val="none"/>
                <w:u w:val="none"/>
                <w:lang w:val="en-US" w:eastAsia="zh-CN"/>
              </w:rPr>
              <w:t>一</w:t>
            </w:r>
            <w:r>
              <w:rPr>
                <w:rFonts w:hint="eastAsia" w:ascii="Times New Roman" w:hAnsi="Times New Roman" w:eastAsia="宋体" w:cs="Times New Roman"/>
                <w:color w:val="auto"/>
                <w:spacing w:val="0"/>
                <w:w w:val="100"/>
                <w:kern w:val="2"/>
                <w:position w:val="0"/>
                <w:sz w:val="24"/>
                <w:szCs w:val="24"/>
                <w:highlight w:val="none"/>
                <w:u w:val="none"/>
                <w:lang w:eastAsia="zh-CN"/>
              </w:rPr>
              <w:t>款，</w:t>
            </w:r>
            <w:r>
              <w:rPr>
                <w:rFonts w:hint="eastAsia" w:ascii="Times New Roman" w:hAnsi="Times New Roman" w:eastAsia="宋体" w:cs="Times New Roman"/>
                <w:color w:val="auto"/>
                <w:spacing w:val="0"/>
                <w:w w:val="100"/>
                <w:kern w:val="2"/>
                <w:position w:val="0"/>
                <w:sz w:val="24"/>
                <w:szCs w:val="24"/>
                <w:highlight w:val="none"/>
                <w:u w:val="none"/>
              </w:rPr>
              <w:t>符合国家的产业政策</w:t>
            </w:r>
            <w:r>
              <w:rPr>
                <w:rFonts w:hint="eastAsia" w:ascii="Times New Roman" w:hAnsi="Times New Roman" w:eastAsia="宋体" w:cs="Times New Roman"/>
                <w:color w:val="auto"/>
                <w:sz w:val="24"/>
                <w:szCs w:val="24"/>
                <w:u w:val="none"/>
                <w:lang w:val="zh-CN"/>
              </w:rPr>
              <w:t>；且项目已在</w:t>
            </w:r>
            <w:r>
              <w:rPr>
                <w:rFonts w:hint="eastAsia" w:cs="Times New Roman"/>
                <w:color w:val="auto"/>
                <w:kern w:val="0"/>
                <w:sz w:val="24"/>
                <w:szCs w:val="24"/>
                <w:u w:val="none"/>
                <w:lang w:val="en-US" w:eastAsia="zh-CN"/>
              </w:rPr>
              <w:t>叶县发展和改革委员会</w:t>
            </w:r>
            <w:r>
              <w:rPr>
                <w:rFonts w:hint="eastAsia" w:ascii="Times New Roman" w:hAnsi="Times New Roman" w:eastAsia="宋体" w:cs="Times New Roman"/>
                <w:color w:val="auto"/>
                <w:sz w:val="24"/>
                <w:szCs w:val="24"/>
                <w:u w:val="none"/>
                <w:lang w:val="zh-CN"/>
              </w:rPr>
              <w:t>备案，</w:t>
            </w:r>
            <w:r>
              <w:rPr>
                <w:rFonts w:hint="eastAsia" w:ascii="Times New Roman" w:hAnsi="Times New Roman" w:eastAsia="宋体" w:cs="Times New Roman"/>
                <w:color w:val="auto"/>
                <w:sz w:val="24"/>
                <w:szCs w:val="24"/>
                <w:highlight w:val="none"/>
                <w:u w:val="none"/>
                <w:lang w:val="zh-CN"/>
              </w:rPr>
              <w:t>项目代码：</w:t>
            </w:r>
            <w:r>
              <w:rPr>
                <w:rFonts w:hint="eastAsia" w:cs="Times New Roman"/>
                <w:color w:val="auto"/>
                <w:sz w:val="24"/>
                <w:szCs w:val="24"/>
                <w:u w:val="none"/>
                <w:lang w:val="en-US" w:eastAsia="zh-CN"/>
              </w:rPr>
              <w:t>2303-410422-04-01-244302</w:t>
            </w:r>
            <w:r>
              <w:rPr>
                <w:rFonts w:hint="eastAsia" w:ascii="Times New Roman" w:hAnsi="Times New Roman" w:eastAsia="宋体" w:cs="Times New Roman"/>
                <w:color w:val="auto"/>
                <w:spacing w:val="0"/>
                <w:w w:val="100"/>
                <w:kern w:val="2"/>
                <w:position w:val="0"/>
                <w:sz w:val="24"/>
                <w:szCs w:val="24"/>
                <w:highlight w:val="none"/>
                <w:u w:val="none"/>
              </w:rPr>
              <w:t>，故</w:t>
            </w:r>
            <w:r>
              <w:rPr>
                <w:rFonts w:hint="eastAsia" w:ascii="Times New Roman" w:hAnsi="Times New Roman" w:eastAsia="宋体" w:cs="Times New Roman"/>
                <w:color w:val="auto"/>
                <w:sz w:val="24"/>
                <w:u w:val="none"/>
              </w:rPr>
              <w:t>本项目符合国家当前产业政策。</w:t>
            </w:r>
          </w:p>
          <w:p w14:paraId="77E3954C">
            <w:pPr>
              <w:pStyle w:val="31"/>
              <w:keepNext w:val="0"/>
              <w:keepLines w:val="0"/>
              <w:pageBreakBefore w:val="0"/>
              <w:widowControl w:val="0"/>
              <w:kinsoku/>
              <w:wordWrap/>
              <w:overflowPunct/>
              <w:topLinePunct w:val="0"/>
              <w:autoSpaceDE/>
              <w:autoSpaceDN/>
              <w:bidi w:val="0"/>
              <w:adjustRightInd/>
              <w:snapToGrid w:val="0"/>
              <w:spacing w:after="0" w:line="500" w:lineRule="exact"/>
              <w:ind w:left="0" w:leftChars="0" w:firstLine="482" w:firstLineChars="200"/>
              <w:textAlignment w:val="auto"/>
              <w:rPr>
                <w:rFonts w:hint="eastAsia" w:ascii="Times New Roman" w:hAnsi="Times New Roman" w:eastAsia="宋体" w:cs="Times New Roman"/>
                <w:b/>
                <w:bCs/>
                <w:color w:val="auto"/>
                <w:kern w:val="28"/>
                <w:sz w:val="24"/>
                <w:szCs w:val="24"/>
                <w:u w:val="none"/>
                <w:lang w:val="en-US" w:eastAsia="zh-CN" w:bidi="ar-SA"/>
              </w:rPr>
            </w:pPr>
            <w:r>
              <w:rPr>
                <w:rFonts w:hint="eastAsia" w:ascii="Times New Roman" w:hAnsi="Times New Roman" w:eastAsia="宋体" w:cs="Times New Roman"/>
                <w:b/>
                <w:bCs/>
                <w:color w:val="auto"/>
                <w:kern w:val="28"/>
                <w:sz w:val="24"/>
                <w:szCs w:val="24"/>
                <w:u w:val="none"/>
                <w:lang w:val="en-US" w:eastAsia="zh-CN" w:bidi="ar-SA"/>
              </w:rPr>
              <w:t>1</w:t>
            </w:r>
            <w:r>
              <w:rPr>
                <w:rFonts w:hint="eastAsia" w:ascii="Times New Roman" w:hAnsi="Times New Roman" w:cs="Times New Roman"/>
                <w:b/>
                <w:bCs/>
                <w:color w:val="auto"/>
                <w:kern w:val="28"/>
                <w:sz w:val="24"/>
                <w:szCs w:val="24"/>
                <w:u w:val="none"/>
                <w:lang w:val="en-US" w:eastAsia="zh-CN" w:bidi="ar-SA"/>
              </w:rPr>
              <w:t>.2</w:t>
            </w:r>
            <w:r>
              <w:rPr>
                <w:rFonts w:hint="eastAsia" w:ascii="Times New Roman" w:hAnsi="Times New Roman" w:eastAsia="宋体" w:cs="Times New Roman"/>
                <w:b/>
                <w:bCs/>
                <w:color w:val="auto"/>
                <w:kern w:val="28"/>
                <w:sz w:val="24"/>
                <w:szCs w:val="24"/>
                <w:u w:val="none"/>
                <w:lang w:val="en-US" w:eastAsia="zh-CN" w:bidi="ar-SA"/>
              </w:rPr>
              <w:t>与项目备案相符性分析</w:t>
            </w:r>
          </w:p>
          <w:p w14:paraId="2E5E2B28">
            <w:pPr>
              <w:pStyle w:val="31"/>
              <w:keepNext w:val="0"/>
              <w:keepLines w:val="0"/>
              <w:pageBreakBefore w:val="0"/>
              <w:widowControl w:val="0"/>
              <w:kinsoku/>
              <w:wordWrap/>
              <w:overflowPunct/>
              <w:topLinePunct w:val="0"/>
              <w:autoSpaceDE/>
              <w:autoSpaceDN/>
              <w:bidi w:val="0"/>
              <w:adjustRightInd/>
              <w:snapToGrid w:val="0"/>
              <w:spacing w:after="0" w:line="500" w:lineRule="exact"/>
              <w:ind w:left="0" w:leftChars="0" w:firstLine="480" w:firstLineChars="200"/>
              <w:textAlignment w:val="auto"/>
              <w:rPr>
                <w:rFonts w:hint="eastAsia" w:ascii="Times New Roman" w:hAnsi="Times New Roman" w:eastAsia="宋体" w:cs="Times New Roman"/>
                <w:color w:val="auto"/>
                <w:kern w:val="0"/>
                <w:sz w:val="24"/>
                <w:szCs w:val="24"/>
                <w:u w:val="none"/>
                <w:lang w:val="en-US" w:eastAsia="zh-CN" w:bidi="ar-SA"/>
              </w:rPr>
            </w:pPr>
            <w:r>
              <w:rPr>
                <w:rFonts w:hint="eastAsia" w:ascii="Times New Roman" w:hAnsi="Times New Roman" w:eastAsia="宋体" w:cs="Times New Roman"/>
                <w:color w:val="auto"/>
                <w:kern w:val="0"/>
                <w:sz w:val="24"/>
                <w:szCs w:val="24"/>
                <w:u w:val="none"/>
                <w:lang w:val="en-US" w:eastAsia="zh-CN" w:bidi="ar-SA"/>
              </w:rPr>
              <w:t>目前该项目已经</w:t>
            </w:r>
            <w:r>
              <w:rPr>
                <w:rFonts w:hint="eastAsia" w:ascii="Times New Roman" w:hAnsi="Times New Roman" w:eastAsia="宋体" w:cs="Times New Roman"/>
                <w:color w:val="auto"/>
                <w:kern w:val="0"/>
                <w:sz w:val="24"/>
                <w:szCs w:val="24"/>
                <w:u w:val="none"/>
                <w:lang w:val="en-US" w:eastAsia="zh-CN"/>
              </w:rPr>
              <w:t>通过</w:t>
            </w:r>
            <w:r>
              <w:rPr>
                <w:rFonts w:hint="eastAsia" w:cs="Times New Roman"/>
                <w:color w:val="auto"/>
                <w:kern w:val="0"/>
                <w:sz w:val="24"/>
                <w:szCs w:val="24"/>
                <w:u w:val="none"/>
                <w:lang w:val="en-US" w:eastAsia="zh-CN"/>
              </w:rPr>
              <w:t>叶县发展和改革委员会</w:t>
            </w:r>
            <w:r>
              <w:rPr>
                <w:rFonts w:hint="eastAsia" w:ascii="Times New Roman" w:hAnsi="Times New Roman" w:cs="Times New Roman"/>
                <w:color w:val="auto"/>
                <w:kern w:val="0"/>
                <w:sz w:val="24"/>
                <w:szCs w:val="24"/>
                <w:u w:val="none"/>
                <w:lang w:val="en-US" w:eastAsia="zh-CN"/>
              </w:rPr>
              <w:t>进行备案</w:t>
            </w:r>
            <w:r>
              <w:rPr>
                <w:rFonts w:hint="eastAsia" w:ascii="Times New Roman" w:hAnsi="Times New Roman" w:eastAsia="宋体" w:cs="Times New Roman"/>
                <w:color w:val="auto"/>
                <w:kern w:val="0"/>
                <w:sz w:val="24"/>
                <w:szCs w:val="24"/>
                <w:u w:val="none"/>
                <w:lang w:val="en-US" w:eastAsia="zh-CN" w:bidi="ar-SA"/>
              </w:rPr>
              <w:t>（见附件1），</w:t>
            </w:r>
            <w:r>
              <w:rPr>
                <w:rFonts w:hint="eastAsia" w:ascii="Times New Roman" w:hAnsi="Times New Roman" w:eastAsia="宋体" w:cs="Times New Roman"/>
                <w:color w:val="auto"/>
                <w:kern w:val="0"/>
                <w:sz w:val="24"/>
                <w:szCs w:val="24"/>
                <w:highlight w:val="none"/>
                <w:u w:val="none"/>
                <w:lang w:val="en-US" w:eastAsia="zh-CN" w:bidi="ar-SA"/>
              </w:rPr>
              <w:t>项目代码</w:t>
            </w:r>
            <w:r>
              <w:rPr>
                <w:rFonts w:hint="eastAsia" w:cs="Times New Roman"/>
                <w:color w:val="auto"/>
                <w:sz w:val="24"/>
                <w:szCs w:val="24"/>
                <w:highlight w:val="none"/>
                <w:u w:val="none"/>
                <w:lang w:val="en-US" w:eastAsia="zh-CN"/>
              </w:rPr>
              <w:t>2303-410422-04-01-244302</w:t>
            </w:r>
            <w:r>
              <w:rPr>
                <w:rFonts w:hint="eastAsia" w:ascii="Times New Roman" w:hAnsi="Times New Roman" w:eastAsia="宋体" w:cs="Times New Roman"/>
                <w:color w:val="auto"/>
                <w:kern w:val="0"/>
                <w:sz w:val="24"/>
                <w:szCs w:val="24"/>
                <w:u w:val="none"/>
                <w:lang w:val="en-US" w:eastAsia="zh-CN" w:bidi="ar-SA"/>
              </w:rPr>
              <w:t>。项目建设内容与备案相符性分析一览表如下所示。</w:t>
            </w:r>
          </w:p>
          <w:p w14:paraId="07ACD6E6">
            <w:pPr>
              <w:pStyle w:val="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黑体" w:cs="Times New Roman"/>
                <w:color w:val="auto"/>
                <w:kern w:val="2"/>
                <w:sz w:val="24"/>
                <w:szCs w:val="24"/>
                <w:u w:val="none"/>
                <w:lang w:val="en-US" w:eastAsia="zh-CN" w:bidi="ar-SA"/>
              </w:rPr>
            </w:pPr>
            <w:r>
              <w:rPr>
                <w:rFonts w:hint="eastAsia" w:ascii="Times New Roman" w:hAnsi="Times New Roman" w:eastAsia="黑体" w:cs="Times New Roman"/>
                <w:color w:val="auto"/>
                <w:kern w:val="2"/>
                <w:sz w:val="24"/>
                <w:szCs w:val="24"/>
                <w:u w:val="none"/>
                <w:lang w:val="en-US" w:eastAsia="zh-CN" w:bidi="ar-SA"/>
              </w:rPr>
              <w:t>表</w:t>
            </w:r>
            <w:r>
              <w:rPr>
                <w:rFonts w:hint="eastAsia" w:eastAsia="黑体" w:cs="Times New Roman"/>
                <w:color w:val="auto"/>
                <w:kern w:val="2"/>
                <w:sz w:val="24"/>
                <w:szCs w:val="24"/>
                <w:u w:val="none"/>
                <w:lang w:val="en-US" w:eastAsia="zh-CN" w:bidi="ar-SA"/>
              </w:rPr>
              <w:t>1-2</w:t>
            </w:r>
            <w:r>
              <w:rPr>
                <w:rFonts w:hint="eastAsia" w:ascii="Times New Roman" w:hAnsi="Times New Roman" w:eastAsia="黑体" w:cs="Times New Roman"/>
                <w:color w:val="auto"/>
                <w:kern w:val="2"/>
                <w:sz w:val="24"/>
                <w:szCs w:val="24"/>
                <w:u w:val="none"/>
                <w:lang w:val="en-US" w:eastAsia="zh-CN" w:bidi="ar-SA"/>
              </w:rPr>
              <w:t xml:space="preserve"> 项目建设内容与备案相符性分析一览表</w:t>
            </w:r>
          </w:p>
          <w:tbl>
            <w:tblPr>
              <w:tblStyle w:val="32"/>
              <w:tblW w:w="8138"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51" w:type="dxa"/>
                <w:bottom w:w="0" w:type="dxa"/>
                <w:right w:w="51" w:type="dxa"/>
              </w:tblCellMar>
            </w:tblPr>
            <w:tblGrid>
              <w:gridCol w:w="1143"/>
              <w:gridCol w:w="2934"/>
              <w:gridCol w:w="2955"/>
              <w:gridCol w:w="1106"/>
            </w:tblGrid>
            <w:tr w14:paraId="4E417E6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505" w:hRule="atLeast"/>
                <w:jc w:val="center"/>
              </w:trPr>
              <w:tc>
                <w:tcPr>
                  <w:tcW w:w="1143" w:type="dxa"/>
                  <w:tcBorders>
                    <w:tl2br w:val="nil"/>
                    <w:tr2bl w:val="nil"/>
                  </w:tcBorders>
                  <w:vAlign w:val="center"/>
                </w:tcPr>
                <w:p w14:paraId="05E37D32">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b/>
                      <w:bCs/>
                      <w:color w:val="auto"/>
                      <w:sz w:val="21"/>
                      <w:szCs w:val="21"/>
                      <w:u w:val="none"/>
                    </w:rPr>
                  </w:pPr>
                  <w:r>
                    <w:rPr>
                      <w:rFonts w:hint="eastAsia" w:asciiTheme="minorEastAsia" w:hAnsiTheme="minorEastAsia" w:eastAsiaTheme="minorEastAsia" w:cstheme="minorEastAsia"/>
                      <w:b/>
                      <w:bCs/>
                      <w:color w:val="auto"/>
                      <w:sz w:val="21"/>
                      <w:szCs w:val="21"/>
                      <w:u w:val="none"/>
                    </w:rPr>
                    <w:t>项目</w:t>
                  </w:r>
                </w:p>
              </w:tc>
              <w:tc>
                <w:tcPr>
                  <w:tcW w:w="2934" w:type="dxa"/>
                  <w:tcBorders>
                    <w:tl2br w:val="nil"/>
                    <w:tr2bl w:val="nil"/>
                  </w:tcBorders>
                  <w:vAlign w:val="center"/>
                </w:tcPr>
                <w:p w14:paraId="0ADED8B9">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b/>
                      <w:bCs/>
                      <w:color w:val="auto"/>
                      <w:sz w:val="21"/>
                      <w:szCs w:val="21"/>
                      <w:u w:val="none"/>
                    </w:rPr>
                  </w:pPr>
                  <w:r>
                    <w:rPr>
                      <w:rFonts w:hint="eastAsia" w:asciiTheme="minorEastAsia" w:hAnsiTheme="minorEastAsia" w:eastAsiaTheme="minorEastAsia" w:cstheme="minorEastAsia"/>
                      <w:b/>
                      <w:bCs/>
                      <w:color w:val="auto"/>
                      <w:sz w:val="21"/>
                      <w:szCs w:val="21"/>
                      <w:u w:val="none"/>
                    </w:rPr>
                    <w:t>备案内容</w:t>
                  </w:r>
                </w:p>
              </w:tc>
              <w:tc>
                <w:tcPr>
                  <w:tcW w:w="2955" w:type="dxa"/>
                  <w:tcBorders>
                    <w:tl2br w:val="nil"/>
                    <w:tr2bl w:val="nil"/>
                  </w:tcBorders>
                  <w:vAlign w:val="center"/>
                </w:tcPr>
                <w:p w14:paraId="6587B5E4">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b/>
                      <w:bCs/>
                      <w:color w:val="auto"/>
                      <w:sz w:val="21"/>
                      <w:szCs w:val="21"/>
                      <w:u w:val="none"/>
                    </w:rPr>
                  </w:pPr>
                  <w:r>
                    <w:rPr>
                      <w:rFonts w:hint="eastAsia" w:asciiTheme="minorEastAsia" w:hAnsiTheme="minorEastAsia" w:eastAsiaTheme="minorEastAsia" w:cstheme="minorEastAsia"/>
                      <w:b/>
                      <w:bCs/>
                      <w:color w:val="auto"/>
                      <w:sz w:val="21"/>
                      <w:szCs w:val="21"/>
                      <w:u w:val="none"/>
                    </w:rPr>
                    <w:t>建设内容</w:t>
                  </w:r>
                </w:p>
              </w:tc>
              <w:tc>
                <w:tcPr>
                  <w:tcW w:w="1106" w:type="dxa"/>
                  <w:tcBorders>
                    <w:tl2br w:val="nil"/>
                    <w:tr2bl w:val="nil"/>
                  </w:tcBorders>
                  <w:vAlign w:val="center"/>
                </w:tcPr>
                <w:p w14:paraId="77A6FAA8">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b/>
                      <w:bCs/>
                      <w:color w:val="auto"/>
                      <w:sz w:val="21"/>
                      <w:szCs w:val="21"/>
                      <w:u w:val="none"/>
                    </w:rPr>
                  </w:pPr>
                  <w:r>
                    <w:rPr>
                      <w:rFonts w:hint="eastAsia" w:asciiTheme="minorEastAsia" w:hAnsiTheme="minorEastAsia" w:eastAsiaTheme="minorEastAsia" w:cstheme="minorEastAsia"/>
                      <w:b/>
                      <w:bCs/>
                      <w:color w:val="auto"/>
                      <w:sz w:val="21"/>
                      <w:szCs w:val="21"/>
                      <w:u w:val="none"/>
                    </w:rPr>
                    <w:t>是否符合</w:t>
                  </w:r>
                </w:p>
              </w:tc>
            </w:tr>
            <w:tr w14:paraId="4FCD275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76" w:hRule="atLeast"/>
                <w:jc w:val="center"/>
              </w:trPr>
              <w:tc>
                <w:tcPr>
                  <w:tcW w:w="1143" w:type="dxa"/>
                  <w:tcBorders>
                    <w:tl2br w:val="nil"/>
                    <w:tr2bl w:val="nil"/>
                  </w:tcBorders>
                  <w:vAlign w:val="center"/>
                </w:tcPr>
                <w:p w14:paraId="4B4D0C4E">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rPr>
                  </w:pPr>
                  <w:r>
                    <w:rPr>
                      <w:rFonts w:hint="eastAsia" w:asciiTheme="minorEastAsia" w:hAnsiTheme="minorEastAsia" w:eastAsiaTheme="minorEastAsia" w:cstheme="minorEastAsia"/>
                      <w:color w:val="auto"/>
                      <w:sz w:val="21"/>
                      <w:szCs w:val="21"/>
                      <w:u w:val="none"/>
                    </w:rPr>
                    <w:t>建设单位</w:t>
                  </w:r>
                </w:p>
              </w:tc>
              <w:tc>
                <w:tcPr>
                  <w:tcW w:w="2934" w:type="dxa"/>
                  <w:tcBorders>
                    <w:tl2br w:val="nil"/>
                    <w:tr2bl w:val="nil"/>
                  </w:tcBorders>
                  <w:vAlign w:val="center"/>
                </w:tcPr>
                <w:p w14:paraId="616F6A3C">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lang w:val="en-US" w:eastAsia="zh-CN"/>
                    </w:rPr>
                  </w:pPr>
                  <w:r>
                    <w:rPr>
                      <w:rFonts w:hint="eastAsia" w:asciiTheme="minorEastAsia" w:hAnsiTheme="minorEastAsia" w:eastAsiaTheme="minorEastAsia" w:cstheme="minorEastAsia"/>
                      <w:color w:val="auto"/>
                      <w:sz w:val="21"/>
                      <w:szCs w:val="21"/>
                      <w:u w:val="none"/>
                      <w:lang w:val="en-US" w:eastAsia="zh-CN"/>
                    </w:rPr>
                    <w:t>平煤煌龙新能源有限公司</w:t>
                  </w:r>
                </w:p>
              </w:tc>
              <w:tc>
                <w:tcPr>
                  <w:tcW w:w="2955" w:type="dxa"/>
                  <w:tcBorders>
                    <w:tl2br w:val="nil"/>
                    <w:tr2bl w:val="nil"/>
                  </w:tcBorders>
                  <w:shd w:val="clear" w:color="auto" w:fill="auto"/>
                  <w:vAlign w:val="center"/>
                </w:tcPr>
                <w:p w14:paraId="6D955EF7">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kern w:val="2"/>
                      <w:sz w:val="21"/>
                      <w:szCs w:val="21"/>
                      <w:u w:val="none"/>
                      <w:lang w:val="en-US" w:eastAsia="zh-CN" w:bidi="ar-SA"/>
                    </w:rPr>
                  </w:pPr>
                  <w:r>
                    <w:rPr>
                      <w:rFonts w:hint="eastAsia" w:asciiTheme="minorEastAsia" w:hAnsiTheme="minorEastAsia" w:eastAsiaTheme="minorEastAsia" w:cstheme="minorEastAsia"/>
                      <w:color w:val="auto"/>
                      <w:sz w:val="21"/>
                      <w:szCs w:val="21"/>
                      <w:u w:val="none"/>
                      <w:lang w:val="en-US" w:eastAsia="zh-CN"/>
                    </w:rPr>
                    <w:t>河南超蓝能源科技有限公司</w:t>
                  </w:r>
                </w:p>
              </w:tc>
              <w:tc>
                <w:tcPr>
                  <w:tcW w:w="1106" w:type="dxa"/>
                  <w:tcBorders>
                    <w:tl2br w:val="nil"/>
                    <w:tr2bl w:val="nil"/>
                  </w:tcBorders>
                  <w:shd w:val="clear" w:color="auto" w:fill="auto"/>
                  <w:vAlign w:val="center"/>
                </w:tcPr>
                <w:p w14:paraId="4474F0F7">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kern w:val="2"/>
                      <w:sz w:val="21"/>
                      <w:szCs w:val="21"/>
                      <w:u w:val="none"/>
                      <w:lang w:val="en-US" w:eastAsia="zh-CN" w:bidi="ar-SA"/>
                    </w:rPr>
                  </w:pPr>
                  <w:r>
                    <w:rPr>
                      <w:rFonts w:hint="eastAsia" w:cs="Times New Roman"/>
                      <w:sz w:val="21"/>
                      <w:szCs w:val="21"/>
                      <w:u w:val="none"/>
                      <w:lang w:val="en-US" w:eastAsia="zh-CN"/>
                    </w:rPr>
                    <w:t>基本符合</w:t>
                  </w:r>
                  <w:r>
                    <w:rPr>
                      <w:rFonts w:hint="eastAsia" w:cs="Times New Roman"/>
                      <w:sz w:val="21"/>
                      <w:szCs w:val="21"/>
                      <w:u w:val="none"/>
                      <w:lang w:eastAsia="zh-CN"/>
                    </w:rPr>
                    <w:t>，</w:t>
                  </w:r>
                  <w:r>
                    <w:rPr>
                      <w:rFonts w:hint="eastAsia" w:cs="Times New Roman"/>
                      <w:sz w:val="21"/>
                      <w:szCs w:val="21"/>
                      <w:u w:val="none"/>
                      <w:lang w:val="en-US" w:eastAsia="zh-CN"/>
                    </w:rPr>
                    <w:t>附件已说明公司名称变化缘由</w:t>
                  </w:r>
                </w:p>
              </w:tc>
            </w:tr>
            <w:tr w14:paraId="5C26D01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811" w:hRule="atLeast"/>
                <w:jc w:val="center"/>
              </w:trPr>
              <w:tc>
                <w:tcPr>
                  <w:tcW w:w="1143" w:type="dxa"/>
                  <w:tcBorders>
                    <w:tl2br w:val="nil"/>
                    <w:tr2bl w:val="nil"/>
                  </w:tcBorders>
                  <w:vAlign w:val="center"/>
                </w:tcPr>
                <w:p w14:paraId="5EFE077F">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lang w:eastAsia="zh-CN"/>
                    </w:rPr>
                  </w:pPr>
                  <w:r>
                    <w:rPr>
                      <w:rFonts w:hint="eastAsia" w:asciiTheme="minorEastAsia" w:hAnsiTheme="minorEastAsia" w:eastAsiaTheme="minorEastAsia" w:cstheme="minorEastAsia"/>
                      <w:color w:val="auto"/>
                      <w:sz w:val="21"/>
                      <w:szCs w:val="21"/>
                      <w:u w:val="none"/>
                      <w:lang w:eastAsia="zh-CN"/>
                    </w:rPr>
                    <w:t>项目名称</w:t>
                  </w:r>
                </w:p>
              </w:tc>
              <w:tc>
                <w:tcPr>
                  <w:tcW w:w="2934" w:type="dxa"/>
                  <w:tcBorders>
                    <w:tl2br w:val="nil"/>
                    <w:tr2bl w:val="nil"/>
                  </w:tcBorders>
                  <w:vAlign w:val="center"/>
                </w:tcPr>
                <w:p w14:paraId="55CAB57A">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lang w:val="en-US" w:eastAsia="zh-CN"/>
                    </w:rPr>
                  </w:pPr>
                  <w:r>
                    <w:rPr>
                      <w:rFonts w:hint="eastAsia" w:asciiTheme="minorEastAsia" w:hAnsiTheme="minorEastAsia" w:eastAsiaTheme="minorEastAsia" w:cstheme="minorEastAsia"/>
                      <w:color w:val="auto"/>
                      <w:sz w:val="21"/>
                      <w:szCs w:val="21"/>
                      <w:u w:val="none"/>
                      <w:lang w:val="en-US" w:eastAsia="zh-CN"/>
                    </w:rPr>
                    <w:t>平煤煌龙新能源有限公司八矿二井瓦斯发电站新建项目</w:t>
                  </w:r>
                </w:p>
              </w:tc>
              <w:tc>
                <w:tcPr>
                  <w:tcW w:w="2955" w:type="dxa"/>
                  <w:tcBorders>
                    <w:tl2br w:val="nil"/>
                    <w:tr2bl w:val="nil"/>
                  </w:tcBorders>
                  <w:vAlign w:val="center"/>
                </w:tcPr>
                <w:p w14:paraId="190E9078">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lang w:val="en-US" w:eastAsia="zh-CN"/>
                    </w:rPr>
                  </w:pPr>
                  <w:r>
                    <w:rPr>
                      <w:rFonts w:hint="eastAsia" w:asciiTheme="minorEastAsia" w:hAnsiTheme="minorEastAsia" w:eastAsiaTheme="minorEastAsia" w:cstheme="minorEastAsia"/>
                      <w:color w:val="auto"/>
                      <w:sz w:val="21"/>
                      <w:szCs w:val="21"/>
                      <w:u w:val="none"/>
                      <w:lang w:val="en-US" w:eastAsia="zh-CN"/>
                    </w:rPr>
                    <w:t>平煤煌龙新能源有限公司八矿二井瓦斯发电站新建项目</w:t>
                  </w:r>
                </w:p>
              </w:tc>
              <w:tc>
                <w:tcPr>
                  <w:tcW w:w="1106" w:type="dxa"/>
                  <w:tcBorders>
                    <w:tl2br w:val="nil"/>
                    <w:tr2bl w:val="nil"/>
                  </w:tcBorders>
                  <w:vAlign w:val="center"/>
                </w:tcPr>
                <w:p w14:paraId="152A3E6E">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lang w:eastAsia="zh-CN"/>
                    </w:rPr>
                  </w:pPr>
                  <w:r>
                    <w:rPr>
                      <w:rFonts w:hint="eastAsia" w:asciiTheme="minorEastAsia" w:hAnsiTheme="minorEastAsia" w:eastAsiaTheme="minorEastAsia" w:cstheme="minorEastAsia"/>
                      <w:color w:val="auto"/>
                      <w:sz w:val="21"/>
                      <w:szCs w:val="21"/>
                      <w:u w:val="none"/>
                      <w:lang w:eastAsia="zh-CN"/>
                    </w:rPr>
                    <w:t>符合</w:t>
                  </w:r>
                </w:p>
              </w:tc>
            </w:tr>
            <w:tr w14:paraId="096CC9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583" w:hRule="atLeast"/>
                <w:jc w:val="center"/>
              </w:trPr>
              <w:tc>
                <w:tcPr>
                  <w:tcW w:w="1143" w:type="dxa"/>
                  <w:tcBorders>
                    <w:tl2br w:val="nil"/>
                    <w:tr2bl w:val="nil"/>
                  </w:tcBorders>
                  <w:vAlign w:val="center"/>
                </w:tcPr>
                <w:p w14:paraId="34451844">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rPr>
                  </w:pPr>
                  <w:r>
                    <w:rPr>
                      <w:rFonts w:hint="eastAsia" w:asciiTheme="minorEastAsia" w:hAnsiTheme="minorEastAsia" w:eastAsiaTheme="minorEastAsia" w:cstheme="minorEastAsia"/>
                      <w:color w:val="auto"/>
                      <w:sz w:val="21"/>
                      <w:szCs w:val="21"/>
                      <w:u w:val="none"/>
                    </w:rPr>
                    <w:t>建设地点</w:t>
                  </w:r>
                </w:p>
              </w:tc>
              <w:tc>
                <w:tcPr>
                  <w:tcW w:w="2934" w:type="dxa"/>
                  <w:tcBorders>
                    <w:tl2br w:val="nil"/>
                    <w:tr2bl w:val="nil"/>
                  </w:tcBorders>
                  <w:vAlign w:val="center"/>
                </w:tcPr>
                <w:p w14:paraId="2796F95D">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lang w:val="en-US" w:eastAsia="zh-CN"/>
                    </w:rPr>
                  </w:pPr>
                  <w:r>
                    <w:rPr>
                      <w:rFonts w:hint="eastAsia" w:asciiTheme="minorEastAsia" w:hAnsiTheme="minorEastAsia" w:eastAsiaTheme="minorEastAsia" w:cstheme="minorEastAsia"/>
                      <w:color w:val="auto"/>
                      <w:sz w:val="21"/>
                      <w:szCs w:val="21"/>
                      <w:u w:val="none"/>
                      <w:lang w:val="en-US" w:eastAsia="zh-CN"/>
                    </w:rPr>
                    <w:t>平顶山市叶县洪庄杨乡张集村、贾庄村</w:t>
                  </w:r>
                </w:p>
              </w:tc>
              <w:tc>
                <w:tcPr>
                  <w:tcW w:w="2955" w:type="dxa"/>
                  <w:tcBorders>
                    <w:tl2br w:val="nil"/>
                    <w:tr2bl w:val="nil"/>
                  </w:tcBorders>
                  <w:vAlign w:val="center"/>
                </w:tcPr>
                <w:p w14:paraId="566D025E">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lang w:val="en-US" w:eastAsia="zh-CN"/>
                    </w:rPr>
                  </w:pPr>
                  <w:r>
                    <w:rPr>
                      <w:rFonts w:hint="eastAsia" w:asciiTheme="minorEastAsia" w:hAnsiTheme="minorEastAsia" w:eastAsiaTheme="minorEastAsia" w:cstheme="minorEastAsia"/>
                      <w:color w:val="auto"/>
                      <w:sz w:val="21"/>
                      <w:szCs w:val="21"/>
                      <w:u w:val="none"/>
                      <w:lang w:val="en-US" w:eastAsia="zh-CN"/>
                    </w:rPr>
                    <w:t>平顶山市叶县洪庄杨乡张集村、贾庄村</w:t>
                  </w:r>
                </w:p>
              </w:tc>
              <w:tc>
                <w:tcPr>
                  <w:tcW w:w="1106" w:type="dxa"/>
                  <w:tcBorders>
                    <w:tl2br w:val="nil"/>
                    <w:tr2bl w:val="nil"/>
                  </w:tcBorders>
                  <w:vAlign w:val="center"/>
                </w:tcPr>
                <w:p w14:paraId="18CF5C77">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rPr>
                  </w:pPr>
                  <w:r>
                    <w:rPr>
                      <w:rFonts w:hint="eastAsia" w:asciiTheme="minorEastAsia" w:hAnsiTheme="minorEastAsia" w:eastAsiaTheme="minorEastAsia" w:cstheme="minorEastAsia"/>
                      <w:color w:val="auto"/>
                      <w:sz w:val="21"/>
                      <w:szCs w:val="21"/>
                      <w:u w:val="none"/>
                    </w:rPr>
                    <w:t>符合</w:t>
                  </w:r>
                </w:p>
              </w:tc>
            </w:tr>
            <w:tr w14:paraId="23FB956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61" w:hRule="atLeast"/>
                <w:jc w:val="center"/>
              </w:trPr>
              <w:tc>
                <w:tcPr>
                  <w:tcW w:w="1143" w:type="dxa"/>
                  <w:tcBorders>
                    <w:tl2br w:val="nil"/>
                    <w:tr2bl w:val="nil"/>
                  </w:tcBorders>
                  <w:vAlign w:val="center"/>
                </w:tcPr>
                <w:p w14:paraId="1BA5464F">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rPr>
                  </w:pPr>
                  <w:r>
                    <w:rPr>
                      <w:rFonts w:hint="eastAsia" w:asciiTheme="minorEastAsia" w:hAnsiTheme="minorEastAsia" w:eastAsiaTheme="minorEastAsia" w:cstheme="minorEastAsia"/>
                      <w:color w:val="auto"/>
                      <w:sz w:val="21"/>
                      <w:szCs w:val="21"/>
                      <w:u w:val="none"/>
                    </w:rPr>
                    <w:t>建设性质</w:t>
                  </w:r>
                </w:p>
              </w:tc>
              <w:tc>
                <w:tcPr>
                  <w:tcW w:w="2934" w:type="dxa"/>
                  <w:tcBorders>
                    <w:tl2br w:val="nil"/>
                    <w:tr2bl w:val="nil"/>
                  </w:tcBorders>
                  <w:vAlign w:val="center"/>
                </w:tcPr>
                <w:p w14:paraId="3679E73C">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lang w:eastAsia="zh-CN"/>
                    </w:rPr>
                  </w:pPr>
                  <w:r>
                    <w:rPr>
                      <w:rFonts w:hint="eastAsia" w:asciiTheme="minorEastAsia" w:hAnsiTheme="minorEastAsia" w:eastAsiaTheme="minorEastAsia" w:cstheme="minorEastAsia"/>
                      <w:color w:val="auto"/>
                      <w:sz w:val="21"/>
                      <w:szCs w:val="21"/>
                      <w:u w:val="none"/>
                      <w:lang w:val="en-US" w:eastAsia="zh-CN"/>
                    </w:rPr>
                    <w:t>新建</w:t>
                  </w:r>
                </w:p>
              </w:tc>
              <w:tc>
                <w:tcPr>
                  <w:tcW w:w="2955" w:type="dxa"/>
                  <w:tcBorders>
                    <w:tl2br w:val="nil"/>
                    <w:tr2bl w:val="nil"/>
                  </w:tcBorders>
                  <w:vAlign w:val="center"/>
                </w:tcPr>
                <w:p w14:paraId="43798F90">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lang w:val="en-US" w:eastAsia="zh-CN"/>
                    </w:rPr>
                  </w:pPr>
                  <w:r>
                    <w:rPr>
                      <w:rFonts w:hint="eastAsia" w:asciiTheme="minorEastAsia" w:hAnsiTheme="minorEastAsia" w:eastAsiaTheme="minorEastAsia" w:cstheme="minorEastAsia"/>
                      <w:color w:val="auto"/>
                      <w:sz w:val="21"/>
                      <w:szCs w:val="21"/>
                      <w:u w:val="none"/>
                      <w:lang w:val="en-US" w:eastAsia="zh-CN"/>
                    </w:rPr>
                    <w:t>新建</w:t>
                  </w:r>
                </w:p>
              </w:tc>
              <w:tc>
                <w:tcPr>
                  <w:tcW w:w="1106" w:type="dxa"/>
                  <w:tcBorders>
                    <w:tl2br w:val="nil"/>
                    <w:tr2bl w:val="nil"/>
                  </w:tcBorders>
                  <w:vAlign w:val="center"/>
                </w:tcPr>
                <w:p w14:paraId="3F59D438">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rPr>
                  </w:pPr>
                  <w:r>
                    <w:rPr>
                      <w:rFonts w:hint="eastAsia" w:asciiTheme="minorEastAsia" w:hAnsiTheme="minorEastAsia" w:eastAsiaTheme="minorEastAsia" w:cstheme="minorEastAsia"/>
                      <w:color w:val="auto"/>
                      <w:sz w:val="21"/>
                      <w:szCs w:val="21"/>
                      <w:u w:val="none"/>
                    </w:rPr>
                    <w:t>符合</w:t>
                  </w:r>
                </w:p>
              </w:tc>
            </w:tr>
            <w:tr w14:paraId="11A593B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639" w:hRule="atLeast"/>
                <w:jc w:val="center"/>
              </w:trPr>
              <w:tc>
                <w:tcPr>
                  <w:tcW w:w="1143" w:type="dxa"/>
                  <w:tcBorders>
                    <w:tl2br w:val="nil"/>
                    <w:tr2bl w:val="nil"/>
                  </w:tcBorders>
                  <w:vAlign w:val="center"/>
                </w:tcPr>
                <w:p w14:paraId="1947EDAF">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rPr>
                  </w:pPr>
                  <w:r>
                    <w:rPr>
                      <w:rFonts w:hint="eastAsia" w:asciiTheme="minorEastAsia" w:hAnsiTheme="minorEastAsia" w:eastAsiaTheme="minorEastAsia" w:cstheme="minorEastAsia"/>
                      <w:color w:val="auto"/>
                      <w:sz w:val="21"/>
                      <w:szCs w:val="21"/>
                      <w:u w:val="none"/>
                    </w:rPr>
                    <w:t>建设规模及内容</w:t>
                  </w:r>
                </w:p>
              </w:tc>
              <w:tc>
                <w:tcPr>
                  <w:tcW w:w="2934" w:type="dxa"/>
                  <w:tcBorders>
                    <w:tl2br w:val="nil"/>
                    <w:tr2bl w:val="nil"/>
                  </w:tcBorders>
                  <w:vAlign w:val="center"/>
                </w:tcPr>
                <w:p w14:paraId="61CA60C2">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lang w:val="en-US" w:eastAsia="zh-CN"/>
                    </w:rPr>
                  </w:pPr>
                  <w:r>
                    <w:rPr>
                      <w:rFonts w:hint="eastAsia" w:asciiTheme="minorEastAsia" w:hAnsiTheme="minorEastAsia" w:eastAsiaTheme="minorEastAsia" w:cstheme="minorEastAsia"/>
                      <w:color w:val="auto"/>
                      <w:sz w:val="21"/>
                      <w:szCs w:val="21"/>
                      <w:u w:val="none"/>
                      <w:lang w:val="en-US" w:eastAsia="zh-CN"/>
                    </w:rPr>
                    <w:t>总投资</w:t>
                  </w:r>
                  <w:r>
                    <w:rPr>
                      <w:rFonts w:hint="eastAsia" w:cs="Times New Roman"/>
                      <w:color w:val="auto"/>
                      <w:sz w:val="21"/>
                      <w:szCs w:val="21"/>
                      <w:u w:val="none"/>
                      <w:lang w:val="en-US" w:eastAsia="zh-CN"/>
                    </w:rPr>
                    <w:t>2000</w:t>
                  </w:r>
                  <w:r>
                    <w:rPr>
                      <w:rFonts w:hint="eastAsia" w:asciiTheme="minorEastAsia" w:hAnsiTheme="minorEastAsia" w:eastAsiaTheme="minorEastAsia" w:cstheme="minorEastAsia"/>
                      <w:color w:val="auto"/>
                      <w:sz w:val="21"/>
                      <w:szCs w:val="21"/>
                      <w:u w:val="none"/>
                      <w:lang w:val="en-US" w:eastAsia="zh-CN"/>
                    </w:rPr>
                    <w:t>万元</w:t>
                  </w:r>
                </w:p>
              </w:tc>
              <w:tc>
                <w:tcPr>
                  <w:tcW w:w="2955" w:type="dxa"/>
                  <w:tcBorders>
                    <w:tl2br w:val="nil"/>
                    <w:tr2bl w:val="nil"/>
                  </w:tcBorders>
                  <w:vAlign w:val="center"/>
                </w:tcPr>
                <w:p w14:paraId="7DD45FE8">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lang w:val="en-US" w:eastAsia="zh-CN"/>
                    </w:rPr>
                  </w:pPr>
                  <w:r>
                    <w:rPr>
                      <w:rFonts w:hint="eastAsia" w:asciiTheme="minorEastAsia" w:hAnsiTheme="minorEastAsia" w:eastAsiaTheme="minorEastAsia" w:cstheme="minorEastAsia"/>
                      <w:color w:val="auto"/>
                      <w:sz w:val="21"/>
                      <w:szCs w:val="21"/>
                      <w:u w:val="none"/>
                      <w:lang w:val="en-US" w:eastAsia="zh-CN"/>
                    </w:rPr>
                    <w:t>总投资</w:t>
                  </w:r>
                  <w:r>
                    <w:rPr>
                      <w:rFonts w:hint="eastAsia" w:cs="Times New Roman"/>
                      <w:color w:val="auto"/>
                      <w:sz w:val="21"/>
                      <w:szCs w:val="21"/>
                      <w:u w:val="none"/>
                      <w:lang w:val="en-US" w:eastAsia="zh-CN"/>
                    </w:rPr>
                    <w:t>2000</w:t>
                  </w:r>
                  <w:r>
                    <w:rPr>
                      <w:rFonts w:hint="eastAsia" w:asciiTheme="minorEastAsia" w:hAnsiTheme="minorEastAsia" w:eastAsiaTheme="minorEastAsia" w:cstheme="minorEastAsia"/>
                      <w:color w:val="auto"/>
                      <w:sz w:val="21"/>
                      <w:szCs w:val="21"/>
                      <w:u w:val="none"/>
                      <w:lang w:val="en-US" w:eastAsia="zh-CN"/>
                    </w:rPr>
                    <w:t>万元</w:t>
                  </w:r>
                </w:p>
              </w:tc>
              <w:tc>
                <w:tcPr>
                  <w:tcW w:w="1106" w:type="dxa"/>
                  <w:tcBorders>
                    <w:tl2br w:val="nil"/>
                    <w:tr2bl w:val="nil"/>
                  </w:tcBorders>
                  <w:vAlign w:val="center"/>
                </w:tcPr>
                <w:p w14:paraId="3860AE4E">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rPr>
                  </w:pPr>
                  <w:r>
                    <w:rPr>
                      <w:rFonts w:hint="eastAsia" w:asciiTheme="minorEastAsia" w:hAnsiTheme="minorEastAsia" w:eastAsiaTheme="minorEastAsia" w:cstheme="minorEastAsia"/>
                      <w:color w:val="auto"/>
                      <w:sz w:val="21"/>
                      <w:szCs w:val="21"/>
                      <w:u w:val="none"/>
                    </w:rPr>
                    <w:t>符合</w:t>
                  </w:r>
                </w:p>
              </w:tc>
            </w:tr>
            <w:tr w14:paraId="4D7FBD2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1078" w:hRule="atLeast"/>
                <w:jc w:val="center"/>
              </w:trPr>
              <w:tc>
                <w:tcPr>
                  <w:tcW w:w="1143" w:type="dxa"/>
                  <w:tcBorders>
                    <w:tl2br w:val="nil"/>
                    <w:tr2bl w:val="nil"/>
                  </w:tcBorders>
                  <w:vAlign w:val="center"/>
                </w:tcPr>
                <w:p w14:paraId="59C9706A">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lang w:eastAsia="zh-CN"/>
                    </w:rPr>
                  </w:pPr>
                  <w:r>
                    <w:rPr>
                      <w:rFonts w:hint="eastAsia" w:asciiTheme="minorEastAsia" w:hAnsiTheme="minorEastAsia" w:eastAsiaTheme="minorEastAsia" w:cstheme="minorEastAsia"/>
                      <w:color w:val="auto"/>
                      <w:sz w:val="21"/>
                      <w:szCs w:val="21"/>
                      <w:u w:val="none"/>
                      <w:lang w:eastAsia="zh-CN"/>
                    </w:rPr>
                    <w:t>生产规模</w:t>
                  </w:r>
                </w:p>
              </w:tc>
              <w:tc>
                <w:tcPr>
                  <w:tcW w:w="2934" w:type="dxa"/>
                  <w:tcBorders>
                    <w:tl2br w:val="nil"/>
                    <w:tr2bl w:val="nil"/>
                  </w:tcBorders>
                  <w:vAlign w:val="center"/>
                </w:tcPr>
                <w:p w14:paraId="46948237">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lang w:val="en-US" w:eastAsia="zh-CN"/>
                    </w:rPr>
                  </w:pPr>
                  <w:r>
                    <w:rPr>
                      <w:rFonts w:hint="eastAsia" w:asciiTheme="minorEastAsia" w:hAnsiTheme="minorEastAsia" w:eastAsiaTheme="minorEastAsia" w:cstheme="minorEastAsia"/>
                      <w:color w:val="auto"/>
                      <w:sz w:val="21"/>
                      <w:szCs w:val="21"/>
                      <w:u w:val="none"/>
                      <w:lang w:val="en-US" w:eastAsia="zh-CN"/>
                    </w:rPr>
                    <w:t>建设规模为</w:t>
                  </w:r>
                  <w:r>
                    <w:rPr>
                      <w:rFonts w:hint="eastAsia" w:cs="Times New Roman"/>
                      <w:color w:val="auto"/>
                      <w:sz w:val="21"/>
                      <w:szCs w:val="21"/>
                      <w:u w:val="none"/>
                      <w:lang w:val="en-US" w:eastAsia="zh-CN"/>
                    </w:rPr>
                    <w:t>4*1000kw</w:t>
                  </w:r>
                  <w:r>
                    <w:rPr>
                      <w:rFonts w:hint="eastAsia" w:asciiTheme="minorEastAsia" w:hAnsiTheme="minorEastAsia" w:eastAsiaTheme="minorEastAsia" w:cstheme="minorEastAsia"/>
                      <w:color w:val="auto"/>
                      <w:sz w:val="21"/>
                      <w:szCs w:val="21"/>
                      <w:u w:val="none"/>
                      <w:lang w:val="en-US" w:eastAsia="zh-CN"/>
                    </w:rPr>
                    <w:t>瓦斯发电机组，年发电量</w:t>
                  </w:r>
                  <w:r>
                    <w:rPr>
                      <w:rFonts w:hint="eastAsia" w:cs="Times New Roman"/>
                      <w:color w:val="auto"/>
                      <w:sz w:val="21"/>
                      <w:szCs w:val="21"/>
                      <w:u w:val="none"/>
                      <w:lang w:val="en-US" w:eastAsia="zh-CN"/>
                    </w:rPr>
                    <w:t>2304</w:t>
                  </w:r>
                  <w:r>
                    <w:rPr>
                      <w:rFonts w:hint="eastAsia" w:asciiTheme="minorEastAsia" w:hAnsiTheme="minorEastAsia" w:eastAsiaTheme="minorEastAsia" w:cstheme="minorEastAsia"/>
                      <w:color w:val="auto"/>
                      <w:sz w:val="21"/>
                      <w:szCs w:val="21"/>
                      <w:u w:val="none"/>
                      <w:lang w:val="en-US" w:eastAsia="zh-CN"/>
                    </w:rPr>
                    <w:t>万度，年利用瓦斯</w:t>
                  </w:r>
                  <w:r>
                    <w:rPr>
                      <w:rFonts w:hint="eastAsia" w:cs="Times New Roman"/>
                      <w:color w:val="auto"/>
                      <w:sz w:val="21"/>
                      <w:szCs w:val="21"/>
                      <w:u w:val="none"/>
                      <w:lang w:val="en-US" w:eastAsia="zh-CN"/>
                    </w:rPr>
                    <w:t>1152</w:t>
                  </w:r>
                  <w:r>
                    <w:rPr>
                      <w:rFonts w:hint="eastAsia" w:asciiTheme="minorEastAsia" w:hAnsiTheme="minorEastAsia" w:eastAsiaTheme="minorEastAsia" w:cstheme="minorEastAsia"/>
                      <w:color w:val="auto"/>
                      <w:sz w:val="21"/>
                      <w:szCs w:val="21"/>
                      <w:u w:val="none"/>
                      <w:lang w:val="en-US" w:eastAsia="zh-CN"/>
                    </w:rPr>
                    <w:t>万立方</w:t>
                  </w:r>
                </w:p>
              </w:tc>
              <w:tc>
                <w:tcPr>
                  <w:tcW w:w="2955" w:type="dxa"/>
                  <w:tcBorders>
                    <w:tl2br w:val="nil"/>
                    <w:tr2bl w:val="nil"/>
                  </w:tcBorders>
                  <w:vAlign w:val="center"/>
                </w:tcPr>
                <w:p w14:paraId="0EB8D34C">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lang w:val="en-US" w:eastAsia="zh-CN"/>
                    </w:rPr>
                  </w:pPr>
                  <w:r>
                    <w:rPr>
                      <w:rFonts w:hint="eastAsia" w:asciiTheme="minorEastAsia" w:hAnsiTheme="minorEastAsia" w:eastAsiaTheme="minorEastAsia" w:cstheme="minorEastAsia"/>
                      <w:color w:val="auto"/>
                      <w:sz w:val="21"/>
                      <w:szCs w:val="21"/>
                      <w:u w:val="none"/>
                      <w:lang w:val="en-US" w:eastAsia="zh-CN"/>
                    </w:rPr>
                    <w:t>建设规模为</w:t>
                  </w:r>
                  <w:r>
                    <w:rPr>
                      <w:rFonts w:hint="eastAsia" w:cs="Times New Roman"/>
                      <w:color w:val="auto"/>
                      <w:sz w:val="21"/>
                      <w:szCs w:val="21"/>
                      <w:u w:val="none"/>
                      <w:lang w:val="en-US" w:eastAsia="zh-CN"/>
                    </w:rPr>
                    <w:t>4*1000kw</w:t>
                  </w:r>
                  <w:r>
                    <w:rPr>
                      <w:rFonts w:hint="eastAsia" w:asciiTheme="minorEastAsia" w:hAnsiTheme="minorEastAsia" w:eastAsiaTheme="minorEastAsia" w:cstheme="minorEastAsia"/>
                      <w:color w:val="auto"/>
                      <w:sz w:val="21"/>
                      <w:szCs w:val="21"/>
                      <w:u w:val="none"/>
                      <w:lang w:val="en-US" w:eastAsia="zh-CN"/>
                    </w:rPr>
                    <w:t>瓦斯发电机组，年发电量</w:t>
                  </w:r>
                  <w:r>
                    <w:rPr>
                      <w:rFonts w:hint="eastAsia" w:cs="Times New Roman"/>
                      <w:color w:val="auto"/>
                      <w:sz w:val="21"/>
                      <w:szCs w:val="21"/>
                      <w:u w:val="none"/>
                      <w:lang w:val="en-US" w:eastAsia="zh-CN"/>
                    </w:rPr>
                    <w:t>2304</w:t>
                  </w:r>
                  <w:r>
                    <w:rPr>
                      <w:rFonts w:hint="eastAsia" w:asciiTheme="minorEastAsia" w:hAnsiTheme="minorEastAsia" w:eastAsiaTheme="minorEastAsia" w:cstheme="minorEastAsia"/>
                      <w:color w:val="auto"/>
                      <w:sz w:val="21"/>
                      <w:szCs w:val="21"/>
                      <w:u w:val="none"/>
                      <w:lang w:val="en-US" w:eastAsia="zh-CN"/>
                    </w:rPr>
                    <w:t>万度，年利用瓦斯</w:t>
                  </w:r>
                  <w:r>
                    <w:rPr>
                      <w:rFonts w:hint="eastAsia" w:cs="Times New Roman"/>
                      <w:color w:val="auto"/>
                      <w:sz w:val="21"/>
                      <w:szCs w:val="21"/>
                      <w:u w:val="none"/>
                      <w:lang w:val="en-US" w:eastAsia="zh-CN"/>
                    </w:rPr>
                    <w:t>1152</w:t>
                  </w:r>
                  <w:r>
                    <w:rPr>
                      <w:rFonts w:hint="eastAsia" w:asciiTheme="minorEastAsia" w:hAnsiTheme="minorEastAsia" w:eastAsiaTheme="minorEastAsia" w:cstheme="minorEastAsia"/>
                      <w:color w:val="auto"/>
                      <w:sz w:val="21"/>
                      <w:szCs w:val="21"/>
                      <w:u w:val="none"/>
                      <w:lang w:val="en-US" w:eastAsia="zh-CN"/>
                    </w:rPr>
                    <w:t>万立方</w:t>
                  </w:r>
                </w:p>
              </w:tc>
              <w:tc>
                <w:tcPr>
                  <w:tcW w:w="1106" w:type="dxa"/>
                  <w:tcBorders>
                    <w:tl2br w:val="nil"/>
                    <w:tr2bl w:val="nil"/>
                  </w:tcBorders>
                  <w:vAlign w:val="center"/>
                </w:tcPr>
                <w:p w14:paraId="27223357">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lang w:eastAsia="zh-CN"/>
                    </w:rPr>
                  </w:pPr>
                  <w:r>
                    <w:rPr>
                      <w:rFonts w:hint="eastAsia" w:asciiTheme="minorEastAsia" w:hAnsiTheme="minorEastAsia" w:eastAsiaTheme="minorEastAsia" w:cstheme="minorEastAsia"/>
                      <w:color w:val="auto"/>
                      <w:sz w:val="21"/>
                      <w:szCs w:val="21"/>
                      <w:u w:val="none"/>
                    </w:rPr>
                    <w:t>符合</w:t>
                  </w:r>
                </w:p>
              </w:tc>
            </w:tr>
            <w:tr w14:paraId="772F9BA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749" w:hRule="atLeast"/>
                <w:jc w:val="center"/>
              </w:trPr>
              <w:tc>
                <w:tcPr>
                  <w:tcW w:w="1143" w:type="dxa"/>
                  <w:tcBorders>
                    <w:tl2br w:val="nil"/>
                    <w:tr2bl w:val="nil"/>
                  </w:tcBorders>
                  <w:vAlign w:val="center"/>
                </w:tcPr>
                <w:p w14:paraId="47786A43">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rPr>
                  </w:pPr>
                  <w:r>
                    <w:rPr>
                      <w:rFonts w:hint="eastAsia" w:asciiTheme="minorEastAsia" w:hAnsiTheme="minorEastAsia" w:eastAsiaTheme="minorEastAsia" w:cstheme="minorEastAsia"/>
                      <w:color w:val="auto"/>
                      <w:sz w:val="21"/>
                      <w:szCs w:val="21"/>
                      <w:u w:val="none"/>
                    </w:rPr>
                    <w:t>主要设备</w:t>
                  </w:r>
                </w:p>
              </w:tc>
              <w:tc>
                <w:tcPr>
                  <w:tcW w:w="2934" w:type="dxa"/>
                  <w:tcBorders>
                    <w:tl2br w:val="nil"/>
                    <w:tr2bl w:val="nil"/>
                  </w:tcBorders>
                  <w:vAlign w:val="center"/>
                </w:tcPr>
                <w:p w14:paraId="4E83A1AA">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lang w:val="en-US" w:eastAsia="zh-CN"/>
                    </w:rPr>
                  </w:pPr>
                  <w:r>
                    <w:rPr>
                      <w:rFonts w:hint="eastAsia" w:asciiTheme="minorEastAsia" w:hAnsiTheme="minorEastAsia" w:eastAsiaTheme="minorEastAsia" w:cstheme="minorEastAsia"/>
                      <w:color w:val="auto"/>
                      <w:sz w:val="21"/>
                      <w:szCs w:val="21"/>
                      <w:u w:val="none"/>
                      <w:lang w:val="en-US" w:eastAsia="zh-CN"/>
                    </w:rPr>
                    <w:t>主要设备：瓦斯发电机组、配电柜、输电电缆等</w:t>
                  </w:r>
                </w:p>
              </w:tc>
              <w:tc>
                <w:tcPr>
                  <w:tcW w:w="2955" w:type="dxa"/>
                  <w:tcBorders>
                    <w:tl2br w:val="nil"/>
                    <w:tr2bl w:val="nil"/>
                  </w:tcBorders>
                  <w:vAlign w:val="center"/>
                </w:tcPr>
                <w:p w14:paraId="01C71578">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lang w:val="en-US" w:eastAsia="zh-CN"/>
                    </w:rPr>
                  </w:pPr>
                  <w:r>
                    <w:rPr>
                      <w:rFonts w:hint="eastAsia" w:asciiTheme="minorEastAsia" w:hAnsiTheme="minorEastAsia" w:eastAsiaTheme="minorEastAsia" w:cstheme="minorEastAsia"/>
                      <w:color w:val="auto"/>
                      <w:sz w:val="21"/>
                      <w:szCs w:val="21"/>
                      <w:u w:val="none"/>
                      <w:lang w:val="en-US" w:eastAsia="zh-CN"/>
                    </w:rPr>
                    <w:t>主要设备：瓦斯发电机组、配电柜、输电电缆等</w:t>
                  </w:r>
                </w:p>
              </w:tc>
              <w:tc>
                <w:tcPr>
                  <w:tcW w:w="1106" w:type="dxa"/>
                  <w:tcBorders>
                    <w:tl2br w:val="nil"/>
                    <w:tr2bl w:val="nil"/>
                  </w:tcBorders>
                  <w:vAlign w:val="center"/>
                </w:tcPr>
                <w:p w14:paraId="2A61BF5D">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rPr>
                  </w:pPr>
                  <w:r>
                    <w:rPr>
                      <w:rFonts w:hint="eastAsia" w:asciiTheme="minorEastAsia" w:hAnsiTheme="minorEastAsia" w:eastAsiaTheme="minorEastAsia" w:cstheme="minorEastAsia"/>
                      <w:color w:val="auto"/>
                      <w:sz w:val="21"/>
                      <w:szCs w:val="21"/>
                      <w:u w:val="none"/>
                    </w:rPr>
                    <w:t>符合</w:t>
                  </w:r>
                </w:p>
              </w:tc>
            </w:tr>
            <w:tr w14:paraId="515D34B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90" w:hRule="atLeast"/>
                <w:jc w:val="center"/>
              </w:trPr>
              <w:tc>
                <w:tcPr>
                  <w:tcW w:w="1143" w:type="dxa"/>
                  <w:tcBorders>
                    <w:tl2br w:val="nil"/>
                    <w:tr2bl w:val="nil"/>
                  </w:tcBorders>
                  <w:vAlign w:val="center"/>
                </w:tcPr>
                <w:p w14:paraId="690A02AE">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lang w:val="en-US" w:eastAsia="zh-CN"/>
                    </w:rPr>
                  </w:pPr>
                  <w:r>
                    <w:rPr>
                      <w:rFonts w:hint="eastAsia" w:asciiTheme="minorEastAsia" w:hAnsiTheme="minorEastAsia" w:eastAsiaTheme="minorEastAsia" w:cstheme="minorEastAsia"/>
                      <w:color w:val="auto"/>
                      <w:sz w:val="21"/>
                      <w:szCs w:val="21"/>
                      <w:u w:val="none"/>
                      <w:lang w:val="en-US" w:eastAsia="zh-CN"/>
                    </w:rPr>
                    <w:t>生产工艺</w:t>
                  </w:r>
                </w:p>
              </w:tc>
              <w:tc>
                <w:tcPr>
                  <w:tcW w:w="2934" w:type="dxa"/>
                  <w:tcBorders>
                    <w:tl2br w:val="nil"/>
                    <w:tr2bl w:val="nil"/>
                  </w:tcBorders>
                  <w:vAlign w:val="center"/>
                </w:tcPr>
                <w:p w14:paraId="3660E222">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lang w:val="en-US" w:eastAsia="zh-CN"/>
                    </w:rPr>
                  </w:pPr>
                  <w:r>
                    <w:rPr>
                      <w:rFonts w:hint="eastAsia" w:asciiTheme="minorEastAsia" w:hAnsiTheme="minorEastAsia" w:eastAsiaTheme="minorEastAsia" w:cstheme="minorEastAsia"/>
                      <w:color w:val="auto"/>
                      <w:u w:val="none"/>
                    </w:rPr>
                    <w:t>燃气发电机组启动发动机，并带动齿國运转，使齿圈通过连接盘与发动机曲轴联结为一体，带动活塞连杆组，按照吸气、压缩、作功、排气四个冲程有规律地往复运动，将燃烧室内的可燃混合气点燃。由混合气燃烧、爆炸产生的作用力，通过连杆带动曲轴旋转，产生燃料热能转换为机械能输出。旋转的发动机曲轴带动发电机工作、发出三相交流电，将机械能转换为电能输出。该项目可有效减少温室气体的排放。</w:t>
                  </w:r>
                </w:p>
              </w:tc>
              <w:tc>
                <w:tcPr>
                  <w:tcW w:w="2955" w:type="dxa"/>
                  <w:tcBorders>
                    <w:tl2br w:val="nil"/>
                    <w:tr2bl w:val="nil"/>
                  </w:tcBorders>
                  <w:vAlign w:val="center"/>
                </w:tcPr>
                <w:p w14:paraId="59F6F541">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lang w:val="en-US" w:eastAsia="zh-CN"/>
                    </w:rPr>
                  </w:pPr>
                  <w:r>
                    <w:rPr>
                      <w:rFonts w:hint="eastAsia" w:asciiTheme="minorEastAsia" w:hAnsiTheme="minorEastAsia" w:eastAsiaTheme="minorEastAsia" w:cstheme="minorEastAsia"/>
                      <w:color w:val="auto"/>
                      <w:u w:val="none"/>
                    </w:rPr>
                    <w:t>燃气发电机组启动发动机，并带动齿國运转，使齿圈通过连接盘与发动机曲轴联结为一体，带动活塞连杆组，按照吸气、压缩、作功、排气四个冲程有规律地往复运动，将燃烧室内的可燃混合气点燃。由混合气燃烧、爆炸产生的作用力，通过连杆带动曲轴旋转，产生燃料热能转换为机械能输出。旋转的发动机曲轴带动发电机工作、发出三相交流电，将机械能转换为电能输出。该项目可有效减少温室气体的排放。</w:t>
                  </w:r>
                </w:p>
              </w:tc>
              <w:tc>
                <w:tcPr>
                  <w:tcW w:w="1106" w:type="dxa"/>
                  <w:tcBorders>
                    <w:tl2br w:val="nil"/>
                    <w:tr2bl w:val="nil"/>
                  </w:tcBorders>
                  <w:vAlign w:val="center"/>
                </w:tcPr>
                <w:p w14:paraId="681E4356">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heme="minorEastAsia" w:hAnsiTheme="minorEastAsia" w:eastAsiaTheme="minorEastAsia" w:cstheme="minorEastAsia"/>
                      <w:color w:val="auto"/>
                      <w:sz w:val="21"/>
                      <w:szCs w:val="21"/>
                      <w:u w:val="none"/>
                    </w:rPr>
                  </w:pPr>
                  <w:r>
                    <w:rPr>
                      <w:rFonts w:hint="eastAsia" w:asciiTheme="minorEastAsia" w:hAnsiTheme="minorEastAsia" w:eastAsiaTheme="minorEastAsia" w:cstheme="minorEastAsia"/>
                      <w:color w:val="auto"/>
                      <w:sz w:val="21"/>
                      <w:szCs w:val="21"/>
                      <w:u w:val="none"/>
                    </w:rPr>
                    <w:t>符合</w:t>
                  </w:r>
                </w:p>
              </w:tc>
            </w:tr>
          </w:tbl>
          <w:p w14:paraId="6041A163">
            <w:pPr>
              <w:pStyle w:val="11"/>
              <w:keepNext w:val="0"/>
              <w:keepLines w:val="0"/>
              <w:pageBreakBefore w:val="0"/>
              <w:widowControl w:val="0"/>
              <w:kinsoku/>
              <w:wordWrap/>
              <w:topLinePunct w:val="0"/>
              <w:bidi w:val="0"/>
              <w:snapToGrid w:val="0"/>
              <w:spacing w:line="500" w:lineRule="exact"/>
              <w:ind w:firstLine="480" w:firstLineChars="200"/>
              <w:textAlignment w:val="auto"/>
              <w:rPr>
                <w:rFonts w:hint="eastAsia" w:ascii="Times New Roman" w:hAnsi="Times New Roman" w:cs="Times New Roman"/>
                <w:color w:val="auto"/>
                <w:u w:val="none"/>
              </w:rPr>
            </w:pPr>
            <w:r>
              <w:rPr>
                <w:rFonts w:hint="eastAsia" w:ascii="Times New Roman" w:hAnsi="Times New Roman" w:cs="Times New Roman"/>
                <w:b w:val="0"/>
                <w:bCs w:val="0"/>
                <w:color w:val="auto"/>
                <w:u w:val="none"/>
                <w:lang w:val="en-US" w:eastAsia="zh-CN"/>
              </w:rPr>
              <w:t>由上表可知，本项目建设单位、</w:t>
            </w:r>
            <w:r>
              <w:rPr>
                <w:rFonts w:hint="eastAsia" w:cs="Times New Roman"/>
                <w:b w:val="0"/>
                <w:bCs w:val="0"/>
                <w:color w:val="auto"/>
                <w:u w:val="none"/>
                <w:lang w:val="en-US" w:eastAsia="zh-CN"/>
              </w:rPr>
              <w:t>项目</w:t>
            </w:r>
            <w:r>
              <w:rPr>
                <w:rFonts w:hint="eastAsia" w:ascii="Times New Roman" w:hAnsi="Times New Roman" w:cs="Times New Roman"/>
                <w:b w:val="0"/>
                <w:bCs w:val="0"/>
                <w:color w:val="auto"/>
                <w:u w:val="none"/>
                <w:lang w:val="en-US" w:eastAsia="zh-CN"/>
              </w:rPr>
              <w:t>名称、建设地点、建设性质、</w:t>
            </w:r>
            <w:r>
              <w:rPr>
                <w:rFonts w:hint="eastAsia" w:ascii="Times New Roman" w:hAnsi="Times New Roman" w:cs="Times New Roman"/>
                <w:b w:val="0"/>
                <w:bCs w:val="0"/>
                <w:color w:val="auto"/>
                <w:u w:val="none"/>
              </w:rPr>
              <w:t>建设规模及内容</w:t>
            </w:r>
            <w:r>
              <w:rPr>
                <w:rFonts w:hint="eastAsia" w:ascii="Times New Roman" w:hAnsi="Times New Roman" w:cs="Times New Roman"/>
                <w:b w:val="0"/>
                <w:bCs w:val="0"/>
                <w:color w:val="auto"/>
                <w:u w:val="none"/>
                <w:lang w:eastAsia="zh-CN"/>
              </w:rPr>
              <w:t>和</w:t>
            </w:r>
            <w:r>
              <w:rPr>
                <w:rFonts w:ascii="Times New Roman" w:hAnsi="Times New Roman" w:cs="Times New Roman"/>
                <w:b w:val="0"/>
                <w:bCs w:val="0"/>
                <w:color w:val="auto"/>
                <w:u w:val="none"/>
              </w:rPr>
              <w:t>主要设备</w:t>
            </w:r>
            <w:r>
              <w:rPr>
                <w:rFonts w:hint="eastAsia" w:ascii="Times New Roman" w:hAnsi="Times New Roman" w:cs="Times New Roman"/>
                <w:b w:val="0"/>
                <w:bCs w:val="0"/>
                <w:color w:val="auto"/>
                <w:u w:val="none"/>
                <w:lang w:eastAsia="zh-CN"/>
              </w:rPr>
              <w:t>与备案相符，因此本项目与备案内容相符。</w:t>
            </w:r>
          </w:p>
          <w:p w14:paraId="3ED34A47">
            <w:pPr>
              <w:pStyle w:val="27"/>
              <w:keepNext w:val="0"/>
              <w:keepLines w:val="0"/>
              <w:pageBreakBefore w:val="0"/>
              <w:widowControl w:val="0"/>
              <w:kinsoku/>
              <w:wordWrap/>
              <w:overflowPunct/>
              <w:topLinePunct w:val="0"/>
              <w:autoSpaceDE/>
              <w:autoSpaceDN/>
              <w:bidi w:val="0"/>
              <w:adjustRightInd/>
              <w:snapToGrid w:val="0"/>
              <w:spacing w:line="500" w:lineRule="exact"/>
              <w:ind w:left="0" w:leftChars="0" w:firstLine="482" w:firstLineChars="200"/>
              <w:textAlignment w:val="auto"/>
              <w:rPr>
                <w:rFonts w:hint="default" w:ascii="Times New Roman" w:hAnsi="Times New Roman" w:eastAsia="宋体" w:cs="Times New Roman"/>
                <w:b/>
                <w:bCs/>
                <w:color w:val="auto"/>
                <w:kern w:val="28"/>
                <w:sz w:val="24"/>
                <w:szCs w:val="24"/>
                <w:highlight w:val="none"/>
                <w:u w:val="none"/>
                <w:lang w:val="en-US" w:eastAsia="zh-CN" w:bidi="ar-SA"/>
              </w:rPr>
            </w:pPr>
            <w:r>
              <w:rPr>
                <w:rFonts w:hint="eastAsia" w:ascii="Times New Roman" w:hAnsi="Times New Roman" w:eastAsia="宋体" w:cs="Times New Roman"/>
                <w:b/>
                <w:bCs/>
                <w:color w:val="auto"/>
                <w:kern w:val="28"/>
                <w:sz w:val="24"/>
                <w:szCs w:val="24"/>
                <w:u w:val="none"/>
                <w:lang w:val="en-US" w:eastAsia="zh-CN" w:bidi="ar-SA"/>
              </w:rPr>
              <w:t>1</w:t>
            </w:r>
            <w:r>
              <w:rPr>
                <w:rFonts w:hint="eastAsia" w:ascii="Times New Roman" w:hAnsi="Times New Roman" w:cs="Times New Roman"/>
                <w:b/>
                <w:bCs/>
                <w:color w:val="auto"/>
                <w:kern w:val="28"/>
                <w:sz w:val="24"/>
                <w:szCs w:val="24"/>
                <w:u w:val="none"/>
                <w:lang w:val="en-US" w:eastAsia="zh-CN" w:bidi="ar-SA"/>
              </w:rPr>
              <w:t>.3</w:t>
            </w:r>
            <w:r>
              <w:rPr>
                <w:rFonts w:hint="eastAsia" w:ascii="Times New Roman" w:hAnsi="Times New Roman" w:eastAsia="宋体" w:cs="Times New Roman"/>
                <w:b/>
                <w:bCs/>
                <w:color w:val="auto"/>
                <w:kern w:val="28"/>
                <w:sz w:val="24"/>
                <w:szCs w:val="24"/>
                <w:highlight w:val="none"/>
                <w:u w:val="none"/>
                <w:lang w:val="en-US" w:eastAsia="zh-CN" w:bidi="ar-SA"/>
              </w:rPr>
              <w:t>本</w:t>
            </w:r>
            <w:r>
              <w:rPr>
                <w:rFonts w:hint="eastAsia" w:ascii="Times New Roman" w:hAnsi="Times New Roman" w:eastAsia="宋体" w:cs="Times New Roman"/>
                <w:b/>
                <w:bCs/>
                <w:color w:val="auto"/>
                <w:kern w:val="28"/>
                <w:sz w:val="24"/>
                <w:szCs w:val="24"/>
                <w:highlight w:val="none"/>
                <w:u w:val="none"/>
                <w:lang w:val="en-US" w:eastAsia="zh-Hans" w:bidi="ar-SA"/>
              </w:rPr>
              <w:t>项目</w:t>
            </w:r>
            <w:r>
              <w:rPr>
                <w:rFonts w:hint="eastAsia" w:ascii="Times New Roman" w:hAnsi="Times New Roman" w:eastAsia="宋体" w:cs="Times New Roman"/>
                <w:b/>
                <w:bCs/>
                <w:color w:val="auto"/>
                <w:kern w:val="28"/>
                <w:sz w:val="24"/>
                <w:szCs w:val="24"/>
                <w:highlight w:val="none"/>
                <w:u w:val="none"/>
                <w:lang w:val="en-US" w:eastAsia="zh-CN" w:bidi="ar-SA"/>
              </w:rPr>
              <w:t>与</w:t>
            </w:r>
            <w:r>
              <w:rPr>
                <w:rFonts w:hint="eastAsia" w:cs="Times New Roman"/>
                <w:b/>
                <w:bCs/>
                <w:color w:val="auto"/>
                <w:kern w:val="28"/>
                <w:sz w:val="24"/>
                <w:szCs w:val="24"/>
                <w:highlight w:val="none"/>
                <w:u w:val="none"/>
                <w:lang w:val="en-US" w:eastAsia="zh-CN" w:bidi="ar-SA"/>
              </w:rPr>
              <w:t>叶</w:t>
            </w:r>
            <w:r>
              <w:rPr>
                <w:rFonts w:hint="eastAsia" w:ascii="Times New Roman" w:hAnsi="Times New Roman" w:eastAsia="宋体" w:cs="Times New Roman"/>
                <w:b/>
                <w:bCs/>
                <w:color w:val="auto"/>
                <w:kern w:val="28"/>
                <w:sz w:val="24"/>
                <w:szCs w:val="24"/>
                <w:highlight w:val="none"/>
                <w:u w:val="none"/>
                <w:lang w:val="en-US" w:eastAsia="zh-CN" w:bidi="ar-SA"/>
              </w:rPr>
              <w:t>县</w:t>
            </w:r>
            <w:r>
              <w:rPr>
                <w:rFonts w:hint="eastAsia" w:ascii="Times New Roman" w:hAnsi="Times New Roman" w:eastAsia="宋体" w:cs="Times New Roman"/>
                <w:b/>
                <w:bCs/>
                <w:color w:val="auto"/>
                <w:kern w:val="28"/>
                <w:sz w:val="24"/>
                <w:szCs w:val="24"/>
                <w:highlight w:val="none"/>
                <w:u w:val="none"/>
                <w:lang w:val="en-US" w:eastAsia="zh-Hans" w:bidi="ar-SA"/>
              </w:rPr>
              <w:t>土地利用规划和产业发展规划</w:t>
            </w:r>
            <w:r>
              <w:rPr>
                <w:rFonts w:hint="eastAsia" w:ascii="Times New Roman" w:hAnsi="Times New Roman" w:eastAsia="宋体" w:cs="Times New Roman"/>
                <w:b/>
                <w:bCs/>
                <w:color w:val="auto"/>
                <w:kern w:val="28"/>
                <w:sz w:val="24"/>
                <w:szCs w:val="24"/>
                <w:highlight w:val="none"/>
                <w:u w:val="none"/>
                <w:lang w:val="en-US" w:eastAsia="zh-CN" w:bidi="ar-SA"/>
              </w:rPr>
              <w:t>相符性分析</w:t>
            </w:r>
          </w:p>
          <w:p w14:paraId="60309E6B">
            <w:pPr>
              <w:keepNext w:val="0"/>
              <w:keepLines w:val="0"/>
              <w:pageBreakBefore w:val="0"/>
              <w:widowControl w:val="0"/>
              <w:kinsoku/>
              <w:wordWrap/>
              <w:topLinePunct w:val="0"/>
              <w:bidi w:val="0"/>
              <w:adjustRightInd w:val="0"/>
              <w:snapToGrid w:val="0"/>
              <w:spacing w:line="500" w:lineRule="exact"/>
              <w:ind w:firstLine="480" w:firstLineChars="200"/>
              <w:jc w:val="both"/>
              <w:textAlignment w:val="auto"/>
              <w:rPr>
                <w:rFonts w:hint="eastAsia"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本项目位于</w:t>
            </w:r>
            <w:r>
              <w:rPr>
                <w:rFonts w:hint="eastAsia" w:cs="Times New Roman"/>
                <w:color w:val="auto"/>
                <w:sz w:val="24"/>
                <w:szCs w:val="24"/>
                <w:u w:val="none"/>
                <w:lang w:val="en-US" w:eastAsia="zh-CN"/>
              </w:rPr>
              <w:t>平顶山市叶县洪庄杨乡张集村、贾庄村</w:t>
            </w:r>
            <w:r>
              <w:rPr>
                <w:rFonts w:hint="eastAsia" w:ascii="Times New Roman" w:hAnsi="Times New Roman" w:eastAsia="宋体" w:cs="Times New Roman"/>
                <w:color w:val="auto"/>
                <w:sz w:val="24"/>
                <w:szCs w:val="24"/>
                <w:u w:val="none"/>
                <w:lang w:val="en-US" w:eastAsia="zh-CN"/>
              </w:rPr>
              <w:t>，所在宗地</w:t>
            </w:r>
            <w:r>
              <w:rPr>
                <w:rFonts w:hint="eastAsia" w:cs="Times New Roman"/>
                <w:color w:val="auto"/>
                <w:sz w:val="24"/>
                <w:szCs w:val="24"/>
                <w:u w:val="none"/>
                <w:lang w:val="en-US" w:eastAsia="zh-CN"/>
              </w:rPr>
              <w:t>属于平顶山市天安煤业股份有限公司八矿，</w:t>
            </w:r>
            <w:r>
              <w:rPr>
                <w:rFonts w:hint="eastAsia" w:ascii="Times New Roman" w:hAnsi="Times New Roman" w:eastAsia="宋体" w:cs="Times New Roman"/>
                <w:color w:val="auto"/>
                <w:sz w:val="24"/>
                <w:szCs w:val="24"/>
                <w:u w:val="none"/>
                <w:lang w:val="en-US" w:eastAsia="zh-CN"/>
              </w:rPr>
              <w:t>位于</w:t>
            </w:r>
            <w:r>
              <w:rPr>
                <w:rFonts w:hint="eastAsia" w:cs="Times New Roman"/>
                <w:color w:val="auto"/>
                <w:sz w:val="24"/>
                <w:szCs w:val="24"/>
                <w:u w:val="none"/>
                <w:lang w:val="en-US" w:eastAsia="zh-CN"/>
              </w:rPr>
              <w:t>平顶山市叶县洪庄杨乡张集村、贾庄村</w:t>
            </w:r>
            <w:r>
              <w:rPr>
                <w:rFonts w:hint="eastAsia" w:ascii="Times New Roman" w:hAnsi="Times New Roman" w:eastAsia="宋体" w:cs="Times New Roman"/>
                <w:color w:val="auto"/>
                <w:sz w:val="24"/>
                <w:szCs w:val="24"/>
                <w:u w:val="none"/>
                <w:lang w:val="en-US" w:eastAsia="zh-CN"/>
              </w:rPr>
              <w:t>，</w:t>
            </w:r>
            <w:r>
              <w:rPr>
                <w:rFonts w:hint="eastAsia" w:cs="Times New Roman"/>
                <w:color w:val="auto"/>
                <w:sz w:val="24"/>
                <w:szCs w:val="24"/>
                <w:u w:val="none"/>
                <w:lang w:val="en-US" w:eastAsia="zh-CN"/>
              </w:rPr>
              <w:t>根据土地文件可知</w:t>
            </w:r>
            <w:r>
              <w:rPr>
                <w:rFonts w:hint="eastAsia" w:ascii="Times New Roman" w:hAnsi="Times New Roman" w:eastAsia="宋体" w:cs="Times New Roman"/>
                <w:color w:val="auto"/>
                <w:sz w:val="24"/>
                <w:szCs w:val="24"/>
                <w:u w:val="none"/>
                <w:lang w:val="en-US" w:eastAsia="zh-CN"/>
              </w:rPr>
              <w:t>，本项目拟建地类属于</w:t>
            </w:r>
            <w:r>
              <w:rPr>
                <w:rFonts w:hint="eastAsia" w:cs="Times New Roman"/>
                <w:color w:val="auto"/>
                <w:sz w:val="24"/>
                <w:szCs w:val="24"/>
                <w:u w:val="none"/>
                <w:lang w:val="en-US" w:eastAsia="zh-CN"/>
              </w:rPr>
              <w:t>工业</w:t>
            </w:r>
            <w:r>
              <w:rPr>
                <w:rFonts w:hint="eastAsia" w:ascii="Times New Roman" w:hAnsi="Times New Roman" w:eastAsia="宋体" w:cs="Times New Roman"/>
                <w:color w:val="auto"/>
                <w:sz w:val="24"/>
                <w:szCs w:val="24"/>
                <w:u w:val="none"/>
                <w:lang w:val="en-US" w:eastAsia="zh-CN"/>
              </w:rPr>
              <w:t>用地</w:t>
            </w:r>
            <w:r>
              <w:rPr>
                <w:rFonts w:hint="eastAsia" w:cs="Times New Roman"/>
                <w:color w:val="auto"/>
                <w:sz w:val="24"/>
                <w:szCs w:val="24"/>
                <w:u w:val="none"/>
                <w:lang w:val="en-US" w:eastAsia="zh-CN"/>
              </w:rPr>
              <w:t>，且选址符合洪庄杨镇土地利用整体规划</w:t>
            </w:r>
            <w:r>
              <w:rPr>
                <w:rFonts w:hint="eastAsia" w:ascii="Times New Roman" w:hAnsi="Times New Roman" w:eastAsia="宋体" w:cs="Times New Roman"/>
                <w:color w:val="auto"/>
                <w:sz w:val="24"/>
                <w:szCs w:val="24"/>
                <w:u w:val="none"/>
                <w:lang w:val="en-US" w:eastAsia="zh-CN"/>
              </w:rPr>
              <w:t>（见附件</w:t>
            </w:r>
            <w:r>
              <w:rPr>
                <w:rFonts w:hint="eastAsia" w:cs="Times New Roman"/>
                <w:color w:val="auto"/>
                <w:sz w:val="24"/>
                <w:szCs w:val="24"/>
                <w:u w:val="none"/>
                <w:lang w:val="en-US" w:eastAsia="zh-CN"/>
              </w:rPr>
              <w:t>4</w:t>
            </w:r>
            <w:r>
              <w:rPr>
                <w:rFonts w:hint="eastAsia" w:ascii="Times New Roman" w:hAnsi="Times New Roman" w:eastAsia="宋体" w:cs="Times New Roman"/>
                <w:color w:val="auto"/>
                <w:sz w:val="24"/>
                <w:szCs w:val="24"/>
                <w:u w:val="none"/>
                <w:lang w:val="en-US" w:eastAsia="zh-CN"/>
              </w:rPr>
              <w:t>），因此本项目符合</w:t>
            </w:r>
            <w:r>
              <w:rPr>
                <w:rFonts w:hint="eastAsia" w:cs="Times New Roman"/>
                <w:color w:val="auto"/>
                <w:sz w:val="24"/>
                <w:szCs w:val="24"/>
                <w:u w:val="none"/>
                <w:lang w:val="en-US" w:eastAsia="zh-CN"/>
              </w:rPr>
              <w:t>叶</w:t>
            </w:r>
            <w:r>
              <w:rPr>
                <w:rFonts w:hint="eastAsia" w:ascii="Times New Roman" w:hAnsi="Times New Roman" w:eastAsia="宋体" w:cs="Times New Roman"/>
                <w:color w:val="auto"/>
                <w:sz w:val="24"/>
                <w:szCs w:val="24"/>
                <w:u w:val="none"/>
                <w:lang w:val="en-US" w:eastAsia="zh-CN"/>
              </w:rPr>
              <w:t>县土地利用总体规划。</w:t>
            </w:r>
          </w:p>
          <w:p w14:paraId="663BB30B">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default" w:cs="Times New Roman"/>
                <w:b/>
                <w:color w:val="auto"/>
                <w:sz w:val="24"/>
                <w:highlight w:val="none"/>
                <w:u w:val="none"/>
                <w:lang w:val="en-US" w:eastAsia="zh-CN"/>
              </w:rPr>
            </w:pPr>
            <w:r>
              <w:rPr>
                <w:rFonts w:hint="eastAsia" w:cs="Times New Roman"/>
                <w:b/>
                <w:color w:val="auto"/>
                <w:sz w:val="24"/>
                <w:highlight w:val="none"/>
                <w:u w:val="none"/>
                <w:lang w:val="en-US" w:eastAsia="zh-CN"/>
              </w:rPr>
              <w:t>1.4关于公司吸收合并背景关系分析</w:t>
            </w:r>
          </w:p>
          <w:p w14:paraId="39045BCF">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eastAsia" w:ascii="Times New Roman" w:hAnsi="Times New Roman" w:cs="Times New Roman"/>
                <w:b/>
                <w:color w:val="auto"/>
                <w:sz w:val="24"/>
                <w:highlight w:val="none"/>
                <w:u w:val="none"/>
              </w:rPr>
            </w:pPr>
            <w:r>
              <w:rPr>
                <w:rFonts w:hint="eastAsia" w:ascii="Times New Roman" w:hAnsi="Times New Roman" w:cs="Times New Roman"/>
                <w:color w:val="auto"/>
                <w:sz w:val="24"/>
                <w:szCs w:val="24"/>
                <w:highlight w:val="none"/>
                <w:u w:val="none"/>
                <w:lang w:val="en-US" w:eastAsia="zh-CN"/>
              </w:rPr>
              <w:t>项目原本备案以及编制过程中公司名称是</w:t>
            </w:r>
            <w:r>
              <w:rPr>
                <w:rFonts w:hint="eastAsia" w:ascii="Times New Roman" w:hAnsi="Times New Roman" w:eastAsia="宋体" w:cs="Times New Roman"/>
                <w:color w:val="auto"/>
                <w:sz w:val="24"/>
                <w:szCs w:val="24"/>
                <w:highlight w:val="none"/>
                <w:u w:val="none"/>
                <w:lang w:val="en-US" w:eastAsia="zh-CN"/>
              </w:rPr>
              <w:t>平煤煌龙</w:t>
            </w:r>
            <w:r>
              <w:rPr>
                <w:rFonts w:hint="eastAsia" w:ascii="Times New Roman" w:hAnsi="Times New Roman" w:cs="Times New Roman"/>
                <w:color w:val="auto"/>
                <w:sz w:val="24"/>
                <w:szCs w:val="24"/>
                <w:highlight w:val="none"/>
                <w:u w:val="none"/>
                <w:lang w:val="en-US" w:eastAsia="zh-CN"/>
              </w:rPr>
              <w:t>新能源有限公司，后续</w:t>
            </w:r>
            <w:r>
              <w:rPr>
                <w:rFonts w:hint="eastAsia" w:ascii="Times New Roman" w:hAnsi="Times New Roman" w:eastAsia="宋体" w:cs="Times New Roman"/>
                <w:color w:val="auto"/>
                <w:sz w:val="24"/>
                <w:szCs w:val="24"/>
                <w:highlight w:val="none"/>
                <w:u w:val="none"/>
                <w:lang w:val="en-US" w:eastAsia="zh-CN"/>
              </w:rPr>
              <w:t>平煤煌龙</w:t>
            </w:r>
            <w:r>
              <w:rPr>
                <w:rFonts w:hint="eastAsia" w:ascii="Times New Roman" w:hAnsi="Times New Roman" w:cs="Times New Roman"/>
                <w:color w:val="auto"/>
                <w:sz w:val="24"/>
                <w:szCs w:val="24"/>
                <w:highlight w:val="none"/>
                <w:u w:val="none"/>
                <w:lang w:val="en-US" w:eastAsia="zh-CN"/>
              </w:rPr>
              <w:t>新能源有限公司</w:t>
            </w:r>
            <w:r>
              <w:rPr>
                <w:rFonts w:hint="eastAsia" w:ascii="Times New Roman" w:hAnsi="Times New Roman" w:eastAsia="宋体" w:cs="Times New Roman"/>
                <w:color w:val="auto"/>
                <w:sz w:val="24"/>
                <w:szCs w:val="24"/>
                <w:highlight w:val="none"/>
                <w:u w:val="none"/>
                <w:lang w:val="en-US" w:eastAsia="zh-CN"/>
              </w:rPr>
              <w:t>为优化企业结构，提高协作效率</w:t>
            </w:r>
            <w:r>
              <w:rPr>
                <w:rFonts w:hint="eastAsia" w:ascii="Times New Roman" w:hAnsi="Times New Roman" w:cs="Times New Roman"/>
                <w:color w:val="auto"/>
                <w:sz w:val="24"/>
                <w:szCs w:val="24"/>
                <w:highlight w:val="none"/>
                <w:u w:val="none"/>
                <w:lang w:val="en-US" w:eastAsia="zh-CN"/>
              </w:rPr>
              <w:t>，</w:t>
            </w:r>
            <w:r>
              <w:rPr>
                <w:rFonts w:hint="eastAsia" w:ascii="Times New Roman" w:hAnsi="Times New Roman" w:eastAsia="宋体" w:cs="Times New Roman"/>
                <w:color w:val="auto"/>
                <w:sz w:val="24"/>
                <w:szCs w:val="24"/>
                <w:highlight w:val="none"/>
                <w:u w:val="none"/>
                <w:lang w:val="en-US" w:eastAsia="zh-CN"/>
              </w:rPr>
              <w:t>平煤煌龙</w:t>
            </w:r>
            <w:r>
              <w:rPr>
                <w:rFonts w:hint="eastAsia" w:ascii="Times New Roman" w:hAnsi="Times New Roman" w:cs="Times New Roman"/>
                <w:color w:val="auto"/>
                <w:sz w:val="24"/>
                <w:szCs w:val="24"/>
                <w:highlight w:val="none"/>
                <w:u w:val="none"/>
                <w:lang w:val="en-US" w:eastAsia="zh-CN"/>
              </w:rPr>
              <w:t>由河南超蓝能源科技有限公司吸收合并，环评报告编制方面公司名称现改为河南超蓝能源科技有限公司，但项目备案上公司名称由于备案时间和公司吸收合并时间方面原因没有进行修改，河南超蓝能源科技有限公司后续的</w:t>
            </w:r>
            <w:r>
              <w:rPr>
                <w:rFonts w:hint="eastAsia" w:ascii="Times New Roman" w:hAnsi="Times New Roman" w:eastAsia="宋体" w:cs="Times New Roman"/>
                <w:color w:val="auto"/>
                <w:sz w:val="24"/>
                <w:szCs w:val="24"/>
                <w:highlight w:val="none"/>
                <w:u w:val="none"/>
                <w:lang w:val="en-US" w:eastAsia="zh-CN"/>
              </w:rPr>
              <w:t>资产、负债、所有者权益</w:t>
            </w:r>
            <w:r>
              <w:rPr>
                <w:rFonts w:hint="eastAsia" w:ascii="Times New Roman" w:hAnsi="Times New Roman" w:cs="Times New Roman"/>
                <w:color w:val="auto"/>
                <w:sz w:val="24"/>
                <w:szCs w:val="24"/>
                <w:highlight w:val="none"/>
                <w:u w:val="none"/>
                <w:lang w:val="en-US" w:eastAsia="zh-CN"/>
              </w:rPr>
              <w:t>等等问题在公司内部</w:t>
            </w:r>
            <w:r>
              <w:rPr>
                <w:rFonts w:hint="eastAsia" w:cs="Times New Roman"/>
                <w:b w:val="0"/>
                <w:bCs/>
                <w:kern w:val="2"/>
                <w:sz w:val="24"/>
                <w:szCs w:val="24"/>
                <w:highlight w:val="none"/>
                <w:u w:val="none"/>
                <w:lang w:val="en-US" w:eastAsia="zh-CN" w:bidi="ar-SA"/>
              </w:rPr>
              <w:t>关于超蓝公司合并平煤煌龙事宜会议纪要上已经分析完成，</w:t>
            </w:r>
            <w:r>
              <w:rPr>
                <w:rFonts w:hint="eastAsia" w:ascii="Times New Roman" w:hAnsi="Times New Roman" w:eastAsia="宋体" w:cs="Times New Roman"/>
                <w:color w:val="auto"/>
                <w:sz w:val="24"/>
                <w:szCs w:val="24"/>
                <w:highlight w:val="none"/>
                <w:u w:val="none"/>
                <w:lang w:val="en-US" w:eastAsia="zh-CN"/>
              </w:rPr>
              <w:t>会议认为，该方案可进一步优化资源配置，提高瓦斯综合利用上下游协作效率，实现规模效益。会议决定，同意超蓝公司按照上述方案吸收合并平煤煌龙。</w:t>
            </w:r>
            <w:r>
              <w:rPr>
                <w:rFonts w:hint="eastAsia" w:cs="Times New Roman"/>
                <w:color w:val="auto"/>
                <w:sz w:val="24"/>
                <w:szCs w:val="24"/>
                <w:highlight w:val="none"/>
                <w:u w:val="none"/>
                <w:lang w:val="en-US" w:eastAsia="zh-CN"/>
              </w:rPr>
              <w:t>（见附件8）。</w:t>
            </w:r>
          </w:p>
          <w:p w14:paraId="680448B7">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eastAsia" w:ascii="Times New Roman" w:hAnsi="Times New Roman" w:cs="Times New Roman"/>
                <w:b/>
                <w:color w:val="auto"/>
                <w:sz w:val="24"/>
                <w:u w:val="none"/>
              </w:rPr>
            </w:pPr>
            <w:r>
              <w:rPr>
                <w:rFonts w:hint="eastAsia" w:ascii="Times New Roman" w:hAnsi="Times New Roman" w:cs="Times New Roman"/>
                <w:b/>
                <w:color w:val="auto"/>
                <w:sz w:val="24"/>
                <w:u w:val="none"/>
              </w:rPr>
              <w:t>2</w:t>
            </w:r>
            <w:r>
              <w:rPr>
                <w:rFonts w:hint="eastAsia" w:cs="Times New Roman"/>
                <w:b/>
                <w:color w:val="auto"/>
                <w:sz w:val="24"/>
                <w:u w:val="none"/>
                <w:lang w:eastAsia="zh-CN"/>
              </w:rPr>
              <w:t>、</w:t>
            </w:r>
            <w:r>
              <w:rPr>
                <w:rFonts w:hint="eastAsia" w:ascii="Times New Roman" w:hAnsi="Times New Roman" w:cs="Times New Roman"/>
                <w:b/>
                <w:color w:val="auto"/>
                <w:sz w:val="24"/>
                <w:u w:val="none"/>
              </w:rPr>
              <w:t>建设项目环境影响评价分类管理名录</w:t>
            </w:r>
          </w:p>
          <w:p w14:paraId="4DC02469">
            <w:pPr>
              <w:keepNext w:val="0"/>
              <w:keepLines w:val="0"/>
              <w:pageBreakBefore w:val="0"/>
              <w:widowControl w:val="0"/>
              <w:kinsoku/>
              <w:wordWrap/>
              <w:topLinePunct w:val="0"/>
              <w:bidi w:val="0"/>
              <w:adjustRightInd w:val="0"/>
              <w:snapToGrid w:val="0"/>
              <w:spacing w:line="500" w:lineRule="exact"/>
              <w:ind w:firstLine="480" w:firstLineChars="200"/>
              <w:jc w:val="both"/>
              <w:textAlignment w:val="auto"/>
              <w:rPr>
                <w:rFonts w:hint="eastAsia"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本项目利用矿井瓦斯发电，查阅《建设项目环境影响评价分类管理名录》（2021年版），本项目发电工艺属“四十一、电力、热力生产和供应业”</w:t>
            </w:r>
            <w:r>
              <w:rPr>
                <w:rFonts w:hint="eastAsia" w:cs="Times New Roman"/>
                <w:color w:val="auto"/>
                <w:sz w:val="24"/>
                <w:szCs w:val="24"/>
                <w:u w:val="none"/>
                <w:lang w:val="en-US" w:eastAsia="zh-CN"/>
              </w:rPr>
              <w:t>-</w:t>
            </w:r>
            <w:r>
              <w:rPr>
                <w:rFonts w:hint="eastAsia" w:ascii="Times New Roman" w:hAnsi="Times New Roman" w:eastAsia="宋体" w:cs="Times New Roman"/>
                <w:color w:val="auto"/>
                <w:sz w:val="24"/>
                <w:szCs w:val="24"/>
                <w:u w:val="none"/>
                <w:lang w:val="en-US" w:eastAsia="zh-CN"/>
              </w:rPr>
              <w:t>“87火力发电”类项目，其中“燃气发电；单纯利用余气（含煤矿瓦斯）发电”类应编制环境影响评价报告表，本项目利用矿井瓦斯发电，因此本项目应编制环境影响评价报告表。</w:t>
            </w:r>
          </w:p>
          <w:p w14:paraId="7F16DABA">
            <w:pPr>
              <w:keepNext w:val="0"/>
              <w:keepLines w:val="0"/>
              <w:pageBreakBefore w:val="0"/>
              <w:widowControl w:val="0"/>
              <w:kinsoku/>
              <w:wordWrap/>
              <w:topLinePunct w:val="0"/>
              <w:bidi w:val="0"/>
              <w:adjustRightInd w:val="0"/>
              <w:snapToGrid w:val="0"/>
              <w:spacing w:line="500" w:lineRule="exact"/>
              <w:ind w:firstLine="480" w:firstLineChars="200"/>
              <w:jc w:val="both"/>
              <w:textAlignment w:val="auto"/>
              <w:rPr>
                <w:rFonts w:hint="eastAsia"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根据《河南省生态环境厅办公室关于进一步优化环评审批推进重大投资项目建设的通知》（豫环办[2022]44号），本项目属于告知承诺制范围内，因此适用告知承诺制审批。依据《平顶山市生态环境局关于明确非辐射类建设项目环评审批及排污许可证核发中涉“两高一危”项目相关事项的通知（平环[2023]8号）》，本项目属于县级审批权限。</w:t>
            </w:r>
          </w:p>
          <w:p w14:paraId="6D321B5F">
            <w:pPr>
              <w:pStyle w:val="94"/>
              <w:keepNext w:val="0"/>
              <w:keepLines w:val="0"/>
              <w:pageBreakBefore w:val="0"/>
              <w:widowControl w:val="0"/>
              <w:kinsoku/>
              <w:wordWrap/>
              <w:overflowPunct w:val="0"/>
              <w:topLinePunct w:val="0"/>
              <w:autoSpaceDE/>
              <w:autoSpaceDN/>
              <w:bidi w:val="0"/>
              <w:adjustRightInd/>
              <w:snapToGrid w:val="0"/>
              <w:spacing w:before="0" w:after="0" w:line="500" w:lineRule="exact"/>
              <w:ind w:left="0" w:leftChars="0" w:firstLine="482" w:firstLineChars="200"/>
              <w:textAlignment w:val="auto"/>
              <w:rPr>
                <w:rFonts w:ascii="Times New Roman" w:hAnsi="Times New Roman" w:eastAsia="宋体" w:cs="Times New Roman"/>
                <w:b/>
                <w:color w:val="auto"/>
                <w:sz w:val="24"/>
                <w:szCs w:val="24"/>
                <w:u w:val="none"/>
              </w:rPr>
            </w:pPr>
            <w:r>
              <w:rPr>
                <w:rFonts w:hint="eastAsia" w:ascii="Times New Roman" w:hAnsi="Times New Roman" w:eastAsia="宋体" w:cs="Times New Roman"/>
                <w:b/>
                <w:color w:val="auto"/>
                <w:sz w:val="24"/>
                <w:szCs w:val="24"/>
                <w:u w:val="none"/>
              </w:rPr>
              <w:t>3</w:t>
            </w:r>
            <w:r>
              <w:rPr>
                <w:rFonts w:hint="eastAsia" w:eastAsia="宋体" w:cs="Times New Roman"/>
                <w:b/>
                <w:color w:val="auto"/>
                <w:sz w:val="24"/>
                <w:szCs w:val="24"/>
                <w:u w:val="none"/>
                <w:lang w:eastAsia="zh-CN"/>
              </w:rPr>
              <w:t>、</w:t>
            </w:r>
            <w:r>
              <w:rPr>
                <w:rFonts w:hint="eastAsia" w:eastAsia="宋体" w:cs="Times New Roman"/>
                <w:b/>
                <w:color w:val="auto"/>
                <w:sz w:val="24"/>
                <w:szCs w:val="24"/>
                <w:u w:val="none"/>
                <w:lang w:val="en-US" w:eastAsia="zh-CN"/>
              </w:rPr>
              <w:t>叶县</w:t>
            </w:r>
            <w:r>
              <w:rPr>
                <w:rFonts w:ascii="Times New Roman" w:hAnsi="Times New Roman" w:eastAsia="宋体" w:cs="Times New Roman"/>
                <w:b/>
                <w:color w:val="auto"/>
                <w:sz w:val="24"/>
                <w:szCs w:val="24"/>
                <w:u w:val="none"/>
              </w:rPr>
              <w:t>“三线一单”环境保护管理要求</w:t>
            </w:r>
          </w:p>
          <w:p w14:paraId="07109991">
            <w:pPr>
              <w:keepNext w:val="0"/>
              <w:keepLines w:val="0"/>
              <w:pageBreakBefore w:val="0"/>
              <w:widowControl/>
              <w:kinsoku/>
              <w:bidi w:val="0"/>
              <w:spacing w:line="500" w:lineRule="exact"/>
              <w:ind w:firstLine="480" w:firstLineChars="200"/>
              <w:jc w:val="left"/>
              <w:textAlignment w:val="auto"/>
              <w:rPr>
                <w:rFonts w:hint="default" w:ascii="Times New Roman" w:hAnsi="Times New Roman" w:cs="Times New Roman"/>
                <w:sz w:val="24"/>
              </w:rPr>
            </w:pPr>
            <w:r>
              <w:rPr>
                <w:rFonts w:hint="default" w:ascii="Times New Roman" w:hAnsi="Times New Roman" w:cs="Times New Roman"/>
                <w:sz w:val="24"/>
              </w:rPr>
              <w:t>（1）生态保护红线</w:t>
            </w:r>
          </w:p>
          <w:p w14:paraId="4BFE1CBA">
            <w:pPr>
              <w:keepNext w:val="0"/>
              <w:keepLines w:val="0"/>
              <w:pageBreakBefore w:val="0"/>
              <w:widowControl w:val="0"/>
              <w:kinsoku/>
              <w:wordWrap/>
              <w:bidi w:val="0"/>
              <w:spacing w:line="50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根据</w:t>
            </w:r>
            <w:r>
              <w:rPr>
                <w:rFonts w:hint="eastAsia"/>
                <w:sz w:val="24"/>
                <w:szCs w:val="24"/>
                <w:lang w:val="en-US" w:eastAsia="zh-CN"/>
              </w:rPr>
              <w:t>《关于公布河南省“三线一单”生态环境分区管控更新成果（2023年版）的通知》（河南省生态环境厅公告2024年2号）</w:t>
            </w:r>
            <w:r>
              <w:rPr>
                <w:rFonts w:hint="default" w:ascii="Times New Roman" w:hAnsi="Times New Roman" w:cs="Times New Roman"/>
                <w:color w:val="auto"/>
                <w:sz w:val="24"/>
              </w:rPr>
              <w:t>，全市国土空间按优先保护单元、重点管控单元、一般管控单元三大类共分为65个生态环境管控单元。其中，优先保护单元23个，面积占比34.63%；重点管控单元35个，面积占比32.13%；一般管控单元7个，面积占比33.24%。</w:t>
            </w:r>
          </w:p>
          <w:p w14:paraId="120AF6A7">
            <w:pPr>
              <w:keepNext w:val="0"/>
              <w:keepLines w:val="0"/>
              <w:pageBreakBefore w:val="0"/>
              <w:widowControl w:val="0"/>
              <w:kinsoku/>
              <w:wordWrap/>
              <w:bidi w:val="0"/>
              <w:spacing w:line="50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优先保护单元指具有一定生态功能、以生态环境保护为主的区域。突出空间用途管控，以生态环境保护优先为原则，依法禁止或限制有关开发建设活动，优先开展生态保护修复，提高生态系统服务功能，确保生态环境功能不降低。</w:t>
            </w:r>
          </w:p>
          <w:p w14:paraId="519E0867">
            <w:pPr>
              <w:keepNext w:val="0"/>
              <w:keepLines w:val="0"/>
              <w:pageBreakBefore w:val="0"/>
              <w:widowControl w:val="0"/>
              <w:kinsoku/>
              <w:wordWrap/>
              <w:bidi w:val="0"/>
              <w:spacing w:line="50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重点管控单元指人口密集、资源开发强度较大、污染物排放强度相对较高的区域。主要推动空间布局优化和产业结构转型升级，深化污染治理，提高资源利用效率，减少污染物排放，防控生态环境风险，守住环境质量底线。</w:t>
            </w:r>
          </w:p>
          <w:p w14:paraId="326696C9">
            <w:pPr>
              <w:keepNext w:val="0"/>
              <w:keepLines w:val="0"/>
              <w:pageBreakBefore w:val="0"/>
              <w:widowControl w:val="0"/>
              <w:kinsoku/>
              <w:wordWrap/>
              <w:overflowPunct/>
              <w:topLinePunct w:val="0"/>
              <w:bidi w:val="0"/>
              <w:snapToGrid w:val="0"/>
              <w:spacing w:line="50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一般管控单元指除优先保护单元和重点管控单元之外的其他区域。主要落实生态环境保护的基本要求，生态环境状况得到保持或优化。</w:t>
            </w:r>
          </w:p>
          <w:p w14:paraId="31DC6974">
            <w:pPr>
              <w:keepNext w:val="0"/>
              <w:keepLines w:val="0"/>
              <w:pageBreakBefore w:val="0"/>
              <w:widowControl w:val="0"/>
              <w:kinsoku/>
              <w:wordWrap/>
              <w:overflowPunct/>
              <w:topLinePunct w:val="0"/>
              <w:bidi w:val="0"/>
              <w:snapToGrid w:val="0"/>
              <w:spacing w:line="500" w:lineRule="exact"/>
              <w:ind w:firstLine="480" w:firstLineChars="200"/>
              <w:textAlignment w:val="auto"/>
              <w:rPr>
                <w:rFonts w:hint="eastAsia" w:ascii="Times New Roman" w:hAnsi="Times New Roman" w:cs="Times New Roman"/>
                <w:b w:val="0"/>
                <w:bCs w:val="0"/>
                <w:color w:val="auto"/>
                <w:sz w:val="24"/>
                <w:szCs w:val="24"/>
                <w:u w:val="none"/>
                <w:lang w:val="en-US" w:eastAsia="zh-CN"/>
              </w:rPr>
            </w:pPr>
            <w:r>
              <w:rPr>
                <w:rFonts w:hint="eastAsia" w:ascii="Times New Roman" w:hAnsi="Times New Roman" w:cs="Times New Roman"/>
                <w:b w:val="0"/>
                <w:bCs w:val="0"/>
                <w:color w:val="auto"/>
                <w:sz w:val="24"/>
                <w:szCs w:val="24"/>
                <w:u w:val="none"/>
                <w:lang w:val="en-US" w:eastAsia="zh-CN"/>
              </w:rPr>
              <w:t>本项目选址本项目位于平顶山市叶县洪庄杨乡张集村、贾庄村，拟建地类属于工业用地，</w:t>
            </w:r>
            <w:r>
              <w:rPr>
                <w:rFonts w:hint="default" w:ascii="Times New Roman" w:hAnsi="Times New Roman" w:cs="Times New Roman"/>
                <w:color w:val="auto"/>
                <w:sz w:val="24"/>
                <w:highlight w:val="none"/>
                <w:u w:val="none"/>
              </w:rPr>
              <w:t>所在区域属于重点管控单元，单元名称：</w:t>
            </w:r>
            <w:r>
              <w:rPr>
                <w:rFonts w:hint="eastAsia" w:cs="Times New Roman"/>
                <w:color w:val="auto"/>
                <w:sz w:val="24"/>
                <w:highlight w:val="none"/>
                <w:u w:val="none"/>
                <w:lang w:val="en-US" w:eastAsia="zh-CN"/>
              </w:rPr>
              <w:t>叶县</w:t>
            </w:r>
            <w:r>
              <w:rPr>
                <w:rFonts w:hint="default" w:ascii="Times New Roman" w:hAnsi="Times New Roman" w:cs="Times New Roman"/>
                <w:color w:val="auto"/>
                <w:sz w:val="24"/>
                <w:highlight w:val="none"/>
                <w:u w:val="none"/>
                <w:lang w:val="en-US" w:eastAsia="zh-CN"/>
              </w:rPr>
              <w:t>大气重点单元</w:t>
            </w:r>
            <w:r>
              <w:rPr>
                <w:rFonts w:hint="default" w:ascii="Times New Roman" w:hAnsi="Times New Roman" w:cs="Times New Roman"/>
                <w:color w:val="auto"/>
                <w:sz w:val="24"/>
                <w:highlight w:val="none"/>
                <w:u w:val="none"/>
              </w:rPr>
              <w:t>，单元编码：ZH4104</w:t>
            </w:r>
            <w:r>
              <w:rPr>
                <w:rFonts w:hint="eastAsia" w:cs="Times New Roman"/>
                <w:color w:val="auto"/>
                <w:sz w:val="24"/>
                <w:highlight w:val="none"/>
                <w:u w:val="none"/>
                <w:lang w:val="en-US" w:eastAsia="zh-CN"/>
              </w:rPr>
              <w:t>2</w:t>
            </w:r>
            <w:r>
              <w:rPr>
                <w:rFonts w:hint="default" w:ascii="Times New Roman" w:hAnsi="Times New Roman" w:cs="Times New Roman"/>
                <w:color w:val="auto"/>
                <w:sz w:val="24"/>
                <w:highlight w:val="none"/>
                <w:u w:val="none"/>
                <w:lang w:val="en-US" w:eastAsia="zh-CN"/>
              </w:rPr>
              <w:t>22000</w:t>
            </w:r>
            <w:r>
              <w:rPr>
                <w:rFonts w:hint="eastAsia" w:cs="Times New Roman"/>
                <w:color w:val="auto"/>
                <w:sz w:val="24"/>
                <w:highlight w:val="none"/>
                <w:u w:val="none"/>
                <w:lang w:val="en-US" w:eastAsia="zh-CN"/>
              </w:rPr>
              <w:t>5</w:t>
            </w:r>
            <w:r>
              <w:rPr>
                <w:rFonts w:hint="default" w:ascii="Times New Roman" w:hAnsi="Times New Roman" w:cs="Times New Roman"/>
                <w:color w:val="auto"/>
                <w:sz w:val="24"/>
                <w:highlight w:val="none"/>
                <w:u w:val="none"/>
              </w:rPr>
              <w:t>。</w:t>
            </w:r>
            <w:r>
              <w:rPr>
                <w:rFonts w:hint="eastAsia" w:ascii="Times New Roman" w:hAnsi="Times New Roman" w:cs="Times New Roman"/>
                <w:b w:val="0"/>
                <w:bCs w:val="0"/>
                <w:color w:val="auto"/>
                <w:sz w:val="24"/>
                <w:szCs w:val="24"/>
                <w:u w:val="none"/>
                <w:lang w:val="en-US" w:eastAsia="zh-CN"/>
              </w:rPr>
              <w:t>周边无自然保护区、风景名胜区、世界文化和自然遗产地，饮用水源保护区等环境敏感区，</w:t>
            </w:r>
            <w:r>
              <w:rPr>
                <w:rFonts w:hint="eastAsia" w:cs="Times New Roman"/>
                <w:b w:val="0"/>
                <w:bCs w:val="0"/>
                <w:color w:val="auto"/>
                <w:sz w:val="24"/>
                <w:szCs w:val="24"/>
                <w:u w:val="none"/>
                <w:lang w:val="en-US" w:eastAsia="zh-CN"/>
              </w:rPr>
              <w:t>且</w:t>
            </w:r>
            <w:r>
              <w:rPr>
                <w:rFonts w:hint="eastAsia" w:ascii="Times New Roman" w:hAnsi="Times New Roman" w:cs="Times New Roman"/>
                <w:b w:val="0"/>
                <w:bCs w:val="0"/>
                <w:color w:val="auto"/>
                <w:sz w:val="24"/>
                <w:szCs w:val="24"/>
                <w:u w:val="none"/>
                <w:lang w:val="en-US" w:eastAsia="zh-CN"/>
              </w:rPr>
              <w:t>不在叶县划定的生态红线保护区范围内。由此可知，本项目符合叶县生态红线保护要求。</w:t>
            </w:r>
          </w:p>
          <w:p w14:paraId="66D1C4EA">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jc w:val="left"/>
              <w:textAlignment w:val="auto"/>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zh-CN" w:eastAsia="zh-CN" w:bidi="ar-SA"/>
              </w:rPr>
              <w:t>②</w:t>
            </w:r>
            <w:r>
              <w:rPr>
                <w:rFonts w:hint="eastAsia" w:ascii="Times New Roman" w:hAnsi="Times New Roman" w:eastAsia="宋体" w:cs="Times New Roman"/>
                <w:color w:val="auto"/>
                <w:kern w:val="2"/>
                <w:sz w:val="24"/>
                <w:szCs w:val="24"/>
                <w:u w:val="none"/>
                <w:lang w:val="en-US" w:eastAsia="zh-CN" w:bidi="ar-SA"/>
              </w:rPr>
              <w:t>资源利用上线</w:t>
            </w:r>
          </w:p>
          <w:p w14:paraId="48656DD9">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zh-CN" w:eastAsia="zh-CN" w:bidi="ar-SA"/>
              </w:rPr>
            </w:pPr>
            <w:r>
              <w:rPr>
                <w:rFonts w:hint="eastAsia" w:ascii="Times New Roman" w:hAnsi="Times New Roman" w:eastAsia="宋体" w:cs="Times New Roman"/>
                <w:color w:val="auto"/>
                <w:kern w:val="2"/>
                <w:sz w:val="24"/>
                <w:szCs w:val="24"/>
                <w:u w:val="none"/>
                <w:lang w:val="en-US" w:eastAsia="zh-CN" w:bidi="ar-SA"/>
              </w:rPr>
              <w:t>本项目营运过程中消耗一定量的电源、水资源及土地资源，新增用电量为</w:t>
            </w:r>
            <w:r>
              <w:rPr>
                <w:rFonts w:hint="eastAsia" w:ascii="Times New Roman" w:hAnsi="Times New Roman" w:eastAsia="宋体" w:cs="Times New Roman"/>
                <w:color w:val="auto"/>
                <w:kern w:val="2"/>
                <w:sz w:val="24"/>
                <w:szCs w:val="24"/>
                <w:highlight w:val="none"/>
                <w:u w:val="none"/>
                <w:lang w:val="en-US" w:eastAsia="zh-CN" w:bidi="ar-SA"/>
              </w:rPr>
              <w:t>：184.32万kW·h/a，新增用水量为1</w:t>
            </w:r>
            <w:r>
              <w:rPr>
                <w:rFonts w:hint="eastAsia" w:cs="Times New Roman"/>
                <w:color w:val="auto"/>
                <w:kern w:val="2"/>
                <w:sz w:val="24"/>
                <w:szCs w:val="24"/>
                <w:highlight w:val="none"/>
                <w:u w:val="none"/>
                <w:lang w:val="en-US" w:eastAsia="zh-CN" w:bidi="ar-SA"/>
              </w:rPr>
              <w:t>58.4</w:t>
            </w:r>
            <w:r>
              <w:rPr>
                <w:rFonts w:hint="eastAsia" w:ascii="Times New Roman" w:hAnsi="Times New Roman" w:eastAsia="宋体" w:cs="Times New Roman"/>
                <w:color w:val="auto"/>
                <w:kern w:val="2"/>
                <w:sz w:val="24"/>
                <w:szCs w:val="24"/>
                <w:highlight w:val="none"/>
                <w:u w:val="none"/>
                <w:lang w:val="en-US" w:eastAsia="zh-CN" w:bidi="ar-SA"/>
              </w:rPr>
              <w:t>m</w:t>
            </w:r>
            <w:r>
              <w:rPr>
                <w:rFonts w:hint="eastAsia" w:ascii="Times New Roman" w:hAnsi="Times New Roman" w:eastAsia="宋体" w:cs="Times New Roman"/>
                <w:color w:val="auto"/>
                <w:kern w:val="2"/>
                <w:sz w:val="24"/>
                <w:szCs w:val="24"/>
                <w:highlight w:val="none"/>
                <w:u w:val="none"/>
                <w:vertAlign w:val="superscript"/>
                <w:lang w:val="en-US" w:eastAsia="zh-CN" w:bidi="ar-SA"/>
              </w:rPr>
              <w:t>3</w:t>
            </w:r>
            <w:r>
              <w:rPr>
                <w:rFonts w:hint="eastAsia" w:ascii="Times New Roman" w:hAnsi="Times New Roman" w:eastAsia="宋体" w:cs="Times New Roman"/>
                <w:color w:val="auto"/>
                <w:kern w:val="2"/>
                <w:sz w:val="24"/>
                <w:szCs w:val="24"/>
                <w:highlight w:val="none"/>
                <w:u w:val="none"/>
                <w:lang w:val="en-US" w:eastAsia="zh-CN" w:bidi="ar-SA"/>
              </w:rPr>
              <w:t>/a，</w:t>
            </w:r>
            <w:r>
              <w:rPr>
                <w:rFonts w:hint="eastAsia" w:cs="Times New Roman"/>
                <w:color w:val="auto"/>
                <w:kern w:val="2"/>
                <w:sz w:val="24"/>
                <w:szCs w:val="24"/>
                <w:u w:val="none"/>
                <w:lang w:val="en-US" w:eastAsia="zh-CN" w:bidi="ar-SA"/>
              </w:rPr>
              <w:t>用量较小，</w:t>
            </w:r>
            <w:r>
              <w:rPr>
                <w:rFonts w:hint="eastAsia" w:ascii="Times New Roman" w:hAnsi="Times New Roman" w:eastAsia="宋体" w:cs="Times New Roman"/>
                <w:color w:val="auto"/>
                <w:kern w:val="2"/>
                <w:sz w:val="24"/>
                <w:szCs w:val="24"/>
                <w:u w:val="none"/>
                <w:lang w:val="en-US" w:eastAsia="zh-CN" w:bidi="ar-SA"/>
              </w:rPr>
              <w:t>且仅为生活用水，新增土地资源利用为1500m</w:t>
            </w:r>
            <w:r>
              <w:rPr>
                <w:rFonts w:hint="eastAsia" w:cs="Times New Roman"/>
                <w:color w:val="auto"/>
                <w:kern w:val="2"/>
                <w:sz w:val="24"/>
                <w:szCs w:val="24"/>
                <w:u w:val="none"/>
                <w:vertAlign w:val="superscript"/>
                <w:lang w:val="en-US" w:eastAsia="zh-CN" w:bidi="ar-SA"/>
              </w:rPr>
              <w:t>2</w:t>
            </w:r>
            <w:r>
              <w:rPr>
                <w:rFonts w:hint="eastAsia" w:ascii="Times New Roman" w:hAnsi="Times New Roman" w:eastAsia="宋体" w:cs="Times New Roman"/>
                <w:color w:val="auto"/>
                <w:kern w:val="2"/>
                <w:sz w:val="24"/>
                <w:szCs w:val="24"/>
                <w:u w:val="none"/>
                <w:lang w:val="en-US" w:eastAsia="zh-CN" w:bidi="ar-SA"/>
              </w:rPr>
              <w:t>，不占用农田和基本农田</w:t>
            </w:r>
            <w:r>
              <w:rPr>
                <w:rFonts w:hint="eastAsia" w:cs="Times New Roman"/>
                <w:color w:val="auto"/>
                <w:kern w:val="2"/>
                <w:sz w:val="24"/>
                <w:szCs w:val="24"/>
                <w:u w:val="none"/>
                <w:lang w:val="en-US" w:eastAsia="zh-CN" w:bidi="ar-SA"/>
              </w:rPr>
              <w:t>，</w:t>
            </w:r>
            <w:r>
              <w:rPr>
                <w:rFonts w:hint="eastAsia" w:ascii="Times New Roman" w:hAnsi="Times New Roman" w:eastAsia="宋体" w:cs="Times New Roman"/>
                <w:color w:val="auto"/>
                <w:kern w:val="2"/>
                <w:sz w:val="24"/>
                <w:szCs w:val="24"/>
                <w:u w:val="none"/>
                <w:lang w:val="en-US" w:eastAsia="zh-CN" w:bidi="ar-SA"/>
              </w:rPr>
              <w:t>综上，项目资源消耗量相对区域资源利用总量较少，符合资源利用上限要求。</w:t>
            </w:r>
          </w:p>
          <w:p w14:paraId="7C3E35B1">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jc w:val="left"/>
              <w:textAlignment w:val="auto"/>
              <w:rPr>
                <w:rFonts w:hint="default"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zh-CN" w:eastAsia="zh-CN" w:bidi="ar-SA"/>
              </w:rPr>
              <w:fldChar w:fldCharType="begin"/>
            </w:r>
            <w:r>
              <w:rPr>
                <w:rFonts w:hint="eastAsia" w:ascii="Times New Roman" w:hAnsi="Times New Roman" w:eastAsia="宋体" w:cs="Times New Roman"/>
                <w:color w:val="auto"/>
                <w:kern w:val="2"/>
                <w:sz w:val="24"/>
                <w:szCs w:val="24"/>
                <w:u w:val="none"/>
                <w:lang w:val="zh-CN" w:eastAsia="zh-CN" w:bidi="ar-SA"/>
              </w:rPr>
              <w:instrText xml:space="preserve"> = 3 \* GB3 \* MERGEFORMAT </w:instrText>
            </w:r>
            <w:r>
              <w:rPr>
                <w:rFonts w:hint="eastAsia" w:ascii="Times New Roman" w:hAnsi="Times New Roman" w:eastAsia="宋体" w:cs="Times New Roman"/>
                <w:color w:val="auto"/>
                <w:kern w:val="2"/>
                <w:sz w:val="24"/>
                <w:szCs w:val="24"/>
                <w:u w:val="none"/>
                <w:lang w:val="zh-CN" w:eastAsia="zh-CN" w:bidi="ar-SA"/>
              </w:rPr>
              <w:fldChar w:fldCharType="separate"/>
            </w:r>
            <w:r>
              <w:rPr>
                <w:rFonts w:hint="eastAsia" w:ascii="Times New Roman" w:hAnsi="Times New Roman" w:eastAsia="宋体" w:cs="Times New Roman"/>
                <w:color w:val="auto"/>
                <w:kern w:val="2"/>
                <w:sz w:val="24"/>
                <w:szCs w:val="24"/>
                <w:u w:val="none"/>
                <w:lang w:val="en-US" w:eastAsia="zh-CN" w:bidi="ar-SA"/>
              </w:rPr>
              <w:t>③</w:t>
            </w:r>
            <w:r>
              <w:rPr>
                <w:rFonts w:hint="eastAsia" w:ascii="Times New Roman" w:hAnsi="Times New Roman" w:eastAsia="宋体" w:cs="Times New Roman"/>
                <w:color w:val="auto"/>
                <w:kern w:val="2"/>
                <w:sz w:val="24"/>
                <w:szCs w:val="24"/>
                <w:u w:val="none"/>
                <w:lang w:val="zh-CN" w:eastAsia="zh-CN" w:bidi="ar-SA"/>
              </w:rPr>
              <w:fldChar w:fldCharType="end"/>
            </w:r>
            <w:r>
              <w:rPr>
                <w:rFonts w:hint="eastAsia" w:ascii="Times New Roman" w:hAnsi="Times New Roman" w:eastAsia="宋体" w:cs="Times New Roman"/>
                <w:color w:val="auto"/>
                <w:kern w:val="2"/>
                <w:sz w:val="24"/>
                <w:szCs w:val="24"/>
                <w:u w:val="none"/>
                <w:lang w:val="en-US" w:eastAsia="zh-CN" w:bidi="ar-SA"/>
              </w:rPr>
              <w:t>环境质量底线</w:t>
            </w:r>
          </w:p>
          <w:p w14:paraId="2496ED5E">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本项目区域环境空气执行《环境空气质量标准》（GB3095-2012）中二级标准及修改单标准，根据202</w:t>
            </w:r>
            <w:r>
              <w:rPr>
                <w:rFonts w:hint="eastAsia" w:cs="Times New Roman"/>
                <w:color w:val="auto"/>
                <w:kern w:val="2"/>
                <w:sz w:val="24"/>
                <w:szCs w:val="24"/>
                <w:u w:val="none"/>
                <w:lang w:val="en-US" w:eastAsia="zh-CN" w:bidi="ar-SA"/>
              </w:rPr>
              <w:t>3</w:t>
            </w:r>
            <w:r>
              <w:rPr>
                <w:rFonts w:hint="eastAsia" w:ascii="Times New Roman" w:hAnsi="Times New Roman" w:eastAsia="宋体" w:cs="Times New Roman"/>
                <w:color w:val="auto"/>
                <w:kern w:val="2"/>
                <w:sz w:val="24"/>
                <w:szCs w:val="24"/>
                <w:u w:val="none"/>
                <w:lang w:val="en-US" w:eastAsia="zh-CN" w:bidi="ar-SA"/>
              </w:rPr>
              <w:t>年度环境空气质量现状调查，项目区域环境空气</w:t>
            </w:r>
            <w:r>
              <w:rPr>
                <w:rFonts w:hint="default" w:ascii="Times New Roman" w:hAnsi="Times New Roman" w:cs="Times New Roman"/>
                <w:sz w:val="24"/>
                <w:szCs w:val="24"/>
                <w:highlight w:val="none"/>
                <w:u w:val="none"/>
              </w:rPr>
              <w:t>SO</w:t>
            </w:r>
            <w:r>
              <w:rPr>
                <w:rFonts w:hint="default" w:ascii="Times New Roman" w:hAnsi="Times New Roman" w:cs="Times New Roman"/>
                <w:sz w:val="24"/>
                <w:szCs w:val="24"/>
                <w:highlight w:val="none"/>
                <w:u w:val="none"/>
                <w:vertAlign w:val="subscript"/>
              </w:rPr>
              <w:t>2</w:t>
            </w:r>
            <w:r>
              <w:rPr>
                <w:rFonts w:hint="default" w:ascii="Times New Roman" w:hAnsi="Times New Roman" w:cs="Times New Roman"/>
                <w:sz w:val="24"/>
                <w:szCs w:val="24"/>
                <w:highlight w:val="none"/>
                <w:u w:val="none"/>
              </w:rPr>
              <w:t>、NO</w:t>
            </w:r>
            <w:r>
              <w:rPr>
                <w:rFonts w:hint="default" w:ascii="Times New Roman" w:hAnsi="Times New Roman" w:cs="Times New Roman"/>
                <w:sz w:val="24"/>
                <w:szCs w:val="24"/>
                <w:highlight w:val="none"/>
                <w:u w:val="none"/>
                <w:vertAlign w:val="subscript"/>
              </w:rPr>
              <w:t>2</w:t>
            </w:r>
            <w:r>
              <w:rPr>
                <w:rFonts w:hint="default" w:ascii="Times New Roman" w:hAnsi="Times New Roman" w:cs="Times New Roman"/>
                <w:sz w:val="24"/>
                <w:szCs w:val="24"/>
                <w:highlight w:val="none"/>
                <w:u w:val="none"/>
              </w:rPr>
              <w:t>、</w:t>
            </w:r>
            <w:r>
              <w:rPr>
                <w:rFonts w:hint="eastAsia" w:ascii="Times New Roman" w:hAnsi="Times New Roman" w:eastAsia="宋体" w:cs="Times New Roman"/>
                <w:color w:val="auto"/>
                <w:kern w:val="2"/>
                <w:sz w:val="24"/>
                <w:szCs w:val="24"/>
                <w:u w:val="none"/>
                <w:lang w:val="en-US" w:eastAsia="zh-CN" w:bidi="ar-SA"/>
              </w:rPr>
              <w:t>PM</w:t>
            </w:r>
            <w:r>
              <w:rPr>
                <w:rFonts w:hint="eastAsia" w:ascii="Times New Roman" w:hAnsi="Times New Roman" w:eastAsia="宋体" w:cs="Times New Roman"/>
                <w:color w:val="auto"/>
                <w:kern w:val="2"/>
                <w:sz w:val="24"/>
                <w:szCs w:val="24"/>
                <w:u w:val="none"/>
                <w:vertAlign w:val="subscript"/>
                <w:lang w:val="en-US" w:eastAsia="zh-CN" w:bidi="ar-SA"/>
              </w:rPr>
              <w:t>10</w:t>
            </w:r>
            <w:r>
              <w:rPr>
                <w:rFonts w:hint="eastAsia" w:ascii="Times New Roman" w:hAnsi="Times New Roman" w:eastAsia="宋体" w:cs="Times New Roman"/>
                <w:color w:val="auto"/>
                <w:kern w:val="2"/>
                <w:sz w:val="24"/>
                <w:szCs w:val="24"/>
                <w:u w:val="none"/>
                <w:lang w:val="en-US" w:eastAsia="zh-CN" w:bidi="ar-SA"/>
              </w:rPr>
              <w:t>、PM</w:t>
            </w:r>
            <w:r>
              <w:rPr>
                <w:rFonts w:hint="eastAsia" w:ascii="Times New Roman" w:hAnsi="Times New Roman" w:eastAsia="宋体" w:cs="Times New Roman"/>
                <w:color w:val="auto"/>
                <w:kern w:val="2"/>
                <w:sz w:val="24"/>
                <w:szCs w:val="24"/>
                <w:u w:val="none"/>
                <w:vertAlign w:val="subscript"/>
                <w:lang w:val="en-US" w:eastAsia="zh-CN" w:bidi="ar-SA"/>
              </w:rPr>
              <w:t>2.5</w:t>
            </w:r>
            <w:r>
              <w:rPr>
                <w:rFonts w:hint="eastAsia" w:ascii="Times New Roman" w:hAnsi="Times New Roman" w:eastAsia="宋体" w:cs="Times New Roman"/>
                <w:color w:val="auto"/>
                <w:kern w:val="2"/>
                <w:sz w:val="24"/>
                <w:szCs w:val="24"/>
                <w:u w:val="none"/>
                <w:lang w:val="en-US" w:eastAsia="zh-CN" w:bidi="ar-SA"/>
              </w:rPr>
              <w:t>、</w:t>
            </w:r>
            <w:r>
              <w:rPr>
                <w:rFonts w:hint="default" w:ascii="Times New Roman" w:hAnsi="Times New Roman" w:cs="Times New Roman"/>
                <w:sz w:val="24"/>
                <w:szCs w:val="24"/>
                <w:highlight w:val="none"/>
                <w:u w:val="none"/>
              </w:rPr>
              <w:t>CO</w:t>
            </w:r>
            <w:r>
              <w:rPr>
                <w:rFonts w:hint="eastAsia" w:ascii="Times New Roman" w:hAnsi="Times New Roman" w:cs="Times New Roman"/>
                <w:sz w:val="24"/>
                <w:szCs w:val="24"/>
                <w:highlight w:val="none"/>
                <w:u w:val="none"/>
                <w:lang w:val="en-US" w:eastAsia="zh-CN"/>
              </w:rPr>
              <w:t>和</w:t>
            </w:r>
            <w:r>
              <w:rPr>
                <w:rFonts w:hint="eastAsia" w:ascii="Times New Roman" w:hAnsi="Times New Roman" w:eastAsia="宋体" w:cs="Times New Roman"/>
                <w:color w:val="auto"/>
                <w:kern w:val="2"/>
                <w:sz w:val="24"/>
                <w:szCs w:val="24"/>
                <w:u w:val="none"/>
                <w:lang w:val="en-US" w:eastAsia="zh-CN" w:bidi="ar-SA"/>
              </w:rPr>
              <w:t>O</w:t>
            </w:r>
            <w:r>
              <w:rPr>
                <w:rFonts w:hint="eastAsia" w:ascii="Times New Roman" w:hAnsi="Times New Roman" w:eastAsia="宋体" w:cs="Times New Roman"/>
                <w:color w:val="auto"/>
                <w:kern w:val="2"/>
                <w:sz w:val="24"/>
                <w:szCs w:val="24"/>
                <w:u w:val="none"/>
                <w:vertAlign w:val="subscript"/>
                <w:lang w:val="en-US" w:eastAsia="zh-CN" w:bidi="ar-SA"/>
              </w:rPr>
              <w:t>3</w:t>
            </w:r>
            <w:r>
              <w:rPr>
                <w:rFonts w:hint="eastAsia" w:ascii="Times New Roman" w:hAnsi="Times New Roman" w:eastAsia="宋体" w:cs="Times New Roman"/>
                <w:color w:val="auto"/>
                <w:kern w:val="2"/>
                <w:sz w:val="24"/>
                <w:szCs w:val="24"/>
                <w:u w:val="none"/>
                <w:lang w:val="en-US" w:eastAsia="zh-CN" w:bidi="ar-SA"/>
              </w:rPr>
              <w:t>因子均满足《环境空气质量标准》（GB3095-2012）中二级标准的要求。本项目营运后生产工序产生的污染物经</w:t>
            </w:r>
            <w:r>
              <w:rPr>
                <w:rFonts w:hint="eastAsia" w:cs="Times New Roman"/>
                <w:color w:val="auto"/>
                <w:kern w:val="2"/>
                <w:sz w:val="24"/>
                <w:szCs w:val="24"/>
                <w:highlight w:val="none"/>
                <w:u w:val="none"/>
                <w:lang w:val="en-US" w:eastAsia="zh-CN" w:bidi="ar-SA"/>
              </w:rPr>
              <w:t>稀薄燃烧控制技术控制</w:t>
            </w:r>
            <w:r>
              <w:rPr>
                <w:rFonts w:hint="eastAsia" w:ascii="Times New Roman" w:hAnsi="Times New Roman" w:eastAsia="宋体" w:cs="Times New Roman"/>
                <w:color w:val="auto"/>
                <w:kern w:val="2"/>
                <w:sz w:val="24"/>
                <w:szCs w:val="24"/>
                <w:highlight w:val="none"/>
                <w:u w:val="none"/>
                <w:lang w:val="en-US" w:eastAsia="zh-CN" w:bidi="ar-SA"/>
              </w:rPr>
              <w:t>后</w:t>
            </w:r>
            <w:r>
              <w:rPr>
                <w:rFonts w:hint="eastAsia" w:ascii="Times New Roman" w:hAnsi="Times New Roman" w:eastAsia="宋体" w:cs="Times New Roman"/>
                <w:color w:val="auto"/>
                <w:kern w:val="2"/>
                <w:sz w:val="24"/>
                <w:szCs w:val="24"/>
                <w:u w:val="none"/>
                <w:lang w:val="en-US" w:eastAsia="zh-CN" w:bidi="ar-SA"/>
              </w:rPr>
              <w:t>均可实现达标排放，对区域环境空气影响不大，不会改变本地区的环境空气质量。通过</w:t>
            </w:r>
            <w:r>
              <w:rPr>
                <w:rFonts w:hint="default" w:ascii="Times New Roman" w:hAnsi="Times New Roman" w:eastAsia="宋体" w:cs="Times New Roman"/>
                <w:color w:val="auto"/>
                <w:sz w:val="24"/>
                <w:szCs w:val="24"/>
                <w:u w:val="none"/>
              </w:rPr>
              <w:t>平顶山市202</w:t>
            </w:r>
            <w:r>
              <w:rPr>
                <w:rFonts w:hint="eastAsia" w:cs="Times New Roman"/>
                <w:color w:val="auto"/>
                <w:sz w:val="24"/>
                <w:szCs w:val="24"/>
                <w:u w:val="none"/>
                <w:lang w:val="en-US" w:eastAsia="zh-CN"/>
              </w:rPr>
              <w:t>4</w:t>
            </w:r>
            <w:r>
              <w:rPr>
                <w:rFonts w:hint="default" w:ascii="Times New Roman" w:hAnsi="Times New Roman" w:eastAsia="宋体" w:cs="Times New Roman"/>
                <w:color w:val="auto"/>
                <w:sz w:val="24"/>
                <w:szCs w:val="24"/>
                <w:u w:val="none"/>
              </w:rPr>
              <w:t>年</w:t>
            </w:r>
            <w:r>
              <w:rPr>
                <w:rFonts w:hint="default" w:ascii="Times New Roman" w:hAnsi="Times New Roman" w:eastAsia="宋体" w:cs="Times New Roman"/>
                <w:color w:val="auto"/>
                <w:sz w:val="24"/>
                <w:szCs w:val="24"/>
                <w:u w:val="none"/>
                <w:lang w:val="en-US" w:eastAsia="zh-CN"/>
              </w:rPr>
              <w:t>蓝天保卫战实施</w:t>
            </w:r>
            <w:r>
              <w:rPr>
                <w:rFonts w:hint="eastAsia" w:ascii="Times New Roman" w:hAnsi="Times New Roman" w:eastAsia="宋体" w:cs="Times New Roman"/>
                <w:color w:val="auto"/>
                <w:sz w:val="24"/>
                <w:szCs w:val="24"/>
                <w:u w:val="none"/>
                <w:lang w:val="en-US" w:eastAsia="zh-CN"/>
              </w:rPr>
              <w:t>，</w:t>
            </w:r>
            <w:r>
              <w:rPr>
                <w:rFonts w:hint="eastAsia" w:ascii="Times New Roman" w:hAnsi="Times New Roman" w:eastAsia="宋体" w:cs="Times New Roman"/>
                <w:color w:val="auto"/>
                <w:kern w:val="2"/>
                <w:sz w:val="24"/>
                <w:szCs w:val="24"/>
                <w:u w:val="none"/>
                <w:lang w:val="en-US" w:eastAsia="zh-CN" w:bidi="ar-SA"/>
              </w:rPr>
              <w:t>区域环境空气质量将得到有效改善。</w:t>
            </w:r>
          </w:p>
          <w:p w14:paraId="5270DC58">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本项目所在区域地表水</w:t>
            </w:r>
            <w:r>
              <w:rPr>
                <w:rFonts w:hint="eastAsia" w:ascii="Times New Roman" w:hAnsi="Times New Roman" w:cs="Times New Roman"/>
                <w:color w:val="auto"/>
                <w:sz w:val="24"/>
                <w:u w:val="none"/>
                <w:lang w:val="en-US" w:eastAsia="zh-CN"/>
              </w:rPr>
              <w:t>沙河舞阳马湾断面</w:t>
            </w:r>
            <w:r>
              <w:rPr>
                <w:rFonts w:ascii="Times New Roman" w:hAnsi="Times New Roman" w:cs="Times New Roman"/>
                <w:color w:val="auto"/>
                <w:sz w:val="24"/>
                <w:u w:val="none"/>
              </w:rPr>
              <w:t>执行《地表水环境质量标准》（GB3838-2002）Ⅲ类标准</w:t>
            </w:r>
            <w:r>
              <w:rPr>
                <w:rFonts w:hint="eastAsia" w:ascii="Times New Roman" w:hAnsi="Times New Roman" w:eastAsia="宋体" w:cs="Times New Roman"/>
                <w:color w:val="auto"/>
                <w:kern w:val="2"/>
                <w:sz w:val="24"/>
                <w:szCs w:val="24"/>
                <w:u w:val="none"/>
                <w:lang w:val="en-US" w:eastAsia="zh-CN" w:bidi="ar-SA"/>
              </w:rPr>
              <w:t>，根据2022年</w:t>
            </w:r>
            <w:r>
              <w:rPr>
                <w:rFonts w:hint="eastAsia" w:cs="Times New Roman"/>
                <w:color w:val="auto"/>
                <w:kern w:val="2"/>
                <w:sz w:val="24"/>
                <w:szCs w:val="24"/>
                <w:u w:val="none"/>
                <w:lang w:val="en-US" w:eastAsia="zh-CN" w:bidi="ar-SA"/>
              </w:rPr>
              <w:t>平顶山</w:t>
            </w:r>
            <w:r>
              <w:rPr>
                <w:rFonts w:hint="eastAsia" w:ascii="Times New Roman" w:hAnsi="Times New Roman" w:eastAsia="宋体" w:cs="Times New Roman"/>
                <w:color w:val="auto"/>
                <w:kern w:val="2"/>
                <w:sz w:val="24"/>
                <w:szCs w:val="24"/>
                <w:u w:val="none"/>
                <w:lang w:val="en-US" w:eastAsia="zh-CN" w:bidi="ar-SA"/>
              </w:rPr>
              <w:t>对</w:t>
            </w:r>
            <w:r>
              <w:rPr>
                <w:rFonts w:hint="eastAsia" w:ascii="Times New Roman" w:hAnsi="Times New Roman" w:cs="Times New Roman"/>
                <w:color w:val="auto"/>
                <w:sz w:val="24"/>
                <w:u w:val="none"/>
                <w:lang w:val="en-US" w:eastAsia="zh-CN"/>
              </w:rPr>
              <w:t>沙河舞阳马湾断面的监测</w:t>
            </w:r>
            <w:r>
              <w:rPr>
                <w:rFonts w:hint="eastAsia" w:ascii="Times New Roman" w:hAnsi="Times New Roman" w:eastAsia="宋体" w:cs="Times New Roman"/>
                <w:color w:val="auto"/>
                <w:kern w:val="2"/>
                <w:sz w:val="24"/>
                <w:szCs w:val="24"/>
                <w:u w:val="none"/>
                <w:lang w:val="en-US" w:eastAsia="zh-CN" w:bidi="ar-SA"/>
              </w:rPr>
              <w:t>数据可知，项目所在区域地表水环境质量目前满足相应的质量标准要求。本项目运营过程中</w:t>
            </w:r>
            <w:r>
              <w:rPr>
                <w:rFonts w:hint="eastAsia" w:cs="Times New Roman"/>
                <w:color w:val="auto"/>
                <w:kern w:val="2"/>
                <w:sz w:val="24"/>
                <w:szCs w:val="24"/>
                <w:u w:val="none"/>
                <w:lang w:val="en-US" w:eastAsia="zh-CN" w:bidi="ar-SA"/>
              </w:rPr>
              <w:t>不涉及</w:t>
            </w:r>
            <w:r>
              <w:rPr>
                <w:rFonts w:hint="eastAsia" w:ascii="Times New Roman" w:hAnsi="Times New Roman" w:eastAsia="宋体" w:cs="Times New Roman"/>
                <w:color w:val="auto"/>
                <w:kern w:val="2"/>
                <w:sz w:val="24"/>
                <w:szCs w:val="24"/>
                <w:u w:val="none"/>
                <w:lang w:val="en-US" w:eastAsia="zh-CN" w:bidi="ar-SA"/>
              </w:rPr>
              <w:t>生产废水</w:t>
            </w:r>
            <w:r>
              <w:rPr>
                <w:rFonts w:hint="eastAsia" w:cs="Times New Roman"/>
                <w:color w:val="auto"/>
                <w:kern w:val="2"/>
                <w:sz w:val="24"/>
                <w:szCs w:val="24"/>
                <w:u w:val="none"/>
                <w:lang w:val="en-US" w:eastAsia="zh-CN" w:bidi="ar-SA"/>
              </w:rPr>
              <w:t>外排，</w:t>
            </w:r>
            <w:r>
              <w:rPr>
                <w:rFonts w:hint="eastAsia" w:ascii="Times New Roman" w:hAnsi="Times New Roman" w:eastAsia="宋体" w:cs="Times New Roman"/>
                <w:color w:val="auto"/>
                <w:kern w:val="2"/>
                <w:sz w:val="24"/>
                <w:szCs w:val="24"/>
                <w:u w:val="none"/>
                <w:lang w:val="en-US" w:eastAsia="zh-CN" w:bidi="ar-SA"/>
              </w:rPr>
              <w:t>生活污水</w:t>
            </w:r>
            <w:r>
              <w:rPr>
                <w:rFonts w:hint="eastAsia" w:cs="Times New Roman"/>
                <w:color w:val="auto"/>
                <w:kern w:val="2"/>
                <w:sz w:val="24"/>
                <w:szCs w:val="24"/>
                <w:u w:val="none"/>
                <w:lang w:val="en-US" w:eastAsia="zh-CN" w:bidi="ar-SA"/>
              </w:rPr>
              <w:t>经化粪池处理后用于农田施肥，</w:t>
            </w:r>
            <w:r>
              <w:rPr>
                <w:rFonts w:hint="eastAsia" w:ascii="Times New Roman" w:hAnsi="Times New Roman" w:eastAsia="宋体" w:cs="Times New Roman"/>
                <w:color w:val="auto"/>
                <w:kern w:val="2"/>
                <w:sz w:val="24"/>
                <w:szCs w:val="24"/>
                <w:u w:val="none"/>
                <w:lang w:val="en-US" w:eastAsia="zh-CN" w:bidi="ar-SA"/>
              </w:rPr>
              <w:t>不外排。通过《平顶山市202</w:t>
            </w:r>
            <w:r>
              <w:rPr>
                <w:rFonts w:hint="eastAsia" w:cs="Times New Roman"/>
                <w:color w:val="auto"/>
                <w:kern w:val="2"/>
                <w:sz w:val="24"/>
                <w:szCs w:val="24"/>
                <w:u w:val="none"/>
                <w:lang w:val="en-US" w:eastAsia="zh-CN" w:bidi="ar-SA"/>
              </w:rPr>
              <w:t>4</w:t>
            </w:r>
            <w:r>
              <w:rPr>
                <w:rFonts w:hint="eastAsia" w:ascii="Times New Roman" w:hAnsi="Times New Roman" w:eastAsia="宋体" w:cs="Times New Roman"/>
                <w:color w:val="auto"/>
                <w:kern w:val="2"/>
                <w:sz w:val="24"/>
                <w:szCs w:val="24"/>
                <w:u w:val="none"/>
                <w:lang w:val="en-US" w:eastAsia="zh-CN" w:bidi="ar-SA"/>
              </w:rPr>
              <w:t>年碧水保卫战实施方案》的实施，</w:t>
            </w:r>
            <w:r>
              <w:rPr>
                <w:rFonts w:hint="eastAsia" w:cs="Times New Roman"/>
                <w:color w:val="auto"/>
                <w:kern w:val="2"/>
                <w:sz w:val="24"/>
                <w:szCs w:val="24"/>
                <w:u w:val="none"/>
                <w:lang w:val="en-US" w:eastAsia="zh-CN" w:bidi="ar-SA"/>
              </w:rPr>
              <w:t>本项目所在</w:t>
            </w:r>
            <w:r>
              <w:rPr>
                <w:rFonts w:hint="eastAsia" w:ascii="Times New Roman" w:hAnsi="Times New Roman" w:eastAsia="宋体" w:cs="Times New Roman"/>
                <w:color w:val="auto"/>
                <w:kern w:val="2"/>
                <w:sz w:val="24"/>
                <w:szCs w:val="24"/>
                <w:u w:val="none"/>
                <w:lang w:val="en-US" w:eastAsia="zh-CN" w:bidi="ar-SA"/>
              </w:rPr>
              <w:t>区域地表水环境质量将得到进一步的改善。</w:t>
            </w:r>
            <w:r>
              <w:rPr>
                <w:rFonts w:hint="eastAsia" w:cs="Times New Roman"/>
                <w:color w:val="auto"/>
                <w:kern w:val="2"/>
                <w:sz w:val="24"/>
                <w:szCs w:val="24"/>
                <w:u w:val="none"/>
                <w:lang w:val="en-US" w:eastAsia="zh-CN" w:bidi="ar-SA"/>
              </w:rPr>
              <w:t>因此</w:t>
            </w:r>
            <w:r>
              <w:rPr>
                <w:rFonts w:hint="eastAsia" w:ascii="Times New Roman" w:hAnsi="Times New Roman" w:eastAsia="宋体" w:cs="Times New Roman"/>
                <w:color w:val="auto"/>
                <w:kern w:val="2"/>
                <w:sz w:val="24"/>
                <w:szCs w:val="24"/>
                <w:u w:val="none"/>
                <w:lang w:val="en-US" w:eastAsia="zh-CN" w:bidi="ar-SA"/>
              </w:rPr>
              <w:t>，本项目建设符合环境质量底线要求。</w:t>
            </w:r>
          </w:p>
          <w:p w14:paraId="3F12F72B">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zh-CN" w:eastAsia="zh-CN" w:bidi="ar-SA"/>
              </w:rPr>
            </w:pPr>
            <w:r>
              <w:rPr>
                <w:rFonts w:hint="eastAsia" w:ascii="Times New Roman" w:hAnsi="Times New Roman" w:eastAsia="宋体" w:cs="Times New Roman"/>
                <w:color w:val="auto"/>
                <w:kern w:val="2"/>
                <w:sz w:val="24"/>
                <w:szCs w:val="24"/>
                <w:u w:val="none"/>
                <w:lang w:val="zh-CN" w:eastAsia="zh-CN" w:bidi="ar-SA"/>
              </w:rPr>
              <w:t>④生态环境准入清单</w:t>
            </w:r>
          </w:p>
          <w:p w14:paraId="42A934E1">
            <w:pPr>
              <w:keepNext w:val="0"/>
              <w:keepLines w:val="0"/>
              <w:pageBreakBefore w:val="0"/>
              <w:widowControl w:val="0"/>
              <w:kinsoku/>
              <w:wordWrap/>
              <w:overflowPunct/>
              <w:topLinePunct w:val="0"/>
              <w:bidi w:val="0"/>
              <w:snapToGrid w:val="0"/>
              <w:spacing w:line="500" w:lineRule="exact"/>
              <w:ind w:firstLine="480" w:firstLineChars="200"/>
              <w:textAlignment w:val="auto"/>
              <w:rPr>
                <w:rFonts w:hint="default" w:ascii="Times New Roman" w:hAnsi="Times New Roman" w:cs="Times New Roman"/>
                <w:bCs/>
                <w:lang w:bidi="ar"/>
              </w:rPr>
            </w:pPr>
            <w:r>
              <w:rPr>
                <w:rFonts w:hint="default" w:ascii="Times New Roman" w:hAnsi="Times New Roman" w:cs="Times New Roman"/>
                <w:color w:val="auto"/>
                <w:sz w:val="24"/>
              </w:rPr>
              <w:t>根据</w:t>
            </w:r>
            <w:r>
              <w:rPr>
                <w:rFonts w:hint="eastAsia" w:cs="Times New Roman"/>
                <w:color w:val="auto"/>
                <w:sz w:val="24"/>
                <w:lang w:eastAsia="zh-CN"/>
              </w:rPr>
              <w:t>《</w:t>
            </w:r>
            <w:r>
              <w:rPr>
                <w:rFonts w:hint="eastAsia"/>
                <w:sz w:val="24"/>
                <w:szCs w:val="24"/>
                <w:lang w:val="en-US" w:eastAsia="zh-CN"/>
              </w:rPr>
              <w:t>关于公布河南省“三线一单”生态环境分区管控更新成果（2023年版）的通知</w:t>
            </w:r>
            <w:r>
              <w:rPr>
                <w:rFonts w:hint="eastAsia" w:cs="Times New Roman"/>
                <w:color w:val="auto"/>
                <w:sz w:val="24"/>
                <w:lang w:eastAsia="zh-CN"/>
              </w:rPr>
              <w:t>》</w:t>
            </w:r>
            <w:r>
              <w:rPr>
                <w:rFonts w:hint="eastAsia" w:cs="Times New Roman"/>
                <w:color w:val="auto"/>
                <w:sz w:val="24"/>
                <w:szCs w:val="24"/>
                <w:lang w:eastAsia="zh-CN"/>
              </w:rPr>
              <w:t>（</w:t>
            </w:r>
            <w:r>
              <w:rPr>
                <w:rFonts w:hint="eastAsia"/>
                <w:sz w:val="24"/>
                <w:szCs w:val="24"/>
                <w:lang w:val="en-US" w:eastAsia="zh-CN"/>
              </w:rPr>
              <w:t>河南省生态环境厅公告2024年2号</w:t>
            </w:r>
            <w:r>
              <w:rPr>
                <w:rFonts w:hint="eastAsia" w:cs="Times New Roman"/>
                <w:color w:val="auto"/>
                <w:sz w:val="24"/>
                <w:szCs w:val="24"/>
                <w:lang w:eastAsia="zh-CN"/>
              </w:rPr>
              <w:t>）</w:t>
            </w: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u w:val="none"/>
              </w:rPr>
              <w:t>所在区域属于重点管控单元，单元名称：</w:t>
            </w:r>
            <w:r>
              <w:rPr>
                <w:rFonts w:hint="eastAsia" w:cs="Times New Roman"/>
                <w:color w:val="auto"/>
                <w:sz w:val="24"/>
                <w:highlight w:val="none"/>
                <w:u w:val="none"/>
                <w:lang w:val="en-US" w:eastAsia="zh-CN"/>
              </w:rPr>
              <w:t>叶县</w:t>
            </w:r>
            <w:r>
              <w:rPr>
                <w:rFonts w:hint="default" w:ascii="Times New Roman" w:hAnsi="Times New Roman" w:cs="Times New Roman"/>
                <w:color w:val="auto"/>
                <w:sz w:val="24"/>
                <w:highlight w:val="none"/>
                <w:u w:val="none"/>
                <w:lang w:val="en-US" w:eastAsia="zh-CN"/>
              </w:rPr>
              <w:t>大气重点单元</w:t>
            </w:r>
            <w:r>
              <w:rPr>
                <w:rFonts w:hint="default" w:ascii="Times New Roman" w:hAnsi="Times New Roman" w:cs="Times New Roman"/>
                <w:color w:val="auto"/>
                <w:sz w:val="24"/>
                <w:highlight w:val="none"/>
                <w:u w:val="none"/>
              </w:rPr>
              <w:t>，单元编码：ZH4104</w:t>
            </w:r>
            <w:r>
              <w:rPr>
                <w:rFonts w:hint="eastAsia" w:cs="Times New Roman"/>
                <w:color w:val="auto"/>
                <w:sz w:val="24"/>
                <w:highlight w:val="none"/>
                <w:u w:val="none"/>
                <w:lang w:val="en-US" w:eastAsia="zh-CN"/>
              </w:rPr>
              <w:t>2</w:t>
            </w:r>
            <w:r>
              <w:rPr>
                <w:rFonts w:hint="default" w:ascii="Times New Roman" w:hAnsi="Times New Roman" w:cs="Times New Roman"/>
                <w:color w:val="auto"/>
                <w:sz w:val="24"/>
                <w:highlight w:val="none"/>
                <w:u w:val="none"/>
                <w:lang w:val="en-US" w:eastAsia="zh-CN"/>
              </w:rPr>
              <w:t>22000</w:t>
            </w:r>
            <w:r>
              <w:rPr>
                <w:rFonts w:hint="eastAsia" w:cs="Times New Roman"/>
                <w:color w:val="auto"/>
                <w:sz w:val="24"/>
                <w:highlight w:val="none"/>
                <w:u w:val="none"/>
                <w:lang w:val="en-US" w:eastAsia="zh-CN"/>
              </w:rPr>
              <w:t>5</w:t>
            </w:r>
            <w:r>
              <w:rPr>
                <w:rFonts w:hint="default" w:ascii="Times New Roman" w:hAnsi="Times New Roman" w:cs="Times New Roman"/>
                <w:color w:val="auto"/>
                <w:sz w:val="24"/>
                <w:highlight w:val="none"/>
                <w:u w:val="none"/>
              </w:rPr>
              <w:t>。</w:t>
            </w:r>
            <w:r>
              <w:rPr>
                <w:rFonts w:hint="default" w:ascii="Times New Roman" w:hAnsi="Times New Roman" w:cs="Times New Roman"/>
                <w:color w:val="auto"/>
                <w:sz w:val="24"/>
              </w:rPr>
              <w:t>。</w:t>
            </w:r>
            <w:r>
              <w:rPr>
                <w:rFonts w:hint="default" w:ascii="Times New Roman" w:hAnsi="Times New Roman" w:eastAsia="宋体" w:cs="Times New Roman"/>
                <w:sz w:val="24"/>
                <w:szCs w:val="24"/>
                <w:lang w:val="en-US" w:eastAsia="zh-CN"/>
              </w:rPr>
              <w:t>本项目所在区域涉及的环境管控单元生态环境准入条件如下表：</w:t>
            </w:r>
          </w:p>
          <w:p w14:paraId="43CAC45F">
            <w:pPr>
              <w:spacing w:line="240" w:lineRule="auto"/>
              <w:jc w:val="center"/>
              <w:rPr>
                <w:rFonts w:ascii="Times New Roman" w:hAnsi="Times New Roman" w:cs="Times New Roman"/>
                <w:color w:val="auto"/>
                <w:u w:val="none"/>
                <w:lang w:val="zh-CN"/>
              </w:rPr>
            </w:pPr>
            <w:r>
              <w:rPr>
                <w:rFonts w:ascii="Times New Roman" w:hAnsi="Times New Roman" w:eastAsia="黑体" w:cs="Times New Roman"/>
                <w:color w:val="auto"/>
                <w:kern w:val="0"/>
                <w:sz w:val="24"/>
                <w:szCs w:val="24"/>
                <w:u w:val="none"/>
                <w:lang w:val="zh-CN"/>
              </w:rPr>
              <w:t>表</w:t>
            </w:r>
            <w:r>
              <w:rPr>
                <w:rFonts w:hint="eastAsia" w:eastAsia="黑体" w:cs="Times New Roman"/>
                <w:color w:val="auto"/>
                <w:kern w:val="0"/>
                <w:sz w:val="24"/>
                <w:szCs w:val="24"/>
                <w:u w:val="none"/>
                <w:lang w:val="en-US" w:eastAsia="zh-CN"/>
              </w:rPr>
              <w:t>1-3</w:t>
            </w:r>
            <w:r>
              <w:rPr>
                <w:rFonts w:ascii="Times New Roman" w:hAnsi="Times New Roman" w:eastAsia="黑体" w:cs="Times New Roman"/>
                <w:color w:val="auto"/>
                <w:kern w:val="0"/>
                <w:sz w:val="24"/>
                <w:szCs w:val="24"/>
                <w:u w:val="none"/>
                <w:lang w:val="zh-CN"/>
              </w:rPr>
              <w:t xml:space="preserve"> 项目与</w:t>
            </w:r>
            <w:r>
              <w:rPr>
                <w:rFonts w:hint="eastAsia" w:ascii="Times New Roman" w:hAnsi="Times New Roman" w:eastAsia="黑体" w:cs="Times New Roman"/>
                <w:color w:val="auto"/>
                <w:kern w:val="0"/>
                <w:sz w:val="24"/>
                <w:szCs w:val="24"/>
                <w:u w:val="none"/>
                <w:lang w:val="en-US" w:eastAsia="zh-CN"/>
              </w:rPr>
              <w:t>平顶山市</w:t>
            </w:r>
            <w:r>
              <w:rPr>
                <w:rFonts w:hint="eastAsia" w:eastAsia="黑体" w:cs="Times New Roman"/>
                <w:color w:val="auto"/>
                <w:kern w:val="0"/>
                <w:sz w:val="24"/>
                <w:szCs w:val="24"/>
                <w:u w:val="none"/>
                <w:lang w:val="en-US" w:eastAsia="zh-CN"/>
              </w:rPr>
              <w:t>叶</w:t>
            </w:r>
            <w:r>
              <w:rPr>
                <w:rFonts w:hint="eastAsia" w:ascii="Times New Roman" w:hAnsi="Times New Roman" w:eastAsia="黑体" w:cs="Times New Roman"/>
                <w:color w:val="auto"/>
                <w:kern w:val="0"/>
                <w:sz w:val="24"/>
                <w:szCs w:val="24"/>
                <w:u w:val="none"/>
                <w:lang w:val="en-US" w:eastAsia="zh-CN"/>
              </w:rPr>
              <w:t>县环境管控单元生态环境准入清单</w:t>
            </w:r>
            <w:r>
              <w:rPr>
                <w:rFonts w:ascii="Times New Roman" w:hAnsi="Times New Roman" w:eastAsia="黑体" w:cs="Times New Roman"/>
                <w:color w:val="auto"/>
                <w:kern w:val="0"/>
                <w:sz w:val="24"/>
                <w:szCs w:val="24"/>
                <w:u w:val="none"/>
                <w:lang w:val="zh-CN"/>
              </w:rPr>
              <w:t>相符性分析</w:t>
            </w:r>
          </w:p>
          <w:tbl>
            <w:tblPr>
              <w:tblStyle w:val="32"/>
              <w:tblW w:w="8098"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041"/>
              <w:gridCol w:w="807"/>
              <w:gridCol w:w="786"/>
              <w:gridCol w:w="3081"/>
              <w:gridCol w:w="1845"/>
              <w:gridCol w:w="538"/>
            </w:tblGrid>
            <w:tr w14:paraId="15E9FA8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07" w:hRule="atLeast"/>
              </w:trPr>
              <w:tc>
                <w:tcPr>
                  <w:tcW w:w="1041" w:type="dxa"/>
                  <w:tcBorders>
                    <w:tl2br w:val="nil"/>
                    <w:tr2bl w:val="nil"/>
                  </w:tcBorders>
                  <w:vAlign w:val="center"/>
                </w:tcPr>
                <w:p w14:paraId="2396C44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Cs w:val="21"/>
                      <w:u w:val="none"/>
                      <w:lang w:val="en-US" w:eastAsia="zh-CN"/>
                    </w:rPr>
                  </w:pPr>
                  <w:r>
                    <w:rPr>
                      <w:rFonts w:ascii="Times New Roman" w:hAnsi="Times New Roman" w:cs="Times New Roman"/>
                      <w:b/>
                      <w:bCs/>
                      <w:color w:val="auto"/>
                      <w:szCs w:val="21"/>
                      <w:u w:val="none"/>
                    </w:rPr>
                    <w:t>管控单元名称</w:t>
                  </w:r>
                  <w:r>
                    <w:rPr>
                      <w:rFonts w:hint="eastAsia" w:ascii="Times New Roman" w:hAnsi="Times New Roman" w:cs="Times New Roman"/>
                      <w:b/>
                      <w:bCs/>
                      <w:color w:val="auto"/>
                      <w:szCs w:val="21"/>
                      <w:u w:val="none"/>
                      <w:lang w:val="en-US" w:eastAsia="zh-CN"/>
                    </w:rPr>
                    <w:t>及编码</w:t>
                  </w:r>
                </w:p>
              </w:tc>
              <w:tc>
                <w:tcPr>
                  <w:tcW w:w="807" w:type="dxa"/>
                  <w:tcBorders>
                    <w:tl2br w:val="nil"/>
                    <w:tr2bl w:val="nil"/>
                  </w:tcBorders>
                  <w:vAlign w:val="center"/>
                </w:tcPr>
                <w:p w14:paraId="660794D7">
                  <w:pPr>
                    <w:keepNext w:val="0"/>
                    <w:keepLines w:val="0"/>
                    <w:pageBreakBefore w:val="0"/>
                    <w:kinsoku/>
                    <w:wordWrap/>
                    <w:overflowPunct/>
                    <w:topLinePunct w:val="0"/>
                    <w:autoSpaceDE/>
                    <w:autoSpaceDN/>
                    <w:bidi w:val="0"/>
                    <w:adjustRightInd/>
                    <w:snapToGrid/>
                    <w:spacing w:line="240" w:lineRule="auto"/>
                    <w:jc w:val="center"/>
                    <w:rPr>
                      <w:rFonts w:hint="eastAsia" w:asciiTheme="minorEastAsia" w:hAnsiTheme="minorEastAsia" w:eastAsiaTheme="minorEastAsia" w:cstheme="minorEastAsia"/>
                      <w:b/>
                      <w:bCs/>
                      <w:color w:val="auto"/>
                      <w:sz w:val="21"/>
                      <w:szCs w:val="21"/>
                      <w:u w:val="none"/>
                      <w:lang w:val="en-US" w:eastAsia="zh-CN"/>
                    </w:rPr>
                  </w:pPr>
                  <w:r>
                    <w:rPr>
                      <w:rFonts w:hint="eastAsia" w:asciiTheme="minorEastAsia" w:hAnsiTheme="minorEastAsia" w:eastAsiaTheme="minorEastAsia" w:cstheme="minorEastAsia"/>
                      <w:b/>
                      <w:bCs/>
                      <w:color w:val="auto"/>
                      <w:sz w:val="21"/>
                      <w:szCs w:val="21"/>
                      <w:u w:val="none"/>
                      <w:lang w:val="en-US" w:eastAsia="zh-CN"/>
                    </w:rPr>
                    <w:t>行政区划</w:t>
                  </w:r>
                </w:p>
              </w:tc>
              <w:tc>
                <w:tcPr>
                  <w:tcW w:w="3867" w:type="dxa"/>
                  <w:gridSpan w:val="2"/>
                  <w:tcBorders>
                    <w:tl2br w:val="nil"/>
                    <w:tr2bl w:val="nil"/>
                  </w:tcBorders>
                  <w:vAlign w:val="center"/>
                </w:tcPr>
                <w:p w14:paraId="479BF8D1">
                  <w:pPr>
                    <w:keepNext w:val="0"/>
                    <w:keepLines w:val="0"/>
                    <w:pageBreakBefore w:val="0"/>
                    <w:kinsoku/>
                    <w:wordWrap/>
                    <w:overflowPunct/>
                    <w:topLinePunct w:val="0"/>
                    <w:autoSpaceDE/>
                    <w:autoSpaceDN/>
                    <w:bidi w:val="0"/>
                    <w:adjustRightInd/>
                    <w:snapToGrid/>
                    <w:spacing w:line="240" w:lineRule="auto"/>
                    <w:jc w:val="center"/>
                    <w:rPr>
                      <w:rFonts w:hint="eastAsia" w:asciiTheme="minorEastAsia" w:hAnsiTheme="minorEastAsia" w:eastAsiaTheme="minorEastAsia" w:cstheme="minorEastAsia"/>
                      <w:b/>
                      <w:bCs/>
                      <w:color w:val="auto"/>
                      <w:sz w:val="21"/>
                      <w:szCs w:val="21"/>
                      <w:u w:val="none"/>
                    </w:rPr>
                  </w:pPr>
                  <w:r>
                    <w:rPr>
                      <w:rFonts w:hint="eastAsia" w:asciiTheme="minorEastAsia" w:hAnsiTheme="minorEastAsia" w:eastAsiaTheme="minorEastAsia" w:cstheme="minorEastAsia"/>
                      <w:b/>
                      <w:bCs/>
                      <w:color w:val="auto"/>
                      <w:sz w:val="21"/>
                      <w:szCs w:val="21"/>
                      <w:u w:val="none"/>
                    </w:rPr>
                    <w:t>管控要求</w:t>
                  </w:r>
                </w:p>
              </w:tc>
              <w:tc>
                <w:tcPr>
                  <w:tcW w:w="1845" w:type="dxa"/>
                  <w:tcBorders>
                    <w:tl2br w:val="nil"/>
                    <w:tr2bl w:val="nil"/>
                  </w:tcBorders>
                  <w:vAlign w:val="center"/>
                </w:tcPr>
                <w:p w14:paraId="3F16BCB1">
                  <w:pPr>
                    <w:keepNext w:val="0"/>
                    <w:keepLines w:val="0"/>
                    <w:pageBreakBefore w:val="0"/>
                    <w:kinsoku/>
                    <w:wordWrap/>
                    <w:overflowPunct/>
                    <w:topLinePunct w:val="0"/>
                    <w:autoSpaceDE/>
                    <w:autoSpaceDN/>
                    <w:bidi w:val="0"/>
                    <w:adjustRightInd/>
                    <w:snapToGrid/>
                    <w:spacing w:line="240" w:lineRule="auto"/>
                    <w:jc w:val="center"/>
                    <w:rPr>
                      <w:rFonts w:hint="eastAsia" w:asciiTheme="minorEastAsia" w:hAnsiTheme="minorEastAsia" w:eastAsiaTheme="minorEastAsia" w:cstheme="minorEastAsia"/>
                      <w:b/>
                      <w:bCs/>
                      <w:color w:val="auto"/>
                      <w:sz w:val="21"/>
                      <w:szCs w:val="21"/>
                      <w:u w:val="none"/>
                    </w:rPr>
                  </w:pPr>
                  <w:r>
                    <w:rPr>
                      <w:rFonts w:hint="eastAsia" w:asciiTheme="minorEastAsia" w:hAnsiTheme="minorEastAsia" w:eastAsiaTheme="minorEastAsia" w:cstheme="minorEastAsia"/>
                      <w:b/>
                      <w:bCs/>
                      <w:color w:val="auto"/>
                      <w:sz w:val="21"/>
                      <w:szCs w:val="21"/>
                      <w:u w:val="none"/>
                    </w:rPr>
                    <w:t>项目情况</w:t>
                  </w:r>
                </w:p>
              </w:tc>
              <w:tc>
                <w:tcPr>
                  <w:tcW w:w="538" w:type="dxa"/>
                  <w:tcBorders>
                    <w:tl2br w:val="nil"/>
                    <w:tr2bl w:val="nil"/>
                  </w:tcBorders>
                  <w:vAlign w:val="center"/>
                </w:tcPr>
                <w:p w14:paraId="46918B39">
                  <w:pPr>
                    <w:keepNext w:val="0"/>
                    <w:keepLines w:val="0"/>
                    <w:pageBreakBefore w:val="0"/>
                    <w:kinsoku/>
                    <w:wordWrap/>
                    <w:overflowPunct/>
                    <w:topLinePunct w:val="0"/>
                    <w:autoSpaceDE/>
                    <w:autoSpaceDN/>
                    <w:bidi w:val="0"/>
                    <w:adjustRightInd/>
                    <w:snapToGrid/>
                    <w:spacing w:line="240" w:lineRule="auto"/>
                    <w:jc w:val="center"/>
                    <w:rPr>
                      <w:rFonts w:hint="eastAsia" w:asciiTheme="minorEastAsia" w:hAnsiTheme="minorEastAsia" w:eastAsiaTheme="minorEastAsia" w:cstheme="minorEastAsia"/>
                      <w:b/>
                      <w:bCs/>
                      <w:color w:val="auto"/>
                      <w:sz w:val="21"/>
                      <w:szCs w:val="21"/>
                      <w:u w:val="none"/>
                    </w:rPr>
                  </w:pPr>
                  <w:r>
                    <w:rPr>
                      <w:rFonts w:hint="eastAsia" w:asciiTheme="minorEastAsia" w:hAnsiTheme="minorEastAsia" w:eastAsiaTheme="minorEastAsia" w:cstheme="minorEastAsia"/>
                      <w:b/>
                      <w:bCs/>
                      <w:color w:val="auto"/>
                      <w:sz w:val="21"/>
                      <w:szCs w:val="21"/>
                      <w:u w:val="none"/>
                    </w:rPr>
                    <w:t>符合性</w:t>
                  </w:r>
                </w:p>
              </w:tc>
            </w:tr>
            <w:tr w14:paraId="2E5A8F2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041" w:type="dxa"/>
                  <w:vMerge w:val="restart"/>
                  <w:tcBorders>
                    <w:tl2br w:val="nil"/>
                    <w:tr2bl w:val="nil"/>
                  </w:tcBorders>
                  <w:vAlign w:val="center"/>
                </w:tcPr>
                <w:p w14:paraId="067D8A89">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cs="Times New Roman"/>
                      <w:color w:val="auto"/>
                      <w:szCs w:val="21"/>
                      <w:u w:val="none"/>
                      <w:lang w:eastAsia="zh-CN"/>
                    </w:rPr>
                  </w:pPr>
                  <w:r>
                    <w:rPr>
                      <w:rFonts w:hint="eastAsia" w:ascii="Times New Roman" w:hAnsi="Times New Roman" w:cs="Times New Roman"/>
                      <w:color w:val="auto"/>
                      <w:szCs w:val="21"/>
                      <w:u w:val="none"/>
                      <w:lang w:val="en-US" w:eastAsia="zh-CN"/>
                    </w:rPr>
                    <w:t>叶县</w:t>
                  </w:r>
                  <w:r>
                    <w:rPr>
                      <w:rFonts w:hint="eastAsia" w:cs="Times New Roman"/>
                      <w:color w:val="auto"/>
                      <w:szCs w:val="21"/>
                      <w:u w:val="none"/>
                      <w:lang w:val="en-US" w:eastAsia="zh-CN"/>
                    </w:rPr>
                    <w:t>大气</w:t>
                  </w:r>
                  <w:r>
                    <w:rPr>
                      <w:rFonts w:hint="eastAsia" w:ascii="Times New Roman" w:hAnsi="Times New Roman" w:cs="Times New Roman"/>
                      <w:color w:val="auto"/>
                      <w:szCs w:val="21"/>
                      <w:u w:val="none"/>
                      <w:lang w:val="en-US" w:eastAsia="zh-CN"/>
                    </w:rPr>
                    <w:t>重点管控单元（ZH4104222000</w:t>
                  </w:r>
                  <w:r>
                    <w:rPr>
                      <w:rFonts w:hint="eastAsia" w:cs="Times New Roman"/>
                      <w:color w:val="auto"/>
                      <w:szCs w:val="21"/>
                      <w:u w:val="none"/>
                      <w:lang w:val="en-US" w:eastAsia="zh-CN"/>
                    </w:rPr>
                    <w:t>5</w:t>
                  </w:r>
                  <w:r>
                    <w:rPr>
                      <w:rFonts w:hint="eastAsia" w:ascii="Times New Roman" w:hAnsi="Times New Roman" w:cs="Times New Roman"/>
                      <w:color w:val="auto"/>
                      <w:szCs w:val="21"/>
                      <w:u w:val="none"/>
                      <w:lang w:val="en-US" w:eastAsia="zh-CN"/>
                    </w:rPr>
                    <w:t>）</w:t>
                  </w:r>
                </w:p>
              </w:tc>
              <w:tc>
                <w:tcPr>
                  <w:tcW w:w="807" w:type="dxa"/>
                  <w:vMerge w:val="restart"/>
                  <w:tcBorders>
                    <w:tl2br w:val="nil"/>
                    <w:tr2bl w:val="nil"/>
                  </w:tcBorders>
                  <w:vAlign w:val="center"/>
                </w:tcPr>
                <w:p w14:paraId="448D0592">
                  <w:pPr>
                    <w:keepNext w:val="0"/>
                    <w:keepLines w:val="0"/>
                    <w:pageBreakBefore w:val="0"/>
                    <w:kinsoku/>
                    <w:wordWrap/>
                    <w:overflowPunct/>
                    <w:topLinePunct w:val="0"/>
                    <w:autoSpaceDE/>
                    <w:autoSpaceDN/>
                    <w:bidi w:val="0"/>
                    <w:adjustRightInd/>
                    <w:snapToGrid/>
                    <w:spacing w:line="240" w:lineRule="auto"/>
                    <w:jc w:val="center"/>
                    <w:rPr>
                      <w:rFonts w:hint="eastAsia" w:asciiTheme="minorEastAsia" w:hAnsiTheme="minorEastAsia" w:eastAsiaTheme="minorEastAsia" w:cstheme="minorEastAsia"/>
                      <w:color w:val="auto"/>
                      <w:sz w:val="21"/>
                      <w:szCs w:val="21"/>
                      <w:u w:val="none"/>
                      <w:lang w:val="en-US" w:eastAsia="zh-CN"/>
                    </w:rPr>
                  </w:pPr>
                  <w:r>
                    <w:rPr>
                      <w:rFonts w:hint="eastAsia" w:asciiTheme="minorEastAsia" w:hAnsiTheme="minorEastAsia" w:eastAsiaTheme="minorEastAsia" w:cstheme="minorEastAsia"/>
                      <w:color w:val="auto"/>
                      <w:sz w:val="21"/>
                      <w:szCs w:val="21"/>
                      <w:u w:val="none"/>
                      <w:lang w:val="en-US" w:eastAsia="zh-CN"/>
                    </w:rPr>
                    <w:t>平顶山市</w:t>
                  </w:r>
                </w:p>
                <w:p w14:paraId="758DA600">
                  <w:pPr>
                    <w:keepNext w:val="0"/>
                    <w:keepLines w:val="0"/>
                    <w:pageBreakBefore w:val="0"/>
                    <w:kinsoku/>
                    <w:wordWrap/>
                    <w:overflowPunct/>
                    <w:topLinePunct w:val="0"/>
                    <w:autoSpaceDE/>
                    <w:autoSpaceDN/>
                    <w:bidi w:val="0"/>
                    <w:adjustRightInd/>
                    <w:snapToGrid/>
                    <w:spacing w:line="240" w:lineRule="auto"/>
                    <w:jc w:val="center"/>
                    <w:rPr>
                      <w:rFonts w:hint="default" w:asciiTheme="minorEastAsia" w:hAnsiTheme="minorEastAsia" w:eastAsiaTheme="minorEastAsia" w:cstheme="minorEastAsia"/>
                      <w:color w:val="auto"/>
                      <w:sz w:val="21"/>
                      <w:szCs w:val="21"/>
                      <w:u w:val="none"/>
                      <w:lang w:val="en-US" w:eastAsia="zh-CN"/>
                    </w:rPr>
                  </w:pPr>
                  <w:r>
                    <w:rPr>
                      <w:rFonts w:hint="eastAsia" w:asciiTheme="minorEastAsia" w:hAnsiTheme="minorEastAsia" w:eastAsiaTheme="minorEastAsia" w:cstheme="minorEastAsia"/>
                      <w:color w:val="auto"/>
                      <w:sz w:val="21"/>
                      <w:szCs w:val="21"/>
                      <w:u w:val="none"/>
                      <w:lang w:val="en-US" w:eastAsia="zh-CN"/>
                    </w:rPr>
                    <w:t>叶县</w:t>
                  </w:r>
                </w:p>
              </w:tc>
              <w:tc>
                <w:tcPr>
                  <w:tcW w:w="786" w:type="dxa"/>
                  <w:tcBorders>
                    <w:tl2br w:val="nil"/>
                    <w:tr2bl w:val="nil"/>
                  </w:tcBorders>
                  <w:vAlign w:val="center"/>
                </w:tcPr>
                <w:p w14:paraId="79C2E31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heme="minorEastAsia" w:hAnsiTheme="minorEastAsia" w:eastAsiaTheme="minorEastAsia" w:cstheme="minorEastAsia"/>
                      <w:color w:val="auto"/>
                      <w:sz w:val="21"/>
                      <w:szCs w:val="21"/>
                      <w:u w:val="none"/>
                    </w:rPr>
                  </w:pPr>
                  <w:r>
                    <w:rPr>
                      <w:rFonts w:hint="eastAsia" w:asciiTheme="minorEastAsia" w:hAnsiTheme="minorEastAsia" w:eastAsiaTheme="minorEastAsia" w:cstheme="minorEastAsia"/>
                      <w:i w:val="0"/>
                      <w:iCs w:val="0"/>
                      <w:color w:val="auto"/>
                      <w:kern w:val="0"/>
                      <w:sz w:val="21"/>
                      <w:szCs w:val="21"/>
                      <w:u w:val="none"/>
                      <w:lang w:val="en-US" w:eastAsia="zh-CN" w:bidi="ar"/>
                    </w:rPr>
                    <w:t>空间布局约束</w:t>
                  </w:r>
                </w:p>
              </w:tc>
              <w:tc>
                <w:tcPr>
                  <w:tcW w:w="3081" w:type="dxa"/>
                  <w:tcBorders>
                    <w:tl2br w:val="nil"/>
                    <w:tr2bl w:val="nil"/>
                  </w:tcBorders>
                  <w:shd w:val="clear" w:color="auto" w:fill="auto"/>
                  <w:vAlign w:val="center"/>
                </w:tcPr>
                <w:p w14:paraId="02F53518">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Cs w:val="24"/>
                      <w:lang w:val="en-US" w:eastAsia="zh-CN"/>
                    </w:rPr>
                    <w:t>持续组织开展“散乱污”企业排查整治专项行动，按省定要求完成淘汰落后产能目标任务，对于落后产能和“散乱污”企业，持续保持“动态清零”，坚决杜绝“散乱污”企业死灰复燃、异地转移。</w:t>
                  </w:r>
                </w:p>
              </w:tc>
              <w:tc>
                <w:tcPr>
                  <w:tcW w:w="1845" w:type="dxa"/>
                  <w:tcBorders>
                    <w:tl2br w:val="nil"/>
                    <w:tr2bl w:val="nil"/>
                  </w:tcBorders>
                  <w:vAlign w:val="center"/>
                </w:tcPr>
                <w:p w14:paraId="5E1A6C3D">
                  <w:pPr>
                    <w:keepNext w:val="0"/>
                    <w:keepLines w:val="0"/>
                    <w:pageBreakBefore w:val="0"/>
                    <w:kinsoku/>
                    <w:wordWrap/>
                    <w:overflowPunct/>
                    <w:topLinePunct w:val="0"/>
                    <w:autoSpaceDE/>
                    <w:autoSpaceDN/>
                    <w:bidi w:val="0"/>
                    <w:adjustRightInd/>
                    <w:snapToGrid/>
                    <w:spacing w:line="240" w:lineRule="auto"/>
                    <w:jc w:val="both"/>
                    <w:rPr>
                      <w:rFonts w:hint="eastAsia" w:asciiTheme="minorEastAsia" w:hAnsiTheme="minorEastAsia" w:eastAsiaTheme="minorEastAsia" w:cstheme="minorEastAsia"/>
                      <w:color w:val="auto"/>
                      <w:sz w:val="21"/>
                      <w:szCs w:val="21"/>
                      <w:highlight w:val="none"/>
                      <w:u w:val="none"/>
                      <w:lang w:val="en-US" w:eastAsia="zh-CN"/>
                    </w:rPr>
                  </w:pPr>
                  <w:r>
                    <w:rPr>
                      <w:rFonts w:hint="eastAsia" w:asciiTheme="minorEastAsia" w:hAnsiTheme="minorEastAsia" w:eastAsiaTheme="minorEastAsia" w:cstheme="minorEastAsia"/>
                      <w:color w:val="auto"/>
                      <w:sz w:val="21"/>
                      <w:szCs w:val="21"/>
                      <w:highlight w:val="none"/>
                      <w:u w:val="none"/>
                      <w:lang w:val="en-US" w:eastAsia="zh-CN"/>
                    </w:rPr>
                    <w:t>本项目原料为煤矿煤炭开采伴生废气、（煤层气/瓦斯气体），不属于高污染燃料，项目不属于</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“散乱污”企业</w:t>
                  </w:r>
                </w:p>
              </w:tc>
              <w:tc>
                <w:tcPr>
                  <w:tcW w:w="538" w:type="dxa"/>
                  <w:tcBorders>
                    <w:tl2br w:val="nil"/>
                    <w:tr2bl w:val="nil"/>
                  </w:tcBorders>
                  <w:vAlign w:val="center"/>
                </w:tcPr>
                <w:p w14:paraId="338FDC94">
                  <w:pPr>
                    <w:keepNext w:val="0"/>
                    <w:keepLines w:val="0"/>
                    <w:pageBreakBefore w:val="0"/>
                    <w:kinsoku/>
                    <w:wordWrap/>
                    <w:overflowPunct/>
                    <w:topLinePunct w:val="0"/>
                    <w:autoSpaceDE/>
                    <w:autoSpaceDN/>
                    <w:bidi w:val="0"/>
                    <w:adjustRightInd/>
                    <w:snapToGrid/>
                    <w:spacing w:line="240" w:lineRule="auto"/>
                    <w:jc w:val="center"/>
                    <w:rPr>
                      <w:rFonts w:hint="eastAsia" w:asciiTheme="minorEastAsia" w:hAnsiTheme="minorEastAsia" w:eastAsiaTheme="minorEastAsia" w:cstheme="minorEastAsia"/>
                      <w:color w:val="auto"/>
                      <w:sz w:val="21"/>
                      <w:szCs w:val="21"/>
                      <w:u w:val="none"/>
                    </w:rPr>
                  </w:pPr>
                  <w:r>
                    <w:rPr>
                      <w:rFonts w:hint="eastAsia" w:asciiTheme="minorEastAsia" w:hAnsiTheme="minorEastAsia" w:eastAsiaTheme="minorEastAsia" w:cstheme="minorEastAsia"/>
                      <w:color w:val="auto"/>
                      <w:sz w:val="21"/>
                      <w:szCs w:val="21"/>
                      <w:u w:val="none"/>
                      <w:lang w:val="en-US" w:eastAsia="zh-CN"/>
                    </w:rPr>
                    <w:t>相符</w:t>
                  </w:r>
                </w:p>
              </w:tc>
            </w:tr>
            <w:tr w14:paraId="149EC75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041" w:type="dxa"/>
                  <w:vMerge w:val="continue"/>
                  <w:tcBorders>
                    <w:tl2br w:val="nil"/>
                    <w:tr2bl w:val="nil"/>
                  </w:tcBorders>
                  <w:vAlign w:val="center"/>
                </w:tcPr>
                <w:p w14:paraId="4218B291">
                  <w:pPr>
                    <w:keepNext w:val="0"/>
                    <w:keepLines w:val="0"/>
                    <w:pageBreakBefore w:val="0"/>
                    <w:kinsoku/>
                    <w:wordWrap/>
                    <w:overflowPunct/>
                    <w:topLinePunct w:val="0"/>
                    <w:autoSpaceDE/>
                    <w:autoSpaceDN/>
                    <w:bidi w:val="0"/>
                    <w:adjustRightInd/>
                    <w:snapToGrid/>
                    <w:spacing w:line="240" w:lineRule="auto"/>
                    <w:jc w:val="center"/>
                    <w:rPr>
                      <w:rFonts w:ascii="Times New Roman" w:hAnsi="Times New Roman" w:cs="Times New Roman"/>
                      <w:color w:val="auto"/>
                      <w:szCs w:val="21"/>
                      <w:u w:val="none"/>
                    </w:rPr>
                  </w:pPr>
                </w:p>
              </w:tc>
              <w:tc>
                <w:tcPr>
                  <w:tcW w:w="807" w:type="dxa"/>
                  <w:vMerge w:val="continue"/>
                  <w:tcBorders>
                    <w:tl2br w:val="nil"/>
                    <w:tr2bl w:val="nil"/>
                  </w:tcBorders>
                  <w:vAlign w:val="center"/>
                </w:tcPr>
                <w:p w14:paraId="35A5C910">
                  <w:pPr>
                    <w:keepNext w:val="0"/>
                    <w:keepLines w:val="0"/>
                    <w:pageBreakBefore w:val="0"/>
                    <w:kinsoku/>
                    <w:wordWrap/>
                    <w:overflowPunct/>
                    <w:topLinePunct w:val="0"/>
                    <w:autoSpaceDE/>
                    <w:autoSpaceDN/>
                    <w:bidi w:val="0"/>
                    <w:adjustRightInd/>
                    <w:snapToGrid/>
                    <w:spacing w:line="240" w:lineRule="auto"/>
                    <w:jc w:val="center"/>
                    <w:rPr>
                      <w:rFonts w:hint="eastAsia" w:asciiTheme="minorEastAsia" w:hAnsiTheme="minorEastAsia" w:eastAsiaTheme="minorEastAsia" w:cstheme="minorEastAsia"/>
                      <w:color w:val="auto"/>
                      <w:sz w:val="21"/>
                      <w:szCs w:val="21"/>
                      <w:u w:val="none"/>
                      <w:lang w:val="en-US" w:eastAsia="zh-CN"/>
                    </w:rPr>
                  </w:pPr>
                </w:p>
              </w:tc>
              <w:tc>
                <w:tcPr>
                  <w:tcW w:w="786" w:type="dxa"/>
                  <w:tcBorders>
                    <w:tl2br w:val="nil"/>
                    <w:tr2bl w:val="nil"/>
                  </w:tcBorders>
                  <w:vAlign w:val="center"/>
                </w:tcPr>
                <w:p w14:paraId="5FDCB5C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heme="minorEastAsia" w:hAnsiTheme="minorEastAsia" w:eastAsiaTheme="minorEastAsia" w:cstheme="minorEastAsia"/>
                      <w:color w:val="auto"/>
                      <w:sz w:val="21"/>
                      <w:szCs w:val="21"/>
                      <w:u w:val="none"/>
                    </w:rPr>
                  </w:pPr>
                  <w:r>
                    <w:rPr>
                      <w:rFonts w:hint="eastAsia" w:asciiTheme="minorEastAsia" w:hAnsiTheme="minorEastAsia" w:eastAsiaTheme="minorEastAsia" w:cstheme="minorEastAsia"/>
                      <w:i w:val="0"/>
                      <w:iCs w:val="0"/>
                      <w:color w:val="auto"/>
                      <w:kern w:val="0"/>
                      <w:sz w:val="21"/>
                      <w:szCs w:val="21"/>
                      <w:u w:val="none"/>
                      <w:lang w:val="en-US" w:eastAsia="zh-CN" w:bidi="ar"/>
                    </w:rPr>
                    <w:t>污染物排放管控</w:t>
                  </w:r>
                </w:p>
              </w:tc>
              <w:tc>
                <w:tcPr>
                  <w:tcW w:w="3081" w:type="dxa"/>
                  <w:tcBorders>
                    <w:tl2br w:val="nil"/>
                    <w:tr2bl w:val="nil"/>
                  </w:tcBorders>
                  <w:shd w:val="clear" w:color="auto" w:fill="auto"/>
                  <w:vAlign w:val="center"/>
                </w:tcPr>
                <w:p w14:paraId="555221A1">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Cs w:val="24"/>
                      <w:lang w:val="en-US" w:eastAsia="zh-CN"/>
                    </w:rPr>
                    <w:t>在禁燃区内，禁止销售、燃用高污染燃料</w:t>
                  </w:r>
                  <w:r>
                    <w:rPr>
                      <w:rFonts w:hint="eastAsia" w:ascii="Times New Roman" w:hAnsi="Times New Roman" w:cs="Times New Roman"/>
                      <w:color w:val="auto"/>
                      <w:szCs w:val="24"/>
                      <w:lang w:val="en-US" w:eastAsia="zh-CN"/>
                    </w:rPr>
                    <w:t>；</w:t>
                  </w:r>
                  <w:r>
                    <w:rPr>
                      <w:rFonts w:hint="default" w:ascii="Times New Roman" w:hAnsi="Times New Roman" w:eastAsia="宋体" w:cs="Times New Roman"/>
                      <w:color w:val="auto"/>
                      <w:szCs w:val="24"/>
                      <w:lang w:val="en-US" w:eastAsia="zh-CN"/>
                    </w:rPr>
                    <w:t>禁止新建、扩建燃用高污染燃料的设施。现有使用高污染燃料的单位和个人，应当按照市、县(市)人民政府规定的期限改用清洁能源或拆除使用高污染燃料的设施(高污染燃料不含集中供热、热电联产、以及工业企业生产工艺必须使用的煤炭及其制品)。</w:t>
                  </w:r>
                </w:p>
              </w:tc>
              <w:tc>
                <w:tcPr>
                  <w:tcW w:w="1845" w:type="dxa"/>
                  <w:tcBorders>
                    <w:tl2br w:val="nil"/>
                    <w:tr2bl w:val="nil"/>
                  </w:tcBorders>
                  <w:vAlign w:val="center"/>
                </w:tcPr>
                <w:p w14:paraId="14906C33">
                  <w:pPr>
                    <w:keepNext w:val="0"/>
                    <w:keepLines w:val="0"/>
                    <w:pageBreakBefore w:val="0"/>
                    <w:kinsoku/>
                    <w:wordWrap/>
                    <w:overflowPunct/>
                    <w:topLinePunct w:val="0"/>
                    <w:autoSpaceDE/>
                    <w:autoSpaceDN/>
                    <w:bidi w:val="0"/>
                    <w:adjustRightInd/>
                    <w:snapToGrid/>
                    <w:spacing w:line="240" w:lineRule="auto"/>
                    <w:jc w:val="center"/>
                    <w:rPr>
                      <w:rFonts w:hint="eastAsia" w:asciiTheme="minorEastAsia" w:hAnsiTheme="minorEastAsia" w:eastAsiaTheme="minorEastAsia" w:cstheme="minorEastAsia"/>
                      <w:color w:val="auto"/>
                      <w:sz w:val="21"/>
                      <w:szCs w:val="21"/>
                      <w:highlight w:val="none"/>
                      <w:u w:val="none"/>
                    </w:rPr>
                  </w:pPr>
                  <w:r>
                    <w:rPr>
                      <w:rFonts w:hint="eastAsia" w:asciiTheme="minorEastAsia" w:hAnsiTheme="minorEastAsia" w:eastAsiaTheme="minorEastAsia" w:cstheme="minorEastAsia"/>
                      <w:color w:val="auto"/>
                      <w:sz w:val="21"/>
                      <w:szCs w:val="21"/>
                      <w:highlight w:val="none"/>
                      <w:u w:val="none"/>
                      <w:lang w:val="en-US" w:eastAsia="zh-CN"/>
                    </w:rPr>
                    <w:t>本项目原料为煤矿煤炭开采伴生废气、（煤层气/瓦斯气体），不属于高污染燃料</w:t>
                  </w:r>
                </w:p>
              </w:tc>
              <w:tc>
                <w:tcPr>
                  <w:tcW w:w="538" w:type="dxa"/>
                  <w:tcBorders>
                    <w:tl2br w:val="nil"/>
                    <w:tr2bl w:val="nil"/>
                  </w:tcBorders>
                  <w:vAlign w:val="center"/>
                </w:tcPr>
                <w:p w14:paraId="234DFE5D">
                  <w:pPr>
                    <w:keepNext w:val="0"/>
                    <w:keepLines w:val="0"/>
                    <w:pageBreakBefore w:val="0"/>
                    <w:kinsoku/>
                    <w:wordWrap/>
                    <w:overflowPunct/>
                    <w:topLinePunct w:val="0"/>
                    <w:autoSpaceDE/>
                    <w:autoSpaceDN/>
                    <w:bidi w:val="0"/>
                    <w:adjustRightInd/>
                    <w:snapToGrid/>
                    <w:spacing w:line="240" w:lineRule="auto"/>
                    <w:jc w:val="center"/>
                    <w:rPr>
                      <w:rFonts w:hint="eastAsia" w:asciiTheme="minorEastAsia" w:hAnsiTheme="minorEastAsia" w:eastAsiaTheme="minorEastAsia" w:cstheme="minorEastAsia"/>
                      <w:color w:val="auto"/>
                      <w:sz w:val="21"/>
                      <w:szCs w:val="21"/>
                      <w:u w:val="none"/>
                      <w:lang w:eastAsia="zh-CN"/>
                    </w:rPr>
                  </w:pPr>
                  <w:r>
                    <w:rPr>
                      <w:rFonts w:hint="eastAsia" w:asciiTheme="minorEastAsia" w:hAnsiTheme="minorEastAsia" w:eastAsiaTheme="minorEastAsia" w:cstheme="minorEastAsia"/>
                      <w:color w:val="auto"/>
                      <w:sz w:val="21"/>
                      <w:szCs w:val="21"/>
                      <w:u w:val="none"/>
                      <w:lang w:val="en-US" w:eastAsia="zh-CN"/>
                    </w:rPr>
                    <w:t>相符</w:t>
                  </w:r>
                </w:p>
              </w:tc>
            </w:tr>
          </w:tbl>
          <w:p w14:paraId="1FB647E2">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黑体" w:cs="Times New Roman"/>
                <w:sz w:val="24"/>
                <w:lang w:val="en-US" w:eastAsia="zh-CN"/>
              </w:rPr>
            </w:pPr>
            <w:r>
              <w:rPr>
                <w:rFonts w:hint="default" w:ascii="Times New Roman" w:hAnsi="Times New Roman" w:eastAsia="宋体" w:cs="Times New Roman"/>
                <w:color w:val="auto"/>
                <w:kern w:val="2"/>
                <w:sz w:val="24"/>
                <w:szCs w:val="24"/>
                <w:lang w:val="en-US" w:eastAsia="zh-CN" w:bidi="ar-SA"/>
              </w:rPr>
              <w:t>综上所述，本项目符合生态环境准入要求。本项目建设内容符合</w:t>
            </w:r>
            <w:r>
              <w:rPr>
                <w:rFonts w:hint="eastAsia" w:ascii="Times New Roman" w:hAnsi="Times New Roman" w:cs="Times New Roman"/>
                <w:color w:val="auto"/>
                <w:kern w:val="2"/>
                <w:sz w:val="24"/>
                <w:szCs w:val="24"/>
                <w:lang w:val="en-US" w:eastAsia="zh-CN" w:bidi="ar-SA"/>
              </w:rPr>
              <w:t>叶县</w:t>
            </w:r>
            <w:r>
              <w:rPr>
                <w:rFonts w:hint="default" w:ascii="Times New Roman" w:hAnsi="Times New Roman" w:eastAsia="宋体" w:cs="Times New Roman"/>
                <w:color w:val="auto"/>
                <w:kern w:val="2"/>
                <w:sz w:val="24"/>
                <w:szCs w:val="24"/>
                <w:lang w:val="en-US" w:eastAsia="zh-CN" w:bidi="ar-SA"/>
              </w:rPr>
              <w:t>“三线一单”的相关要求。</w:t>
            </w:r>
          </w:p>
          <w:p w14:paraId="2AB82461">
            <w:pPr>
              <w:pStyle w:val="74"/>
              <w:keepNext w:val="0"/>
              <w:keepLines w:val="0"/>
              <w:pageBreakBefore w:val="0"/>
              <w:widowControl w:val="0"/>
              <w:kinsoku/>
              <w:wordWrap/>
              <w:overflowPunct/>
              <w:topLinePunct w:val="0"/>
              <w:autoSpaceDE w:val="0"/>
              <w:autoSpaceDN w:val="0"/>
              <w:bidi w:val="0"/>
              <w:adjustRightInd w:val="0"/>
              <w:snapToGrid/>
              <w:spacing w:line="500" w:lineRule="atLeast"/>
              <w:ind w:firstLine="482" w:firstLineChars="200"/>
              <w:jc w:val="both"/>
              <w:textAlignment w:val="auto"/>
              <w:rPr>
                <w:rFonts w:ascii="Times New Roman" w:hAnsi="Times New Roman" w:cs="Times New Roman"/>
                <w:color w:val="auto"/>
                <w:highlight w:val="yellow"/>
                <w:u w:val="none"/>
              </w:rPr>
            </w:pPr>
            <w:r>
              <w:rPr>
                <w:rFonts w:hint="eastAsia" w:ascii="Times New Roman" w:hAnsi="Times New Roman" w:eastAsia="宋体" w:cs="Times New Roman"/>
                <w:b/>
                <w:bCs/>
                <w:color w:val="auto"/>
                <w:kern w:val="28"/>
                <w:sz w:val="24"/>
                <w:szCs w:val="24"/>
                <w:u w:val="none"/>
                <w:lang w:val="en-US" w:eastAsia="zh-CN" w:bidi="ar-SA"/>
              </w:rPr>
              <w:t>4</w:t>
            </w:r>
            <w:r>
              <w:rPr>
                <w:rFonts w:hint="eastAsia" w:ascii="Times New Roman" w:cs="Times New Roman"/>
                <w:b/>
                <w:bCs/>
                <w:color w:val="auto"/>
                <w:kern w:val="28"/>
                <w:sz w:val="24"/>
                <w:szCs w:val="24"/>
                <w:u w:val="none"/>
                <w:lang w:val="en-US" w:eastAsia="zh-CN" w:bidi="ar-SA"/>
              </w:rPr>
              <w:t>、</w:t>
            </w:r>
            <w:r>
              <w:rPr>
                <w:rFonts w:ascii="Times New Roman" w:hAnsi="Times New Roman" w:cs="Times New Roman"/>
                <w:b/>
                <w:bCs/>
                <w:color w:val="auto"/>
                <w:highlight w:val="none"/>
                <w:u w:val="none"/>
              </w:rPr>
              <w:t>与相关集中式饮用水源保护区划相符性分析</w:t>
            </w:r>
          </w:p>
          <w:p w14:paraId="04711BAA">
            <w:pPr>
              <w:pStyle w:val="74"/>
              <w:keepNext w:val="0"/>
              <w:keepLines w:val="0"/>
              <w:pageBreakBefore w:val="0"/>
              <w:widowControl w:val="0"/>
              <w:kinsoku/>
              <w:wordWrap/>
              <w:overflowPunct/>
              <w:topLinePunct w:val="0"/>
              <w:autoSpaceDE w:val="0"/>
              <w:autoSpaceDN w:val="0"/>
              <w:bidi w:val="0"/>
              <w:adjustRightInd w:val="0"/>
              <w:snapToGrid/>
              <w:spacing w:line="500" w:lineRule="atLeast"/>
              <w:ind w:firstLine="482" w:firstLineChars="200"/>
              <w:jc w:val="both"/>
              <w:textAlignment w:val="auto"/>
              <w:rPr>
                <w:rFonts w:ascii="Times New Roman" w:hAnsi="Times New Roman" w:cs="Times New Roman"/>
                <w:b/>
                <w:bCs/>
                <w:color w:val="auto"/>
                <w:u w:val="none"/>
              </w:rPr>
            </w:pPr>
            <w:r>
              <w:rPr>
                <w:rFonts w:hint="eastAsia" w:ascii="Times New Roman" w:hAnsi="Times New Roman" w:cs="Times New Roman"/>
                <w:b/>
                <w:bCs/>
                <w:color w:val="auto"/>
                <w:u w:val="none"/>
                <w:lang w:val="en-US" w:eastAsia="zh-CN"/>
              </w:rPr>
              <w:t>4</w:t>
            </w:r>
            <w:r>
              <w:rPr>
                <w:rFonts w:hint="eastAsia" w:ascii="Times New Roman" w:hAnsi="Times New Roman" w:cs="Times New Roman"/>
                <w:b/>
                <w:bCs/>
                <w:color w:val="auto"/>
                <w:u w:val="none"/>
              </w:rPr>
              <w:t>.1</w:t>
            </w:r>
            <w:r>
              <w:rPr>
                <w:rFonts w:hint="eastAsia" w:ascii="Times New Roman" w:hAnsi="Times New Roman" w:cs="Times New Roman"/>
                <w:b/>
                <w:bCs/>
                <w:color w:val="auto"/>
                <w:highlight w:val="none"/>
                <w:u w:val="none"/>
              </w:rPr>
              <w:t>与平顶山市集中式饮用水水源保护区相符性分析</w:t>
            </w:r>
          </w:p>
          <w:p w14:paraId="4B90DA14">
            <w:pPr>
              <w:pStyle w:val="74"/>
              <w:keepNext w:val="0"/>
              <w:keepLines w:val="0"/>
              <w:pageBreakBefore w:val="0"/>
              <w:kinsoku/>
              <w:wordWrap/>
              <w:overflowPunct/>
              <w:topLinePunct w:val="0"/>
              <w:bidi w:val="0"/>
              <w:snapToGrid/>
              <w:spacing w:line="500" w:lineRule="atLeast"/>
              <w:ind w:firstLine="480" w:firstLineChars="200"/>
              <w:jc w:val="both"/>
              <w:rPr>
                <w:rFonts w:hint="eastAsia" w:ascii="Times New Roman" w:hAnsi="Times New Roman" w:cs="Times New Roman"/>
                <w:color w:val="auto"/>
                <w:u w:val="none"/>
              </w:rPr>
            </w:pPr>
            <w:r>
              <w:rPr>
                <w:rFonts w:hint="eastAsia" w:ascii="Times New Roman" w:hAnsi="Times New Roman" w:cs="Times New Roman"/>
                <w:color w:val="auto"/>
                <w:u w:val="none"/>
              </w:rPr>
              <w:t>根据河南省人民政府《关于划定调整取消部分集中式饮用水水源保护区的通知》（豫政文[2021]72号），平顶山市集中式饮用水水源保护区划分范围如下：</w:t>
            </w:r>
          </w:p>
          <w:p w14:paraId="4B3D0297">
            <w:pPr>
              <w:pStyle w:val="74"/>
              <w:keepNext w:val="0"/>
              <w:keepLines w:val="0"/>
              <w:pageBreakBefore w:val="0"/>
              <w:kinsoku/>
              <w:wordWrap/>
              <w:overflowPunct/>
              <w:topLinePunct w:val="0"/>
              <w:bidi w:val="0"/>
              <w:snapToGrid/>
              <w:spacing w:line="500" w:lineRule="atLeast"/>
              <w:ind w:firstLine="480" w:firstLineChars="200"/>
              <w:jc w:val="both"/>
              <w:rPr>
                <w:rFonts w:hint="eastAsia" w:ascii="Times New Roman" w:hAnsi="Times New Roman" w:cs="Times New Roman"/>
                <w:color w:val="auto"/>
                <w:u w:val="none"/>
              </w:rPr>
            </w:pPr>
            <w:r>
              <w:rPr>
                <w:rFonts w:hint="eastAsia" w:ascii="宋体" w:hAnsi="宋体" w:eastAsia="宋体" w:cs="宋体"/>
                <w:color w:val="auto"/>
                <w:kern w:val="2"/>
                <w:sz w:val="24"/>
                <w:szCs w:val="24"/>
                <w:u w:val="none"/>
                <w:lang w:val="en-US" w:eastAsia="zh-CN" w:bidi="ar-SA"/>
              </w:rPr>
              <w:t>①</w:t>
            </w:r>
            <w:r>
              <w:rPr>
                <w:rFonts w:hint="eastAsia" w:ascii="Times New Roman" w:hAnsi="Times New Roman" w:cs="Times New Roman"/>
                <w:color w:val="auto"/>
                <w:u w:val="none"/>
              </w:rPr>
              <w:t>白龟山水库</w:t>
            </w:r>
          </w:p>
          <w:p w14:paraId="474419C0">
            <w:pPr>
              <w:pStyle w:val="74"/>
              <w:keepNext w:val="0"/>
              <w:keepLines w:val="0"/>
              <w:pageBreakBefore w:val="0"/>
              <w:kinsoku/>
              <w:wordWrap/>
              <w:overflowPunct/>
              <w:topLinePunct w:val="0"/>
              <w:bidi w:val="0"/>
              <w:snapToGrid/>
              <w:spacing w:line="500" w:lineRule="atLeast"/>
              <w:ind w:firstLine="480" w:firstLineChars="200"/>
              <w:jc w:val="both"/>
              <w:rPr>
                <w:rFonts w:hint="eastAsia" w:ascii="Times New Roman" w:hAnsi="Times New Roman" w:cs="Times New Roman"/>
                <w:color w:val="auto"/>
                <w:u w:val="none"/>
              </w:rPr>
            </w:pPr>
            <w:r>
              <w:rPr>
                <w:rFonts w:hint="eastAsia" w:ascii="Times New Roman" w:hAnsi="Times New Roman" w:cs="Times New Roman"/>
                <w:color w:val="auto"/>
                <w:u w:val="none"/>
              </w:rPr>
              <w:t>一级保护区：水库大坝上游，水库高程103米以内的区域及平顶山学院取水口外围500米至湖滨路、平顶山市自来水有限公司取水口外围500米至平湖路以内的区域；沙河、应河、澎河、冷水河入库口至上游2000米的河道管理范围区域。</w:t>
            </w:r>
          </w:p>
          <w:p w14:paraId="46EDDDCA">
            <w:pPr>
              <w:pStyle w:val="74"/>
              <w:keepNext w:val="0"/>
              <w:keepLines w:val="0"/>
              <w:pageBreakBefore w:val="0"/>
              <w:kinsoku/>
              <w:wordWrap/>
              <w:overflowPunct/>
              <w:topLinePunct w:val="0"/>
              <w:bidi w:val="0"/>
              <w:snapToGrid/>
              <w:spacing w:line="500" w:lineRule="atLeast"/>
              <w:ind w:firstLine="480" w:firstLineChars="200"/>
              <w:jc w:val="both"/>
              <w:rPr>
                <w:rFonts w:hint="eastAsia" w:ascii="Times New Roman" w:hAnsi="Times New Roman" w:cs="Times New Roman"/>
                <w:color w:val="auto"/>
                <w:u w:val="none"/>
              </w:rPr>
            </w:pPr>
            <w:r>
              <w:rPr>
                <w:rFonts w:hint="eastAsia" w:ascii="Times New Roman" w:hAnsi="Times New Roman" w:cs="Times New Roman"/>
                <w:color w:val="auto"/>
                <w:u w:val="none"/>
              </w:rPr>
              <w:t>二级保护区：一级保护区外，水库高程103米至水库高程104米-湖滨路以内的区域；沙河入库口至上游昭平台水库坝下的河道管理范围区域；澎河入库口至上游14000米（南水北调中线工程澎河退水闸）的河道管理范围区域；应河、冷水河入库口至上游4000米的河道管理范围区域；大浪河、将相河、七里河、瀼河、肥河入沙河口至上游1000米的河道管理范围区域。</w:t>
            </w:r>
          </w:p>
          <w:p w14:paraId="62C95777">
            <w:pPr>
              <w:pStyle w:val="74"/>
              <w:keepNext w:val="0"/>
              <w:keepLines w:val="0"/>
              <w:pageBreakBefore w:val="0"/>
              <w:kinsoku/>
              <w:wordWrap/>
              <w:overflowPunct/>
              <w:topLinePunct w:val="0"/>
              <w:bidi w:val="0"/>
              <w:snapToGrid/>
              <w:spacing w:line="500" w:lineRule="atLeast"/>
              <w:ind w:firstLine="480" w:firstLineChars="200"/>
              <w:jc w:val="both"/>
              <w:rPr>
                <w:rFonts w:hint="eastAsia" w:ascii="Times New Roman" w:hAnsi="Times New Roman" w:cs="Times New Roman"/>
                <w:color w:val="auto"/>
                <w:u w:val="none"/>
              </w:rPr>
            </w:pPr>
            <w:r>
              <w:rPr>
                <w:rFonts w:hint="eastAsia" w:ascii="Times New Roman" w:hAnsi="Times New Roman" w:cs="Times New Roman"/>
                <w:color w:val="auto"/>
                <w:u w:val="none"/>
              </w:rPr>
              <w:t>准保护区：一、二级保护区外，应河、澎河、冷水河河道管理范围外500米以内的区域。</w:t>
            </w:r>
          </w:p>
          <w:p w14:paraId="2C5954E3">
            <w:pPr>
              <w:pStyle w:val="74"/>
              <w:keepNext w:val="0"/>
              <w:keepLines w:val="0"/>
              <w:pageBreakBefore w:val="0"/>
              <w:kinsoku/>
              <w:wordWrap/>
              <w:overflowPunct/>
              <w:topLinePunct w:val="0"/>
              <w:bidi w:val="0"/>
              <w:snapToGrid/>
              <w:spacing w:line="500" w:lineRule="atLeast"/>
              <w:ind w:firstLine="480" w:firstLineChars="200"/>
              <w:jc w:val="both"/>
              <w:rPr>
                <w:rFonts w:hint="eastAsia" w:ascii="Times New Roman" w:hAnsi="Times New Roman" w:cs="Times New Roman"/>
                <w:color w:val="auto"/>
                <w:u w:val="none"/>
              </w:rPr>
            </w:pPr>
            <w:r>
              <w:rPr>
                <w:rFonts w:hint="eastAsia" w:ascii="宋体" w:hAnsi="宋体" w:eastAsia="宋体" w:cs="宋体"/>
                <w:color w:val="auto"/>
                <w:kern w:val="2"/>
                <w:sz w:val="24"/>
                <w:szCs w:val="24"/>
                <w:u w:val="none"/>
                <w:lang w:val="en-US" w:eastAsia="zh-CN" w:bidi="ar-SA"/>
              </w:rPr>
              <w:t>②</w:t>
            </w:r>
            <w:r>
              <w:rPr>
                <w:rFonts w:hint="eastAsia" w:ascii="Times New Roman" w:hAnsi="Times New Roman" w:cs="Times New Roman"/>
                <w:color w:val="auto"/>
                <w:u w:val="none"/>
              </w:rPr>
              <w:t>昭平台水库</w:t>
            </w:r>
          </w:p>
          <w:p w14:paraId="4C5E529D">
            <w:pPr>
              <w:pStyle w:val="74"/>
              <w:keepNext w:val="0"/>
              <w:keepLines w:val="0"/>
              <w:pageBreakBefore w:val="0"/>
              <w:kinsoku/>
              <w:wordWrap/>
              <w:overflowPunct/>
              <w:topLinePunct w:val="0"/>
              <w:bidi w:val="0"/>
              <w:snapToGrid/>
              <w:spacing w:line="500" w:lineRule="atLeast"/>
              <w:ind w:firstLine="480" w:firstLineChars="200"/>
              <w:jc w:val="both"/>
              <w:rPr>
                <w:rFonts w:hint="eastAsia" w:ascii="Times New Roman" w:hAnsi="Times New Roman" w:cs="Times New Roman"/>
                <w:color w:val="auto"/>
                <w:u w:val="none"/>
              </w:rPr>
            </w:pPr>
            <w:r>
              <w:rPr>
                <w:rFonts w:hint="eastAsia" w:ascii="Times New Roman" w:hAnsi="Times New Roman" w:cs="Times New Roman"/>
                <w:color w:val="auto"/>
                <w:u w:val="none"/>
              </w:rPr>
              <w:t>一级保护区：水库大坝至上游3800米，水库高程169米以内的区域及以外200米不超过环库路的区域。</w:t>
            </w:r>
          </w:p>
          <w:p w14:paraId="2EF721AB">
            <w:pPr>
              <w:pStyle w:val="74"/>
              <w:keepNext w:val="0"/>
              <w:keepLines w:val="0"/>
              <w:pageBreakBefore w:val="0"/>
              <w:kinsoku/>
              <w:wordWrap/>
              <w:overflowPunct/>
              <w:topLinePunct w:val="0"/>
              <w:bidi w:val="0"/>
              <w:snapToGrid/>
              <w:spacing w:line="500" w:lineRule="atLeast"/>
              <w:ind w:firstLine="480" w:firstLineChars="200"/>
              <w:jc w:val="both"/>
              <w:rPr>
                <w:rFonts w:hint="eastAsia" w:ascii="Times New Roman" w:hAnsi="Times New Roman" w:cs="Times New Roman"/>
                <w:color w:val="auto"/>
                <w:u w:val="none"/>
              </w:rPr>
            </w:pPr>
            <w:r>
              <w:rPr>
                <w:rFonts w:hint="eastAsia" w:ascii="Times New Roman" w:hAnsi="Times New Roman" w:cs="Times New Roman"/>
                <w:color w:val="auto"/>
                <w:u w:val="none"/>
              </w:rPr>
              <w:t>二级保护区：一级保护区外，水库大坝上游3800米至5800米，水库高程169米以内的区域及以外至环库路的区域。</w:t>
            </w:r>
          </w:p>
          <w:p w14:paraId="23812FA4">
            <w:pPr>
              <w:pStyle w:val="74"/>
              <w:keepNext w:val="0"/>
              <w:keepLines w:val="0"/>
              <w:pageBreakBefore w:val="0"/>
              <w:kinsoku/>
              <w:wordWrap/>
              <w:overflowPunct/>
              <w:topLinePunct w:val="0"/>
              <w:bidi w:val="0"/>
              <w:snapToGrid/>
              <w:spacing w:line="500" w:lineRule="atLeast"/>
              <w:ind w:firstLine="480" w:firstLineChars="200"/>
              <w:jc w:val="both"/>
              <w:rPr>
                <w:rFonts w:hint="eastAsia" w:ascii="Times New Roman" w:hAnsi="Times New Roman" w:cs="Times New Roman"/>
                <w:color w:val="auto"/>
                <w:u w:val="none"/>
              </w:rPr>
            </w:pPr>
            <w:r>
              <w:rPr>
                <w:rFonts w:hint="eastAsia" w:ascii="Times New Roman" w:hAnsi="Times New Roman" w:cs="Times New Roman"/>
                <w:color w:val="auto"/>
                <w:u w:val="none"/>
              </w:rPr>
              <w:t>准保护区：二级保护区外，水库高程169米以内的区域及以外至环库路的区域；沙河、荡泽河、柳林河、团城河、清水河河道管理范围外500米以内的区域。</w:t>
            </w:r>
          </w:p>
          <w:p w14:paraId="62F0AE66">
            <w:pPr>
              <w:pStyle w:val="74"/>
              <w:keepNext w:val="0"/>
              <w:keepLines w:val="0"/>
              <w:pageBreakBefore w:val="0"/>
              <w:kinsoku/>
              <w:wordWrap/>
              <w:overflowPunct/>
              <w:topLinePunct w:val="0"/>
              <w:bidi w:val="0"/>
              <w:snapToGrid/>
              <w:spacing w:line="500" w:lineRule="atLeast"/>
              <w:ind w:firstLine="480" w:firstLineChars="200"/>
              <w:jc w:val="both"/>
              <w:rPr>
                <w:rFonts w:ascii="Times New Roman" w:hAnsi="Times New Roman" w:cs="Times New Roman"/>
                <w:color w:val="auto"/>
                <w:u w:val="none"/>
              </w:rPr>
            </w:pPr>
            <w:r>
              <w:rPr>
                <w:rFonts w:hint="eastAsia" w:ascii="Times New Roman" w:hAnsi="Times New Roman" w:cs="Times New Roman"/>
                <w:color w:val="auto"/>
                <w:u w:val="none"/>
              </w:rPr>
              <w:t>本项目位于</w:t>
            </w:r>
            <w:r>
              <w:rPr>
                <w:rFonts w:hint="eastAsia" w:ascii="Times New Roman" w:cs="Times New Roman"/>
                <w:color w:val="auto"/>
                <w:u w:val="none"/>
                <w:lang w:eastAsia="zh-CN"/>
              </w:rPr>
              <w:t>平顶山市叶县洪庄杨乡张集村、贾庄村</w:t>
            </w:r>
            <w:r>
              <w:rPr>
                <w:rFonts w:hint="eastAsia" w:ascii="Times New Roman" w:hAnsi="Times New Roman" w:cs="Times New Roman"/>
                <w:color w:val="auto"/>
                <w:u w:val="none"/>
              </w:rPr>
              <w:t>，距离最近的水源保护区为</w:t>
            </w:r>
            <w:r>
              <w:rPr>
                <w:rFonts w:hint="eastAsia" w:ascii="Times New Roman" w:hAnsi="Times New Roman" w:cs="Times New Roman"/>
                <w:color w:val="auto"/>
                <w:u w:val="none"/>
                <w:lang w:val="en-US" w:eastAsia="zh-CN"/>
              </w:rPr>
              <w:t>白龟山</w:t>
            </w:r>
            <w:r>
              <w:rPr>
                <w:rFonts w:hint="eastAsia" w:ascii="Times New Roman" w:hAnsi="Times New Roman" w:cs="Times New Roman"/>
                <w:color w:val="auto"/>
                <w:u w:val="none"/>
              </w:rPr>
              <w:t>水库，</w:t>
            </w:r>
            <w:r>
              <w:rPr>
                <w:rFonts w:hint="eastAsia" w:ascii="Times New Roman" w:cs="Times New Roman"/>
                <w:color w:val="auto"/>
                <w:u w:val="none"/>
                <w:lang w:val="en-US" w:eastAsia="zh-CN"/>
              </w:rPr>
              <w:t>直线</w:t>
            </w:r>
            <w:r>
              <w:rPr>
                <w:rFonts w:hint="eastAsia" w:ascii="Times New Roman" w:hAnsi="Times New Roman" w:cs="Times New Roman"/>
                <w:color w:val="auto"/>
                <w:u w:val="none"/>
              </w:rPr>
              <w:t>距离约为</w:t>
            </w:r>
            <w:r>
              <w:rPr>
                <w:rFonts w:hint="eastAsia" w:ascii="Times New Roman" w:cs="Times New Roman"/>
                <w:color w:val="auto"/>
                <w:u w:val="none"/>
                <w:lang w:val="en-US" w:eastAsia="zh-CN"/>
              </w:rPr>
              <w:t>2</w:t>
            </w:r>
            <w:r>
              <w:rPr>
                <w:rFonts w:hint="eastAsia" w:ascii="Times New Roman" w:hAnsi="Times New Roman" w:cs="Times New Roman"/>
                <w:color w:val="auto"/>
                <w:u w:val="none"/>
                <w:lang w:val="en-US" w:eastAsia="zh-CN"/>
              </w:rPr>
              <w:t>1</w:t>
            </w:r>
            <w:r>
              <w:rPr>
                <w:rFonts w:hint="eastAsia" w:ascii="Times New Roman" w:hAnsi="Times New Roman" w:cs="Times New Roman"/>
                <w:color w:val="auto"/>
                <w:u w:val="none"/>
              </w:rPr>
              <w:t>km。项目选址不在平顶山市划定的一级、二级和准保护区范围内，符合平顶山市饮用水源地规划要求。</w:t>
            </w:r>
          </w:p>
          <w:p w14:paraId="32970C29">
            <w:pPr>
              <w:pStyle w:val="74"/>
              <w:keepNext w:val="0"/>
              <w:keepLines w:val="0"/>
              <w:pageBreakBefore w:val="0"/>
              <w:widowControl w:val="0"/>
              <w:kinsoku/>
              <w:wordWrap/>
              <w:overflowPunct/>
              <w:topLinePunct w:val="0"/>
              <w:autoSpaceDE w:val="0"/>
              <w:autoSpaceDN w:val="0"/>
              <w:bidi w:val="0"/>
              <w:adjustRightInd w:val="0"/>
              <w:snapToGrid/>
              <w:spacing w:line="500" w:lineRule="atLeast"/>
              <w:ind w:firstLine="482" w:firstLineChars="200"/>
              <w:jc w:val="both"/>
              <w:textAlignment w:val="auto"/>
              <w:rPr>
                <w:rFonts w:hint="eastAsia" w:ascii="Times New Roman" w:hAnsi="Times New Roman" w:cs="Times New Roman"/>
                <w:b/>
                <w:bCs/>
                <w:color w:val="auto"/>
                <w:u w:val="none"/>
              </w:rPr>
            </w:pPr>
            <w:r>
              <w:rPr>
                <w:rFonts w:ascii="Times New Roman" w:hAnsi="Times New Roman" w:cs="Times New Roman"/>
                <w:b/>
                <w:bCs/>
                <w:color w:val="auto"/>
                <w:u w:val="none"/>
              </w:rPr>
              <w:t>4.</w:t>
            </w:r>
            <w:r>
              <w:rPr>
                <w:rFonts w:hint="eastAsia" w:ascii="Times New Roman" w:hAnsi="Times New Roman" w:cs="Times New Roman"/>
                <w:b/>
                <w:bCs/>
                <w:color w:val="auto"/>
                <w:u w:val="none"/>
              </w:rPr>
              <w:t>2与</w:t>
            </w:r>
            <w:r>
              <w:rPr>
                <w:rFonts w:hint="eastAsia" w:ascii="Times New Roman" w:cs="Times New Roman"/>
                <w:b/>
                <w:bCs/>
                <w:color w:val="auto"/>
                <w:u w:val="none"/>
                <w:lang w:val="en-US" w:eastAsia="zh-CN"/>
              </w:rPr>
              <w:t>叶</w:t>
            </w:r>
            <w:r>
              <w:rPr>
                <w:rFonts w:hint="eastAsia" w:ascii="Times New Roman" w:hAnsi="Times New Roman" w:cs="Times New Roman"/>
                <w:b/>
                <w:bCs/>
                <w:color w:val="auto"/>
                <w:u w:val="none"/>
              </w:rPr>
              <w:t>县饮用水源保护区的相符性分析</w:t>
            </w:r>
          </w:p>
          <w:p w14:paraId="7F06F3D5">
            <w:pPr>
              <w:pStyle w:val="2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snapToGrid/>
              <w:spacing w:before="0" w:beforeAutospacing="0" w:after="0" w:afterAutospacing="0" w:line="500" w:lineRule="atLeast"/>
              <w:ind w:right="0" w:firstLine="480" w:firstLineChars="200"/>
              <w:jc w:val="both"/>
              <w:rPr>
                <w:rFonts w:hint="default" w:ascii="Times New Roman" w:hAnsi="Times New Roman" w:cs="Times New Roman"/>
                <w:sz w:val="24"/>
                <w:lang w:val="en-US" w:eastAsia="zh-CN"/>
              </w:rPr>
            </w:pPr>
            <w:r>
              <w:rPr>
                <w:rFonts w:hint="default" w:ascii="Times New Roman" w:hAnsi="Times New Roman" w:cs="Times New Roman"/>
                <w:sz w:val="24"/>
                <w:lang w:val="en-US" w:eastAsia="zh-CN"/>
              </w:rPr>
              <w:t>根据《河南省人民政府办公厅关于印发河南省县级集中式饮用水水源保护区划的通知》（豫政办【2013】107号）及《河南省人民政府关于划定调整取消部分集中式饮用水水源保护区的通知》（豫政文【2019】162号）中相关内容，叶县县级集中式饮用水水源保护区划如下：</w:t>
            </w:r>
          </w:p>
          <w:p w14:paraId="30466E40">
            <w:pPr>
              <w:pStyle w:val="2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snapToGrid/>
              <w:spacing w:before="0" w:beforeAutospacing="0" w:after="0" w:afterAutospacing="0" w:line="500" w:lineRule="atLeast"/>
              <w:ind w:right="0" w:firstLine="480" w:firstLineChars="200"/>
              <w:jc w:val="both"/>
              <w:rPr>
                <w:rFonts w:hint="eastAsia"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县级：</w:t>
            </w:r>
          </w:p>
          <w:p w14:paraId="26106CE7">
            <w:pPr>
              <w:pStyle w:val="2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snapToGrid/>
              <w:spacing w:before="0" w:beforeAutospacing="0" w:after="0" w:afterAutospacing="0" w:line="500" w:lineRule="atLeast"/>
              <w:ind w:right="0" w:firstLine="480" w:firstLineChars="200"/>
              <w:jc w:val="both"/>
              <w:textAlignment w:val="top"/>
              <w:rPr>
                <w:rFonts w:hint="eastAsia" w:ascii="Times New Roman" w:hAnsi="Times New Roman" w:eastAsia="宋体" w:cs="Times New Roman"/>
                <w:color w:val="auto"/>
                <w:kern w:val="2"/>
                <w:sz w:val="24"/>
                <w:szCs w:val="24"/>
                <w:u w:val="none"/>
                <w:lang w:val="en-US" w:eastAsia="zh-CN" w:bidi="ar-SA"/>
              </w:rPr>
            </w:pPr>
            <w:r>
              <w:rPr>
                <w:rFonts w:hint="default" w:ascii="宋体" w:hAnsi="宋体" w:eastAsia="宋体" w:cs="宋体"/>
                <w:color w:val="auto"/>
                <w:kern w:val="2"/>
                <w:sz w:val="24"/>
                <w:szCs w:val="24"/>
                <w:u w:val="none"/>
                <w:lang w:val="en-US" w:eastAsia="zh-CN" w:bidi="ar-SA"/>
              </w:rPr>
              <w:t>①</w:t>
            </w:r>
            <w:r>
              <w:rPr>
                <w:rFonts w:hint="default" w:ascii="Times New Roman" w:hAnsi="Times New Roman" w:eastAsia="宋体" w:cs="Times New Roman"/>
                <w:color w:val="auto"/>
                <w:kern w:val="2"/>
                <w:sz w:val="24"/>
                <w:szCs w:val="24"/>
                <w:u w:val="none"/>
                <w:lang w:val="en-US" w:eastAsia="zh-CN" w:bidi="ar-SA"/>
              </w:rPr>
              <w:t>叶县盐都水务地下水井群</w:t>
            </w:r>
            <w:r>
              <w:rPr>
                <w:rFonts w:hint="eastAsia" w:ascii="Times New Roman" w:hAnsi="Times New Roman" w:cs="Times New Roman"/>
                <w:color w:val="auto"/>
                <w:kern w:val="2"/>
                <w:sz w:val="24"/>
                <w:szCs w:val="24"/>
                <w:u w:val="none"/>
                <w:lang w:val="en-US" w:eastAsia="zh-CN" w:bidi="ar-SA"/>
              </w:rPr>
              <w:t>（</w:t>
            </w:r>
            <w:r>
              <w:rPr>
                <w:rFonts w:hint="default" w:ascii="Times New Roman" w:hAnsi="Times New Roman" w:eastAsia="宋体" w:cs="Times New Roman"/>
                <w:color w:val="auto"/>
                <w:kern w:val="2"/>
                <w:sz w:val="24"/>
                <w:szCs w:val="24"/>
                <w:u w:val="none"/>
                <w:lang w:val="en-US" w:eastAsia="zh-CN" w:bidi="ar-SA"/>
              </w:rPr>
              <w:t>昆鲁大道以北、昆阳大道以西,共3眼井</w:t>
            </w:r>
            <w:r>
              <w:rPr>
                <w:rFonts w:hint="eastAsia" w:ascii="Times New Roman" w:hAnsi="Times New Roman" w:cs="Times New Roman"/>
                <w:color w:val="auto"/>
                <w:kern w:val="2"/>
                <w:sz w:val="24"/>
                <w:szCs w:val="24"/>
                <w:u w:val="none"/>
                <w:lang w:val="en-US" w:eastAsia="zh-CN" w:bidi="ar-SA"/>
              </w:rPr>
              <w:t>）</w:t>
            </w:r>
            <w:r>
              <w:rPr>
                <w:rFonts w:hint="default" w:ascii="Times New Roman" w:hAnsi="Times New Roman" w:eastAsia="宋体" w:cs="Times New Roman"/>
                <w:color w:val="auto"/>
                <w:kern w:val="2"/>
                <w:sz w:val="24"/>
                <w:szCs w:val="24"/>
                <w:u w:val="none"/>
                <w:lang w:val="en-US" w:eastAsia="zh-CN" w:bidi="ar-SA"/>
              </w:rPr>
              <w:t>。一级保护区范围：以水井为圆心，30米为半径的区域。二级保护区范围:一级保护区外,1～2号取水井外围330米外公切线所包含的区域。</w:t>
            </w:r>
          </w:p>
          <w:p w14:paraId="3087422D">
            <w:pPr>
              <w:pStyle w:val="2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snapToGrid/>
              <w:spacing w:before="0" w:beforeAutospacing="0" w:after="0" w:afterAutospacing="0" w:line="500" w:lineRule="atLeast"/>
              <w:ind w:left="0" w:right="0" w:firstLine="480" w:firstLineChars="200"/>
              <w:jc w:val="both"/>
              <w:textAlignment w:val="top"/>
              <w:rPr>
                <w:rFonts w:hint="eastAsia" w:ascii="Times New Roman" w:hAnsi="Times New Roman" w:eastAsia="宋体" w:cs="Times New Roman"/>
                <w:color w:val="auto"/>
                <w:kern w:val="2"/>
                <w:sz w:val="24"/>
                <w:szCs w:val="24"/>
                <w:u w:val="none"/>
                <w:lang w:val="en-US" w:eastAsia="zh-CN" w:bidi="ar-SA"/>
              </w:rPr>
            </w:pPr>
            <w:r>
              <w:rPr>
                <w:rFonts w:hint="default" w:ascii="宋体" w:hAnsi="宋体" w:eastAsia="宋体" w:cs="宋体"/>
                <w:color w:val="auto"/>
                <w:kern w:val="2"/>
                <w:sz w:val="24"/>
                <w:szCs w:val="24"/>
                <w:u w:val="none"/>
                <w:lang w:val="en-US" w:eastAsia="zh-CN" w:bidi="ar-SA"/>
              </w:rPr>
              <w:t>②</w:t>
            </w:r>
            <w:r>
              <w:rPr>
                <w:rFonts w:hint="default" w:ascii="Times New Roman" w:hAnsi="Times New Roman" w:eastAsia="宋体" w:cs="Times New Roman"/>
                <w:color w:val="auto"/>
                <w:kern w:val="2"/>
                <w:sz w:val="24"/>
                <w:szCs w:val="24"/>
                <w:u w:val="none"/>
                <w:lang w:val="en-US" w:eastAsia="zh-CN" w:bidi="ar-SA"/>
              </w:rPr>
              <w:t>叶县自由路地下水井群</w:t>
            </w:r>
            <w:r>
              <w:rPr>
                <w:rFonts w:hint="eastAsia" w:ascii="Times New Roman" w:hAnsi="Times New Roman" w:cs="Times New Roman"/>
                <w:color w:val="auto"/>
                <w:kern w:val="2"/>
                <w:sz w:val="24"/>
                <w:szCs w:val="24"/>
                <w:u w:val="none"/>
                <w:lang w:val="en-US" w:eastAsia="zh-CN" w:bidi="ar-SA"/>
              </w:rPr>
              <w:t>（</w:t>
            </w:r>
            <w:r>
              <w:rPr>
                <w:rFonts w:hint="default" w:ascii="Times New Roman" w:hAnsi="Times New Roman" w:eastAsia="宋体" w:cs="Times New Roman"/>
                <w:color w:val="auto"/>
                <w:kern w:val="2"/>
                <w:sz w:val="24"/>
                <w:szCs w:val="24"/>
                <w:u w:val="none"/>
                <w:lang w:val="en-US" w:eastAsia="zh-CN" w:bidi="ar-SA"/>
              </w:rPr>
              <w:t>共2眼井</w:t>
            </w:r>
            <w:r>
              <w:rPr>
                <w:rFonts w:hint="eastAsia" w:ascii="Times New Roman" w:hAnsi="Times New Roman" w:cs="Times New Roman"/>
                <w:color w:val="auto"/>
                <w:kern w:val="2"/>
                <w:sz w:val="24"/>
                <w:szCs w:val="24"/>
                <w:u w:val="none"/>
                <w:lang w:val="en-US" w:eastAsia="zh-CN" w:bidi="ar-SA"/>
              </w:rPr>
              <w:t>）</w:t>
            </w:r>
            <w:r>
              <w:rPr>
                <w:rFonts w:hint="default" w:ascii="Times New Roman" w:hAnsi="Times New Roman" w:eastAsia="宋体" w:cs="Times New Roman"/>
                <w:color w:val="auto"/>
                <w:kern w:val="2"/>
                <w:sz w:val="24"/>
                <w:szCs w:val="24"/>
                <w:u w:val="none"/>
                <w:lang w:val="en-US" w:eastAsia="zh-CN" w:bidi="ar-SA"/>
              </w:rPr>
              <w:t>。一级保护区范围：取水井外围200米外公切线所包含的区域。</w:t>
            </w:r>
          </w:p>
          <w:p w14:paraId="5EC9C8AD">
            <w:pPr>
              <w:pStyle w:val="2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snapToGrid/>
              <w:spacing w:before="0" w:beforeAutospacing="0" w:after="0" w:afterAutospacing="0" w:line="500" w:lineRule="atLeast"/>
              <w:ind w:right="0" w:firstLine="480" w:firstLineChars="200"/>
              <w:jc w:val="both"/>
              <w:textAlignment w:val="top"/>
              <w:rPr>
                <w:rFonts w:hint="eastAsia" w:ascii="Times New Roman" w:hAnsi="Times New Roman" w:eastAsia="宋体" w:cs="Times New Roman"/>
                <w:color w:val="auto"/>
                <w:kern w:val="2"/>
                <w:sz w:val="24"/>
                <w:szCs w:val="24"/>
                <w:u w:val="none"/>
                <w:lang w:val="en-US" w:eastAsia="zh-CN" w:bidi="ar-SA"/>
              </w:rPr>
            </w:pPr>
            <w:r>
              <w:rPr>
                <w:rFonts w:hint="default" w:ascii="宋体" w:hAnsi="宋体" w:eastAsia="宋体" w:cs="宋体"/>
                <w:color w:val="auto"/>
                <w:kern w:val="2"/>
                <w:sz w:val="24"/>
                <w:szCs w:val="24"/>
                <w:u w:val="none"/>
                <w:lang w:val="en-US" w:eastAsia="zh-CN" w:bidi="ar-SA"/>
              </w:rPr>
              <w:t>③</w:t>
            </w:r>
            <w:r>
              <w:rPr>
                <w:rFonts w:hint="default" w:ascii="Times New Roman" w:hAnsi="Times New Roman" w:eastAsia="宋体" w:cs="Times New Roman"/>
                <w:color w:val="auto"/>
                <w:kern w:val="2"/>
                <w:sz w:val="24"/>
                <w:szCs w:val="24"/>
                <w:u w:val="none"/>
                <w:lang w:val="en-US" w:eastAsia="zh-CN" w:bidi="ar-SA"/>
              </w:rPr>
              <w:t>叶县东升洁地下水井群</w:t>
            </w:r>
            <w:r>
              <w:rPr>
                <w:rFonts w:hint="eastAsia" w:ascii="Times New Roman" w:hAnsi="Times New Roman" w:cs="Times New Roman"/>
                <w:color w:val="auto"/>
                <w:kern w:val="2"/>
                <w:sz w:val="24"/>
                <w:szCs w:val="24"/>
                <w:u w:val="none"/>
                <w:lang w:val="en-US" w:eastAsia="zh-CN" w:bidi="ar-SA"/>
              </w:rPr>
              <w:t>（</w:t>
            </w:r>
            <w:r>
              <w:rPr>
                <w:rFonts w:hint="default" w:ascii="Times New Roman" w:hAnsi="Times New Roman" w:eastAsia="宋体" w:cs="Times New Roman"/>
                <w:color w:val="auto"/>
                <w:kern w:val="2"/>
                <w:sz w:val="24"/>
                <w:szCs w:val="24"/>
                <w:u w:val="none"/>
                <w:lang w:val="en-US" w:eastAsia="zh-CN" w:bidi="ar-SA"/>
              </w:rPr>
              <w:t>昆鲁大道以南、昆阳大道以东、中心路以北,共6眼井</w:t>
            </w:r>
            <w:r>
              <w:rPr>
                <w:rFonts w:hint="eastAsia" w:ascii="Times New Roman" w:hAnsi="Times New Roman" w:cs="Times New Roman"/>
                <w:color w:val="auto"/>
                <w:kern w:val="2"/>
                <w:sz w:val="24"/>
                <w:szCs w:val="24"/>
                <w:u w:val="none"/>
                <w:lang w:val="en-US" w:eastAsia="zh-CN" w:bidi="ar-SA"/>
              </w:rPr>
              <w:t>）</w:t>
            </w:r>
            <w:r>
              <w:rPr>
                <w:rFonts w:hint="default" w:ascii="Times New Roman" w:hAnsi="Times New Roman" w:eastAsia="宋体" w:cs="Times New Roman"/>
                <w:color w:val="auto"/>
                <w:kern w:val="2"/>
                <w:sz w:val="24"/>
                <w:szCs w:val="24"/>
                <w:u w:val="none"/>
                <w:lang w:val="en-US" w:eastAsia="zh-CN" w:bidi="ar-SA"/>
              </w:rPr>
              <w:t>。一级保护区范围：以水井为圆心，30米为半径的区域。</w:t>
            </w:r>
          </w:p>
          <w:p w14:paraId="3A05C1A3">
            <w:pPr>
              <w:pStyle w:val="2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snapToGrid/>
              <w:spacing w:before="0" w:beforeAutospacing="0" w:after="0" w:afterAutospacing="0" w:line="500" w:lineRule="atLeast"/>
              <w:ind w:right="0" w:firstLine="480" w:firstLineChars="200"/>
              <w:jc w:val="both"/>
              <w:textAlignment w:val="top"/>
              <w:rPr>
                <w:rFonts w:hint="eastAsia"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乡镇：</w:t>
            </w:r>
          </w:p>
          <w:p w14:paraId="70C78AC2">
            <w:pPr>
              <w:pStyle w:val="2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snapToGrid/>
              <w:spacing w:before="0" w:beforeAutospacing="0" w:after="0" w:afterAutospacing="0" w:line="500" w:lineRule="atLeast"/>
              <w:ind w:right="0" w:firstLine="480" w:firstLineChars="200"/>
              <w:jc w:val="both"/>
              <w:textAlignment w:val="top"/>
              <w:rPr>
                <w:rFonts w:hint="default" w:ascii="Times New Roman" w:hAnsi="Times New Roman" w:eastAsia="宋体" w:cs="Times New Roman"/>
                <w:color w:val="auto"/>
                <w:kern w:val="2"/>
                <w:sz w:val="24"/>
                <w:szCs w:val="24"/>
                <w:u w:val="none"/>
                <w:lang w:val="en-US" w:eastAsia="zh-CN" w:bidi="ar-SA"/>
              </w:rPr>
            </w:pPr>
            <w:r>
              <w:rPr>
                <w:rFonts w:hint="default" w:ascii="宋体" w:hAnsi="宋体" w:eastAsia="宋体" w:cs="宋体"/>
                <w:color w:val="auto"/>
                <w:kern w:val="2"/>
                <w:sz w:val="24"/>
                <w:szCs w:val="24"/>
                <w:u w:val="none"/>
                <w:lang w:val="en-US" w:eastAsia="zh-CN" w:bidi="ar-SA"/>
              </w:rPr>
              <w:t>①</w:t>
            </w:r>
            <w:r>
              <w:rPr>
                <w:rFonts w:hint="default" w:ascii="Times New Roman" w:hAnsi="Times New Roman" w:eastAsia="宋体" w:cs="Times New Roman"/>
                <w:color w:val="auto"/>
                <w:kern w:val="2"/>
                <w:sz w:val="24"/>
                <w:szCs w:val="24"/>
                <w:u w:val="none"/>
                <w:lang w:val="en-US" w:eastAsia="zh-CN" w:bidi="ar-SA"/>
              </w:rPr>
              <w:t>叶县任店镇水厂地下水井</w:t>
            </w:r>
            <w:r>
              <w:rPr>
                <w:rFonts w:hint="eastAsia" w:ascii="Times New Roman" w:hAnsi="Times New Roman" w:cs="Times New Roman"/>
                <w:color w:val="auto"/>
                <w:kern w:val="2"/>
                <w:sz w:val="24"/>
                <w:szCs w:val="24"/>
                <w:u w:val="none"/>
                <w:lang w:val="en-US" w:eastAsia="zh-CN" w:bidi="ar-SA"/>
              </w:rPr>
              <w:t>（</w:t>
            </w:r>
            <w:r>
              <w:rPr>
                <w:rFonts w:hint="default" w:ascii="Times New Roman" w:hAnsi="Times New Roman" w:eastAsia="宋体" w:cs="Times New Roman"/>
                <w:color w:val="auto"/>
                <w:kern w:val="2"/>
                <w:sz w:val="24"/>
                <w:szCs w:val="24"/>
                <w:u w:val="none"/>
                <w:lang w:val="en-US" w:eastAsia="zh-CN" w:bidi="ar-SA"/>
              </w:rPr>
              <w:t>共1眼井</w:t>
            </w:r>
            <w:r>
              <w:rPr>
                <w:rFonts w:hint="eastAsia" w:ascii="Times New Roman" w:hAnsi="Times New Roman" w:cs="Times New Roman"/>
                <w:color w:val="auto"/>
                <w:kern w:val="2"/>
                <w:sz w:val="24"/>
                <w:szCs w:val="24"/>
                <w:u w:val="none"/>
                <w:lang w:val="en-US" w:eastAsia="zh-CN" w:bidi="ar-SA"/>
              </w:rPr>
              <w:t>）</w:t>
            </w:r>
            <w:r>
              <w:rPr>
                <w:rFonts w:hint="default" w:ascii="Times New Roman" w:hAnsi="Times New Roman" w:eastAsia="宋体" w:cs="Times New Roman"/>
                <w:color w:val="auto"/>
                <w:kern w:val="2"/>
                <w:sz w:val="24"/>
                <w:szCs w:val="24"/>
                <w:u w:val="none"/>
                <w:lang w:val="en-US" w:eastAsia="zh-CN" w:bidi="ar-SA"/>
              </w:rPr>
              <w:t>。一级保护区范围：以水井为圆心，30米为半径的区域；水厂厂区及外围东25米、南11米、北29米的区域。</w:t>
            </w:r>
          </w:p>
          <w:p w14:paraId="0B219C20">
            <w:pPr>
              <w:pStyle w:val="2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snapToGrid/>
              <w:spacing w:before="0" w:beforeAutospacing="0" w:after="0" w:afterAutospacing="0" w:line="500" w:lineRule="atLeast"/>
              <w:ind w:right="0" w:firstLine="480" w:firstLineChars="200"/>
              <w:jc w:val="both"/>
              <w:textAlignment w:val="top"/>
              <w:rPr>
                <w:rFonts w:hint="eastAsia" w:ascii="Times New Roman" w:hAnsi="Times New Roman" w:eastAsia="宋体" w:cs="Times New Roman"/>
                <w:color w:val="auto"/>
                <w:kern w:val="2"/>
                <w:sz w:val="24"/>
                <w:szCs w:val="24"/>
                <w:u w:val="none"/>
                <w:lang w:val="en-US" w:eastAsia="zh-CN" w:bidi="ar-SA"/>
              </w:rPr>
            </w:pPr>
            <w:r>
              <w:rPr>
                <w:rFonts w:hint="default" w:ascii="宋体" w:hAnsi="宋体" w:eastAsia="宋体" w:cs="宋体"/>
                <w:color w:val="auto"/>
                <w:kern w:val="2"/>
                <w:sz w:val="24"/>
                <w:szCs w:val="24"/>
                <w:u w:val="none"/>
                <w:lang w:val="en-US" w:eastAsia="zh-CN" w:bidi="ar-SA"/>
              </w:rPr>
              <w:t>②</w:t>
            </w:r>
            <w:r>
              <w:rPr>
                <w:rFonts w:hint="default" w:ascii="Times New Roman" w:hAnsi="Times New Roman" w:eastAsia="宋体" w:cs="Times New Roman"/>
                <w:color w:val="auto"/>
                <w:kern w:val="2"/>
                <w:sz w:val="24"/>
                <w:szCs w:val="24"/>
                <w:u w:val="none"/>
                <w:lang w:val="en-US" w:eastAsia="zh-CN" w:bidi="ar-SA"/>
              </w:rPr>
              <w:t>叶县廉村镇水厂地下水井</w:t>
            </w:r>
            <w:r>
              <w:rPr>
                <w:rFonts w:hint="eastAsia" w:ascii="Times New Roman" w:hAnsi="Times New Roman" w:cs="Times New Roman"/>
                <w:color w:val="auto"/>
                <w:kern w:val="2"/>
                <w:sz w:val="24"/>
                <w:szCs w:val="24"/>
                <w:u w:val="none"/>
                <w:lang w:val="en-US" w:eastAsia="zh-CN" w:bidi="ar-SA"/>
              </w:rPr>
              <w:t>（</w:t>
            </w:r>
            <w:r>
              <w:rPr>
                <w:rFonts w:hint="default" w:ascii="Times New Roman" w:hAnsi="Times New Roman" w:eastAsia="宋体" w:cs="Times New Roman"/>
                <w:color w:val="auto"/>
                <w:kern w:val="2"/>
                <w:sz w:val="24"/>
                <w:szCs w:val="24"/>
                <w:u w:val="none"/>
                <w:lang w:val="en-US" w:eastAsia="zh-CN" w:bidi="ar-SA"/>
              </w:rPr>
              <w:t>共1眼井</w:t>
            </w:r>
            <w:r>
              <w:rPr>
                <w:rFonts w:hint="eastAsia" w:ascii="Times New Roman" w:hAnsi="Times New Roman" w:cs="Times New Roman"/>
                <w:color w:val="auto"/>
                <w:kern w:val="2"/>
                <w:sz w:val="24"/>
                <w:szCs w:val="24"/>
                <w:u w:val="none"/>
                <w:lang w:val="en-US" w:eastAsia="zh-CN" w:bidi="ar-SA"/>
              </w:rPr>
              <w:t>）</w:t>
            </w:r>
            <w:r>
              <w:rPr>
                <w:rFonts w:hint="default" w:ascii="Times New Roman" w:hAnsi="Times New Roman" w:eastAsia="宋体" w:cs="Times New Roman"/>
                <w:color w:val="auto"/>
                <w:kern w:val="2"/>
                <w:sz w:val="24"/>
                <w:szCs w:val="24"/>
                <w:u w:val="none"/>
                <w:lang w:val="en-US" w:eastAsia="zh-CN" w:bidi="ar-SA"/>
              </w:rPr>
              <w:t>。一级保护区范围：以水井为圆心，30米为半径的区域；水厂厂区外围东30米、西10米、南5米、北30米的区域。</w:t>
            </w:r>
          </w:p>
          <w:p w14:paraId="11F86C4E">
            <w:pPr>
              <w:pStyle w:val="2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snapToGrid/>
              <w:spacing w:before="0" w:beforeAutospacing="0" w:after="0" w:afterAutospacing="0" w:line="500" w:lineRule="atLeast"/>
              <w:ind w:right="0" w:firstLine="480" w:firstLineChars="200"/>
              <w:jc w:val="both"/>
              <w:textAlignment w:val="top"/>
              <w:rPr>
                <w:rFonts w:hint="eastAsia" w:ascii="Times New Roman" w:hAnsi="Times New Roman" w:eastAsia="宋体" w:cs="Times New Roman"/>
                <w:color w:val="auto"/>
                <w:kern w:val="2"/>
                <w:sz w:val="24"/>
                <w:szCs w:val="24"/>
                <w:u w:val="none"/>
                <w:lang w:val="en-US" w:eastAsia="zh-CN" w:bidi="ar-SA"/>
              </w:rPr>
            </w:pPr>
            <w:r>
              <w:rPr>
                <w:rFonts w:hint="default" w:ascii="宋体" w:hAnsi="宋体" w:eastAsia="宋体" w:cs="宋体"/>
                <w:color w:val="auto"/>
                <w:kern w:val="2"/>
                <w:sz w:val="24"/>
                <w:szCs w:val="24"/>
                <w:u w:val="none"/>
                <w:lang w:val="en-US" w:eastAsia="zh-CN" w:bidi="ar-SA"/>
              </w:rPr>
              <w:t>③</w:t>
            </w:r>
            <w:r>
              <w:rPr>
                <w:rFonts w:hint="default" w:ascii="Times New Roman" w:hAnsi="Times New Roman" w:eastAsia="宋体" w:cs="Times New Roman"/>
                <w:color w:val="auto"/>
                <w:kern w:val="2"/>
                <w:sz w:val="24"/>
                <w:szCs w:val="24"/>
                <w:u w:val="none"/>
                <w:lang w:val="en-US" w:eastAsia="zh-CN" w:bidi="ar-SA"/>
              </w:rPr>
              <w:t>叶县水寨乡蒋李水厂地下水井</w:t>
            </w:r>
            <w:r>
              <w:rPr>
                <w:rFonts w:hint="eastAsia" w:ascii="Times New Roman" w:hAnsi="Times New Roman" w:cs="Times New Roman"/>
                <w:color w:val="auto"/>
                <w:kern w:val="2"/>
                <w:sz w:val="24"/>
                <w:szCs w:val="24"/>
                <w:u w:val="none"/>
                <w:lang w:val="en-US" w:eastAsia="zh-CN" w:bidi="ar-SA"/>
              </w:rPr>
              <w:t>（</w:t>
            </w:r>
            <w:r>
              <w:rPr>
                <w:rFonts w:hint="default" w:ascii="Times New Roman" w:hAnsi="Times New Roman" w:eastAsia="宋体" w:cs="Times New Roman"/>
                <w:color w:val="auto"/>
                <w:kern w:val="2"/>
                <w:sz w:val="24"/>
                <w:szCs w:val="24"/>
                <w:u w:val="none"/>
                <w:lang w:val="en-US" w:eastAsia="zh-CN" w:bidi="ar-SA"/>
              </w:rPr>
              <w:t>共1眼井</w:t>
            </w:r>
            <w:r>
              <w:rPr>
                <w:rFonts w:hint="eastAsia" w:ascii="Times New Roman" w:hAnsi="Times New Roman" w:cs="Times New Roman"/>
                <w:color w:val="auto"/>
                <w:kern w:val="2"/>
                <w:sz w:val="24"/>
                <w:szCs w:val="24"/>
                <w:u w:val="none"/>
                <w:lang w:val="en-US" w:eastAsia="zh-CN" w:bidi="ar-SA"/>
              </w:rPr>
              <w:t>）</w:t>
            </w:r>
            <w:r>
              <w:rPr>
                <w:rFonts w:hint="default" w:ascii="Times New Roman" w:hAnsi="Times New Roman" w:eastAsia="宋体" w:cs="Times New Roman"/>
                <w:color w:val="auto"/>
                <w:kern w:val="2"/>
                <w:sz w:val="24"/>
                <w:szCs w:val="24"/>
                <w:u w:val="none"/>
                <w:lang w:val="en-US" w:eastAsia="zh-CN" w:bidi="ar-SA"/>
              </w:rPr>
              <w:t>。一级保护区范围：以水井为圆心，30米为半径的区域；水厂厂区及外围东10米、西30米、南10米、北30米的区域。</w:t>
            </w:r>
          </w:p>
          <w:p w14:paraId="2A89D88E">
            <w:pPr>
              <w:pStyle w:val="2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snapToGrid/>
              <w:spacing w:before="0" w:beforeAutospacing="0" w:after="0" w:afterAutospacing="0" w:line="500" w:lineRule="atLeast"/>
              <w:ind w:right="0" w:firstLine="480" w:firstLineChars="200"/>
              <w:jc w:val="both"/>
              <w:textAlignment w:val="top"/>
              <w:rPr>
                <w:rFonts w:hint="eastAsia" w:ascii="Times New Roman" w:hAnsi="Times New Roman" w:eastAsia="宋体" w:cs="Times New Roman"/>
                <w:color w:val="auto"/>
                <w:kern w:val="2"/>
                <w:sz w:val="24"/>
                <w:szCs w:val="24"/>
                <w:u w:val="none"/>
                <w:lang w:val="en-US" w:eastAsia="zh-CN" w:bidi="ar-SA"/>
              </w:rPr>
            </w:pPr>
            <w:r>
              <w:rPr>
                <w:rFonts w:hint="eastAsia" w:ascii="宋体" w:hAnsi="宋体" w:eastAsia="宋体" w:cs="宋体"/>
                <w:color w:val="auto"/>
                <w:kern w:val="2"/>
                <w:sz w:val="24"/>
                <w:szCs w:val="24"/>
                <w:u w:val="none"/>
                <w:lang w:val="en-US" w:eastAsia="zh-CN" w:bidi="ar-SA"/>
              </w:rPr>
              <w:t>④</w:t>
            </w:r>
            <w:r>
              <w:rPr>
                <w:rFonts w:hint="default" w:ascii="Times New Roman" w:hAnsi="Times New Roman" w:eastAsia="宋体" w:cs="Times New Roman"/>
                <w:color w:val="auto"/>
                <w:kern w:val="2"/>
                <w:sz w:val="24"/>
                <w:szCs w:val="24"/>
                <w:u w:val="none"/>
                <w:lang w:val="en-US" w:eastAsia="zh-CN" w:bidi="ar-SA"/>
              </w:rPr>
              <w:t>叶县保安镇水厂地下水井</w:t>
            </w:r>
            <w:r>
              <w:rPr>
                <w:rFonts w:hint="eastAsia" w:ascii="Times New Roman" w:hAnsi="Times New Roman" w:cs="Times New Roman"/>
                <w:color w:val="auto"/>
                <w:kern w:val="2"/>
                <w:sz w:val="24"/>
                <w:szCs w:val="24"/>
                <w:u w:val="none"/>
                <w:lang w:val="en-US" w:eastAsia="zh-CN" w:bidi="ar-SA"/>
              </w:rPr>
              <w:t>（</w:t>
            </w:r>
            <w:r>
              <w:rPr>
                <w:rFonts w:hint="default" w:ascii="Times New Roman" w:hAnsi="Times New Roman" w:eastAsia="宋体" w:cs="Times New Roman"/>
                <w:color w:val="auto"/>
                <w:kern w:val="2"/>
                <w:sz w:val="24"/>
                <w:szCs w:val="24"/>
                <w:u w:val="none"/>
                <w:lang w:val="en-US" w:eastAsia="zh-CN" w:bidi="ar-SA"/>
              </w:rPr>
              <w:t>共1眼井</w:t>
            </w:r>
            <w:r>
              <w:rPr>
                <w:rFonts w:hint="eastAsia" w:ascii="Times New Roman" w:hAnsi="Times New Roman" w:cs="Times New Roman"/>
                <w:color w:val="auto"/>
                <w:kern w:val="2"/>
                <w:sz w:val="24"/>
                <w:szCs w:val="24"/>
                <w:u w:val="none"/>
                <w:lang w:val="en-US" w:eastAsia="zh-CN" w:bidi="ar-SA"/>
              </w:rPr>
              <w:t>）</w:t>
            </w:r>
            <w:r>
              <w:rPr>
                <w:rFonts w:hint="default" w:ascii="Times New Roman" w:hAnsi="Times New Roman" w:eastAsia="宋体" w:cs="Times New Roman"/>
                <w:color w:val="auto"/>
                <w:kern w:val="2"/>
                <w:sz w:val="24"/>
                <w:szCs w:val="24"/>
                <w:u w:val="none"/>
                <w:lang w:val="en-US" w:eastAsia="zh-CN" w:bidi="ar-SA"/>
              </w:rPr>
              <w:t>。一级保护区范围：以水井为圆心，30米为半径的区域；水厂厂区及外围东10米、西30米、南15米、北30米的区域。</w:t>
            </w:r>
          </w:p>
          <w:p w14:paraId="005C8C60">
            <w:pPr>
              <w:pStyle w:val="2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snapToGrid/>
              <w:spacing w:before="0" w:beforeAutospacing="0" w:after="0" w:afterAutospacing="0" w:line="500" w:lineRule="atLeast"/>
              <w:ind w:right="0" w:firstLine="480" w:firstLineChars="200"/>
              <w:jc w:val="both"/>
              <w:textAlignment w:val="top"/>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highlight w:val="none"/>
                <w:u w:val="none"/>
                <w:lang w:val="en-US" w:eastAsia="zh-CN" w:bidi="ar-SA"/>
              </w:rPr>
              <w:t>⑤</w:t>
            </w:r>
            <w:r>
              <w:rPr>
                <w:rFonts w:hint="default" w:ascii="Times New Roman" w:hAnsi="Times New Roman" w:eastAsia="宋体" w:cs="Times New Roman"/>
                <w:color w:val="auto"/>
                <w:kern w:val="2"/>
                <w:sz w:val="24"/>
                <w:szCs w:val="24"/>
                <w:highlight w:val="none"/>
                <w:u w:val="none"/>
                <w:lang w:val="en-US" w:eastAsia="zh-CN" w:bidi="ar-SA"/>
              </w:rPr>
              <w:t>叶县洪庄杨镇水厂集中式饮用水源保护区。一级保护区范围：以水井为圆心，30米为半径的区域；水厂厂区及外围东23米、北24米的区域；水厂集中式饮用水</w:t>
            </w:r>
            <w:r>
              <w:rPr>
                <w:rFonts w:hint="default" w:ascii="Times New Roman" w:hAnsi="Times New Roman" w:eastAsia="宋体" w:cs="Times New Roman"/>
                <w:color w:val="auto"/>
                <w:kern w:val="2"/>
                <w:sz w:val="24"/>
                <w:szCs w:val="24"/>
                <w:u w:val="none"/>
                <w:lang w:val="en-US" w:eastAsia="zh-CN" w:bidi="ar-SA"/>
              </w:rPr>
              <w:t>源保护区2#备用水井。一级保护区范围：以水井为圆心，30米为半径的区域。</w:t>
            </w:r>
          </w:p>
          <w:p w14:paraId="28E55E30">
            <w:pPr>
              <w:pStyle w:val="74"/>
              <w:keepNext w:val="0"/>
              <w:keepLines w:val="0"/>
              <w:pageBreakBefore w:val="0"/>
              <w:kinsoku/>
              <w:wordWrap/>
              <w:overflowPunct/>
              <w:topLinePunct w:val="0"/>
              <w:bidi w:val="0"/>
              <w:snapToGrid/>
              <w:spacing w:line="500" w:lineRule="atLeast"/>
              <w:ind w:firstLine="482" w:firstLineChars="200"/>
              <w:jc w:val="both"/>
              <w:rPr>
                <w:rFonts w:ascii="Times New Roman" w:hAnsi="Times New Roman" w:cs="Times New Roman"/>
                <w:color w:val="auto"/>
                <w:u w:val="none"/>
              </w:rPr>
            </w:pPr>
            <w:r>
              <w:rPr>
                <w:rFonts w:hint="eastAsia" w:ascii="Times New Roman" w:hAnsi="Times New Roman" w:cs="Times New Roman"/>
                <w:b/>
                <w:bCs/>
                <w:color w:val="auto"/>
                <w:u w:val="none"/>
              </w:rPr>
              <w:t>相符性分析：</w:t>
            </w:r>
            <w:r>
              <w:rPr>
                <w:rFonts w:ascii="Times New Roman" w:hAnsi="Times New Roman" w:cs="Times New Roman"/>
                <w:color w:val="auto"/>
                <w:u w:val="none"/>
              </w:rPr>
              <w:t>本项目选址位于</w:t>
            </w:r>
            <w:r>
              <w:rPr>
                <w:rFonts w:hint="eastAsia" w:ascii="Times New Roman" w:cs="Times New Roman"/>
                <w:color w:val="auto"/>
                <w:u w:val="none"/>
                <w:lang w:eastAsia="zh-CN"/>
              </w:rPr>
              <w:t>平顶山市叶县洪庄杨乡张集村、贾庄村</w:t>
            </w:r>
            <w:r>
              <w:rPr>
                <w:rFonts w:ascii="Times New Roman" w:hAnsi="Times New Roman" w:cs="Times New Roman"/>
                <w:color w:val="auto"/>
                <w:u w:val="none"/>
              </w:rPr>
              <w:t>，</w:t>
            </w:r>
            <w:r>
              <w:rPr>
                <w:rFonts w:hint="eastAsia" w:ascii="Times New Roman" w:hAnsi="Times New Roman" w:cs="Times New Roman"/>
                <w:color w:val="auto"/>
                <w:u w:val="none"/>
              </w:rPr>
              <w:t>距离最近的乡镇集中式饮用水源保护区为</w:t>
            </w:r>
            <w:r>
              <w:rPr>
                <w:rFonts w:hint="default" w:ascii="Times New Roman" w:hAnsi="Times New Roman" w:eastAsia="宋体" w:cs="Times New Roman"/>
                <w:color w:val="auto"/>
                <w:kern w:val="2"/>
                <w:sz w:val="24"/>
                <w:szCs w:val="24"/>
                <w:u w:val="none"/>
                <w:lang w:val="en-US" w:eastAsia="zh-CN" w:bidi="ar-SA"/>
              </w:rPr>
              <w:t>叶县洪庄杨镇水厂集中式饮用水源保护区</w:t>
            </w:r>
            <w:r>
              <w:rPr>
                <w:rFonts w:ascii="Times New Roman" w:hAnsi="Times New Roman" w:cs="Times New Roman"/>
                <w:color w:val="auto"/>
                <w:u w:val="none"/>
              </w:rPr>
              <w:t>，距离约</w:t>
            </w:r>
            <w:r>
              <w:rPr>
                <w:rFonts w:hint="eastAsia" w:ascii="Times New Roman" w:hAnsi="Times New Roman" w:cs="Times New Roman"/>
                <w:color w:val="auto"/>
                <w:highlight w:val="none"/>
                <w:u w:val="none"/>
                <w:lang w:val="en-US" w:eastAsia="zh-CN"/>
              </w:rPr>
              <w:t>2.5</w:t>
            </w:r>
            <w:r>
              <w:rPr>
                <w:rFonts w:ascii="Times New Roman" w:hAnsi="Times New Roman" w:cs="Times New Roman"/>
                <w:color w:val="auto"/>
                <w:u w:val="none"/>
              </w:rPr>
              <w:t>km，项目不在上述饮用水源保护区范围内，因此本项目的建设不会对饮用水水源保护区造成不利影响。</w:t>
            </w:r>
          </w:p>
          <w:p w14:paraId="4341B4CD">
            <w:pPr>
              <w:pStyle w:val="74"/>
              <w:keepNext w:val="0"/>
              <w:keepLines w:val="0"/>
              <w:pageBreakBefore w:val="0"/>
              <w:kinsoku/>
              <w:wordWrap/>
              <w:overflowPunct/>
              <w:topLinePunct w:val="0"/>
              <w:bidi w:val="0"/>
              <w:snapToGrid/>
              <w:spacing w:line="500" w:lineRule="exact"/>
              <w:ind w:firstLine="480" w:firstLineChars="200"/>
              <w:jc w:val="both"/>
              <w:textAlignment w:val="auto"/>
              <w:rPr>
                <w:rFonts w:ascii="Times New Roman" w:hAnsi="Times New Roman" w:cs="Times New Roman"/>
                <w:color w:val="auto"/>
                <w:u w:val="none"/>
              </w:rPr>
            </w:pPr>
            <w:r>
              <w:rPr>
                <w:rFonts w:ascii="Times New Roman" w:hAnsi="Times New Roman" w:cs="Times New Roman"/>
                <w:color w:val="auto"/>
                <w:u w:val="none"/>
              </w:rPr>
              <w:t>综上，项目位于</w:t>
            </w:r>
            <w:r>
              <w:rPr>
                <w:rFonts w:hint="eastAsia" w:ascii="Times New Roman" w:cs="Times New Roman"/>
                <w:color w:val="auto"/>
                <w:u w:val="none"/>
                <w:lang w:eastAsia="zh-CN"/>
              </w:rPr>
              <w:t>平顶山市叶县洪庄杨乡张集村、贾庄村</w:t>
            </w:r>
            <w:r>
              <w:rPr>
                <w:rFonts w:ascii="Times New Roman" w:hAnsi="Times New Roman" w:cs="Times New Roman"/>
                <w:color w:val="auto"/>
                <w:u w:val="none"/>
              </w:rPr>
              <w:t>，项目不在饮用水源地保护区范围内，故项</w:t>
            </w:r>
            <w:r>
              <w:rPr>
                <w:rFonts w:hint="eastAsia" w:ascii="Times New Roman" w:cs="Times New Roman"/>
                <w:color w:val="auto"/>
                <w:u w:val="none"/>
                <w:lang w:eastAsia="zh-CN"/>
              </w:rPr>
              <w:t>目建设符合集中式饮用水源保护区划要求。</w:t>
            </w:r>
          </w:p>
          <w:p w14:paraId="23F72CD9">
            <w:pPr>
              <w:keepNext w:val="0"/>
              <w:keepLines w:val="0"/>
              <w:pageBreakBefore w:val="0"/>
              <w:widowControl/>
              <w:kinsoku/>
              <w:wordWrap/>
              <w:overflowPunct/>
              <w:topLinePunct w:val="0"/>
              <w:autoSpaceDE/>
              <w:autoSpaceDN/>
              <w:bidi w:val="0"/>
              <w:adjustRightInd/>
              <w:snapToGrid/>
              <w:spacing w:line="500" w:lineRule="exact"/>
              <w:ind w:firstLine="482" w:firstLineChars="200"/>
              <w:jc w:val="left"/>
              <w:textAlignment w:val="auto"/>
              <w:rPr>
                <w:rFonts w:hint="default" w:ascii="Times New Roman" w:hAnsi="Times New Roman" w:eastAsia="宋体" w:cs="Times New Roman"/>
                <w:b/>
                <w:bCs/>
                <w:color w:val="auto"/>
                <w:kern w:val="28"/>
                <w:sz w:val="24"/>
                <w:szCs w:val="24"/>
                <w:u w:val="none"/>
                <w:lang w:val="en-US" w:eastAsia="zh-CN" w:bidi="ar-SA"/>
              </w:rPr>
            </w:pPr>
            <w:r>
              <w:rPr>
                <w:rFonts w:hint="eastAsia" w:cs="Times New Roman"/>
                <w:b/>
                <w:bCs/>
                <w:color w:val="auto"/>
                <w:kern w:val="28"/>
                <w:sz w:val="24"/>
                <w:szCs w:val="24"/>
                <w:u w:val="none"/>
                <w:lang w:val="en-US" w:eastAsia="zh-CN" w:bidi="ar-SA"/>
              </w:rPr>
              <w:t>4.3与</w:t>
            </w:r>
            <w:r>
              <w:rPr>
                <w:rFonts w:hint="eastAsia" w:ascii="Times New Roman" w:hAnsi="Times New Roman" w:eastAsia="宋体" w:cs="Times New Roman"/>
                <w:b/>
                <w:bCs/>
                <w:color w:val="auto"/>
                <w:kern w:val="28"/>
                <w:sz w:val="24"/>
                <w:szCs w:val="24"/>
                <w:u w:val="none"/>
                <w:lang w:val="en-US" w:eastAsia="zh-CN" w:bidi="ar-SA"/>
              </w:rPr>
              <w:t>南水北调中线工程饮用水源保护区规划</w:t>
            </w:r>
            <w:r>
              <w:rPr>
                <w:rFonts w:hint="eastAsia" w:cs="Times New Roman"/>
                <w:b/>
                <w:bCs/>
                <w:color w:val="auto"/>
                <w:kern w:val="28"/>
                <w:sz w:val="24"/>
                <w:szCs w:val="24"/>
                <w:u w:val="none"/>
                <w:lang w:val="en-US" w:eastAsia="zh-CN" w:bidi="ar-SA"/>
              </w:rPr>
              <w:t>相符性</w:t>
            </w:r>
          </w:p>
          <w:p w14:paraId="21AA53A8">
            <w:pPr>
              <w:keepNext w:val="0"/>
              <w:keepLines w:val="0"/>
              <w:pageBreakBefore w:val="0"/>
              <w:widowControl/>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根据《关于印发南水北调中线一期工程总干渠（河南段）两侧饮用水水源保护区划的通知》（豫调办【2018】56号），南水北调中线一期工程总干渠在河南省境内的工程类型分为建筑物段和总干渠明渠段。</w:t>
            </w:r>
          </w:p>
          <w:p w14:paraId="347589CF">
            <w:pPr>
              <w:keepNext w:val="0"/>
              <w:keepLines w:val="0"/>
              <w:pageBreakBefore w:val="0"/>
              <w:widowControl/>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（一）建筑物段（渡槽、倒虹吸、暗涵、隧洞）</w:t>
            </w:r>
          </w:p>
          <w:p w14:paraId="1BC9200D">
            <w:pPr>
              <w:keepNext w:val="0"/>
              <w:keepLines w:val="0"/>
              <w:pageBreakBefore w:val="0"/>
              <w:widowControl/>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一级保护区范围自总干渠管理范围边线（防护栏网）外延 50m，不设二级保护区。</w:t>
            </w:r>
          </w:p>
          <w:p w14:paraId="58BEE7DE">
            <w:pPr>
              <w:keepNext w:val="0"/>
              <w:keepLines w:val="0"/>
              <w:pageBreakBefore w:val="0"/>
              <w:widowControl/>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（二）总干渠明渠段</w:t>
            </w:r>
          </w:p>
          <w:p w14:paraId="629E41B1">
            <w:pPr>
              <w:keepNext w:val="0"/>
              <w:keepLines w:val="0"/>
              <w:pageBreakBefore w:val="0"/>
              <w:widowControl/>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根据地下水水位与总干渠渠底高程的关系，分为以下几种类型：</w:t>
            </w:r>
          </w:p>
          <w:p w14:paraId="3C8081C0">
            <w:pPr>
              <w:keepNext w:val="0"/>
              <w:keepLines w:val="0"/>
              <w:pageBreakBefore w:val="0"/>
              <w:widowControl/>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1）地下水水位低于总干渠渠底的渠段</w:t>
            </w:r>
          </w:p>
          <w:p w14:paraId="6F9E8377">
            <w:pPr>
              <w:keepNext w:val="0"/>
              <w:keepLines w:val="0"/>
              <w:pageBreakBefore w:val="0"/>
              <w:widowControl/>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一级保护区范围自总干渠管理范围边线（防护栏网）外延50m；</w:t>
            </w:r>
          </w:p>
          <w:p w14:paraId="4D33B9A6">
            <w:pPr>
              <w:keepNext w:val="0"/>
              <w:keepLines w:val="0"/>
              <w:pageBreakBefore w:val="0"/>
              <w:widowControl/>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二级保护区范围自一级保护区边线外延 150m。</w:t>
            </w:r>
          </w:p>
          <w:p w14:paraId="181A7DA3">
            <w:pPr>
              <w:keepNext w:val="0"/>
              <w:keepLines w:val="0"/>
              <w:pageBreakBefore w:val="0"/>
              <w:widowControl/>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2）地下水水位高于总干渠渠底的渠段</w:t>
            </w:r>
          </w:p>
          <w:p w14:paraId="69E3F881">
            <w:pPr>
              <w:keepNext w:val="0"/>
              <w:keepLines w:val="0"/>
              <w:pageBreakBefore w:val="0"/>
              <w:widowControl/>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①微～弱透水性地层</w:t>
            </w:r>
          </w:p>
          <w:p w14:paraId="643D74E5">
            <w:pPr>
              <w:keepNext w:val="0"/>
              <w:keepLines w:val="0"/>
              <w:pageBreakBefore w:val="0"/>
              <w:widowControl/>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一级保护区范围自总干渠管理范围边线（防护栏网）外延50m；</w:t>
            </w:r>
          </w:p>
          <w:p w14:paraId="479BB921">
            <w:pPr>
              <w:keepNext w:val="0"/>
              <w:keepLines w:val="0"/>
              <w:pageBreakBefore w:val="0"/>
              <w:widowControl/>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二级保护区范围自一级保护区边线外延 500m。</w:t>
            </w:r>
          </w:p>
          <w:p w14:paraId="39C9FDA7">
            <w:pPr>
              <w:keepNext w:val="0"/>
              <w:keepLines w:val="0"/>
              <w:pageBreakBefore w:val="0"/>
              <w:widowControl/>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②弱～中透水性地层</w:t>
            </w:r>
          </w:p>
          <w:p w14:paraId="3B1FD9A2">
            <w:pPr>
              <w:keepNext w:val="0"/>
              <w:keepLines w:val="0"/>
              <w:pageBreakBefore w:val="0"/>
              <w:widowControl/>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一级保护区范围自总干渠管理范围边线（防护栏网）外延100m；</w:t>
            </w:r>
          </w:p>
          <w:p w14:paraId="41C96923">
            <w:pPr>
              <w:keepNext w:val="0"/>
              <w:keepLines w:val="0"/>
              <w:pageBreakBefore w:val="0"/>
              <w:widowControl/>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二级保护区范围自一级保护区边线外延 1000m。</w:t>
            </w:r>
          </w:p>
          <w:p w14:paraId="47D886EA">
            <w:pPr>
              <w:keepNext w:val="0"/>
              <w:keepLines w:val="0"/>
              <w:pageBreakBefore w:val="0"/>
              <w:widowControl/>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③强透水性地层</w:t>
            </w:r>
          </w:p>
          <w:p w14:paraId="116B2F7D">
            <w:pPr>
              <w:keepNext w:val="0"/>
              <w:keepLines w:val="0"/>
              <w:pageBreakBefore w:val="0"/>
              <w:widowControl/>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一级保护区范围自总干渠管理范围边线（防护栏网）外延200m；</w:t>
            </w:r>
          </w:p>
          <w:p w14:paraId="509D5C43">
            <w:pPr>
              <w:keepNext w:val="0"/>
              <w:keepLines w:val="0"/>
              <w:pageBreakBefore w:val="0"/>
              <w:widowControl/>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二级保护区范围自一级保护区边线外延 2000m、1500m。</w:t>
            </w:r>
          </w:p>
          <w:p w14:paraId="11F1D277">
            <w:pPr>
              <w:keepNext w:val="0"/>
              <w:keepLines w:val="0"/>
              <w:pageBreakBefore w:val="0"/>
              <w:widowControl/>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本项目距离西侧南水北调中线工程约</w:t>
            </w:r>
            <w:r>
              <w:rPr>
                <w:rFonts w:hint="eastAsia" w:ascii="Times New Roman" w:hAnsi="Times New Roman" w:cs="Times New Roman"/>
                <w:color w:val="auto"/>
                <w:kern w:val="2"/>
                <w:sz w:val="24"/>
                <w:szCs w:val="24"/>
                <w:u w:val="none"/>
                <w:lang w:val="en-US" w:eastAsia="zh-CN" w:bidi="ar-SA"/>
              </w:rPr>
              <w:t>21</w:t>
            </w:r>
            <w:r>
              <w:rPr>
                <w:rFonts w:hint="eastAsia" w:ascii="Times New Roman" w:hAnsi="Times New Roman" w:eastAsia="宋体" w:cs="Times New Roman"/>
                <w:color w:val="auto"/>
                <w:kern w:val="2"/>
                <w:sz w:val="24"/>
                <w:szCs w:val="24"/>
                <w:u w:val="none"/>
                <w:lang w:val="en-US" w:eastAsia="zh-CN" w:bidi="ar-SA"/>
              </w:rPr>
              <w:t>km，不在其划定的保护区范围内，符合南水北调中线工程饮用水源保护区规划要求。</w:t>
            </w:r>
          </w:p>
          <w:p w14:paraId="57CB209D">
            <w:pPr>
              <w:keepNext w:val="0"/>
              <w:keepLines w:val="0"/>
              <w:pageBreakBefore w:val="0"/>
              <w:widowControl w:val="0"/>
              <w:kinsoku/>
              <w:wordWrap/>
              <w:overflowPunct/>
              <w:topLinePunct w:val="0"/>
              <w:autoSpaceDE/>
              <w:autoSpaceDN/>
              <w:bidi w:val="0"/>
              <w:adjustRightInd/>
              <w:snapToGrid/>
              <w:spacing w:line="500" w:lineRule="exact"/>
              <w:ind w:left="0" w:leftChars="0" w:firstLine="482" w:firstLineChars="200"/>
              <w:jc w:val="both"/>
              <w:textAlignment w:val="auto"/>
              <w:rPr>
                <w:rFonts w:hint="default" w:ascii="Times New Roman" w:hAnsi="Times New Roman" w:eastAsia="宋体" w:cs="Times New Roman"/>
                <w:b/>
                <w:bCs w:val="0"/>
                <w:color w:val="auto"/>
                <w:kern w:val="2"/>
                <w:sz w:val="24"/>
                <w:szCs w:val="24"/>
                <w:u w:val="none"/>
                <w:lang w:val="en-US" w:eastAsia="zh-CN" w:bidi="ar"/>
              </w:rPr>
            </w:pPr>
            <w:r>
              <w:rPr>
                <w:rFonts w:hint="eastAsia" w:ascii="Times New Roman" w:hAnsi="Times New Roman" w:eastAsia="宋体" w:cs="Times New Roman"/>
                <w:b/>
                <w:bCs/>
                <w:color w:val="auto"/>
                <w:kern w:val="28"/>
                <w:sz w:val="24"/>
                <w:szCs w:val="24"/>
                <w:u w:val="none"/>
                <w:lang w:val="en-US" w:eastAsia="zh-CN" w:bidi="ar-SA"/>
              </w:rPr>
              <w:t>5</w:t>
            </w:r>
            <w:r>
              <w:rPr>
                <w:rFonts w:hint="eastAsia" w:cs="Times New Roman"/>
                <w:b/>
                <w:bCs/>
                <w:color w:val="auto"/>
                <w:kern w:val="28"/>
                <w:sz w:val="24"/>
                <w:szCs w:val="24"/>
                <w:u w:val="none"/>
                <w:lang w:val="en-US" w:eastAsia="zh-CN" w:bidi="ar-SA"/>
              </w:rPr>
              <w:t>、</w:t>
            </w:r>
            <w:r>
              <w:rPr>
                <w:rFonts w:hint="eastAsia" w:ascii="Times New Roman" w:hAnsi="Times New Roman" w:eastAsia="宋体" w:cs="Times New Roman"/>
                <w:b/>
                <w:bCs w:val="0"/>
                <w:color w:val="auto"/>
                <w:kern w:val="28"/>
                <w:sz w:val="24"/>
                <w:szCs w:val="40"/>
                <w:u w:val="none"/>
                <w:lang w:val="en-US" w:eastAsia="zh-CN" w:bidi="ar-SA"/>
              </w:rPr>
              <w:t>项目与《平顶山市202</w:t>
            </w:r>
            <w:r>
              <w:rPr>
                <w:rFonts w:hint="eastAsia" w:cs="Times New Roman"/>
                <w:b/>
                <w:bCs w:val="0"/>
                <w:color w:val="auto"/>
                <w:kern w:val="28"/>
                <w:sz w:val="24"/>
                <w:szCs w:val="40"/>
                <w:u w:val="none"/>
                <w:lang w:val="en-US" w:eastAsia="zh-CN" w:bidi="ar-SA"/>
              </w:rPr>
              <w:t>4</w:t>
            </w:r>
            <w:r>
              <w:rPr>
                <w:rFonts w:hint="eastAsia" w:ascii="Times New Roman" w:hAnsi="Times New Roman" w:eastAsia="宋体" w:cs="Times New Roman"/>
                <w:b/>
                <w:bCs w:val="0"/>
                <w:color w:val="auto"/>
                <w:kern w:val="28"/>
                <w:sz w:val="24"/>
                <w:szCs w:val="40"/>
                <w:u w:val="none"/>
                <w:lang w:val="en-US" w:eastAsia="zh-CN" w:bidi="ar-SA"/>
              </w:rPr>
              <w:t>年蓝天保卫战实施方案》（平环委办</w:t>
            </w:r>
            <w:r>
              <w:rPr>
                <w:rFonts w:hint="eastAsia" w:ascii="Times New Roman" w:hAnsi="Times New Roman" w:eastAsia="宋体" w:cs="Times New Roman"/>
                <w:b/>
                <w:bCs w:val="0"/>
                <w:color w:val="auto"/>
                <w:kern w:val="2"/>
                <w:sz w:val="24"/>
                <w:szCs w:val="24"/>
                <w:u w:val="none"/>
                <w:lang w:val="en-US" w:eastAsia="zh-CN" w:bidi="ar-SA"/>
              </w:rPr>
              <w:t>〔2024〕</w:t>
            </w:r>
            <w:r>
              <w:rPr>
                <w:rFonts w:hint="eastAsia" w:ascii="Times New Roman" w:hAnsi="Times New Roman" w:eastAsia="宋体" w:cs="Times New Roman"/>
                <w:b/>
                <w:bCs w:val="0"/>
                <w:color w:val="auto"/>
                <w:kern w:val="28"/>
                <w:sz w:val="24"/>
                <w:szCs w:val="40"/>
                <w:u w:val="none"/>
                <w:lang w:val="en-US" w:eastAsia="zh-CN" w:bidi="ar-SA"/>
              </w:rPr>
              <w:t>13号）</w:t>
            </w:r>
            <w:r>
              <w:rPr>
                <w:rFonts w:hint="eastAsia" w:cs="Times New Roman"/>
                <w:b/>
                <w:bCs w:val="0"/>
                <w:color w:val="auto"/>
                <w:kern w:val="28"/>
                <w:sz w:val="24"/>
                <w:szCs w:val="40"/>
                <w:u w:val="none"/>
                <w:lang w:val="en-US" w:eastAsia="zh-CN" w:bidi="ar-SA"/>
              </w:rPr>
              <w:t>、</w:t>
            </w:r>
            <w:r>
              <w:rPr>
                <w:rFonts w:hint="eastAsia" w:ascii="Times New Roman" w:hAnsi="Times New Roman" w:eastAsia="宋体" w:cs="Times New Roman"/>
                <w:b/>
                <w:bCs w:val="0"/>
                <w:color w:val="auto"/>
                <w:kern w:val="28"/>
                <w:sz w:val="24"/>
                <w:szCs w:val="40"/>
                <w:u w:val="none"/>
                <w:lang w:val="en-US" w:eastAsia="zh-CN" w:bidi="ar-SA"/>
              </w:rPr>
              <w:t>《平顶山市202</w:t>
            </w:r>
            <w:r>
              <w:rPr>
                <w:rFonts w:hint="eastAsia" w:cs="Times New Roman"/>
                <w:b/>
                <w:bCs w:val="0"/>
                <w:color w:val="auto"/>
                <w:kern w:val="28"/>
                <w:sz w:val="24"/>
                <w:szCs w:val="40"/>
                <w:u w:val="none"/>
                <w:lang w:val="en-US" w:eastAsia="zh-CN" w:bidi="ar-SA"/>
              </w:rPr>
              <w:t>4</w:t>
            </w:r>
            <w:r>
              <w:rPr>
                <w:rFonts w:hint="eastAsia" w:ascii="Times New Roman" w:hAnsi="Times New Roman" w:eastAsia="宋体" w:cs="Times New Roman"/>
                <w:b/>
                <w:bCs w:val="0"/>
                <w:color w:val="auto"/>
                <w:kern w:val="28"/>
                <w:sz w:val="24"/>
                <w:szCs w:val="40"/>
                <w:u w:val="none"/>
                <w:lang w:val="en-US" w:eastAsia="zh-CN" w:bidi="ar-SA"/>
              </w:rPr>
              <w:t>年碧水保卫战实施方案》（平环委办</w:t>
            </w:r>
            <w:r>
              <w:rPr>
                <w:rFonts w:hint="eastAsia" w:ascii="Times New Roman" w:hAnsi="Times New Roman" w:eastAsia="宋体" w:cs="Times New Roman"/>
                <w:b/>
                <w:bCs w:val="0"/>
                <w:color w:val="auto"/>
                <w:kern w:val="2"/>
                <w:sz w:val="24"/>
                <w:szCs w:val="24"/>
                <w:u w:val="none"/>
                <w:lang w:val="en-US" w:eastAsia="zh-CN" w:bidi="ar-SA"/>
              </w:rPr>
              <w:t>〔2024〕</w:t>
            </w:r>
            <w:r>
              <w:rPr>
                <w:rFonts w:hint="eastAsia" w:ascii="Times New Roman" w:hAnsi="Times New Roman" w:eastAsia="宋体" w:cs="Times New Roman"/>
                <w:b/>
                <w:bCs w:val="0"/>
                <w:color w:val="auto"/>
                <w:kern w:val="28"/>
                <w:sz w:val="24"/>
                <w:szCs w:val="40"/>
                <w:u w:val="none"/>
                <w:lang w:val="en-US" w:eastAsia="zh-CN" w:bidi="ar-SA"/>
              </w:rPr>
              <w:t>14号）、《平顶山市202</w:t>
            </w:r>
            <w:r>
              <w:rPr>
                <w:rFonts w:hint="eastAsia" w:cs="Times New Roman"/>
                <w:b/>
                <w:bCs w:val="0"/>
                <w:color w:val="auto"/>
                <w:kern w:val="28"/>
                <w:sz w:val="24"/>
                <w:szCs w:val="40"/>
                <w:u w:val="none"/>
                <w:lang w:val="en-US" w:eastAsia="zh-CN" w:bidi="ar-SA"/>
              </w:rPr>
              <w:t>4</w:t>
            </w:r>
            <w:r>
              <w:rPr>
                <w:rFonts w:hint="eastAsia" w:ascii="Times New Roman" w:hAnsi="Times New Roman" w:eastAsia="宋体" w:cs="Times New Roman"/>
                <w:b/>
                <w:bCs w:val="0"/>
                <w:color w:val="auto"/>
                <w:kern w:val="28"/>
                <w:sz w:val="24"/>
                <w:szCs w:val="40"/>
                <w:u w:val="none"/>
                <w:lang w:val="en-US" w:eastAsia="zh-CN" w:bidi="ar-SA"/>
              </w:rPr>
              <w:t>年净土保卫战实施方案》（平环委办</w:t>
            </w:r>
            <w:r>
              <w:rPr>
                <w:rFonts w:hint="eastAsia" w:ascii="Times New Roman" w:hAnsi="Times New Roman" w:eastAsia="宋体" w:cs="Times New Roman"/>
                <w:b/>
                <w:bCs w:val="0"/>
                <w:color w:val="auto"/>
                <w:kern w:val="2"/>
                <w:sz w:val="24"/>
                <w:szCs w:val="24"/>
                <w:u w:val="none"/>
                <w:lang w:val="en-US" w:eastAsia="zh-CN" w:bidi="ar-SA"/>
              </w:rPr>
              <w:t>〔2024〕</w:t>
            </w:r>
            <w:r>
              <w:rPr>
                <w:rFonts w:hint="eastAsia" w:ascii="Times New Roman" w:hAnsi="Times New Roman" w:eastAsia="宋体" w:cs="Times New Roman"/>
                <w:b/>
                <w:bCs w:val="0"/>
                <w:color w:val="auto"/>
                <w:kern w:val="28"/>
                <w:sz w:val="24"/>
                <w:szCs w:val="40"/>
                <w:u w:val="none"/>
                <w:lang w:val="en-US" w:eastAsia="zh-CN" w:bidi="ar-SA"/>
              </w:rPr>
              <w:t>15号）、</w:t>
            </w:r>
            <w:r>
              <w:rPr>
                <w:rFonts w:hint="eastAsia" w:cs="Times New Roman"/>
                <w:b/>
                <w:bCs w:val="0"/>
                <w:color w:val="auto"/>
                <w:kern w:val="28"/>
                <w:sz w:val="24"/>
                <w:szCs w:val="40"/>
                <w:u w:val="none"/>
                <w:lang w:val="en-US" w:eastAsia="zh-CN" w:bidi="ar-SA"/>
              </w:rPr>
              <w:t>《河南省2024年蓝天保卫战实施方案》、《河南省2024年碧水保卫战实施方案》的通知、《河南省2024年净土保卫战实施方案》的通知</w:t>
            </w:r>
            <w:r>
              <w:rPr>
                <w:rFonts w:hint="eastAsia" w:ascii="Times New Roman" w:hAnsi="Times New Roman" w:eastAsia="宋体" w:cs="Times New Roman"/>
                <w:b/>
                <w:bCs w:val="0"/>
                <w:color w:val="auto"/>
                <w:kern w:val="28"/>
                <w:sz w:val="24"/>
                <w:szCs w:val="40"/>
                <w:u w:val="none"/>
                <w:lang w:val="en-US" w:eastAsia="zh-CN" w:bidi="ar-SA"/>
              </w:rPr>
              <w:t>相符性分析</w:t>
            </w:r>
          </w:p>
          <w:p w14:paraId="7856042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b w:val="0"/>
                <w:bCs/>
                <w:color w:val="auto"/>
                <w:kern w:val="2"/>
                <w:sz w:val="24"/>
                <w:szCs w:val="24"/>
                <w:u w:val="none"/>
                <w:lang w:val="en-US" w:eastAsia="zh-CN" w:bidi="ar"/>
              </w:rPr>
            </w:pPr>
            <w:r>
              <w:rPr>
                <w:rFonts w:hint="eastAsia" w:ascii="黑体" w:hAnsi="黑体" w:eastAsia="黑体" w:cs="黑体"/>
                <w:b w:val="0"/>
                <w:bCs/>
                <w:color w:val="auto"/>
                <w:kern w:val="2"/>
                <w:sz w:val="24"/>
                <w:szCs w:val="24"/>
                <w:u w:val="none"/>
                <w:lang w:val="en-US" w:eastAsia="zh-CN" w:bidi="ar"/>
              </w:rPr>
              <w:t>表1-4 本项目与上述文件相符性分析一览表</w:t>
            </w:r>
          </w:p>
          <w:tbl>
            <w:tblPr>
              <w:tblStyle w:val="33"/>
              <w:tblW w:w="7778"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74"/>
              <w:gridCol w:w="4349"/>
              <w:gridCol w:w="1876"/>
              <w:gridCol w:w="879"/>
            </w:tblGrid>
            <w:tr w14:paraId="479929C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74" w:type="dxa"/>
                  <w:tcBorders>
                    <w:tl2br w:val="nil"/>
                    <w:tr2bl w:val="nil"/>
                  </w:tcBorders>
                  <w:noWrap w:val="0"/>
                  <w:vAlign w:val="center"/>
                </w:tcPr>
                <w:p w14:paraId="3C6E65DE">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eastAsia" w:ascii="Times New Roman" w:hAnsi="Times New Roman" w:eastAsia="宋体" w:cs="Times New Roman"/>
                      <w:bCs/>
                      <w:color w:val="auto"/>
                      <w:kern w:val="28"/>
                      <w:sz w:val="21"/>
                      <w:szCs w:val="21"/>
                      <w:u w:val="none"/>
                      <w:vertAlign w:val="baseline"/>
                      <w:lang w:eastAsia="zh-CN"/>
                    </w:rPr>
                  </w:pPr>
                  <w:r>
                    <w:rPr>
                      <w:rFonts w:hint="eastAsia" w:ascii="Times New Roman" w:hAnsi="Times New Roman" w:eastAsia="宋体" w:cs="Times New Roman"/>
                      <w:b/>
                      <w:bCs/>
                      <w:color w:val="auto"/>
                      <w:sz w:val="21"/>
                      <w:szCs w:val="21"/>
                      <w:highlight w:val="none"/>
                      <w:u w:val="none"/>
                      <w:lang w:eastAsia="zh-CN"/>
                    </w:rPr>
                    <w:t>文件</w:t>
                  </w:r>
                </w:p>
              </w:tc>
              <w:tc>
                <w:tcPr>
                  <w:tcW w:w="4349" w:type="dxa"/>
                  <w:tcBorders>
                    <w:tl2br w:val="nil"/>
                    <w:tr2bl w:val="nil"/>
                  </w:tcBorders>
                  <w:noWrap w:val="0"/>
                  <w:vAlign w:val="center"/>
                </w:tcPr>
                <w:p w14:paraId="68FAF2F5">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eastAsia="宋体" w:cs="Times New Roman"/>
                      <w:bCs/>
                      <w:color w:val="auto"/>
                      <w:kern w:val="28"/>
                      <w:sz w:val="21"/>
                      <w:szCs w:val="21"/>
                      <w:u w:val="none"/>
                      <w:vertAlign w:val="baseline"/>
                      <w:lang w:eastAsia="zh-CN"/>
                    </w:rPr>
                  </w:pPr>
                  <w:r>
                    <w:rPr>
                      <w:rFonts w:hint="default" w:ascii="Times New Roman" w:hAnsi="Times New Roman" w:eastAsia="宋体" w:cs="Times New Roman"/>
                      <w:b/>
                      <w:bCs/>
                      <w:color w:val="auto"/>
                      <w:sz w:val="21"/>
                      <w:szCs w:val="21"/>
                      <w:highlight w:val="none"/>
                      <w:u w:val="none"/>
                    </w:rPr>
                    <w:t>主要内容</w:t>
                  </w:r>
                </w:p>
              </w:tc>
              <w:tc>
                <w:tcPr>
                  <w:tcW w:w="1876" w:type="dxa"/>
                  <w:tcBorders>
                    <w:tl2br w:val="nil"/>
                    <w:tr2bl w:val="nil"/>
                  </w:tcBorders>
                  <w:noWrap w:val="0"/>
                  <w:vAlign w:val="center"/>
                </w:tcPr>
                <w:p w14:paraId="6C525277">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eastAsia="宋体" w:cs="Times New Roman"/>
                      <w:b/>
                      <w:bCs w:val="0"/>
                      <w:color w:val="auto"/>
                      <w:kern w:val="28"/>
                      <w:sz w:val="21"/>
                      <w:szCs w:val="21"/>
                      <w:u w:val="none"/>
                      <w:lang w:eastAsia="zh-CN"/>
                    </w:rPr>
                    <w:t>本项目</w:t>
                  </w:r>
                  <w:r>
                    <w:rPr>
                      <w:rFonts w:hint="default" w:ascii="Times New Roman" w:hAnsi="Times New Roman" w:eastAsia="宋体" w:cs="Times New Roman"/>
                      <w:b/>
                      <w:bCs w:val="0"/>
                      <w:color w:val="auto"/>
                      <w:kern w:val="28"/>
                      <w:sz w:val="21"/>
                      <w:szCs w:val="21"/>
                      <w:u w:val="none"/>
                      <w:lang w:eastAsia="zh-CN"/>
                    </w:rPr>
                    <w:t>情况</w:t>
                  </w:r>
                </w:p>
              </w:tc>
              <w:tc>
                <w:tcPr>
                  <w:tcW w:w="879" w:type="dxa"/>
                  <w:tcBorders>
                    <w:tl2br w:val="nil"/>
                    <w:tr2bl w:val="nil"/>
                  </w:tcBorders>
                  <w:noWrap w:val="0"/>
                  <w:vAlign w:val="center"/>
                </w:tcPr>
                <w:p w14:paraId="24AE6D59">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eastAsia="宋体" w:cs="Times New Roman"/>
                      <w:b w:val="0"/>
                      <w:bCs w:val="0"/>
                      <w:color w:val="auto"/>
                      <w:sz w:val="21"/>
                      <w:szCs w:val="21"/>
                      <w:highlight w:val="none"/>
                      <w:u w:val="none"/>
                    </w:rPr>
                  </w:pPr>
                  <w:r>
                    <w:rPr>
                      <w:rFonts w:hint="default" w:ascii="Times New Roman" w:hAnsi="Times New Roman" w:eastAsia="宋体" w:cs="Times New Roman"/>
                      <w:b/>
                      <w:bCs w:val="0"/>
                      <w:color w:val="auto"/>
                      <w:kern w:val="28"/>
                      <w:sz w:val="21"/>
                      <w:szCs w:val="21"/>
                      <w:u w:val="none"/>
                    </w:rPr>
                    <w:t>相符性</w:t>
                  </w:r>
                </w:p>
              </w:tc>
            </w:tr>
            <w:tr w14:paraId="73872CD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74" w:type="dxa"/>
                  <w:tcBorders>
                    <w:tl2br w:val="nil"/>
                    <w:tr2bl w:val="nil"/>
                  </w:tcBorders>
                  <w:noWrap w:val="0"/>
                  <w:vAlign w:val="center"/>
                </w:tcPr>
                <w:p w14:paraId="780B9C78">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u w:val="none"/>
                      <w:vertAlign w:val="baseline"/>
                      <w:lang w:eastAsia="zh-CN"/>
                    </w:rPr>
                  </w:pPr>
                  <w:r>
                    <w:rPr>
                      <w:rFonts w:hint="default" w:ascii="Times New Roman" w:hAnsi="Times New Roman" w:eastAsia="宋体" w:cs="Times New Roman"/>
                      <w:bCs/>
                      <w:color w:val="auto"/>
                      <w:kern w:val="28"/>
                      <w:sz w:val="21"/>
                      <w:szCs w:val="21"/>
                      <w:u w:val="none"/>
                      <w:lang w:val="en-US" w:eastAsia="zh-CN"/>
                    </w:rPr>
                    <w:t>平顶山市202</w:t>
                  </w:r>
                  <w:r>
                    <w:rPr>
                      <w:rFonts w:hint="eastAsia" w:ascii="Times New Roman" w:hAnsi="Times New Roman" w:eastAsia="宋体" w:cs="Times New Roman"/>
                      <w:bCs/>
                      <w:color w:val="auto"/>
                      <w:kern w:val="28"/>
                      <w:sz w:val="21"/>
                      <w:szCs w:val="21"/>
                      <w:u w:val="none"/>
                      <w:lang w:val="en-US" w:eastAsia="zh-CN"/>
                    </w:rPr>
                    <w:t>4</w:t>
                  </w:r>
                  <w:r>
                    <w:rPr>
                      <w:rFonts w:hint="default" w:ascii="Times New Roman" w:hAnsi="Times New Roman" w:eastAsia="宋体" w:cs="Times New Roman"/>
                      <w:bCs/>
                      <w:color w:val="auto"/>
                      <w:kern w:val="28"/>
                      <w:sz w:val="21"/>
                      <w:szCs w:val="21"/>
                      <w:u w:val="none"/>
                      <w:lang w:val="en-US" w:eastAsia="zh-CN"/>
                    </w:rPr>
                    <w:t>年蓝天保卫战实施方案</w:t>
                  </w:r>
                </w:p>
              </w:tc>
              <w:tc>
                <w:tcPr>
                  <w:tcW w:w="4349" w:type="dxa"/>
                  <w:tcBorders>
                    <w:tl2br w:val="nil"/>
                    <w:tr2bl w:val="nil"/>
                  </w:tcBorders>
                  <w:noWrap w:val="0"/>
                  <w:vAlign w:val="center"/>
                </w:tcPr>
                <w:p w14:paraId="72005DF1">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u w:val="none"/>
                      <w:vertAlign w:val="baseline"/>
                      <w:lang w:eastAsia="zh-CN"/>
                    </w:rPr>
                  </w:pPr>
                  <w:r>
                    <w:rPr>
                      <w:rFonts w:hint="default" w:ascii="Times New Roman" w:hAnsi="Times New Roman" w:eastAsia="宋体" w:cs="Times New Roman"/>
                      <w:bCs/>
                      <w:color w:val="auto"/>
                      <w:kern w:val="28"/>
                      <w:sz w:val="21"/>
                      <w:szCs w:val="21"/>
                      <w:u w:val="none"/>
                    </w:rPr>
                    <w:t>深入推进超低排放改造。高质量推进钢铁、水泥、焦化行业全工序、全流程超低排放改造，严把工程质量，加强运行管理，推动行业绿色低碳转型升级。2024年5月底前，建立水泥、焦化企业超低排放改造任务清单，明确改造技术路线和时限要求2024年年底前，长流程和短流程钢铁企业完成有组织、无组织超低排放评估监测和中钢协公告</w:t>
                  </w:r>
                  <w:r>
                    <w:rPr>
                      <w:rFonts w:hint="eastAsia" w:cs="Times New Roman"/>
                      <w:bCs/>
                      <w:color w:val="auto"/>
                      <w:kern w:val="28"/>
                      <w:sz w:val="21"/>
                      <w:szCs w:val="21"/>
                      <w:u w:val="none"/>
                      <w:lang w:eastAsia="zh-CN"/>
                    </w:rPr>
                    <w:t>；</w:t>
                  </w:r>
                  <w:r>
                    <w:rPr>
                      <w:rFonts w:hint="default" w:ascii="Times New Roman" w:hAnsi="Times New Roman" w:eastAsia="宋体" w:cs="Times New Roman"/>
                      <w:bCs/>
                      <w:color w:val="auto"/>
                      <w:kern w:val="28"/>
                      <w:sz w:val="21"/>
                      <w:szCs w:val="21"/>
                      <w:u w:val="none"/>
                    </w:rPr>
                    <w:t>水泥、焦化企业基本完成有组织和无组织超低排放改造。对全面完成超低排放改造并公告的企业，可开展A级绩效评级工作，重污染天气预警期间A级企业可采取自主减排措施。</w:t>
                  </w:r>
                </w:p>
              </w:tc>
              <w:tc>
                <w:tcPr>
                  <w:tcW w:w="1876" w:type="dxa"/>
                  <w:tcBorders>
                    <w:tl2br w:val="nil"/>
                    <w:tr2bl w:val="nil"/>
                  </w:tcBorders>
                  <w:noWrap w:val="0"/>
                  <w:vAlign w:val="center"/>
                </w:tcPr>
                <w:p w14:paraId="1D084FB7">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eastAsia="宋体" w:cs="Times New Roman"/>
                      <w:b w:val="0"/>
                      <w:bCs/>
                      <w:color w:val="auto"/>
                      <w:sz w:val="21"/>
                      <w:szCs w:val="21"/>
                      <w:highlight w:val="none"/>
                      <w:u w:val="none"/>
                      <w:lang w:val="en-US" w:eastAsia="zh-CN"/>
                    </w:rPr>
                  </w:pPr>
                  <w:r>
                    <w:rPr>
                      <w:rFonts w:hint="eastAsia" w:ascii="Times New Roman" w:hAnsi="Times New Roman"/>
                      <w:color w:val="auto"/>
                      <w:u w:val="none"/>
                      <w:lang w:eastAsia="zh-CN"/>
                    </w:rPr>
                    <w:t>本项目</w:t>
                  </w:r>
                  <w:r>
                    <w:rPr>
                      <w:rFonts w:hint="eastAsia" w:ascii="Times New Roman" w:hAnsi="Times New Roman"/>
                      <w:color w:val="auto"/>
                      <w:u w:val="none"/>
                      <w:lang w:val="en-US" w:eastAsia="zh-CN"/>
                    </w:rPr>
                    <w:t>利用瓦斯进行发电，</w:t>
                  </w:r>
                  <w:r>
                    <w:rPr>
                      <w:rFonts w:hint="eastAsia"/>
                      <w:color w:val="auto"/>
                      <w:u w:val="none"/>
                      <w:lang w:val="en-US" w:eastAsia="zh-CN"/>
                    </w:rPr>
                    <w:t>发电机</w:t>
                  </w:r>
                  <w:r>
                    <w:rPr>
                      <w:rFonts w:hint="eastAsia" w:ascii="Times New Roman" w:hAnsi="Times New Roman" w:eastAsia="宋体" w:cs="Times New Roman"/>
                      <w:color w:val="auto"/>
                      <w:kern w:val="2"/>
                      <w:sz w:val="21"/>
                      <w:szCs w:val="21"/>
                      <w:u w:val="none"/>
                      <w:lang w:val="en-US" w:eastAsia="zh-CN" w:bidi="ar-SA"/>
                    </w:rPr>
                    <w:t>经</w:t>
                  </w:r>
                  <w:r>
                    <w:rPr>
                      <w:rFonts w:hint="eastAsia" w:cs="Times New Roman"/>
                      <w:color w:val="auto"/>
                      <w:kern w:val="2"/>
                      <w:sz w:val="21"/>
                      <w:szCs w:val="21"/>
                      <w:highlight w:val="none"/>
                      <w:u w:val="none"/>
                      <w:lang w:val="en-US" w:eastAsia="zh-CN" w:bidi="ar-SA"/>
                    </w:rPr>
                    <w:t>稀薄燃烧控制技术控制</w:t>
                  </w:r>
                  <w:r>
                    <w:rPr>
                      <w:rFonts w:hint="eastAsia" w:ascii="Times New Roman" w:hAnsi="Times New Roman" w:eastAsia="宋体" w:cs="Times New Roman"/>
                      <w:color w:val="auto"/>
                      <w:kern w:val="2"/>
                      <w:sz w:val="21"/>
                      <w:szCs w:val="21"/>
                      <w:highlight w:val="none"/>
                      <w:u w:val="none"/>
                      <w:lang w:val="en-US" w:eastAsia="zh-CN" w:bidi="ar-SA"/>
                    </w:rPr>
                    <w:t>后</w:t>
                  </w:r>
                  <w:r>
                    <w:rPr>
                      <w:rFonts w:hint="eastAsia"/>
                      <w:color w:val="auto"/>
                      <w:highlight w:val="none"/>
                      <w:u w:val="none"/>
                      <w:lang w:val="en-US" w:eastAsia="zh-CN"/>
                    </w:rPr>
                    <w:t>，利用瓦斯废气燃烧属于降低温室气体外排，属于废气再利用，较少废气瓦斯对空气的污染，</w:t>
                  </w:r>
                  <w:r>
                    <w:rPr>
                      <w:rFonts w:hint="default" w:ascii="Times New Roman" w:hAnsi="Times New Roman" w:eastAsia="宋体" w:cs="Times New Roman"/>
                      <w:b w:val="0"/>
                      <w:bCs/>
                      <w:color w:val="auto"/>
                      <w:kern w:val="28"/>
                      <w:sz w:val="21"/>
                      <w:szCs w:val="21"/>
                      <w:u w:val="none"/>
                      <w:lang w:val="en-US" w:eastAsia="zh-CN"/>
                    </w:rPr>
                    <w:t>运行</w:t>
                  </w:r>
                  <w:r>
                    <w:rPr>
                      <w:rFonts w:hint="eastAsia" w:eastAsia="宋体" w:cs="Times New Roman"/>
                      <w:b w:val="0"/>
                      <w:bCs/>
                      <w:color w:val="auto"/>
                      <w:kern w:val="28"/>
                      <w:sz w:val="21"/>
                      <w:szCs w:val="21"/>
                      <w:u w:val="none"/>
                      <w:lang w:val="en-US" w:eastAsia="zh-CN"/>
                    </w:rPr>
                    <w:t>后</w:t>
                  </w:r>
                  <w:r>
                    <w:rPr>
                      <w:rFonts w:hint="default" w:ascii="Times New Roman" w:hAnsi="Times New Roman" w:eastAsia="宋体" w:cs="Times New Roman"/>
                      <w:b w:val="0"/>
                      <w:bCs/>
                      <w:color w:val="auto"/>
                      <w:kern w:val="28"/>
                      <w:sz w:val="21"/>
                      <w:szCs w:val="21"/>
                      <w:u w:val="none"/>
                      <w:lang w:val="en-US" w:eastAsia="zh-CN"/>
                    </w:rPr>
                    <w:t>对周围环境影响较小</w:t>
                  </w:r>
                </w:p>
              </w:tc>
              <w:tc>
                <w:tcPr>
                  <w:tcW w:w="879" w:type="dxa"/>
                  <w:tcBorders>
                    <w:tl2br w:val="nil"/>
                    <w:tr2bl w:val="nil"/>
                  </w:tcBorders>
                  <w:noWrap w:val="0"/>
                  <w:vAlign w:val="center"/>
                </w:tcPr>
                <w:p w14:paraId="0A9A2FE5">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eastAsia="宋体" w:cs="Times New Roman"/>
                      <w:b w:val="0"/>
                      <w:bCs/>
                      <w:color w:val="auto"/>
                      <w:sz w:val="21"/>
                      <w:szCs w:val="21"/>
                      <w:highlight w:val="none"/>
                      <w:u w:val="none"/>
                      <w:lang w:eastAsia="zh-CN"/>
                    </w:rPr>
                  </w:pPr>
                  <w:r>
                    <w:rPr>
                      <w:rFonts w:hint="default" w:ascii="Times New Roman" w:hAnsi="Times New Roman" w:eastAsia="宋体" w:cs="Times New Roman"/>
                      <w:b w:val="0"/>
                      <w:bCs/>
                      <w:color w:val="auto"/>
                      <w:kern w:val="28"/>
                      <w:sz w:val="21"/>
                      <w:szCs w:val="21"/>
                      <w:u w:val="none"/>
                      <w:lang w:val="en-US" w:eastAsia="zh-CN"/>
                    </w:rPr>
                    <w:t>符合</w:t>
                  </w:r>
                </w:p>
              </w:tc>
            </w:tr>
            <w:tr w14:paraId="731461F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89" w:hRule="atLeast"/>
                <w:jc w:val="center"/>
              </w:trPr>
              <w:tc>
                <w:tcPr>
                  <w:tcW w:w="674" w:type="dxa"/>
                  <w:tcBorders>
                    <w:tl2br w:val="nil"/>
                    <w:tr2bl w:val="nil"/>
                  </w:tcBorders>
                  <w:noWrap w:val="0"/>
                  <w:vAlign w:val="center"/>
                </w:tcPr>
                <w:p w14:paraId="698121DF">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u w:val="none"/>
                      <w:lang w:val="en-US" w:eastAsia="zh-CN"/>
                    </w:rPr>
                  </w:pPr>
                  <w:r>
                    <w:rPr>
                      <w:rFonts w:hint="default" w:ascii="Times New Roman" w:hAnsi="Times New Roman" w:eastAsia="宋体" w:cs="Times New Roman"/>
                      <w:bCs/>
                      <w:color w:val="auto"/>
                      <w:kern w:val="28"/>
                      <w:sz w:val="21"/>
                      <w:szCs w:val="21"/>
                      <w:u w:val="none"/>
                      <w:lang w:val="en-US" w:eastAsia="zh-CN"/>
                    </w:rPr>
                    <w:t>平顶山市202</w:t>
                  </w:r>
                  <w:r>
                    <w:rPr>
                      <w:rFonts w:hint="eastAsia" w:ascii="Times New Roman" w:hAnsi="Times New Roman" w:eastAsia="宋体" w:cs="Times New Roman"/>
                      <w:bCs/>
                      <w:color w:val="auto"/>
                      <w:kern w:val="28"/>
                      <w:sz w:val="21"/>
                      <w:szCs w:val="21"/>
                      <w:u w:val="none"/>
                      <w:lang w:val="en-US" w:eastAsia="zh-CN"/>
                    </w:rPr>
                    <w:t>4</w:t>
                  </w:r>
                  <w:r>
                    <w:rPr>
                      <w:rFonts w:hint="default" w:ascii="Times New Roman" w:hAnsi="Times New Roman" w:eastAsia="宋体" w:cs="Times New Roman"/>
                      <w:bCs/>
                      <w:color w:val="auto"/>
                      <w:kern w:val="28"/>
                      <w:sz w:val="21"/>
                      <w:szCs w:val="21"/>
                      <w:u w:val="none"/>
                      <w:lang w:val="en-US" w:eastAsia="zh-CN"/>
                    </w:rPr>
                    <w:t>年</w:t>
                  </w:r>
                  <w:r>
                    <w:rPr>
                      <w:rFonts w:hint="eastAsia" w:ascii="Times New Roman" w:hAnsi="Times New Roman" w:eastAsia="宋体" w:cs="Times New Roman"/>
                      <w:bCs/>
                      <w:color w:val="auto"/>
                      <w:kern w:val="28"/>
                      <w:sz w:val="21"/>
                      <w:szCs w:val="21"/>
                      <w:u w:val="none"/>
                      <w:lang w:val="en-US" w:eastAsia="zh-CN"/>
                    </w:rPr>
                    <w:t>碧水</w:t>
                  </w:r>
                  <w:r>
                    <w:rPr>
                      <w:rFonts w:hint="default" w:ascii="Times New Roman" w:hAnsi="Times New Roman" w:eastAsia="宋体" w:cs="Times New Roman"/>
                      <w:bCs/>
                      <w:color w:val="auto"/>
                      <w:kern w:val="28"/>
                      <w:sz w:val="21"/>
                      <w:szCs w:val="21"/>
                      <w:u w:val="none"/>
                      <w:lang w:val="en-US" w:eastAsia="zh-CN"/>
                    </w:rPr>
                    <w:t>保卫战实施方案</w:t>
                  </w:r>
                </w:p>
              </w:tc>
              <w:tc>
                <w:tcPr>
                  <w:tcW w:w="4349" w:type="dxa"/>
                  <w:tcBorders>
                    <w:tl2br w:val="nil"/>
                    <w:tr2bl w:val="nil"/>
                  </w:tcBorders>
                  <w:noWrap w:val="0"/>
                  <w:vAlign w:val="center"/>
                </w:tcPr>
                <w:p w14:paraId="5EAD6D3E">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u w:val="none"/>
                    </w:rPr>
                  </w:pPr>
                  <w:r>
                    <w:rPr>
                      <w:rFonts w:hint="default" w:ascii="Times New Roman" w:hAnsi="Times New Roman" w:eastAsia="宋体" w:cs="Times New Roman"/>
                      <w:bCs/>
                      <w:color w:val="auto"/>
                      <w:kern w:val="28"/>
                      <w:sz w:val="21"/>
                      <w:szCs w:val="21"/>
                      <w:u w:val="none"/>
                    </w:rPr>
                    <w:t>持续开展工业废水循环利用工程。推动工业企业、园区废水循环利用，实现串联用水、分质用水、一水多用和梯级利用，提升企业水重复利用率。推动有条件的工业企业、园区进一步完善再生水管网，将处理达标后的再生水回用于生产过程，减少企业新水取用量，形成可复制推广的产城融合废水高效循环利用新模式。重点围绕火电、石化、钢铁、有色、造纸、印染等高耗水行业，组织开展企业内部废水利用，创建一批工业废水循环利用试点企业、园区。</w:t>
                  </w:r>
                </w:p>
              </w:tc>
              <w:tc>
                <w:tcPr>
                  <w:tcW w:w="1876" w:type="dxa"/>
                  <w:tcBorders>
                    <w:tl2br w:val="nil"/>
                    <w:tr2bl w:val="nil"/>
                  </w:tcBorders>
                  <w:noWrap w:val="0"/>
                  <w:vAlign w:val="center"/>
                </w:tcPr>
                <w:p w14:paraId="13156473">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color w:val="auto"/>
                      <w:u w:val="none"/>
                      <w:lang w:val="en-US" w:eastAsia="zh-CN"/>
                    </w:rPr>
                  </w:pPr>
                  <w:r>
                    <w:rPr>
                      <w:rFonts w:hint="eastAsia" w:ascii="Times New Roman" w:hAnsi="Times New Roman"/>
                      <w:color w:val="auto"/>
                      <w:u w:val="none"/>
                      <w:lang w:val="en-US" w:eastAsia="zh-CN"/>
                    </w:rPr>
                    <w:t>本项目</w:t>
                  </w:r>
                  <w:r>
                    <w:rPr>
                      <w:rFonts w:hint="eastAsia"/>
                      <w:color w:val="auto"/>
                      <w:u w:val="none"/>
                      <w:lang w:val="en-US" w:eastAsia="zh-CN"/>
                    </w:rPr>
                    <w:t>生活用水，产生</w:t>
                  </w:r>
                  <w:r>
                    <w:rPr>
                      <w:rFonts w:hint="eastAsia" w:ascii="Times New Roman" w:hAnsi="Times New Roman" w:eastAsia="宋体" w:cs="Times New Roman"/>
                      <w:color w:val="auto"/>
                      <w:szCs w:val="21"/>
                      <w:u w:val="none"/>
                      <w:lang w:val="en-US" w:eastAsia="zh-CN"/>
                    </w:rPr>
                    <w:t>生活污水经化粪池收集后由周边居民拉走用于农田施肥</w:t>
                  </w:r>
                  <w:r>
                    <w:rPr>
                      <w:rFonts w:hint="eastAsia" w:asciiTheme="minorEastAsia" w:hAnsiTheme="minorEastAsia" w:eastAsiaTheme="minorEastAsia" w:cstheme="minorEastAsia"/>
                      <w:color w:val="auto"/>
                      <w:sz w:val="21"/>
                      <w:szCs w:val="21"/>
                      <w:u w:val="none"/>
                      <w:lang w:val="en-US" w:eastAsia="zh-CN"/>
                    </w:rPr>
                    <w:t>，机组发电过程中有冷凝水产生，冷凝水集中收集到贮水池中进行日常场地降尘洒水。做到了节约用水</w:t>
                  </w:r>
                </w:p>
              </w:tc>
              <w:tc>
                <w:tcPr>
                  <w:tcW w:w="879" w:type="dxa"/>
                  <w:tcBorders>
                    <w:tl2br w:val="nil"/>
                    <w:tr2bl w:val="nil"/>
                  </w:tcBorders>
                  <w:noWrap w:val="0"/>
                  <w:vAlign w:val="center"/>
                </w:tcPr>
                <w:p w14:paraId="76B9CCF3">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eastAsia="宋体" w:cs="Times New Roman"/>
                      <w:b w:val="0"/>
                      <w:bCs/>
                      <w:color w:val="auto"/>
                      <w:kern w:val="28"/>
                      <w:sz w:val="21"/>
                      <w:szCs w:val="21"/>
                      <w:u w:val="none"/>
                      <w:lang w:val="en-US" w:eastAsia="zh-CN"/>
                    </w:rPr>
                  </w:pPr>
                  <w:r>
                    <w:rPr>
                      <w:rFonts w:hint="default" w:ascii="Times New Roman" w:hAnsi="Times New Roman" w:eastAsia="宋体" w:cs="Times New Roman"/>
                      <w:b w:val="0"/>
                      <w:bCs/>
                      <w:color w:val="auto"/>
                      <w:kern w:val="28"/>
                      <w:sz w:val="21"/>
                      <w:szCs w:val="21"/>
                      <w:u w:val="none"/>
                      <w:lang w:val="en-US" w:eastAsia="zh-CN"/>
                    </w:rPr>
                    <w:t>符合</w:t>
                  </w:r>
                </w:p>
              </w:tc>
            </w:tr>
            <w:tr w14:paraId="15F098D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74" w:type="dxa"/>
                  <w:tcBorders>
                    <w:tl2br w:val="nil"/>
                    <w:tr2bl w:val="nil"/>
                  </w:tcBorders>
                  <w:noWrap w:val="0"/>
                  <w:vAlign w:val="center"/>
                </w:tcPr>
                <w:p w14:paraId="1CBB11C7">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u w:val="none"/>
                      <w:lang w:val="en-US" w:eastAsia="zh-CN"/>
                    </w:rPr>
                  </w:pPr>
                  <w:r>
                    <w:rPr>
                      <w:rFonts w:hint="default" w:ascii="Times New Roman" w:hAnsi="Times New Roman" w:eastAsia="宋体" w:cs="Times New Roman"/>
                      <w:bCs/>
                      <w:color w:val="auto"/>
                      <w:kern w:val="28"/>
                      <w:sz w:val="21"/>
                      <w:szCs w:val="21"/>
                      <w:u w:val="none"/>
                      <w:lang w:val="en-US" w:eastAsia="zh-CN"/>
                    </w:rPr>
                    <w:t>平顶山市202</w:t>
                  </w:r>
                  <w:r>
                    <w:rPr>
                      <w:rFonts w:hint="eastAsia" w:ascii="Times New Roman" w:hAnsi="Times New Roman" w:eastAsia="宋体" w:cs="Times New Roman"/>
                      <w:bCs/>
                      <w:color w:val="auto"/>
                      <w:kern w:val="28"/>
                      <w:sz w:val="21"/>
                      <w:szCs w:val="21"/>
                      <w:u w:val="none"/>
                      <w:lang w:val="en-US" w:eastAsia="zh-CN"/>
                    </w:rPr>
                    <w:t>4</w:t>
                  </w:r>
                  <w:r>
                    <w:rPr>
                      <w:rFonts w:hint="default" w:ascii="Times New Roman" w:hAnsi="Times New Roman" w:eastAsia="宋体" w:cs="Times New Roman"/>
                      <w:bCs/>
                      <w:color w:val="auto"/>
                      <w:kern w:val="28"/>
                      <w:sz w:val="21"/>
                      <w:szCs w:val="21"/>
                      <w:u w:val="none"/>
                      <w:lang w:val="en-US" w:eastAsia="zh-CN"/>
                    </w:rPr>
                    <w:t>年</w:t>
                  </w:r>
                  <w:r>
                    <w:rPr>
                      <w:rFonts w:hint="eastAsia" w:ascii="Times New Roman" w:hAnsi="Times New Roman" w:eastAsia="宋体" w:cs="Times New Roman"/>
                      <w:bCs/>
                      <w:color w:val="auto"/>
                      <w:kern w:val="28"/>
                      <w:sz w:val="21"/>
                      <w:szCs w:val="21"/>
                      <w:u w:val="none"/>
                      <w:lang w:val="en-US" w:eastAsia="zh-CN"/>
                    </w:rPr>
                    <w:t>净土</w:t>
                  </w:r>
                  <w:r>
                    <w:rPr>
                      <w:rFonts w:hint="default" w:ascii="Times New Roman" w:hAnsi="Times New Roman" w:eastAsia="宋体" w:cs="Times New Roman"/>
                      <w:bCs/>
                      <w:color w:val="auto"/>
                      <w:kern w:val="28"/>
                      <w:sz w:val="21"/>
                      <w:szCs w:val="21"/>
                      <w:u w:val="none"/>
                      <w:lang w:val="en-US" w:eastAsia="zh-CN"/>
                    </w:rPr>
                    <w:t>保卫战实施方案</w:t>
                  </w:r>
                </w:p>
              </w:tc>
              <w:tc>
                <w:tcPr>
                  <w:tcW w:w="4349" w:type="dxa"/>
                  <w:tcBorders>
                    <w:tl2br w:val="nil"/>
                    <w:tr2bl w:val="nil"/>
                  </w:tcBorders>
                  <w:noWrap w:val="0"/>
                  <w:vAlign w:val="center"/>
                </w:tcPr>
                <w:p w14:paraId="20329405">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u w:val="none"/>
                    </w:rPr>
                  </w:pPr>
                  <w:r>
                    <w:rPr>
                      <w:rFonts w:hint="default" w:ascii="Times New Roman" w:hAnsi="Times New Roman" w:eastAsia="宋体" w:cs="Times New Roman"/>
                      <w:bCs/>
                      <w:color w:val="auto"/>
                      <w:kern w:val="28"/>
                      <w:sz w:val="21"/>
                      <w:szCs w:val="21"/>
                      <w:highlight w:val="none"/>
                      <w:u w:val="none"/>
                      <w:vertAlign w:val="baseline"/>
                      <w:lang w:eastAsia="zh-CN"/>
                    </w:rPr>
                    <w:t>加强新污染物治理。扎实开展化学物质环境信息统计调查。持续推动新污染物治理力度，严格落实重点管控新污染物禁止、限制、限排等环境风险管控措施。督促指导企业落实新化学物质环境风险防控主体责任。</w:t>
                  </w:r>
                </w:p>
              </w:tc>
              <w:tc>
                <w:tcPr>
                  <w:tcW w:w="1876" w:type="dxa"/>
                  <w:tcBorders>
                    <w:tl2br w:val="nil"/>
                    <w:tr2bl w:val="nil"/>
                  </w:tcBorders>
                  <w:noWrap w:val="0"/>
                  <w:vAlign w:val="center"/>
                </w:tcPr>
                <w:p w14:paraId="46298B4D">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eastAsia" w:ascii="Times New Roman" w:hAnsi="Times New Roman"/>
                      <w:color w:val="auto"/>
                      <w:u w:val="none"/>
                      <w:lang w:eastAsia="zh-CN"/>
                    </w:rPr>
                  </w:pPr>
                  <w:r>
                    <w:rPr>
                      <w:rFonts w:hint="default" w:ascii="Times New Roman" w:hAnsi="Times New Roman" w:eastAsia="宋体" w:cs="Times New Roman"/>
                      <w:b w:val="0"/>
                      <w:bCs/>
                      <w:color w:val="auto"/>
                      <w:sz w:val="21"/>
                      <w:szCs w:val="21"/>
                      <w:highlight w:val="none"/>
                      <w:u w:val="none"/>
                      <w:lang w:val="en-US" w:eastAsia="zh-CN"/>
                    </w:rPr>
                    <w:t>本项目</w:t>
                  </w:r>
                  <w:r>
                    <w:rPr>
                      <w:rFonts w:hint="default" w:ascii="Times New Roman" w:hAnsi="Times New Roman" w:cs="Times New Roman"/>
                      <w:b w:val="0"/>
                      <w:bCs/>
                      <w:color w:val="auto"/>
                      <w:sz w:val="21"/>
                      <w:szCs w:val="21"/>
                      <w:highlight w:val="none"/>
                      <w:u w:val="none"/>
                      <w:lang w:val="en-US" w:eastAsia="zh-CN"/>
                    </w:rPr>
                    <w:t>运营期内产生的</w:t>
                  </w:r>
                  <w:r>
                    <w:rPr>
                      <w:rFonts w:hint="eastAsia" w:ascii="Times New Roman" w:hAnsi="Times New Roman" w:cs="Times New Roman"/>
                      <w:b w:val="0"/>
                      <w:bCs/>
                      <w:color w:val="auto"/>
                      <w:sz w:val="21"/>
                      <w:szCs w:val="21"/>
                      <w:highlight w:val="none"/>
                      <w:u w:val="none"/>
                      <w:lang w:val="en-US" w:eastAsia="zh-CN"/>
                    </w:rPr>
                    <w:t>污染物都进行统计调查，</w:t>
                  </w:r>
                  <w:r>
                    <w:rPr>
                      <w:rFonts w:hint="default" w:ascii="Times New Roman" w:hAnsi="Times New Roman" w:eastAsia="宋体" w:cs="Times New Roman"/>
                      <w:b w:val="0"/>
                      <w:bCs/>
                      <w:color w:val="auto"/>
                      <w:sz w:val="21"/>
                      <w:szCs w:val="21"/>
                      <w:highlight w:val="none"/>
                      <w:u w:val="none"/>
                      <w:lang w:val="en-US" w:eastAsia="zh-CN"/>
                    </w:rPr>
                    <w:t>经过采取污染防治措施后，本项目</w:t>
                  </w:r>
                  <w:r>
                    <w:rPr>
                      <w:rFonts w:hint="eastAsia" w:ascii="Times New Roman" w:hAnsi="Times New Roman" w:eastAsia="宋体" w:cs="Times New Roman"/>
                      <w:b w:val="0"/>
                      <w:bCs/>
                      <w:color w:val="auto"/>
                      <w:sz w:val="21"/>
                      <w:szCs w:val="21"/>
                      <w:highlight w:val="none"/>
                      <w:u w:val="none"/>
                      <w:lang w:val="en-US" w:eastAsia="zh-CN"/>
                    </w:rPr>
                    <w:t>发电</w:t>
                  </w:r>
                  <w:r>
                    <w:rPr>
                      <w:rFonts w:hint="default" w:ascii="Times New Roman" w:hAnsi="Times New Roman" w:cs="Times New Roman"/>
                      <w:b w:val="0"/>
                      <w:bCs/>
                      <w:color w:val="auto"/>
                      <w:sz w:val="21"/>
                      <w:szCs w:val="21"/>
                      <w:highlight w:val="none"/>
                      <w:u w:val="none"/>
                      <w:lang w:val="en-US" w:eastAsia="zh-CN"/>
                    </w:rPr>
                    <w:t>时</w:t>
                  </w:r>
                  <w:r>
                    <w:rPr>
                      <w:rFonts w:hint="default" w:ascii="Times New Roman" w:hAnsi="Times New Roman" w:eastAsia="宋体" w:cs="Times New Roman"/>
                      <w:b w:val="0"/>
                      <w:bCs/>
                      <w:color w:val="auto"/>
                      <w:sz w:val="21"/>
                      <w:szCs w:val="21"/>
                      <w:highlight w:val="none"/>
                      <w:u w:val="none"/>
                      <w:lang w:val="en-US" w:eastAsia="zh-CN"/>
                    </w:rPr>
                    <w:t>对周围环境影响较小</w:t>
                  </w:r>
                </w:p>
              </w:tc>
              <w:tc>
                <w:tcPr>
                  <w:tcW w:w="879" w:type="dxa"/>
                  <w:tcBorders>
                    <w:tl2br w:val="nil"/>
                    <w:tr2bl w:val="nil"/>
                  </w:tcBorders>
                  <w:noWrap w:val="0"/>
                  <w:vAlign w:val="center"/>
                </w:tcPr>
                <w:p w14:paraId="42D97428">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eastAsia="宋体" w:cs="Times New Roman"/>
                      <w:b w:val="0"/>
                      <w:bCs/>
                      <w:color w:val="auto"/>
                      <w:kern w:val="28"/>
                      <w:sz w:val="21"/>
                      <w:szCs w:val="21"/>
                      <w:u w:val="none"/>
                      <w:lang w:val="en-US" w:eastAsia="zh-CN"/>
                    </w:rPr>
                  </w:pPr>
                  <w:r>
                    <w:rPr>
                      <w:rFonts w:hint="default" w:ascii="Times New Roman" w:hAnsi="Times New Roman" w:eastAsia="宋体" w:cs="Times New Roman"/>
                      <w:b w:val="0"/>
                      <w:bCs/>
                      <w:color w:val="auto"/>
                      <w:kern w:val="28"/>
                      <w:sz w:val="21"/>
                      <w:szCs w:val="21"/>
                      <w:u w:val="none"/>
                      <w:lang w:val="en-US" w:eastAsia="zh-CN"/>
                    </w:rPr>
                    <w:t>符合</w:t>
                  </w:r>
                </w:p>
              </w:tc>
            </w:tr>
            <w:tr w14:paraId="6BBCF49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74" w:type="dxa"/>
                  <w:tcBorders>
                    <w:tl2br w:val="nil"/>
                    <w:tr2bl w:val="nil"/>
                  </w:tcBorders>
                  <w:noWrap w:val="0"/>
                  <w:vAlign w:val="center"/>
                </w:tcPr>
                <w:p w14:paraId="7A9CCFDC">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eastAsia="宋体" w:cs="Times New Roman"/>
                      <w:bCs/>
                      <w:color w:val="auto"/>
                      <w:kern w:val="28"/>
                      <w:sz w:val="21"/>
                      <w:szCs w:val="21"/>
                      <w:u w:val="none"/>
                      <w:lang w:val="en-US" w:eastAsia="zh-CN"/>
                    </w:rPr>
                  </w:pPr>
                  <w:r>
                    <w:rPr>
                      <w:rFonts w:hint="default" w:ascii="Times New Roman" w:hAnsi="Times New Roman" w:eastAsia="宋体" w:cs="Times New Roman"/>
                      <w:color w:val="auto"/>
                      <w:sz w:val="21"/>
                      <w:szCs w:val="21"/>
                      <w:u w:val="none"/>
                      <w:lang w:val="en-US" w:eastAsia="zh-CN"/>
                    </w:rPr>
                    <w:t>河南</w:t>
                  </w:r>
                  <w:r>
                    <w:rPr>
                      <w:rFonts w:hint="eastAsia" w:ascii="Times New Roman" w:hAnsi="Times New Roman" w:eastAsia="宋体" w:cs="Times New Roman"/>
                      <w:color w:val="auto"/>
                      <w:sz w:val="21"/>
                      <w:szCs w:val="21"/>
                      <w:u w:val="none"/>
                      <w:lang w:val="en-US" w:eastAsia="zh-CN"/>
                    </w:rPr>
                    <w:t>省</w:t>
                  </w:r>
                  <w:r>
                    <w:rPr>
                      <w:rFonts w:hint="default" w:ascii="Times New Roman" w:hAnsi="Times New Roman" w:eastAsia="宋体" w:cs="Times New Roman"/>
                      <w:color w:val="auto"/>
                      <w:sz w:val="21"/>
                      <w:szCs w:val="21"/>
                      <w:u w:val="none"/>
                      <w:lang w:val="en-US" w:eastAsia="zh-CN"/>
                    </w:rPr>
                    <w:t>2024年</w:t>
                  </w:r>
                  <w:r>
                    <w:rPr>
                      <w:rFonts w:hint="eastAsia" w:ascii="Times New Roman" w:hAnsi="Times New Roman" w:eastAsia="宋体" w:cs="Times New Roman"/>
                      <w:color w:val="auto"/>
                      <w:sz w:val="21"/>
                      <w:szCs w:val="21"/>
                      <w:u w:val="none"/>
                      <w:lang w:val="en-US" w:eastAsia="zh-CN"/>
                    </w:rPr>
                    <w:t>蓝天</w:t>
                  </w:r>
                  <w:r>
                    <w:rPr>
                      <w:rFonts w:hint="default" w:ascii="Times New Roman" w:hAnsi="Times New Roman" w:eastAsia="宋体" w:cs="Times New Roman"/>
                      <w:color w:val="auto"/>
                      <w:sz w:val="21"/>
                      <w:szCs w:val="21"/>
                      <w:u w:val="none"/>
                      <w:lang w:val="en-US" w:eastAsia="zh-CN"/>
                    </w:rPr>
                    <w:t>保卫战实施方案</w:t>
                  </w:r>
                </w:p>
              </w:tc>
              <w:tc>
                <w:tcPr>
                  <w:tcW w:w="4349" w:type="dxa"/>
                  <w:tcBorders>
                    <w:tl2br w:val="nil"/>
                    <w:tr2bl w:val="nil"/>
                  </w:tcBorders>
                  <w:noWrap w:val="0"/>
                  <w:vAlign w:val="center"/>
                </w:tcPr>
                <w:p w14:paraId="196C3EBC">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u w:val="none"/>
                    </w:rPr>
                  </w:pPr>
                  <w:r>
                    <w:rPr>
                      <w:rFonts w:hint="default" w:ascii="Times New Roman" w:hAnsi="Times New Roman" w:eastAsia="宋体" w:cs="Times New Roman"/>
                      <w:bCs/>
                      <w:color w:val="auto"/>
                      <w:kern w:val="28"/>
                      <w:sz w:val="21"/>
                      <w:szCs w:val="21"/>
                      <w:u w:val="none"/>
                    </w:rPr>
                    <w:t>实施工业炉窑清洁能源替代。2024年年底前，完成陶瓷、耐火材料、有色金属压延、无机化工、玻璃、碳素等行业110座分散建设的燃料类煤气发生炉清洁能源替代，或者园区（集群）集中供气、分散使用；完成固定床间歇式煤气发生炉新型煤气化工艺改造。推进37座使用高污染燃料的加热炉、热处理炉、干燥炉、熔化炉等工业炉窑改用清洁低碳能源，淘汰不能稳定达标的燃煤锅炉、燃煤热风炉和以煤、石油焦、渣油、重油等为燃料的工业窑炉。</w:t>
                  </w:r>
                </w:p>
              </w:tc>
              <w:tc>
                <w:tcPr>
                  <w:tcW w:w="1876" w:type="dxa"/>
                  <w:tcBorders>
                    <w:tl2br w:val="nil"/>
                    <w:tr2bl w:val="nil"/>
                  </w:tcBorders>
                  <w:noWrap w:val="0"/>
                  <w:vAlign w:val="center"/>
                </w:tcPr>
                <w:p w14:paraId="4999EC35">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color w:val="auto"/>
                      <w:u w:val="none"/>
                      <w:lang w:val="en-US" w:eastAsia="zh-CN"/>
                    </w:rPr>
                  </w:pPr>
                  <w:r>
                    <w:rPr>
                      <w:rFonts w:hint="eastAsia" w:ascii="Times New Roman" w:hAnsi="Times New Roman"/>
                      <w:color w:val="auto"/>
                      <w:u w:val="none"/>
                      <w:lang w:val="en-US" w:eastAsia="zh-CN"/>
                    </w:rPr>
                    <w:t>本项目</w:t>
                  </w:r>
                  <w:r>
                    <w:rPr>
                      <w:rFonts w:hint="eastAsia"/>
                      <w:color w:val="auto"/>
                      <w:u w:val="none"/>
                      <w:lang w:val="en-US" w:eastAsia="zh-CN"/>
                    </w:rPr>
                    <w:t>发电原料</w:t>
                  </w:r>
                  <w:r>
                    <w:rPr>
                      <w:rFonts w:hint="eastAsia" w:ascii="Times New Roman" w:hAnsi="Times New Roman"/>
                      <w:color w:val="auto"/>
                      <w:u w:val="none"/>
                      <w:lang w:val="en-US" w:eastAsia="zh-CN"/>
                    </w:rPr>
                    <w:t>采用</w:t>
                  </w:r>
                  <w:r>
                    <w:rPr>
                      <w:rFonts w:hint="eastAsia" w:asciiTheme="minorEastAsia" w:hAnsiTheme="minorEastAsia" w:eastAsiaTheme="minorEastAsia" w:cstheme="minorEastAsia"/>
                      <w:color w:val="auto"/>
                      <w:sz w:val="21"/>
                      <w:szCs w:val="21"/>
                      <w:u w:val="none"/>
                      <w:lang w:val="en-US" w:eastAsia="zh-CN"/>
                    </w:rPr>
                    <w:t>为煤矿煤炭开采伴生废气、（煤层气/瓦斯气体）</w:t>
                  </w:r>
                  <w:r>
                    <w:rPr>
                      <w:rFonts w:hint="eastAsia" w:ascii="Times New Roman" w:hAnsi="Times New Roman"/>
                      <w:color w:val="auto"/>
                      <w:u w:val="none"/>
                      <w:lang w:val="en-US" w:eastAsia="zh-CN"/>
                    </w:rPr>
                    <w:t>，属于清洁能源</w:t>
                  </w:r>
                  <w:r>
                    <w:rPr>
                      <w:rFonts w:hint="eastAsia"/>
                      <w:color w:val="auto"/>
                      <w:u w:val="none"/>
                      <w:lang w:val="en-US" w:eastAsia="zh-CN"/>
                    </w:rPr>
                    <w:t>，重新利用这些瓦斯气体发电供给内部使用</w:t>
                  </w:r>
                </w:p>
              </w:tc>
              <w:tc>
                <w:tcPr>
                  <w:tcW w:w="879" w:type="dxa"/>
                  <w:tcBorders>
                    <w:tl2br w:val="nil"/>
                    <w:tr2bl w:val="nil"/>
                  </w:tcBorders>
                  <w:noWrap w:val="0"/>
                  <w:vAlign w:val="center"/>
                </w:tcPr>
                <w:p w14:paraId="6E8C3F95">
                  <w:pPr>
                    <w:keepNext w:val="0"/>
                    <w:keepLines w:val="0"/>
                    <w:pageBreakBefore w:val="0"/>
                    <w:widowControl w:val="0"/>
                    <w:kinsoku/>
                    <w:wordWrap/>
                    <w:overflowPunct/>
                    <w:topLinePunct w:val="0"/>
                    <w:autoSpaceDE/>
                    <w:autoSpaceDN/>
                    <w:bidi w:val="0"/>
                    <w:adjustRightInd/>
                    <w:snapToGrid/>
                    <w:spacing w:line="300" w:lineRule="exact"/>
                    <w:jc w:val="center"/>
                    <w:textAlignment w:val="baseline"/>
                    <w:rPr>
                      <w:rFonts w:hint="default" w:ascii="Times New Roman" w:hAnsi="Times New Roman" w:eastAsia="宋体" w:cs="Times New Roman"/>
                      <w:b w:val="0"/>
                      <w:bCs/>
                      <w:color w:val="auto"/>
                      <w:kern w:val="28"/>
                      <w:sz w:val="21"/>
                      <w:szCs w:val="21"/>
                      <w:u w:val="none"/>
                      <w:lang w:val="en-US" w:eastAsia="zh-CN"/>
                    </w:rPr>
                  </w:pPr>
                  <w:r>
                    <w:rPr>
                      <w:rFonts w:hint="eastAsia" w:ascii="Times New Roman" w:hAnsi="Times New Roman" w:eastAsia="宋体" w:cs="Times New Roman"/>
                      <w:b w:val="0"/>
                      <w:bCs/>
                      <w:color w:val="auto"/>
                      <w:kern w:val="28"/>
                      <w:sz w:val="21"/>
                      <w:szCs w:val="21"/>
                      <w:u w:val="none"/>
                      <w:lang w:val="en-US" w:eastAsia="zh-CN"/>
                    </w:rPr>
                    <w:t>符合</w:t>
                  </w:r>
                </w:p>
              </w:tc>
            </w:tr>
            <w:tr w14:paraId="1CF54CC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93" w:hRule="atLeast"/>
                <w:jc w:val="center"/>
              </w:trPr>
              <w:tc>
                <w:tcPr>
                  <w:tcW w:w="674" w:type="dxa"/>
                  <w:vMerge w:val="restart"/>
                  <w:tcBorders>
                    <w:tl2br w:val="nil"/>
                    <w:tr2bl w:val="nil"/>
                  </w:tcBorders>
                  <w:noWrap w:val="0"/>
                  <w:vAlign w:val="center"/>
                </w:tcPr>
                <w:p w14:paraId="52B842E3">
                  <w:pPr>
                    <w:spacing w:line="240" w:lineRule="auto"/>
                    <w:jc w:val="center"/>
                    <w:rPr>
                      <w:rFonts w:hint="default" w:ascii="Times New Roman" w:hAnsi="Times New Roman" w:eastAsia="宋体" w:cs="Times New Roman"/>
                      <w:bCs/>
                      <w:color w:val="auto"/>
                      <w:kern w:val="28"/>
                      <w:sz w:val="21"/>
                      <w:szCs w:val="21"/>
                      <w:u w:val="none"/>
                      <w:lang w:val="en-US" w:eastAsia="zh-CN"/>
                    </w:rPr>
                  </w:pPr>
                  <w:r>
                    <w:rPr>
                      <w:rFonts w:hint="default" w:ascii="Times New Roman" w:hAnsi="Times New Roman" w:eastAsia="宋体" w:cs="Times New Roman"/>
                      <w:color w:val="auto"/>
                      <w:sz w:val="21"/>
                      <w:szCs w:val="21"/>
                      <w:u w:val="none"/>
                      <w:lang w:val="en-US" w:eastAsia="zh-CN"/>
                    </w:rPr>
                    <w:t>河南省2024年碧水保卫战实施方案</w:t>
                  </w:r>
                </w:p>
              </w:tc>
              <w:tc>
                <w:tcPr>
                  <w:tcW w:w="4349" w:type="dxa"/>
                  <w:tcBorders>
                    <w:tl2br w:val="nil"/>
                    <w:tr2bl w:val="nil"/>
                  </w:tcBorders>
                  <w:noWrap w:val="0"/>
                  <w:vAlign w:val="center"/>
                </w:tcPr>
                <w:p w14:paraId="55EA6D21">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u w:val="none"/>
                    </w:rPr>
                  </w:pPr>
                  <w:r>
                    <w:rPr>
                      <w:rFonts w:hint="eastAsia" w:ascii="Times New Roman" w:hAnsi="Times New Roman" w:cs="Times New Roman"/>
                      <w:color w:val="auto"/>
                      <w:szCs w:val="21"/>
                      <w:u w:val="none"/>
                      <w:lang w:val="en-US" w:eastAsia="zh-CN"/>
                    </w:rPr>
                    <w:t>持续开展工业废水循环利用工程.推动工业企业、园区废水循环利用，实现串联用水、分质用水、一水多用和梯级利用，提升企业水重复利用率。推动有条件的工业企业、园区进一步完善再生水管网，将处理达标后的再生水回用于生产过程，减少企业新水取用量,形成可复制推广的产城融合废水高效循环利用新模式。重点围绕火电、石化、钢铁、有色、造纸、印染等高耗水行业，组织开展企业内部废水利用，创建一批工业废水循环利用试点企业、园区。</w:t>
                  </w:r>
                </w:p>
              </w:tc>
              <w:tc>
                <w:tcPr>
                  <w:tcW w:w="1876" w:type="dxa"/>
                  <w:tcBorders>
                    <w:tl2br w:val="nil"/>
                    <w:tr2bl w:val="nil"/>
                  </w:tcBorders>
                  <w:noWrap w:val="0"/>
                  <w:vAlign w:val="center"/>
                </w:tcPr>
                <w:p w14:paraId="6CFF0301">
                  <w:pPr>
                    <w:autoSpaceDE w:val="0"/>
                    <w:autoSpaceDN w:val="0"/>
                    <w:spacing w:line="240" w:lineRule="auto"/>
                    <w:jc w:val="center"/>
                    <w:rPr>
                      <w:rFonts w:hint="default" w:ascii="Times New Roman" w:hAnsi="Times New Roman"/>
                      <w:color w:val="auto"/>
                      <w:u w:val="none"/>
                      <w:lang w:val="en-US" w:eastAsia="zh-CN"/>
                    </w:rPr>
                  </w:pPr>
                  <w:r>
                    <w:rPr>
                      <w:rFonts w:hint="eastAsia" w:ascii="Times New Roman" w:hAnsi="Times New Roman"/>
                      <w:color w:val="auto"/>
                      <w:u w:val="none"/>
                      <w:lang w:val="en-US" w:eastAsia="zh-CN"/>
                    </w:rPr>
                    <w:t>本项目</w:t>
                  </w:r>
                  <w:r>
                    <w:rPr>
                      <w:rFonts w:hint="eastAsia" w:asciiTheme="minorEastAsia" w:hAnsiTheme="minorEastAsia" w:eastAsiaTheme="minorEastAsia" w:cstheme="minorEastAsia"/>
                      <w:color w:val="auto"/>
                      <w:sz w:val="21"/>
                      <w:szCs w:val="21"/>
                      <w:u w:val="none"/>
                      <w:lang w:val="en-US" w:eastAsia="zh-CN"/>
                    </w:rPr>
                    <w:t>不涉及工业废水外排，机组发电过程中有冷凝水产生，冷凝水集中收集到贮水池中进行日常场地降尘洒水，实现</w:t>
                  </w:r>
                  <w:r>
                    <w:rPr>
                      <w:rFonts w:hint="eastAsia" w:ascii="Times New Roman" w:hAnsi="Times New Roman" w:cs="Times New Roman"/>
                      <w:color w:val="auto"/>
                      <w:szCs w:val="21"/>
                      <w:u w:val="none"/>
                      <w:lang w:val="en-US" w:eastAsia="zh-CN"/>
                    </w:rPr>
                    <w:t>一水多用和梯级利用</w:t>
                  </w:r>
                </w:p>
              </w:tc>
              <w:tc>
                <w:tcPr>
                  <w:tcW w:w="879" w:type="dxa"/>
                  <w:tcBorders>
                    <w:tl2br w:val="nil"/>
                    <w:tr2bl w:val="nil"/>
                  </w:tcBorders>
                  <w:noWrap w:val="0"/>
                  <w:vAlign w:val="center"/>
                </w:tcPr>
                <w:p w14:paraId="5C60B4CD">
                  <w:pPr>
                    <w:spacing w:line="240" w:lineRule="auto"/>
                    <w:jc w:val="center"/>
                    <w:rPr>
                      <w:rFonts w:hint="default" w:ascii="Times New Roman" w:hAnsi="Times New Roman" w:eastAsia="宋体" w:cs="Times New Roman"/>
                      <w:b w:val="0"/>
                      <w:bCs/>
                      <w:color w:val="auto"/>
                      <w:kern w:val="28"/>
                      <w:sz w:val="21"/>
                      <w:szCs w:val="21"/>
                      <w:u w:val="none"/>
                      <w:lang w:val="en-US" w:eastAsia="zh-CN"/>
                    </w:rPr>
                  </w:pPr>
                  <w:r>
                    <w:rPr>
                      <w:rFonts w:hint="eastAsia" w:ascii="宋体" w:hAnsi="宋体" w:eastAsia="宋体" w:cs="宋体"/>
                      <w:color w:val="auto"/>
                      <w:sz w:val="21"/>
                      <w:szCs w:val="21"/>
                      <w:u w:val="none"/>
                      <w:lang w:val="en-US" w:eastAsia="zh-CN"/>
                    </w:rPr>
                    <w:t>相符</w:t>
                  </w:r>
                </w:p>
              </w:tc>
            </w:tr>
            <w:tr w14:paraId="578134B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74" w:type="dxa"/>
                  <w:vMerge w:val="continue"/>
                  <w:tcBorders>
                    <w:tl2br w:val="nil"/>
                    <w:tr2bl w:val="nil"/>
                  </w:tcBorders>
                  <w:noWrap w:val="0"/>
                  <w:vAlign w:val="center"/>
                </w:tcPr>
                <w:p w14:paraId="726DEB65">
                  <w:pPr>
                    <w:keepNext w:val="0"/>
                    <w:keepLines w:val="0"/>
                    <w:pageBreakBefore w:val="0"/>
                    <w:widowControl w:val="0"/>
                    <w:kinsoku/>
                    <w:wordWrap/>
                    <w:overflowPunct/>
                    <w:topLinePunct w:val="0"/>
                    <w:autoSpaceDE/>
                    <w:autoSpaceDN/>
                    <w:bidi w:val="0"/>
                    <w:adjustRightInd/>
                    <w:snapToGrid/>
                    <w:spacing w:line="300" w:lineRule="exact"/>
                    <w:jc w:val="left"/>
                    <w:textAlignment w:val="baseline"/>
                    <w:rPr>
                      <w:rFonts w:hint="default" w:ascii="Times New Roman" w:hAnsi="Times New Roman" w:eastAsia="宋体" w:cs="Times New Roman"/>
                      <w:bCs/>
                      <w:color w:val="auto"/>
                      <w:kern w:val="28"/>
                      <w:sz w:val="21"/>
                      <w:szCs w:val="21"/>
                      <w:u w:val="none"/>
                      <w:lang w:val="en-US" w:eastAsia="zh-CN"/>
                    </w:rPr>
                  </w:pPr>
                </w:p>
              </w:tc>
              <w:tc>
                <w:tcPr>
                  <w:tcW w:w="4349" w:type="dxa"/>
                  <w:tcBorders>
                    <w:tl2br w:val="nil"/>
                    <w:tr2bl w:val="nil"/>
                  </w:tcBorders>
                  <w:noWrap w:val="0"/>
                  <w:vAlign w:val="center"/>
                </w:tcPr>
                <w:p w14:paraId="6E33BD1F">
                  <w:pPr>
                    <w:autoSpaceDE w:val="0"/>
                    <w:autoSpaceDN w:val="0"/>
                    <w:spacing w:line="240" w:lineRule="auto"/>
                    <w:jc w:val="center"/>
                    <w:rPr>
                      <w:rFonts w:hint="default" w:ascii="Times New Roman" w:hAnsi="Times New Roman" w:eastAsia="宋体" w:cs="Times New Roman"/>
                      <w:bCs/>
                      <w:color w:val="auto"/>
                      <w:kern w:val="28"/>
                      <w:sz w:val="21"/>
                      <w:szCs w:val="21"/>
                      <w:u w:val="none"/>
                    </w:rPr>
                  </w:pPr>
                  <w:r>
                    <w:rPr>
                      <w:rFonts w:hint="eastAsia" w:ascii="Times New Roman" w:hAnsi="Times New Roman" w:cs="Times New Roman"/>
                      <w:color w:val="auto"/>
                      <w:szCs w:val="21"/>
                      <w:u w:val="none"/>
                      <w:lang w:val="en-US" w:eastAsia="zh-CN"/>
                    </w:rPr>
                    <w:t>推动企业绿色转型发展。培育壮大节能、节水、环保和资源综合利用产业，提高能源资源利用效率；对焦化、有色金属、化工、电镀、制革、石油开采、造纸、印染、农副食品加工等行业，全面推进清洁生产改造或清洁化改造；全面推行清洁生产依法对重点行业企业实施强制性清洁生产审核。深入开展节水型企业创建、水效“领跑者”遴选工作，广泛开展水效对标达标活动，进一步提升工业水资源集约节约利用水平。</w:t>
                  </w:r>
                </w:p>
              </w:tc>
              <w:tc>
                <w:tcPr>
                  <w:tcW w:w="1876" w:type="dxa"/>
                  <w:tcBorders>
                    <w:tl2br w:val="nil"/>
                    <w:tr2bl w:val="nil"/>
                  </w:tcBorders>
                  <w:noWrap w:val="0"/>
                  <w:vAlign w:val="center"/>
                </w:tcPr>
                <w:p w14:paraId="7703D41D">
                  <w:pPr>
                    <w:autoSpaceDE w:val="0"/>
                    <w:autoSpaceDN w:val="0"/>
                    <w:spacing w:line="240" w:lineRule="auto"/>
                    <w:jc w:val="center"/>
                    <w:rPr>
                      <w:rFonts w:hint="default" w:ascii="Times New Roman" w:hAnsi="Times New Roman"/>
                      <w:color w:val="auto"/>
                      <w:u w:val="none"/>
                      <w:lang w:val="en-US" w:eastAsia="zh-CN"/>
                    </w:rPr>
                  </w:pPr>
                  <w:r>
                    <w:rPr>
                      <w:rFonts w:hint="eastAsia" w:ascii="Times New Roman" w:hAnsi="Times New Roman"/>
                      <w:color w:val="auto"/>
                      <w:u w:val="none"/>
                      <w:lang w:val="en-US" w:eastAsia="zh-CN"/>
                    </w:rPr>
                    <w:t>本项目</w:t>
                  </w:r>
                  <w:r>
                    <w:rPr>
                      <w:rFonts w:hint="eastAsia" w:asciiTheme="minorEastAsia" w:hAnsiTheme="minorEastAsia" w:eastAsiaTheme="minorEastAsia" w:cstheme="minorEastAsia"/>
                      <w:color w:val="auto"/>
                      <w:sz w:val="21"/>
                      <w:szCs w:val="21"/>
                      <w:u w:val="none"/>
                      <w:lang w:val="en-US" w:eastAsia="zh-CN"/>
                    </w:rPr>
                    <w:t>不涉及工业用水，做到了节约用水</w:t>
                  </w:r>
                  <w:r>
                    <w:rPr>
                      <w:rFonts w:hint="eastAsia" w:ascii="宋体" w:hAnsi="宋体" w:eastAsia="宋体" w:cs="宋体"/>
                      <w:color w:val="auto"/>
                      <w:sz w:val="21"/>
                      <w:szCs w:val="21"/>
                      <w:u w:val="none"/>
                      <w:lang w:val="en-US" w:eastAsia="zh-CN"/>
                    </w:rPr>
                    <w:t>，建成后拟积极推行清洁生产</w:t>
                  </w:r>
                </w:p>
              </w:tc>
              <w:tc>
                <w:tcPr>
                  <w:tcW w:w="879" w:type="dxa"/>
                  <w:tcBorders>
                    <w:tl2br w:val="nil"/>
                    <w:tr2bl w:val="nil"/>
                  </w:tcBorders>
                  <w:noWrap w:val="0"/>
                  <w:vAlign w:val="center"/>
                </w:tcPr>
                <w:p w14:paraId="54C2AB06">
                  <w:pPr>
                    <w:spacing w:line="240" w:lineRule="auto"/>
                    <w:jc w:val="center"/>
                    <w:rPr>
                      <w:rFonts w:hint="default" w:ascii="Times New Roman" w:hAnsi="Times New Roman" w:eastAsia="宋体" w:cs="Times New Roman"/>
                      <w:b w:val="0"/>
                      <w:bCs/>
                      <w:color w:val="auto"/>
                      <w:kern w:val="28"/>
                      <w:sz w:val="21"/>
                      <w:szCs w:val="21"/>
                      <w:u w:val="none"/>
                      <w:lang w:val="en-US" w:eastAsia="zh-CN"/>
                    </w:rPr>
                  </w:pPr>
                  <w:r>
                    <w:rPr>
                      <w:rFonts w:hint="eastAsia" w:ascii="宋体" w:hAnsi="宋体" w:eastAsia="宋体" w:cs="宋体"/>
                      <w:color w:val="auto"/>
                      <w:sz w:val="21"/>
                      <w:szCs w:val="21"/>
                      <w:u w:val="none"/>
                      <w:lang w:val="en-US" w:eastAsia="zh-CN"/>
                    </w:rPr>
                    <w:t>相符</w:t>
                  </w:r>
                </w:p>
              </w:tc>
            </w:tr>
            <w:tr w14:paraId="68C4329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3" w:hRule="atLeast"/>
                <w:jc w:val="center"/>
              </w:trPr>
              <w:tc>
                <w:tcPr>
                  <w:tcW w:w="674" w:type="dxa"/>
                  <w:tcBorders>
                    <w:tl2br w:val="nil"/>
                    <w:tr2bl w:val="nil"/>
                  </w:tcBorders>
                  <w:noWrap w:val="0"/>
                  <w:vAlign w:val="center"/>
                </w:tcPr>
                <w:p w14:paraId="4BA96F15">
                  <w:pPr>
                    <w:spacing w:line="240" w:lineRule="auto"/>
                    <w:jc w:val="center"/>
                    <w:rPr>
                      <w:rFonts w:hint="default" w:ascii="Times New Roman" w:hAnsi="Times New Roman" w:eastAsia="宋体" w:cs="Times New Roman"/>
                      <w:bCs/>
                      <w:color w:val="auto"/>
                      <w:kern w:val="28"/>
                      <w:sz w:val="21"/>
                      <w:szCs w:val="21"/>
                      <w:u w:val="none"/>
                      <w:lang w:val="en-US" w:eastAsia="zh-CN"/>
                    </w:rPr>
                  </w:pPr>
                  <w:r>
                    <w:rPr>
                      <w:rFonts w:hint="eastAsia" w:ascii="Times New Roman" w:hAnsi="Times New Roman" w:eastAsia="宋体" w:cs="Times New Roman"/>
                      <w:color w:val="auto"/>
                      <w:szCs w:val="21"/>
                      <w:u w:val="none"/>
                      <w:lang w:val="en-US" w:eastAsia="zh-CN"/>
                    </w:rPr>
                    <w:t>河南省2024年净土保卫战实施方案</w:t>
                  </w:r>
                </w:p>
              </w:tc>
              <w:tc>
                <w:tcPr>
                  <w:tcW w:w="4349" w:type="dxa"/>
                  <w:tcBorders>
                    <w:tl2br w:val="nil"/>
                    <w:tr2bl w:val="nil"/>
                  </w:tcBorders>
                  <w:noWrap w:val="0"/>
                  <w:vAlign w:val="center"/>
                </w:tcPr>
                <w:p w14:paraId="5ED68A82">
                  <w:pPr>
                    <w:autoSpaceDE w:val="0"/>
                    <w:autoSpaceDN w:val="0"/>
                    <w:spacing w:line="240" w:lineRule="auto"/>
                    <w:jc w:val="center"/>
                    <w:rPr>
                      <w:rFonts w:hint="default" w:ascii="Times New Roman" w:hAnsi="Times New Roman" w:eastAsia="宋体" w:cs="Times New Roman"/>
                      <w:bCs/>
                      <w:color w:val="auto"/>
                      <w:kern w:val="28"/>
                      <w:sz w:val="21"/>
                      <w:szCs w:val="21"/>
                      <w:u w:val="none"/>
                    </w:rPr>
                  </w:pPr>
                  <w:r>
                    <w:rPr>
                      <w:rFonts w:hint="eastAsia" w:ascii="Times New Roman" w:hAnsi="Times New Roman" w:cs="Times New Roman"/>
                      <w:color w:val="auto"/>
                      <w:szCs w:val="21"/>
                      <w:u w:val="none"/>
                      <w:lang w:val="en-US" w:eastAsia="zh-CN"/>
                    </w:rPr>
                    <w:t>加强地下水污染风险管控以“十四五”国家地下水环境质量考核点位为重点，落实地下水环境质量考核点位水质达标或改善措施，针对水质变差或不稳定的点位，及时分析研判超标原因，因地制宜采取措施改善水质状况。有序建立并动态更新地下水污染防治重点排污单位名录,督促地下水重点排污单位依法履行自行监测、信息公开等生态环境法律义务。</w:t>
                  </w:r>
                </w:p>
              </w:tc>
              <w:tc>
                <w:tcPr>
                  <w:tcW w:w="1876" w:type="dxa"/>
                  <w:tcBorders>
                    <w:tl2br w:val="nil"/>
                    <w:tr2bl w:val="nil"/>
                  </w:tcBorders>
                  <w:noWrap w:val="0"/>
                  <w:vAlign w:val="center"/>
                </w:tcPr>
                <w:p w14:paraId="56915A82">
                  <w:pPr>
                    <w:autoSpaceDE w:val="0"/>
                    <w:autoSpaceDN w:val="0"/>
                    <w:spacing w:line="240" w:lineRule="auto"/>
                    <w:jc w:val="center"/>
                    <w:rPr>
                      <w:rFonts w:hint="eastAsia" w:ascii="Times New Roman" w:hAnsi="Times New Roman"/>
                      <w:color w:val="auto"/>
                      <w:u w:val="none"/>
                      <w:lang w:eastAsia="zh-CN"/>
                    </w:rPr>
                  </w:pPr>
                  <w:r>
                    <w:rPr>
                      <w:rFonts w:hint="eastAsia" w:ascii="宋体" w:hAnsi="宋体" w:eastAsia="宋体" w:cs="宋体"/>
                      <w:color w:val="auto"/>
                      <w:sz w:val="21"/>
                      <w:szCs w:val="21"/>
                      <w:highlight w:val="none"/>
                      <w:u w:val="none"/>
                      <w:lang w:val="en-US" w:eastAsia="zh-CN"/>
                    </w:rPr>
                    <w:t>本项目采取分区防渗措施，可有效预防地下水污染</w:t>
                  </w:r>
                </w:p>
              </w:tc>
              <w:tc>
                <w:tcPr>
                  <w:tcW w:w="879" w:type="dxa"/>
                  <w:tcBorders>
                    <w:tl2br w:val="nil"/>
                    <w:tr2bl w:val="nil"/>
                  </w:tcBorders>
                  <w:noWrap w:val="0"/>
                  <w:vAlign w:val="center"/>
                </w:tcPr>
                <w:p w14:paraId="1E09D326">
                  <w:pPr>
                    <w:spacing w:line="240" w:lineRule="auto"/>
                    <w:jc w:val="center"/>
                    <w:rPr>
                      <w:rFonts w:hint="default" w:ascii="Times New Roman" w:hAnsi="Times New Roman" w:eastAsia="宋体" w:cs="Times New Roman"/>
                      <w:b w:val="0"/>
                      <w:bCs/>
                      <w:color w:val="auto"/>
                      <w:kern w:val="28"/>
                      <w:sz w:val="21"/>
                      <w:szCs w:val="21"/>
                      <w:u w:val="none"/>
                      <w:lang w:val="en-US" w:eastAsia="zh-CN"/>
                    </w:rPr>
                  </w:pPr>
                  <w:r>
                    <w:rPr>
                      <w:rFonts w:hint="eastAsia" w:ascii="Times New Roman" w:hAnsi="Times New Roman" w:cs="Times New Roman"/>
                      <w:b w:val="0"/>
                      <w:bCs/>
                      <w:color w:val="auto"/>
                      <w:kern w:val="28"/>
                      <w:sz w:val="21"/>
                      <w:szCs w:val="21"/>
                      <w:u w:val="none"/>
                      <w:lang w:val="en-US" w:eastAsia="zh-CN"/>
                    </w:rPr>
                    <w:t>相符</w:t>
                  </w:r>
                </w:p>
              </w:tc>
            </w:tr>
          </w:tbl>
          <w:p w14:paraId="4D8448F0">
            <w:pPr>
              <w:keepNext w:val="0"/>
              <w:keepLines w:val="0"/>
              <w:pageBreakBefore w:val="0"/>
              <w:widowControl/>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olor w:val="auto"/>
                <w:sz w:val="24"/>
                <w:szCs w:val="24"/>
                <w:u w:val="none"/>
              </w:rPr>
            </w:pPr>
            <w:r>
              <w:rPr>
                <w:rFonts w:hint="eastAsia" w:cs="Times New Roman"/>
                <w:color w:val="auto"/>
                <w:kern w:val="2"/>
                <w:sz w:val="24"/>
                <w:szCs w:val="24"/>
                <w:u w:val="none"/>
                <w:lang w:val="en-US" w:eastAsia="zh-CN" w:bidi="ar-SA"/>
              </w:rPr>
              <w:t>综上所述</w:t>
            </w:r>
            <w:r>
              <w:rPr>
                <w:rFonts w:hint="default" w:ascii="Times New Roman" w:hAnsi="Times New Roman" w:eastAsia="宋体" w:cs="Times New Roman"/>
                <w:color w:val="auto"/>
                <w:kern w:val="2"/>
                <w:sz w:val="24"/>
                <w:szCs w:val="24"/>
                <w:u w:val="none"/>
                <w:lang w:val="en-US" w:eastAsia="zh-CN" w:bidi="ar-SA"/>
              </w:rPr>
              <w:t>，</w:t>
            </w:r>
            <w:r>
              <w:rPr>
                <w:rFonts w:hint="eastAsia" w:ascii="Times New Roman" w:hAnsi="Times New Roman" w:eastAsia="宋体" w:cs="Times New Roman"/>
                <w:color w:val="auto"/>
                <w:kern w:val="0"/>
                <w:sz w:val="24"/>
                <w:szCs w:val="24"/>
                <w:u w:val="none"/>
                <w:lang w:val="en-US" w:eastAsia="zh-CN"/>
              </w:rPr>
              <w:t>本项目建设符合</w:t>
            </w:r>
            <w:r>
              <w:rPr>
                <w:rFonts w:hint="eastAsia" w:ascii="Times New Roman" w:hAnsi="Times New Roman" w:eastAsia="宋体" w:cs="Times New Roman"/>
                <w:color w:val="auto"/>
                <w:kern w:val="2"/>
                <w:sz w:val="24"/>
                <w:szCs w:val="24"/>
                <w:u w:val="none"/>
                <w:lang w:val="en-US" w:eastAsia="zh-CN" w:bidi="ar-SA"/>
              </w:rPr>
              <w:t>《平顶山市2024年蓝天保卫战实施方案》（平环委办〔2024〕13号）、《平顶山市2024年碧水保卫战实施方案》（平环委办〔2024〕14号）、《平顶山市2024年净土保卫战实施方案》（平环委办〔2024〕15号）、《河南省2024年蓝天保卫战实施方案》、《河南省2024年碧水保卫战实施方案》的通知、《河南省2024年净土保卫战实施方案》的通知中相关要求</w:t>
            </w:r>
            <w:r>
              <w:rPr>
                <w:rFonts w:hint="default" w:ascii="Times New Roman" w:hAnsi="Times New Roman" w:eastAsia="宋体" w:cs="Times New Roman"/>
                <w:color w:val="auto"/>
                <w:kern w:val="2"/>
                <w:sz w:val="24"/>
                <w:szCs w:val="24"/>
                <w:u w:val="none"/>
                <w:lang w:val="en-US" w:eastAsia="zh-CN" w:bidi="ar-SA"/>
              </w:rPr>
              <w:t>。</w:t>
            </w:r>
          </w:p>
          <w:p w14:paraId="7C1D2540">
            <w:pPr>
              <w:pStyle w:val="13"/>
              <w:keepNext w:val="0"/>
              <w:keepLines w:val="0"/>
              <w:pageBreakBefore w:val="0"/>
              <w:kinsoku/>
              <w:wordWrap/>
              <w:overflowPunct/>
              <w:topLinePunct w:val="0"/>
              <w:autoSpaceDE/>
              <w:autoSpaceDN/>
              <w:bidi w:val="0"/>
              <w:adjustRightInd/>
              <w:snapToGrid/>
              <w:spacing w:after="0" w:line="500" w:lineRule="exact"/>
              <w:ind w:left="0" w:leftChars="0" w:firstLine="482" w:firstLineChars="200"/>
              <w:textAlignment w:val="auto"/>
              <w:rPr>
                <w:b w:val="0"/>
                <w:bCs w:val="0"/>
                <w:color w:val="auto"/>
                <w:highlight w:val="none"/>
                <w:u w:val="none"/>
                <w:lang w:val="en-US" w:eastAsia="zh-CN"/>
              </w:rPr>
            </w:pPr>
            <w:r>
              <w:rPr>
                <w:rFonts w:hint="eastAsia"/>
                <w:b/>
                <w:bCs/>
                <w:color w:val="auto"/>
                <w:highlight w:val="none"/>
                <w:u w:val="none"/>
                <w:lang w:val="en-US" w:eastAsia="zh-CN"/>
              </w:rPr>
              <w:t>6、</w:t>
            </w:r>
            <w:r>
              <w:rPr>
                <w:b/>
                <w:bCs/>
                <w:color w:val="auto"/>
                <w:highlight w:val="none"/>
                <w:u w:val="none"/>
                <w:lang w:val="en-US" w:eastAsia="zh-CN"/>
              </w:rPr>
              <w:t>与《河南省重污染天气通用行业应急减排措施制定技术指南》（202</w:t>
            </w:r>
            <w:r>
              <w:rPr>
                <w:rFonts w:hint="eastAsia"/>
                <w:b/>
                <w:bCs/>
                <w:color w:val="auto"/>
                <w:highlight w:val="none"/>
                <w:u w:val="none"/>
                <w:lang w:val="en-US" w:eastAsia="zh-CN"/>
              </w:rPr>
              <w:t>4</w:t>
            </w:r>
            <w:r>
              <w:rPr>
                <w:b/>
                <w:bCs/>
                <w:color w:val="auto"/>
                <w:highlight w:val="none"/>
                <w:u w:val="none"/>
                <w:lang w:val="en-US" w:eastAsia="zh-CN"/>
              </w:rPr>
              <w:t>年修订版）要求符合性分析</w:t>
            </w:r>
          </w:p>
          <w:p w14:paraId="499C5DB5">
            <w:pPr>
              <w:keepNext w:val="0"/>
              <w:keepLines w:val="0"/>
              <w:pageBreakBefore w:val="0"/>
              <w:kinsoku/>
              <w:wordWrap/>
              <w:overflowPunct/>
              <w:topLinePunct w:val="0"/>
              <w:autoSpaceDE/>
              <w:autoSpaceDN/>
              <w:bidi w:val="0"/>
              <w:adjustRightInd/>
              <w:snapToGrid/>
              <w:spacing w:line="500" w:lineRule="exact"/>
              <w:ind w:firstLine="480" w:firstLineChars="200"/>
              <w:textAlignment w:val="auto"/>
              <w:rPr>
                <w:b w:val="0"/>
                <w:bCs w:val="0"/>
                <w:color w:val="auto"/>
                <w:sz w:val="24"/>
                <w:highlight w:val="none"/>
                <w:u w:val="none"/>
              </w:rPr>
            </w:pPr>
            <w:r>
              <w:rPr>
                <w:rFonts w:hint="eastAsia"/>
                <w:b w:val="0"/>
                <w:bCs w:val="0"/>
                <w:color w:val="auto"/>
                <w:sz w:val="24"/>
                <w:szCs w:val="24"/>
                <w:highlight w:val="none"/>
                <w:u w:val="none"/>
              </w:rPr>
              <w:t>本项目属于</w:t>
            </w:r>
            <w:r>
              <w:rPr>
                <w:rFonts w:hint="eastAsia" w:ascii="Times New Roman" w:hAnsi="Times New Roman" w:cs="Times New Roman"/>
                <w:color w:val="auto"/>
                <w:kern w:val="0"/>
                <w:sz w:val="24"/>
                <w:szCs w:val="24"/>
                <w:highlight w:val="none"/>
                <w:u w:val="none"/>
                <w:lang w:val="en-US" w:eastAsia="zh-CN"/>
              </w:rPr>
              <w:t>电力、热力生产和供应业</w:t>
            </w:r>
            <w:r>
              <w:rPr>
                <w:rFonts w:hint="eastAsia"/>
                <w:b w:val="0"/>
                <w:bCs w:val="0"/>
                <w:color w:val="auto"/>
                <w:sz w:val="24"/>
                <w:szCs w:val="24"/>
                <w:highlight w:val="none"/>
                <w:u w:val="none"/>
              </w:rPr>
              <w:t>，</w:t>
            </w:r>
            <w:r>
              <w:rPr>
                <w:b w:val="0"/>
                <w:bCs w:val="0"/>
                <w:color w:val="auto"/>
                <w:sz w:val="24"/>
                <w:szCs w:val="24"/>
                <w:highlight w:val="none"/>
                <w:u w:val="none"/>
              </w:rPr>
              <w:t>不属于</w:t>
            </w:r>
            <w:r>
              <w:rPr>
                <w:rFonts w:hint="eastAsia"/>
                <w:b w:val="0"/>
                <w:bCs w:val="0"/>
                <w:color w:val="auto"/>
                <w:sz w:val="24"/>
                <w:szCs w:val="24"/>
                <w:highlight w:val="none"/>
                <w:u w:val="none"/>
              </w:rPr>
              <w:t>国家</w:t>
            </w:r>
            <w:r>
              <w:rPr>
                <w:b w:val="0"/>
                <w:bCs w:val="0"/>
                <w:color w:val="auto"/>
                <w:sz w:val="24"/>
                <w:szCs w:val="24"/>
                <w:highlight w:val="none"/>
                <w:u w:val="none"/>
              </w:rPr>
              <w:t>39</w:t>
            </w:r>
            <w:r>
              <w:rPr>
                <w:rFonts w:hint="eastAsia"/>
                <w:b w:val="0"/>
                <w:bCs w:val="0"/>
                <w:color w:val="auto"/>
                <w:sz w:val="24"/>
                <w:szCs w:val="24"/>
                <w:highlight w:val="none"/>
                <w:u w:val="none"/>
              </w:rPr>
              <w:t>个重点行业和省级</w:t>
            </w:r>
            <w:r>
              <w:rPr>
                <w:b w:val="0"/>
                <w:bCs w:val="0"/>
                <w:color w:val="auto"/>
                <w:sz w:val="24"/>
                <w:szCs w:val="24"/>
                <w:highlight w:val="none"/>
                <w:u w:val="none"/>
              </w:rPr>
              <w:t>12</w:t>
            </w:r>
            <w:r>
              <w:rPr>
                <w:rFonts w:hint="eastAsia"/>
                <w:b w:val="0"/>
                <w:bCs w:val="0"/>
                <w:color w:val="auto"/>
                <w:sz w:val="24"/>
                <w:szCs w:val="24"/>
                <w:highlight w:val="none"/>
                <w:u w:val="none"/>
              </w:rPr>
              <w:t>个重点行业</w:t>
            </w:r>
            <w:r>
              <w:rPr>
                <w:rFonts w:hint="eastAsia"/>
                <w:b w:val="0"/>
                <w:bCs w:val="0"/>
                <w:color w:val="auto"/>
                <w:kern w:val="0"/>
                <w:sz w:val="24"/>
                <w:szCs w:val="24"/>
                <w:highlight w:val="none"/>
                <w:u w:val="none"/>
                <w:lang w:bidi="ar"/>
              </w:rPr>
              <w:t>，</w:t>
            </w:r>
            <w:r>
              <w:rPr>
                <w:b w:val="0"/>
                <w:bCs w:val="0"/>
                <w:color w:val="auto"/>
                <w:sz w:val="24"/>
                <w:highlight w:val="none"/>
                <w:u w:val="none"/>
              </w:rPr>
              <w:t>通用行业基本要求是指未纳入国家和省级重点行业涉气企业应满足的基本要求，包括涉PM和涉VOCs（未涉锅炉/炉窑）排放企业，规定了企业各类物料装卸、储存、转移、输送、包装和工艺过程污染控制要求，以及其他控制要求。</w:t>
            </w:r>
            <w:r>
              <w:rPr>
                <w:rFonts w:hint="eastAsia" w:eastAsia="宋体"/>
                <w:b w:val="0"/>
                <w:bCs w:val="0"/>
                <w:color w:val="auto"/>
                <w:sz w:val="24"/>
                <w:highlight w:val="none"/>
                <w:u w:val="none"/>
              </w:rPr>
              <w:t>本项目涉及</w:t>
            </w:r>
            <w:r>
              <w:rPr>
                <w:rFonts w:eastAsia="宋体"/>
                <w:b w:val="0"/>
                <w:bCs w:val="0"/>
                <w:color w:val="auto"/>
                <w:sz w:val="24"/>
                <w:highlight w:val="none"/>
                <w:u w:val="none"/>
              </w:rPr>
              <w:t>PM</w:t>
            </w:r>
            <w:r>
              <w:rPr>
                <w:rFonts w:hint="eastAsia" w:eastAsia="宋体"/>
                <w:b w:val="0"/>
                <w:bCs w:val="0"/>
                <w:color w:val="auto"/>
                <w:sz w:val="24"/>
                <w:highlight w:val="none"/>
                <w:u w:val="none"/>
                <w:lang w:val="en-US" w:eastAsia="zh-CN"/>
              </w:rPr>
              <w:t>和非甲烷总烃（因上述指南中涉</w:t>
            </w:r>
            <w:r>
              <w:rPr>
                <w:rFonts w:eastAsia="宋体"/>
                <w:b w:val="0"/>
                <w:bCs w:val="0"/>
                <w:color w:val="auto"/>
                <w:sz w:val="24"/>
                <w:highlight w:val="none"/>
                <w:u w:val="none"/>
              </w:rPr>
              <w:t>VOCs</w:t>
            </w:r>
            <w:r>
              <w:rPr>
                <w:rFonts w:hint="eastAsia" w:eastAsia="宋体"/>
                <w:b w:val="0"/>
                <w:bCs w:val="0"/>
                <w:color w:val="auto"/>
                <w:sz w:val="24"/>
                <w:highlight w:val="none"/>
                <w:u w:val="none"/>
                <w:lang w:val="en-US" w:eastAsia="zh-CN"/>
              </w:rPr>
              <w:t>要求与本项目实际关系不大，因此不做相符性分析）</w:t>
            </w:r>
            <w:r>
              <w:rPr>
                <w:rFonts w:hint="eastAsia" w:eastAsia="宋体"/>
                <w:b w:val="0"/>
                <w:bCs w:val="0"/>
                <w:color w:val="auto"/>
                <w:sz w:val="24"/>
                <w:highlight w:val="none"/>
                <w:u w:val="none"/>
              </w:rPr>
              <w:t>，</w:t>
            </w:r>
            <w:r>
              <w:rPr>
                <w:rFonts w:hint="eastAsia" w:eastAsia="宋体"/>
                <w:b w:val="0"/>
                <w:bCs w:val="0"/>
                <w:color w:val="auto"/>
                <w:sz w:val="24"/>
                <w:highlight w:val="none"/>
                <w:u w:val="none"/>
                <w:lang w:val="en-US" w:eastAsia="zh-CN"/>
              </w:rPr>
              <w:t>关于</w:t>
            </w:r>
            <w:r>
              <w:rPr>
                <w:rFonts w:hint="eastAsia" w:ascii="Times New Roman" w:hAnsi="Times New Roman" w:eastAsia="黑体" w:cs="Times New Roman"/>
                <w:b w:val="0"/>
                <w:color w:val="auto"/>
                <w:kern w:val="0"/>
                <w:sz w:val="24"/>
                <w:szCs w:val="24"/>
                <w:highlight w:val="none"/>
                <w:u w:val="none"/>
                <w:lang w:val="en-US" w:eastAsia="zh-CN" w:bidi="ar-SA"/>
              </w:rPr>
              <w:t>PM</w:t>
            </w:r>
            <w:r>
              <w:rPr>
                <w:rFonts w:hint="eastAsia" w:eastAsia="宋体"/>
                <w:b w:val="0"/>
                <w:bCs w:val="0"/>
                <w:color w:val="auto"/>
                <w:sz w:val="24"/>
                <w:highlight w:val="none"/>
                <w:u w:val="none"/>
              </w:rPr>
              <w:t>分析如下：</w:t>
            </w:r>
          </w:p>
          <w:p w14:paraId="51C4386A">
            <w:pPr>
              <w:pStyle w:val="13"/>
              <w:spacing w:after="0" w:line="480" w:lineRule="exact"/>
              <w:ind w:left="0" w:leftChars="0"/>
              <w:jc w:val="center"/>
              <w:rPr>
                <w:rFonts w:hint="eastAsia" w:ascii="Times New Roman" w:hAnsi="Times New Roman" w:eastAsia="黑体" w:cs="Times New Roman"/>
                <w:b w:val="0"/>
                <w:color w:val="auto"/>
                <w:kern w:val="0"/>
                <w:sz w:val="24"/>
                <w:szCs w:val="24"/>
                <w:highlight w:val="none"/>
                <w:u w:val="none"/>
                <w:lang w:val="en-US" w:eastAsia="zh-CN" w:bidi="ar-SA"/>
              </w:rPr>
            </w:pPr>
            <w:r>
              <w:rPr>
                <w:rFonts w:hint="eastAsia" w:ascii="Times New Roman" w:hAnsi="Times New Roman" w:eastAsia="黑体" w:cs="Times New Roman"/>
                <w:b w:val="0"/>
                <w:color w:val="auto"/>
                <w:kern w:val="0"/>
                <w:sz w:val="24"/>
                <w:szCs w:val="24"/>
                <w:highlight w:val="none"/>
                <w:u w:val="none"/>
                <w:lang w:val="en-US" w:eastAsia="zh-CN" w:bidi="ar-SA"/>
              </w:rPr>
              <w:t>表</w:t>
            </w:r>
            <w:r>
              <w:rPr>
                <w:rFonts w:hint="eastAsia" w:eastAsia="黑体" w:cs="Times New Roman"/>
                <w:b w:val="0"/>
                <w:color w:val="auto"/>
                <w:kern w:val="0"/>
                <w:sz w:val="24"/>
                <w:szCs w:val="24"/>
                <w:highlight w:val="none"/>
                <w:u w:val="none"/>
                <w:lang w:val="en-US" w:eastAsia="zh-CN" w:bidi="ar-SA"/>
              </w:rPr>
              <w:t>1-5</w:t>
            </w:r>
            <w:r>
              <w:rPr>
                <w:rFonts w:hint="eastAsia" w:ascii="Times New Roman" w:hAnsi="Times New Roman" w:eastAsia="黑体" w:cs="Times New Roman"/>
                <w:b w:val="0"/>
                <w:color w:val="auto"/>
                <w:kern w:val="0"/>
                <w:sz w:val="24"/>
                <w:szCs w:val="24"/>
                <w:highlight w:val="none"/>
                <w:u w:val="none"/>
                <w:lang w:val="en-US" w:eastAsia="zh-CN" w:bidi="ar-SA"/>
              </w:rPr>
              <w:t xml:space="preserve"> 本项目与“涉PM企业基本要求”符合性分析</w:t>
            </w:r>
          </w:p>
          <w:tbl>
            <w:tblPr>
              <w:tblStyle w:val="33"/>
              <w:tblW w:w="80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8"/>
              <w:gridCol w:w="608"/>
              <w:gridCol w:w="3304"/>
              <w:gridCol w:w="2610"/>
              <w:gridCol w:w="940"/>
            </w:tblGrid>
            <w:tr w14:paraId="64A11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1216" w:type="dxa"/>
                  <w:gridSpan w:val="2"/>
                  <w:noWrap w:val="0"/>
                  <w:vAlign w:val="center"/>
                </w:tcPr>
                <w:p w14:paraId="3A024843">
                  <w:pPr>
                    <w:pStyle w:val="62"/>
                    <w:keepNext w:val="0"/>
                    <w:keepLines w:val="0"/>
                    <w:suppressLineNumbers w:val="0"/>
                    <w:bidi w:val="0"/>
                    <w:spacing w:before="0" w:beforeAutospacing="0" w:after="0" w:afterAutospacing="0"/>
                    <w:ind w:left="0" w:right="0"/>
                    <w:jc w:val="center"/>
                    <w:rPr>
                      <w:rFonts w:hint="default" w:ascii="Times New Roman" w:hAnsi="Times New Roman" w:cs="Times New Roman"/>
                      <w:b/>
                      <w:bCs/>
                      <w:lang w:val="en-US" w:eastAsia="zh-CN"/>
                    </w:rPr>
                  </w:pPr>
                  <w:r>
                    <w:rPr>
                      <w:rFonts w:hint="eastAsia" w:cs="Times New Roman"/>
                      <w:b/>
                      <w:bCs/>
                      <w:lang w:val="en-US" w:eastAsia="zh-CN"/>
                    </w:rPr>
                    <w:t>引领性</w:t>
                  </w:r>
                </w:p>
                <w:p w14:paraId="2D451559">
                  <w:pPr>
                    <w:pStyle w:val="62"/>
                    <w:keepNext w:val="0"/>
                    <w:keepLines w:val="0"/>
                    <w:suppressLineNumbers w:val="0"/>
                    <w:bidi w:val="0"/>
                    <w:spacing w:before="0" w:beforeAutospacing="0" w:after="0" w:afterAutospacing="0"/>
                    <w:ind w:left="0" w:right="0"/>
                    <w:jc w:val="center"/>
                    <w:rPr>
                      <w:rFonts w:hint="default" w:ascii="Times New Roman" w:hAnsi="Times New Roman" w:cs="Times New Roman"/>
                      <w:b/>
                      <w:bCs/>
                      <w:lang w:val="en-US" w:eastAsia="zh-CN"/>
                    </w:rPr>
                  </w:pPr>
                  <w:r>
                    <w:rPr>
                      <w:rFonts w:hint="default" w:ascii="Times New Roman" w:hAnsi="Times New Roman" w:cs="Times New Roman"/>
                      <w:b/>
                      <w:bCs/>
                      <w:lang w:val="en-US" w:eastAsia="zh-CN"/>
                    </w:rPr>
                    <w:t>指标</w:t>
                  </w:r>
                </w:p>
              </w:tc>
              <w:tc>
                <w:tcPr>
                  <w:tcW w:w="3304" w:type="dxa"/>
                  <w:noWrap w:val="0"/>
                  <w:vAlign w:val="center"/>
                </w:tcPr>
                <w:p w14:paraId="51CF58CD">
                  <w:pPr>
                    <w:pStyle w:val="62"/>
                    <w:keepNext w:val="0"/>
                    <w:keepLines w:val="0"/>
                    <w:suppressLineNumbers w:val="0"/>
                    <w:bidi w:val="0"/>
                    <w:spacing w:before="0" w:beforeAutospacing="0" w:after="0" w:afterAutospacing="0"/>
                    <w:ind w:left="0" w:right="0"/>
                    <w:jc w:val="center"/>
                    <w:rPr>
                      <w:rFonts w:hint="default" w:ascii="Times New Roman" w:hAnsi="Times New Roman" w:cs="Times New Roman"/>
                      <w:b/>
                      <w:bCs/>
                      <w:lang w:val="en-US" w:eastAsia="zh-CN"/>
                    </w:rPr>
                  </w:pPr>
                  <w:r>
                    <w:rPr>
                      <w:rFonts w:hint="default" w:ascii="Times New Roman" w:hAnsi="Times New Roman" w:cs="Times New Roman"/>
                      <w:b/>
                      <w:bCs/>
                      <w:lang w:val="en-US" w:eastAsia="zh-CN"/>
                    </w:rPr>
                    <w:t>通用行业涉PM要求</w:t>
                  </w:r>
                </w:p>
              </w:tc>
              <w:tc>
                <w:tcPr>
                  <w:tcW w:w="2610" w:type="dxa"/>
                  <w:noWrap w:val="0"/>
                  <w:vAlign w:val="center"/>
                </w:tcPr>
                <w:p w14:paraId="453FCC6E">
                  <w:pPr>
                    <w:pStyle w:val="62"/>
                    <w:keepNext w:val="0"/>
                    <w:keepLines w:val="0"/>
                    <w:suppressLineNumbers w:val="0"/>
                    <w:bidi w:val="0"/>
                    <w:spacing w:before="0" w:beforeAutospacing="0" w:after="0" w:afterAutospacing="0"/>
                    <w:ind w:left="0" w:right="0"/>
                    <w:jc w:val="center"/>
                    <w:rPr>
                      <w:rFonts w:hint="default" w:ascii="Times New Roman" w:hAnsi="Times New Roman" w:cs="Times New Roman"/>
                      <w:b/>
                      <w:bCs/>
                      <w:lang w:val="en-US" w:eastAsia="zh-CN"/>
                    </w:rPr>
                  </w:pPr>
                  <w:r>
                    <w:rPr>
                      <w:rFonts w:hint="default" w:ascii="Times New Roman" w:hAnsi="Times New Roman" w:cs="Times New Roman"/>
                      <w:b/>
                      <w:bCs/>
                      <w:lang w:val="en-US" w:eastAsia="zh-CN"/>
                    </w:rPr>
                    <w:t>企业对标情况</w:t>
                  </w:r>
                </w:p>
              </w:tc>
              <w:tc>
                <w:tcPr>
                  <w:tcW w:w="940" w:type="dxa"/>
                  <w:noWrap w:val="0"/>
                  <w:vAlign w:val="center"/>
                </w:tcPr>
                <w:p w14:paraId="4F0CE692">
                  <w:pPr>
                    <w:pStyle w:val="62"/>
                    <w:keepNext w:val="0"/>
                    <w:keepLines w:val="0"/>
                    <w:suppressLineNumbers w:val="0"/>
                    <w:bidi w:val="0"/>
                    <w:spacing w:before="0" w:beforeAutospacing="0" w:after="0" w:afterAutospacing="0"/>
                    <w:ind w:left="0" w:right="0"/>
                    <w:jc w:val="center"/>
                    <w:rPr>
                      <w:rFonts w:hint="default" w:ascii="Times New Roman" w:hAnsi="Times New Roman" w:cs="Times New Roman"/>
                      <w:b/>
                      <w:bCs/>
                      <w:lang w:val="en-US" w:eastAsia="zh-CN"/>
                    </w:rPr>
                  </w:pPr>
                  <w:r>
                    <w:rPr>
                      <w:rFonts w:hint="default" w:ascii="Times New Roman" w:hAnsi="Times New Roman" w:cs="Times New Roman"/>
                      <w:b/>
                      <w:bCs/>
                      <w:lang w:val="en-US" w:eastAsia="zh-CN"/>
                    </w:rPr>
                    <w:t>符合性</w:t>
                  </w:r>
                </w:p>
                <w:p w14:paraId="2C67AD15">
                  <w:pPr>
                    <w:pStyle w:val="62"/>
                    <w:keepNext w:val="0"/>
                    <w:keepLines w:val="0"/>
                    <w:suppressLineNumbers w:val="0"/>
                    <w:bidi w:val="0"/>
                    <w:spacing w:before="0" w:beforeAutospacing="0" w:after="0" w:afterAutospacing="0"/>
                    <w:ind w:left="0" w:right="0"/>
                    <w:jc w:val="center"/>
                    <w:rPr>
                      <w:rFonts w:hint="default" w:ascii="Times New Roman" w:hAnsi="Times New Roman" w:cs="Times New Roman"/>
                      <w:b/>
                      <w:bCs/>
                      <w:lang w:val="en-US" w:eastAsia="zh-CN"/>
                    </w:rPr>
                  </w:pPr>
                  <w:r>
                    <w:rPr>
                      <w:rFonts w:hint="default" w:ascii="Times New Roman" w:hAnsi="Times New Roman" w:cs="Times New Roman"/>
                      <w:b/>
                      <w:bCs/>
                      <w:lang w:val="en-US" w:eastAsia="zh-CN"/>
                    </w:rPr>
                    <w:t>分析</w:t>
                  </w:r>
                </w:p>
              </w:tc>
            </w:tr>
            <w:tr w14:paraId="1DCC4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1216" w:type="dxa"/>
                  <w:gridSpan w:val="2"/>
                  <w:noWrap w:val="0"/>
                  <w:vAlign w:val="center"/>
                </w:tcPr>
                <w:p w14:paraId="14792728">
                  <w:pPr>
                    <w:pStyle w:val="62"/>
                    <w:keepNext w:val="0"/>
                    <w:keepLines w:val="0"/>
                    <w:suppressLineNumbers w:val="0"/>
                    <w:bidi w:val="0"/>
                    <w:spacing w:before="0" w:beforeAutospacing="0" w:after="0" w:afterAutospacing="0"/>
                    <w:ind w:left="0" w:right="0"/>
                    <w:jc w:val="center"/>
                    <w:rPr>
                      <w:rFonts w:hint="default" w:ascii="Times New Roman" w:hAnsi="Times New Roman" w:cs="Times New Roman"/>
                      <w:b/>
                      <w:bCs/>
                      <w:lang w:val="en-US" w:eastAsia="zh-CN"/>
                    </w:rPr>
                  </w:pPr>
                  <w:r>
                    <w:rPr>
                      <w:rFonts w:hint="eastAsia" w:cs="Times New Roman"/>
                      <w:b w:val="0"/>
                      <w:bCs w:val="0"/>
                      <w:lang w:val="en-US" w:eastAsia="zh-CN"/>
                    </w:rPr>
                    <w:t>生产工艺和装备</w:t>
                  </w:r>
                </w:p>
              </w:tc>
              <w:tc>
                <w:tcPr>
                  <w:tcW w:w="3304" w:type="dxa"/>
                  <w:noWrap w:val="0"/>
                  <w:vAlign w:val="center"/>
                </w:tcPr>
                <w:p w14:paraId="34B03267">
                  <w:pPr>
                    <w:pStyle w:val="62"/>
                    <w:keepNext w:val="0"/>
                    <w:keepLines w:val="0"/>
                    <w:suppressLineNumbers w:val="0"/>
                    <w:bidi w:val="0"/>
                    <w:spacing w:before="0" w:beforeAutospacing="0" w:after="0" w:afterAutospacing="0"/>
                    <w:ind w:left="0" w:right="0"/>
                    <w:jc w:val="center"/>
                    <w:rPr>
                      <w:rFonts w:hint="default" w:ascii="Times New Roman" w:hAnsi="Times New Roman" w:cs="Times New Roman"/>
                      <w:b/>
                      <w:bCs/>
                      <w:lang w:val="en-US" w:eastAsia="zh-CN"/>
                    </w:rPr>
                  </w:pPr>
                  <w:r>
                    <w:rPr>
                      <w:rFonts w:hint="default" w:ascii="Times New Roman" w:hAnsi="Times New Roman" w:cs="Times New Roman"/>
                      <w:b w:val="0"/>
                      <w:bCs w:val="0"/>
                      <w:lang w:val="en-US" w:eastAsia="zh-CN"/>
                    </w:rPr>
                    <w:t>不属于《产业结构调整指导目录（2024年版）》淘汰类，不属于省级和市级政府部门明确列入已经限期淘汰类项目</w:t>
                  </w:r>
                  <w:r>
                    <w:rPr>
                      <w:rFonts w:hint="eastAsia" w:cs="Times New Roman"/>
                      <w:b w:val="0"/>
                      <w:bCs w:val="0"/>
                      <w:lang w:val="en-US" w:eastAsia="zh-CN"/>
                    </w:rPr>
                    <w:t>。</w:t>
                  </w:r>
                </w:p>
              </w:tc>
              <w:tc>
                <w:tcPr>
                  <w:tcW w:w="2610" w:type="dxa"/>
                  <w:noWrap w:val="0"/>
                  <w:vAlign w:val="center"/>
                </w:tcPr>
                <w:p w14:paraId="2671802D">
                  <w:pPr>
                    <w:pStyle w:val="62"/>
                    <w:keepNext w:val="0"/>
                    <w:keepLines w:val="0"/>
                    <w:suppressLineNumbers w:val="0"/>
                    <w:bidi w:val="0"/>
                    <w:spacing w:before="0" w:beforeAutospacing="0" w:after="0" w:afterAutospacing="0"/>
                    <w:ind w:left="0" w:right="0"/>
                    <w:jc w:val="center"/>
                    <w:rPr>
                      <w:rFonts w:hint="default" w:ascii="Times New Roman" w:hAnsi="Times New Roman" w:cs="Times New Roman"/>
                      <w:b/>
                      <w:bCs/>
                      <w:lang w:val="en-US" w:eastAsia="zh-CN"/>
                    </w:rPr>
                  </w:pPr>
                  <w:r>
                    <w:rPr>
                      <w:rFonts w:hint="eastAsia" w:cs="Times New Roman"/>
                      <w:b w:val="0"/>
                      <w:bCs w:val="0"/>
                      <w:lang w:val="en-US" w:eastAsia="zh-CN"/>
                    </w:rPr>
                    <w:t>本项目属于</w:t>
                  </w:r>
                  <w:r>
                    <w:rPr>
                      <w:rFonts w:hint="default" w:ascii="Times New Roman" w:hAnsi="Times New Roman" w:cs="Times New Roman"/>
                      <w:b w:val="0"/>
                      <w:bCs w:val="0"/>
                      <w:lang w:val="en-US" w:eastAsia="zh-CN"/>
                    </w:rPr>
                    <w:t>《产业结构调整指导目录（2024年版）》</w:t>
                  </w:r>
                  <w:r>
                    <w:rPr>
                      <w:rFonts w:hint="eastAsia" w:cs="Times New Roman"/>
                      <w:b w:val="0"/>
                      <w:bCs w:val="0"/>
                      <w:lang w:val="en-US" w:eastAsia="zh-CN"/>
                    </w:rPr>
                    <w:t>鼓励</w:t>
                  </w:r>
                  <w:r>
                    <w:rPr>
                      <w:rFonts w:hint="default" w:ascii="Times New Roman" w:hAnsi="Times New Roman" w:cs="Times New Roman"/>
                      <w:b w:val="0"/>
                      <w:bCs w:val="0"/>
                      <w:lang w:val="en-US" w:eastAsia="zh-CN"/>
                    </w:rPr>
                    <w:t>类</w:t>
                  </w:r>
                  <w:r>
                    <w:rPr>
                      <w:rFonts w:hint="eastAsia" w:cs="Times New Roman"/>
                      <w:b w:val="0"/>
                      <w:bCs w:val="0"/>
                      <w:lang w:val="en-US" w:eastAsia="zh-CN"/>
                    </w:rPr>
                    <w:t>项目。</w:t>
                  </w:r>
                </w:p>
              </w:tc>
              <w:tc>
                <w:tcPr>
                  <w:tcW w:w="940" w:type="dxa"/>
                  <w:noWrap w:val="0"/>
                  <w:vAlign w:val="center"/>
                </w:tcPr>
                <w:p w14:paraId="1DD721A0">
                  <w:pPr>
                    <w:pStyle w:val="62"/>
                    <w:keepNext w:val="0"/>
                    <w:keepLines w:val="0"/>
                    <w:suppressLineNumbers w:val="0"/>
                    <w:bidi w:val="0"/>
                    <w:spacing w:before="0" w:beforeAutospacing="0" w:after="0" w:afterAutospacing="0"/>
                    <w:ind w:left="0" w:right="0"/>
                    <w:jc w:val="center"/>
                    <w:rPr>
                      <w:rFonts w:hint="default" w:ascii="Times New Roman" w:hAnsi="Times New Roman" w:cs="Times New Roman"/>
                      <w:b/>
                      <w:bCs/>
                      <w:lang w:val="en-US" w:eastAsia="zh-CN"/>
                    </w:rPr>
                  </w:pPr>
                  <w:r>
                    <w:rPr>
                      <w:rFonts w:hint="eastAsia" w:cs="Times New Roman"/>
                      <w:b w:val="0"/>
                      <w:bCs w:val="0"/>
                      <w:lang w:val="en-US" w:eastAsia="zh-CN"/>
                    </w:rPr>
                    <w:t>符合</w:t>
                  </w:r>
                </w:p>
              </w:tc>
            </w:tr>
            <w:tr w14:paraId="453EC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1216" w:type="dxa"/>
                  <w:gridSpan w:val="2"/>
                  <w:noWrap w:val="0"/>
                  <w:vAlign w:val="center"/>
                </w:tcPr>
                <w:p w14:paraId="6BF2CA12">
                  <w:pPr>
                    <w:pStyle w:val="62"/>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物料装卸</w:t>
                  </w:r>
                </w:p>
              </w:tc>
              <w:tc>
                <w:tcPr>
                  <w:tcW w:w="3304" w:type="dxa"/>
                  <w:noWrap w:val="0"/>
                  <w:vAlign w:val="center"/>
                </w:tcPr>
                <w:p w14:paraId="354908D7">
                  <w:pPr>
                    <w:pStyle w:val="62"/>
                    <w:keepNext w:val="0"/>
                    <w:keepLines w:val="0"/>
                    <w:numPr>
                      <w:ilvl w:val="0"/>
                      <w:numId w:val="0"/>
                    </w:numPr>
                    <w:suppressLineNumbers w:val="0"/>
                    <w:bidi w:val="0"/>
                    <w:spacing w:before="0" w:beforeAutospacing="0" w:after="0" w:afterAutospacing="0"/>
                    <w:ind w:right="0" w:rightChars="0"/>
                    <w:jc w:val="both"/>
                    <w:rPr>
                      <w:rFonts w:hint="default" w:ascii="Times New Roman" w:hAnsi="Times New Roman" w:cs="Times New Roman"/>
                      <w:lang w:val="en-US" w:eastAsia="zh-CN"/>
                    </w:rPr>
                  </w:pPr>
                  <w:r>
                    <w:rPr>
                      <w:rFonts w:hint="eastAsia" w:cs="Times New Roman"/>
                      <w:sz w:val="21"/>
                      <w:szCs w:val="21"/>
                      <w:lang w:val="en-US" w:eastAsia="zh-CN"/>
                    </w:rPr>
                    <w:t>1.</w:t>
                  </w:r>
                  <w:r>
                    <w:rPr>
                      <w:rFonts w:hint="default" w:ascii="Times New Roman" w:hAnsi="Times New Roman" w:eastAsia="宋体" w:cs="Times New Roman"/>
                      <w:sz w:val="21"/>
                      <w:szCs w:val="21"/>
                    </w:rPr>
                    <w:t>车辆运输的物料应采取封闭措施。粉状、粒状、块状散装物料在封闭料场内装卸，装卸过程中产尘点应设置集气除尘装置，料堆应采取有效抑尘措施</w:t>
                  </w:r>
                  <w:r>
                    <w:rPr>
                      <w:rFonts w:hint="eastAsia" w:cs="Times New Roman"/>
                      <w:sz w:val="21"/>
                      <w:szCs w:val="21"/>
                      <w:lang w:eastAsia="zh-CN"/>
                    </w:rPr>
                    <w:t>；</w:t>
                  </w:r>
                </w:p>
                <w:p w14:paraId="599FB018">
                  <w:pPr>
                    <w:pStyle w:val="62"/>
                    <w:keepNext w:val="0"/>
                    <w:keepLines w:val="0"/>
                    <w:numPr>
                      <w:ilvl w:val="0"/>
                      <w:numId w:val="0"/>
                    </w:numPr>
                    <w:suppressLineNumbers w:val="0"/>
                    <w:bidi w:val="0"/>
                    <w:spacing w:before="0" w:beforeAutospacing="0" w:after="0" w:afterAutospacing="0"/>
                    <w:ind w:right="0" w:rightChars="0"/>
                    <w:jc w:val="both"/>
                    <w:rPr>
                      <w:rFonts w:hint="default" w:ascii="Times New Roman" w:hAnsi="Times New Roman" w:cs="Times New Roman"/>
                      <w:lang w:val="en-US" w:eastAsia="zh-CN"/>
                    </w:rPr>
                  </w:pPr>
                  <w:r>
                    <w:rPr>
                      <w:rFonts w:hint="eastAsia" w:cs="Times New Roman"/>
                      <w:sz w:val="21"/>
                      <w:szCs w:val="21"/>
                      <w:lang w:val="en-US" w:eastAsia="zh-CN"/>
                    </w:rPr>
                    <w:t>2.</w:t>
                  </w:r>
                  <w:r>
                    <w:rPr>
                      <w:rFonts w:hint="default" w:ascii="Times New Roman" w:hAnsi="Times New Roman" w:eastAsia="宋体" w:cs="Times New Roman"/>
                      <w:sz w:val="21"/>
                      <w:szCs w:val="21"/>
                    </w:rPr>
                    <w:t>不易产尘的袋装物料宜在料棚中装卸，如需露天装卸应采取防止破袋及粉尘外逸措施。</w:t>
                  </w:r>
                </w:p>
              </w:tc>
              <w:tc>
                <w:tcPr>
                  <w:tcW w:w="2610" w:type="dxa"/>
                  <w:noWrap w:val="0"/>
                  <w:vAlign w:val="center"/>
                </w:tcPr>
                <w:p w14:paraId="32B165EE">
                  <w:pPr>
                    <w:pStyle w:val="62"/>
                    <w:keepNext w:val="0"/>
                    <w:keepLines w:val="0"/>
                    <w:numPr>
                      <w:ilvl w:val="0"/>
                      <w:numId w:val="0"/>
                    </w:numPr>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eastAsia" w:asciiTheme="minorEastAsia" w:hAnsiTheme="minorEastAsia" w:eastAsiaTheme="minorEastAsia" w:cstheme="minorEastAsia"/>
                      <w:b w:val="0"/>
                      <w:bCs w:val="0"/>
                      <w:color w:val="auto"/>
                      <w:szCs w:val="21"/>
                      <w:u w:val="none"/>
                    </w:rPr>
                    <w:t>本项目</w:t>
                  </w:r>
                  <w:r>
                    <w:rPr>
                      <w:rFonts w:hint="eastAsia" w:asciiTheme="minorEastAsia" w:hAnsiTheme="minorEastAsia" w:eastAsiaTheme="minorEastAsia" w:cstheme="minorEastAsia"/>
                      <w:b w:val="0"/>
                      <w:bCs w:val="0"/>
                      <w:color w:val="auto"/>
                      <w:u w:val="none"/>
                      <w:lang w:val="en-US" w:eastAsia="zh-CN"/>
                    </w:rPr>
                    <w:t>不涉及物料装卸。</w:t>
                  </w:r>
                </w:p>
              </w:tc>
              <w:tc>
                <w:tcPr>
                  <w:tcW w:w="940" w:type="dxa"/>
                  <w:noWrap w:val="0"/>
                  <w:vAlign w:val="center"/>
                </w:tcPr>
                <w:p w14:paraId="70E0F87F">
                  <w:pPr>
                    <w:pStyle w:val="62"/>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符合</w:t>
                  </w:r>
                </w:p>
              </w:tc>
            </w:tr>
            <w:tr w14:paraId="7E685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7" w:hRule="atLeast"/>
                <w:jc w:val="center"/>
              </w:trPr>
              <w:tc>
                <w:tcPr>
                  <w:tcW w:w="1216" w:type="dxa"/>
                  <w:gridSpan w:val="2"/>
                  <w:noWrap w:val="0"/>
                  <w:vAlign w:val="center"/>
                </w:tcPr>
                <w:p w14:paraId="7CEE687A">
                  <w:pPr>
                    <w:pStyle w:val="62"/>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物料储存</w:t>
                  </w:r>
                </w:p>
              </w:tc>
              <w:tc>
                <w:tcPr>
                  <w:tcW w:w="3304" w:type="dxa"/>
                  <w:noWrap w:val="0"/>
                  <w:vAlign w:val="center"/>
                </w:tcPr>
                <w:p w14:paraId="12288A5A">
                  <w:pPr>
                    <w:pStyle w:val="62"/>
                    <w:keepNext w:val="0"/>
                    <w:keepLines w:val="0"/>
                    <w:numPr>
                      <w:ilvl w:val="0"/>
                      <w:numId w:val="0"/>
                    </w:numPr>
                    <w:suppressLineNumbers w:val="0"/>
                    <w:bidi w:val="0"/>
                    <w:spacing w:before="0" w:beforeAutospacing="0" w:after="0" w:afterAutospacing="0"/>
                    <w:ind w:right="0" w:rightChars="0"/>
                    <w:jc w:val="both"/>
                    <w:rPr>
                      <w:rFonts w:hint="default" w:ascii="Times New Roman" w:hAnsi="Times New Roman" w:eastAsia="宋体" w:cs="Times New Roman"/>
                      <w:sz w:val="21"/>
                      <w:szCs w:val="21"/>
                    </w:rPr>
                  </w:pPr>
                  <w:r>
                    <w:rPr>
                      <w:rFonts w:hint="default" w:ascii="Times New Roman" w:hAnsi="Times New Roman" w:cs="Times New Roman"/>
                      <w:sz w:val="21"/>
                      <w:szCs w:val="21"/>
                      <w:lang w:val="en-US" w:eastAsia="zh-CN"/>
                    </w:rPr>
                    <w:t>1.</w:t>
                  </w:r>
                  <w:r>
                    <w:rPr>
                      <w:rFonts w:hint="default" w:ascii="Times New Roman" w:hAnsi="Times New Roman" w:eastAsia="宋体" w:cs="Times New Roman"/>
                      <w:sz w:val="21"/>
                      <w:szCs w:val="21"/>
                    </w:rPr>
                    <w:t>一般物料。粉状物料应储存于密闭/封闭料仓中；粒状、块状物料应储存于封闭料场中，并采取喷淋、清扫或其他有效抑尘措施；袋装物料应储存于封闭/半封闭料场中。封闭料场顶棚和四周围墙完整，料场内路面全部硬化，料场货物进出大门为硬质材料门或自动感应门，在确保安全的情况下，所有门窗保持常闭状态。不产尘物料（如钢材、管件）及产品如露天储存应在规定的存储区域码放整齐</w:t>
                  </w:r>
                  <w:r>
                    <w:rPr>
                      <w:rFonts w:hint="default" w:ascii="Times New Roman" w:hAnsi="Times New Roman" w:cs="Times New Roman"/>
                      <w:sz w:val="21"/>
                      <w:szCs w:val="21"/>
                      <w:lang w:eastAsia="zh-CN"/>
                    </w:rPr>
                    <w:t>；</w:t>
                  </w:r>
                </w:p>
                <w:p w14:paraId="2BC0A1C3">
                  <w:pPr>
                    <w:pStyle w:val="62"/>
                    <w:keepNext w:val="0"/>
                    <w:keepLines w:val="0"/>
                    <w:numPr>
                      <w:ilvl w:val="0"/>
                      <w:numId w:val="0"/>
                    </w:numPr>
                    <w:suppressLineNumbers w:val="0"/>
                    <w:bidi w:val="0"/>
                    <w:spacing w:before="0" w:beforeAutospacing="0" w:after="0" w:afterAutospacing="0"/>
                    <w:ind w:right="0" w:rightChars="0"/>
                    <w:jc w:val="both"/>
                    <w:rPr>
                      <w:rFonts w:hint="default" w:ascii="Times New Roman" w:hAnsi="Times New Roman" w:cs="Times New Roman"/>
                      <w:lang w:val="en-US" w:eastAsia="zh-CN"/>
                    </w:rPr>
                  </w:pPr>
                  <w:r>
                    <w:rPr>
                      <w:rFonts w:hint="default" w:ascii="Times New Roman" w:hAnsi="Times New Roman" w:cs="Times New Roman"/>
                      <w:sz w:val="21"/>
                      <w:szCs w:val="21"/>
                      <w:lang w:val="en-US" w:eastAsia="zh-CN"/>
                    </w:rPr>
                    <w:t>2.危险废物。应有符合规范要求的危险废物储存间，危险废物储存间门口应张贴标准规范的危险废物标识和危废信息板，建立台账并挂于危废间内，危险废物管理台账和危险废物转移情况信息表保存 5 年以上。危废间内禁止存放除危险废物和应急工具外的其他物品。涉大气污染物排放的，应设置对应污染治理设施。</w:t>
                  </w:r>
                </w:p>
              </w:tc>
              <w:tc>
                <w:tcPr>
                  <w:tcW w:w="2610" w:type="dxa"/>
                  <w:noWrap w:val="0"/>
                  <w:vAlign w:val="center"/>
                </w:tcPr>
                <w:p w14:paraId="705FD1C4">
                  <w:pPr>
                    <w:pStyle w:val="62"/>
                    <w:keepNext w:val="0"/>
                    <w:keepLines w:val="0"/>
                    <w:numPr>
                      <w:ilvl w:val="0"/>
                      <w:numId w:val="0"/>
                    </w:numPr>
                    <w:suppressLineNumbers w:val="0"/>
                    <w:bidi w:val="0"/>
                    <w:spacing w:before="0" w:beforeAutospacing="0" w:after="0" w:afterAutospacing="0"/>
                    <w:ind w:left="0" w:right="0"/>
                    <w:jc w:val="center"/>
                    <w:rPr>
                      <w:rFonts w:hint="default" w:ascii="Times New Roman" w:hAnsi="Times New Roman" w:cs="Times New Roman" w:eastAsiaTheme="minorEastAsia"/>
                      <w:b w:val="0"/>
                      <w:bCs w:val="0"/>
                      <w:color w:val="auto"/>
                      <w:szCs w:val="21"/>
                      <w:u w:val="none"/>
                      <w:lang w:val="en-US" w:eastAsia="zh-CN"/>
                    </w:rPr>
                  </w:pPr>
                  <w:r>
                    <w:rPr>
                      <w:rFonts w:hint="default" w:ascii="Times New Roman" w:hAnsi="Times New Roman" w:cs="Times New Roman"/>
                      <w:lang w:val="en-US" w:eastAsia="zh-CN"/>
                    </w:rPr>
                    <w:t>1.</w:t>
                  </w:r>
                  <w:r>
                    <w:rPr>
                      <w:rFonts w:hint="default" w:ascii="Times New Roman" w:hAnsi="Times New Roman" w:cs="Times New Roman" w:eastAsiaTheme="minorEastAsia"/>
                      <w:b w:val="0"/>
                      <w:bCs w:val="0"/>
                      <w:color w:val="auto"/>
                      <w:szCs w:val="21"/>
                      <w:u w:val="none"/>
                      <w:lang w:val="en-US" w:eastAsia="zh-CN"/>
                    </w:rPr>
                    <w:t>本项目不涉及粉状、粒状、块状物料储存；</w:t>
                  </w:r>
                </w:p>
                <w:p w14:paraId="75B27424">
                  <w:pPr>
                    <w:pStyle w:val="62"/>
                    <w:keepNext w:val="0"/>
                    <w:keepLines w:val="0"/>
                    <w:numPr>
                      <w:ilvl w:val="0"/>
                      <w:numId w:val="0"/>
                    </w:numPr>
                    <w:suppressLineNumbers w:val="0"/>
                    <w:bidi w:val="0"/>
                    <w:spacing w:before="0" w:beforeAutospacing="0" w:after="0" w:afterAutospacing="0"/>
                    <w:ind w:left="0" w:right="0"/>
                    <w:jc w:val="center"/>
                    <w:rPr>
                      <w:rFonts w:hint="default" w:ascii="Times New Roman" w:hAnsi="Times New Roman" w:cs="Times New Roman" w:eastAsiaTheme="minorEastAsia"/>
                      <w:b w:val="0"/>
                      <w:bCs w:val="0"/>
                      <w:color w:val="auto"/>
                      <w:szCs w:val="21"/>
                      <w:u w:val="none"/>
                      <w:lang w:val="en-US" w:eastAsia="zh-CN"/>
                    </w:rPr>
                  </w:pPr>
                  <w:r>
                    <w:rPr>
                      <w:rFonts w:hint="default" w:ascii="Times New Roman" w:hAnsi="Times New Roman" w:cs="Times New Roman" w:eastAsiaTheme="minorEastAsia"/>
                      <w:b w:val="0"/>
                      <w:bCs w:val="0"/>
                      <w:color w:val="auto"/>
                      <w:szCs w:val="21"/>
                      <w:u w:val="none"/>
                      <w:lang w:val="en-US" w:eastAsia="zh-CN"/>
                    </w:rPr>
                    <w:t>2.</w:t>
                  </w:r>
                  <w:r>
                    <w:rPr>
                      <w:rFonts w:hint="default" w:ascii="Times New Roman" w:hAnsi="Times New Roman" w:cs="Times New Roman" w:eastAsiaTheme="minorEastAsia"/>
                      <w:b w:val="0"/>
                      <w:bCs w:val="0"/>
                      <w:color w:val="auto"/>
                      <w:szCs w:val="21"/>
                      <w:u w:val="none"/>
                    </w:rPr>
                    <w:t>本项目设置规范危险废物暂存间，危险废物储存间门口张贴标准规范的危险废物标识和危废信息板，建立台账并挂于危废间内，危险废物的记录和货单保存</w:t>
                  </w:r>
                  <w:r>
                    <w:rPr>
                      <w:rFonts w:hint="default" w:ascii="Times New Roman" w:hAnsi="Times New Roman" w:cs="Times New Roman" w:eastAsiaTheme="minorEastAsia"/>
                      <w:b w:val="0"/>
                      <w:bCs w:val="0"/>
                      <w:color w:val="auto"/>
                      <w:szCs w:val="21"/>
                      <w:u w:val="none"/>
                      <w:lang w:val="en-US" w:eastAsia="zh-CN"/>
                    </w:rPr>
                    <w:t>5</w:t>
                  </w:r>
                  <w:r>
                    <w:rPr>
                      <w:rFonts w:hint="default" w:ascii="Times New Roman" w:hAnsi="Times New Roman" w:cs="Times New Roman" w:eastAsiaTheme="minorEastAsia"/>
                      <w:b w:val="0"/>
                      <w:bCs w:val="0"/>
                      <w:color w:val="auto"/>
                      <w:szCs w:val="21"/>
                      <w:u w:val="none"/>
                    </w:rPr>
                    <w:t>年以上。危废间内仅存放危险废物和应急工具</w:t>
                  </w:r>
                  <w:r>
                    <w:rPr>
                      <w:rFonts w:hint="default" w:ascii="Times New Roman" w:hAnsi="Times New Roman" w:cs="Times New Roman" w:eastAsiaTheme="minorEastAsia"/>
                      <w:b w:val="0"/>
                      <w:bCs w:val="0"/>
                      <w:color w:val="auto"/>
                      <w:szCs w:val="21"/>
                      <w:u w:val="none"/>
                      <w:lang w:eastAsia="zh-CN"/>
                    </w:rPr>
                    <w:t>。</w:t>
                  </w:r>
                </w:p>
              </w:tc>
              <w:tc>
                <w:tcPr>
                  <w:tcW w:w="940" w:type="dxa"/>
                  <w:noWrap w:val="0"/>
                  <w:vAlign w:val="center"/>
                </w:tcPr>
                <w:p w14:paraId="06CB2520">
                  <w:pPr>
                    <w:pStyle w:val="62"/>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符合</w:t>
                  </w:r>
                </w:p>
              </w:tc>
            </w:tr>
            <w:tr w14:paraId="5F609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9" w:hRule="atLeast"/>
                <w:jc w:val="center"/>
              </w:trPr>
              <w:tc>
                <w:tcPr>
                  <w:tcW w:w="1216" w:type="dxa"/>
                  <w:gridSpan w:val="2"/>
                  <w:noWrap w:val="0"/>
                  <w:vAlign w:val="center"/>
                </w:tcPr>
                <w:p w14:paraId="73A9581E">
                  <w:pPr>
                    <w:pStyle w:val="62"/>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物料转移和输送</w:t>
                  </w:r>
                </w:p>
              </w:tc>
              <w:tc>
                <w:tcPr>
                  <w:tcW w:w="3304" w:type="dxa"/>
                  <w:noWrap w:val="0"/>
                  <w:vAlign w:val="center"/>
                </w:tcPr>
                <w:p w14:paraId="45B46083">
                  <w:pPr>
                    <w:pStyle w:val="62"/>
                    <w:keepNext w:val="0"/>
                    <w:keepLines w:val="0"/>
                    <w:suppressLineNumbers w:val="0"/>
                    <w:bidi w:val="0"/>
                    <w:spacing w:before="0" w:beforeAutospacing="0" w:after="0" w:afterAutospacing="0"/>
                    <w:ind w:left="0" w:right="0"/>
                    <w:jc w:val="left"/>
                    <w:rPr>
                      <w:rFonts w:hint="default" w:ascii="Times New Roman" w:hAnsi="Times New Roman" w:eastAsia="宋体" w:cs="Times New Roman"/>
                      <w:sz w:val="21"/>
                      <w:szCs w:val="21"/>
                    </w:rPr>
                  </w:pPr>
                  <w:r>
                    <w:rPr>
                      <w:rFonts w:hint="eastAsia" w:cs="Times New Roman"/>
                      <w:sz w:val="21"/>
                      <w:szCs w:val="21"/>
                      <w:lang w:val="en-US" w:eastAsia="zh-CN"/>
                    </w:rPr>
                    <w:t>1.</w:t>
                  </w:r>
                  <w:r>
                    <w:rPr>
                      <w:rFonts w:hint="default" w:ascii="Times New Roman" w:hAnsi="Times New Roman" w:eastAsia="宋体" w:cs="Times New Roman"/>
                      <w:sz w:val="21"/>
                      <w:szCs w:val="21"/>
                    </w:rPr>
                    <w:t>粉状、粒状等易产尘物料厂内转移、输送过程应采用气力输送、密闭输送，块状和粘湿粉状物料采用封闭输送；</w:t>
                  </w:r>
                </w:p>
                <w:p w14:paraId="17F50C33">
                  <w:pPr>
                    <w:pStyle w:val="62"/>
                    <w:keepNext w:val="0"/>
                    <w:keepLines w:val="0"/>
                    <w:suppressLineNumbers w:val="0"/>
                    <w:bidi w:val="0"/>
                    <w:spacing w:before="0" w:beforeAutospacing="0" w:after="0" w:afterAutospacing="0"/>
                    <w:ind w:left="0" w:right="0"/>
                    <w:jc w:val="left"/>
                    <w:rPr>
                      <w:rFonts w:hint="default" w:ascii="Times New Roman" w:hAnsi="Times New Roman" w:cs="Times New Roman"/>
                      <w:lang w:val="en-US" w:eastAsia="zh-CN"/>
                    </w:rPr>
                  </w:pPr>
                  <w:r>
                    <w:rPr>
                      <w:rFonts w:hint="eastAsia" w:cs="Times New Roman"/>
                      <w:sz w:val="21"/>
                      <w:szCs w:val="21"/>
                      <w:lang w:val="en-US" w:eastAsia="zh-CN"/>
                    </w:rPr>
                    <w:t>2.</w:t>
                  </w:r>
                  <w:r>
                    <w:rPr>
                      <w:rFonts w:hint="default" w:ascii="Times New Roman" w:hAnsi="Times New Roman" w:eastAsia="宋体" w:cs="Times New Roman"/>
                      <w:sz w:val="21"/>
                      <w:szCs w:val="21"/>
                    </w:rPr>
                    <w:t>无法封闭的产尘点（物料转载、下料口等）应采取集气除尘措施，或有效抑尘措施。</w:t>
                  </w:r>
                </w:p>
              </w:tc>
              <w:tc>
                <w:tcPr>
                  <w:tcW w:w="2610" w:type="dxa"/>
                  <w:noWrap w:val="0"/>
                  <w:vAlign w:val="center"/>
                </w:tcPr>
                <w:p w14:paraId="436F8EDD">
                  <w:pPr>
                    <w:pStyle w:val="62"/>
                    <w:keepNext w:val="0"/>
                    <w:keepLines w:val="0"/>
                    <w:numPr>
                      <w:ilvl w:val="0"/>
                      <w:numId w:val="0"/>
                    </w:numPr>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eastAsia" w:asciiTheme="minorEastAsia" w:hAnsiTheme="minorEastAsia" w:eastAsiaTheme="minorEastAsia" w:cstheme="minorEastAsia"/>
                      <w:b w:val="0"/>
                      <w:bCs w:val="0"/>
                      <w:color w:val="auto"/>
                      <w:szCs w:val="21"/>
                      <w:u w:val="none"/>
                    </w:rPr>
                    <w:t>本项目</w:t>
                  </w:r>
                  <w:r>
                    <w:rPr>
                      <w:rFonts w:hint="eastAsia" w:asciiTheme="minorEastAsia" w:hAnsiTheme="minorEastAsia" w:eastAsiaTheme="minorEastAsia" w:cstheme="minorEastAsia"/>
                      <w:b w:val="0"/>
                      <w:bCs w:val="0"/>
                      <w:color w:val="auto"/>
                      <w:szCs w:val="21"/>
                      <w:u w:val="none"/>
                      <w:lang w:val="en-US" w:eastAsia="zh-CN"/>
                    </w:rPr>
                    <w:t>原料采用管道输送</w:t>
                  </w:r>
                </w:p>
              </w:tc>
              <w:tc>
                <w:tcPr>
                  <w:tcW w:w="940" w:type="dxa"/>
                  <w:noWrap w:val="0"/>
                  <w:vAlign w:val="center"/>
                </w:tcPr>
                <w:p w14:paraId="3EA10874">
                  <w:pPr>
                    <w:pStyle w:val="62"/>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符合</w:t>
                  </w:r>
                </w:p>
              </w:tc>
            </w:tr>
            <w:tr w14:paraId="30B84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9" w:hRule="atLeast"/>
                <w:jc w:val="center"/>
              </w:trPr>
              <w:tc>
                <w:tcPr>
                  <w:tcW w:w="1216" w:type="dxa"/>
                  <w:gridSpan w:val="2"/>
                  <w:shd w:val="clear" w:color="auto" w:fill="auto"/>
                  <w:noWrap w:val="0"/>
                  <w:vAlign w:val="center"/>
                </w:tcPr>
                <w:p w14:paraId="0D418D3C">
                  <w:pPr>
                    <w:pStyle w:val="62"/>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rPr>
                    <w:t>工</w:t>
                  </w:r>
                  <w:r>
                    <w:rPr>
                      <w:rFonts w:hint="default" w:ascii="Times New Roman" w:hAnsi="Times New Roman" w:cs="Times New Roman"/>
                      <w:highlight w:val="none"/>
                    </w:rPr>
                    <w:t>艺过程</w:t>
                  </w:r>
                </w:p>
              </w:tc>
              <w:tc>
                <w:tcPr>
                  <w:tcW w:w="3304" w:type="dxa"/>
                  <w:shd w:val="clear" w:color="auto" w:fill="auto"/>
                  <w:noWrap w:val="0"/>
                  <w:vAlign w:val="center"/>
                </w:tcPr>
                <w:p w14:paraId="3308E442">
                  <w:pPr>
                    <w:pStyle w:val="62"/>
                    <w:keepNext w:val="0"/>
                    <w:keepLines w:val="0"/>
                    <w:suppressLineNumbers w:val="0"/>
                    <w:bidi w:val="0"/>
                    <w:spacing w:before="0" w:beforeAutospacing="0" w:after="0" w:afterAutospacing="0"/>
                    <w:ind w:left="0" w:leftChars="0" w:right="0" w:rightChars="0"/>
                    <w:jc w:val="left"/>
                    <w:rPr>
                      <w:rFonts w:hint="eastAsia" w:cs="Times New Roman"/>
                      <w:sz w:val="21"/>
                      <w:szCs w:val="21"/>
                      <w:lang w:eastAsia="zh-CN"/>
                    </w:rPr>
                  </w:pPr>
                  <w:r>
                    <w:rPr>
                      <w:rFonts w:hint="eastAsia" w:cs="Times New Roman"/>
                      <w:sz w:val="21"/>
                      <w:szCs w:val="21"/>
                      <w:lang w:val="en-US" w:eastAsia="zh-CN"/>
                    </w:rPr>
                    <w:t>1.</w:t>
                  </w:r>
                  <w:r>
                    <w:rPr>
                      <w:rFonts w:hint="default" w:ascii="Times New Roman" w:hAnsi="Times New Roman" w:eastAsia="宋体" w:cs="Times New Roman"/>
                      <w:sz w:val="21"/>
                      <w:szCs w:val="21"/>
                    </w:rPr>
                    <w:t>各种物料破碎、筛分、配料、混料等过程应在封闭厂房内进行，并采取局部收尘/抑尘措施</w:t>
                  </w:r>
                  <w:r>
                    <w:rPr>
                      <w:rFonts w:hint="eastAsia" w:cs="Times New Roman"/>
                      <w:sz w:val="21"/>
                      <w:szCs w:val="21"/>
                      <w:lang w:eastAsia="zh-CN"/>
                    </w:rPr>
                    <w:t>；</w:t>
                  </w:r>
                </w:p>
                <w:p w14:paraId="36493DC3">
                  <w:pPr>
                    <w:pStyle w:val="62"/>
                    <w:keepNext w:val="0"/>
                    <w:keepLines w:val="0"/>
                    <w:suppressLineNumbers w:val="0"/>
                    <w:bidi w:val="0"/>
                    <w:spacing w:before="0" w:beforeAutospacing="0" w:after="0" w:afterAutospacing="0"/>
                    <w:ind w:left="0" w:leftChars="0" w:right="0" w:rightChars="0"/>
                    <w:jc w:val="left"/>
                    <w:rPr>
                      <w:rFonts w:hint="eastAsia" w:ascii="Times New Roman" w:hAnsi="Times New Roman" w:eastAsia="宋体" w:cs="Times New Roman"/>
                      <w:color w:val="000000"/>
                      <w:kern w:val="2"/>
                      <w:sz w:val="21"/>
                      <w:szCs w:val="21"/>
                      <w:lang w:val="en-US" w:eastAsia="zh-CN" w:bidi="ar-SA"/>
                    </w:rPr>
                  </w:pPr>
                  <w:r>
                    <w:rPr>
                      <w:rFonts w:hint="eastAsia" w:cs="Times New Roman"/>
                      <w:sz w:val="21"/>
                      <w:szCs w:val="21"/>
                      <w:lang w:val="en-US" w:eastAsia="zh-CN"/>
                    </w:rPr>
                    <w:t>2.</w:t>
                  </w:r>
                  <w:r>
                    <w:rPr>
                      <w:rFonts w:hint="default" w:ascii="Times New Roman" w:hAnsi="Times New Roman" w:eastAsia="宋体" w:cs="Times New Roman"/>
                      <w:sz w:val="21"/>
                      <w:szCs w:val="21"/>
                    </w:rPr>
                    <w:t>破碎筛分设备在进、出料口和配料混料过程等产尘点应设置集气除尘设施。</w:t>
                  </w:r>
                </w:p>
              </w:tc>
              <w:tc>
                <w:tcPr>
                  <w:tcW w:w="2610" w:type="dxa"/>
                  <w:shd w:val="clear" w:color="auto" w:fill="auto"/>
                  <w:noWrap w:val="0"/>
                  <w:vAlign w:val="center"/>
                </w:tcPr>
                <w:p w14:paraId="35543CA9">
                  <w:pPr>
                    <w:pStyle w:val="62"/>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eastAsia" w:asciiTheme="minorEastAsia" w:hAnsiTheme="minorEastAsia" w:eastAsiaTheme="minorEastAsia" w:cstheme="minorEastAsia"/>
                      <w:b w:val="0"/>
                      <w:bCs w:val="0"/>
                      <w:color w:val="auto"/>
                      <w:u w:val="none"/>
                    </w:rPr>
                    <w:t>本项目</w:t>
                  </w:r>
                  <w:r>
                    <w:rPr>
                      <w:rFonts w:hint="eastAsia" w:asciiTheme="minorEastAsia" w:hAnsiTheme="minorEastAsia" w:eastAsiaTheme="minorEastAsia" w:cstheme="minorEastAsia"/>
                      <w:b w:val="0"/>
                      <w:bCs w:val="0"/>
                      <w:color w:val="auto"/>
                      <w:u w:val="none"/>
                      <w:lang w:val="en-US" w:eastAsia="zh-CN"/>
                    </w:rPr>
                    <w:t>生产工艺过程不产生粉尘，在机组产生的废气外排时会有颗粒物外排。</w:t>
                  </w:r>
                </w:p>
              </w:tc>
              <w:tc>
                <w:tcPr>
                  <w:tcW w:w="940" w:type="dxa"/>
                  <w:noWrap w:val="0"/>
                  <w:vAlign w:val="center"/>
                </w:tcPr>
                <w:p w14:paraId="45C64309">
                  <w:pPr>
                    <w:pStyle w:val="62"/>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eastAsia" w:cs="Times New Roman"/>
                      <w:lang w:val="en-US" w:eastAsia="zh-CN"/>
                    </w:rPr>
                    <w:t>符合</w:t>
                  </w:r>
                </w:p>
              </w:tc>
            </w:tr>
            <w:tr w14:paraId="4FE32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216" w:type="dxa"/>
                  <w:gridSpan w:val="2"/>
                  <w:noWrap w:val="0"/>
                  <w:vAlign w:val="center"/>
                </w:tcPr>
                <w:p w14:paraId="6A78F21C">
                  <w:pPr>
                    <w:pStyle w:val="62"/>
                    <w:keepNext w:val="0"/>
                    <w:keepLines w:val="0"/>
                    <w:suppressLineNumbers w:val="0"/>
                    <w:bidi w:val="0"/>
                    <w:spacing w:before="0" w:beforeAutospacing="0" w:after="0" w:afterAutospacing="0"/>
                    <w:ind w:left="0" w:right="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成品包装</w:t>
                  </w:r>
                </w:p>
              </w:tc>
              <w:tc>
                <w:tcPr>
                  <w:tcW w:w="3304" w:type="dxa"/>
                  <w:noWrap w:val="0"/>
                  <w:vAlign w:val="center"/>
                </w:tcPr>
                <w:p w14:paraId="54B3EC17">
                  <w:pPr>
                    <w:pStyle w:val="62"/>
                    <w:keepNext w:val="0"/>
                    <w:keepLines w:val="0"/>
                    <w:suppressLineNumbers w:val="0"/>
                    <w:bidi w:val="0"/>
                    <w:spacing w:before="0" w:beforeAutospacing="0" w:after="0" w:afterAutospacing="0"/>
                    <w:ind w:left="0" w:right="0"/>
                    <w:jc w:val="left"/>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1.粉状、粒状产品包装卸料口应完全封闭，如不能封闭应采取局部集气除尘措施。卸料口地面应及时清扫，地面无明显积尘；</w:t>
                  </w:r>
                </w:p>
                <w:p w14:paraId="27C70DDB">
                  <w:pPr>
                    <w:pStyle w:val="62"/>
                    <w:keepNext w:val="0"/>
                    <w:keepLines w:val="0"/>
                    <w:suppressLineNumbers w:val="0"/>
                    <w:bidi w:val="0"/>
                    <w:spacing w:before="0" w:beforeAutospacing="0" w:after="0" w:afterAutospacing="0"/>
                    <w:ind w:left="0" w:right="0"/>
                    <w:jc w:val="left"/>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2.各生产工序的车间地面干净，无积料、积灰现象；</w:t>
                  </w:r>
                </w:p>
                <w:p w14:paraId="536D5579">
                  <w:pPr>
                    <w:pStyle w:val="62"/>
                    <w:keepNext w:val="0"/>
                    <w:keepLines w:val="0"/>
                    <w:suppressLineNumbers w:val="0"/>
                    <w:bidi w:val="0"/>
                    <w:spacing w:before="0" w:beforeAutospacing="0" w:after="0" w:afterAutospacing="0"/>
                    <w:ind w:left="0" w:right="0"/>
                    <w:jc w:val="left"/>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3.生产车间不得有可见烟（粉）尘外逸。</w:t>
                  </w:r>
                </w:p>
              </w:tc>
              <w:tc>
                <w:tcPr>
                  <w:tcW w:w="2610" w:type="dxa"/>
                  <w:noWrap w:val="0"/>
                  <w:vAlign w:val="center"/>
                </w:tcPr>
                <w:p w14:paraId="6ED6A470">
                  <w:pPr>
                    <w:pStyle w:val="62"/>
                    <w:keepNext w:val="0"/>
                    <w:keepLines w:val="0"/>
                    <w:numPr>
                      <w:ilvl w:val="0"/>
                      <w:numId w:val="0"/>
                    </w:numPr>
                    <w:suppressLineNumbers w:val="0"/>
                    <w:bidi w:val="0"/>
                    <w:spacing w:before="0" w:beforeAutospacing="0" w:after="0" w:afterAutospacing="0"/>
                    <w:ind w:left="0" w:right="0"/>
                    <w:jc w:val="center"/>
                    <w:rPr>
                      <w:rFonts w:hint="eastAsia" w:ascii="Times New Roman" w:hAnsi="Times New Roman" w:eastAsia="宋体" w:cs="Times New Roman"/>
                      <w:highlight w:val="none"/>
                      <w:lang w:val="en-US" w:eastAsia="zh-CN"/>
                    </w:rPr>
                  </w:pPr>
                  <w:r>
                    <w:rPr>
                      <w:rFonts w:hint="eastAsia" w:asciiTheme="minorEastAsia" w:hAnsiTheme="minorEastAsia" w:eastAsiaTheme="minorEastAsia" w:cstheme="minorEastAsia"/>
                      <w:b w:val="0"/>
                      <w:bCs w:val="0"/>
                      <w:color w:val="auto"/>
                      <w:szCs w:val="21"/>
                      <w:u w:val="none"/>
                    </w:rPr>
                    <w:t>本项目</w:t>
                  </w:r>
                  <w:r>
                    <w:rPr>
                      <w:rFonts w:hint="eastAsia" w:asciiTheme="minorEastAsia" w:hAnsiTheme="minorEastAsia" w:eastAsiaTheme="minorEastAsia" w:cstheme="minorEastAsia"/>
                      <w:b w:val="0"/>
                      <w:bCs w:val="0"/>
                      <w:color w:val="auto"/>
                      <w:szCs w:val="21"/>
                      <w:u w:val="none"/>
                      <w:lang w:val="en-US" w:eastAsia="zh-CN"/>
                    </w:rPr>
                    <w:t>不涉及成品包装。</w:t>
                  </w:r>
                </w:p>
              </w:tc>
              <w:tc>
                <w:tcPr>
                  <w:tcW w:w="940" w:type="dxa"/>
                  <w:noWrap w:val="0"/>
                  <w:vAlign w:val="center"/>
                </w:tcPr>
                <w:p w14:paraId="169FE78C">
                  <w:pPr>
                    <w:keepNext w:val="0"/>
                    <w:keepLines w:val="0"/>
                    <w:suppressLineNumbers w:val="0"/>
                    <w:bidi w:val="0"/>
                    <w:spacing w:before="0" w:beforeAutospacing="0" w:after="0" w:afterAutospacing="0"/>
                    <w:ind w:left="0" w:right="0"/>
                    <w:jc w:val="center"/>
                    <w:rPr>
                      <w:rFonts w:hint="default" w:ascii="Times New Roman" w:hAnsi="Times New Roman" w:cs="Times New Roman"/>
                      <w:szCs w:val="22"/>
                      <w:lang w:val="en-US" w:eastAsia="zh-CN"/>
                    </w:rPr>
                  </w:pPr>
                  <w:r>
                    <w:rPr>
                      <w:rFonts w:hint="default" w:ascii="Times New Roman" w:hAnsi="Times New Roman" w:cs="Times New Roman"/>
                      <w:szCs w:val="22"/>
                      <w:lang w:val="en-US" w:eastAsia="zh-CN"/>
                    </w:rPr>
                    <w:t>符合</w:t>
                  </w:r>
                </w:p>
              </w:tc>
            </w:tr>
            <w:tr w14:paraId="72080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 w:hRule="atLeast"/>
                <w:jc w:val="center"/>
              </w:trPr>
              <w:tc>
                <w:tcPr>
                  <w:tcW w:w="1216" w:type="dxa"/>
                  <w:gridSpan w:val="2"/>
                  <w:noWrap w:val="0"/>
                  <w:vAlign w:val="center"/>
                </w:tcPr>
                <w:p w14:paraId="3C911B0C">
                  <w:pPr>
                    <w:pStyle w:val="62"/>
                    <w:keepNext w:val="0"/>
                    <w:keepLines w:val="0"/>
                    <w:suppressLineNumbers w:val="0"/>
                    <w:bidi w:val="0"/>
                    <w:spacing w:before="0" w:beforeAutospacing="0" w:after="0" w:afterAutospacing="0"/>
                    <w:ind w:left="0" w:right="0"/>
                    <w:jc w:val="center"/>
                    <w:rPr>
                      <w:rFonts w:hint="default" w:ascii="Times New Roman" w:hAnsi="Times New Roman" w:cs="Times New Roman"/>
                      <w:highlight w:val="none"/>
                      <w:lang w:val="en-US" w:eastAsia="zh-CN"/>
                    </w:rPr>
                  </w:pPr>
                  <w:r>
                    <w:rPr>
                      <w:rFonts w:hint="eastAsia" w:cs="Times New Roman"/>
                      <w:highlight w:val="none"/>
                      <w:lang w:val="en-US" w:eastAsia="zh-CN"/>
                    </w:rPr>
                    <w:t>排放限值</w:t>
                  </w:r>
                </w:p>
              </w:tc>
              <w:tc>
                <w:tcPr>
                  <w:tcW w:w="3304" w:type="dxa"/>
                  <w:noWrap w:val="0"/>
                  <w:vAlign w:val="center"/>
                </w:tcPr>
                <w:p w14:paraId="11E7193B">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PM排放限值不高于10mg/m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；其他污染物排放浓度达到相关污染物排放标准。</w:t>
                  </w:r>
                </w:p>
              </w:tc>
              <w:tc>
                <w:tcPr>
                  <w:tcW w:w="2610" w:type="dxa"/>
                  <w:noWrap w:val="0"/>
                  <w:vAlign w:val="center"/>
                </w:tcPr>
                <w:p w14:paraId="269A0905">
                  <w:pPr>
                    <w:pStyle w:val="62"/>
                    <w:keepNext w:val="0"/>
                    <w:keepLines w:val="0"/>
                    <w:numPr>
                      <w:ilvl w:val="0"/>
                      <w:numId w:val="0"/>
                    </w:numPr>
                    <w:suppressLineNumbers w:val="0"/>
                    <w:bidi w:val="0"/>
                    <w:spacing w:before="0" w:beforeAutospacing="0" w:after="0" w:afterAutospacing="0"/>
                    <w:ind w:left="0" w:right="0"/>
                    <w:jc w:val="center"/>
                    <w:rPr>
                      <w:rFonts w:hint="default" w:ascii="Times New Roman" w:hAnsi="Times New Roman" w:cs="Times New Roman"/>
                      <w:highlight w:val="none"/>
                      <w:lang w:val="en-US" w:eastAsia="zh-CN"/>
                    </w:rPr>
                  </w:pPr>
                  <w:r>
                    <w:rPr>
                      <w:rFonts w:hint="default" w:ascii="Times New Roman" w:hAnsi="Times New Roman" w:cs="Times New Roman"/>
                      <w:lang w:val="en-US" w:eastAsia="zh-CN"/>
                    </w:rPr>
                    <w:t>本项目拟执行PM：10mg/m³限值要求</w:t>
                  </w:r>
                </w:p>
              </w:tc>
              <w:tc>
                <w:tcPr>
                  <w:tcW w:w="940" w:type="dxa"/>
                  <w:noWrap w:val="0"/>
                  <w:vAlign w:val="center"/>
                </w:tcPr>
                <w:p w14:paraId="31AFBC15">
                  <w:pPr>
                    <w:keepNext w:val="0"/>
                    <w:keepLines w:val="0"/>
                    <w:suppressLineNumbers w:val="0"/>
                    <w:bidi w:val="0"/>
                    <w:spacing w:before="0" w:beforeAutospacing="0" w:after="0" w:afterAutospacing="0"/>
                    <w:ind w:left="0" w:right="0"/>
                    <w:jc w:val="center"/>
                    <w:rPr>
                      <w:rFonts w:hint="default" w:ascii="Times New Roman" w:hAnsi="Times New Roman" w:cs="Times New Roman"/>
                      <w:szCs w:val="22"/>
                      <w:lang w:val="en-US" w:eastAsia="zh-CN"/>
                    </w:rPr>
                  </w:pPr>
                  <w:r>
                    <w:rPr>
                      <w:rFonts w:hint="eastAsia" w:cs="Times New Roman"/>
                      <w:szCs w:val="22"/>
                      <w:lang w:val="en-US" w:eastAsia="zh-CN"/>
                    </w:rPr>
                    <w:t>符合</w:t>
                  </w:r>
                </w:p>
              </w:tc>
            </w:tr>
            <w:tr w14:paraId="01B6A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3" w:hRule="atLeast"/>
                <w:jc w:val="center"/>
              </w:trPr>
              <w:tc>
                <w:tcPr>
                  <w:tcW w:w="1216" w:type="dxa"/>
                  <w:gridSpan w:val="2"/>
                  <w:noWrap w:val="0"/>
                  <w:vAlign w:val="center"/>
                </w:tcPr>
                <w:p w14:paraId="1DE4E991">
                  <w:pPr>
                    <w:pStyle w:val="62"/>
                    <w:keepNext w:val="0"/>
                    <w:keepLines w:val="0"/>
                    <w:suppressLineNumbers w:val="0"/>
                    <w:bidi w:val="0"/>
                    <w:spacing w:before="0" w:beforeAutospacing="0" w:after="0" w:afterAutospacing="0"/>
                    <w:ind w:left="0" w:right="0"/>
                    <w:jc w:val="center"/>
                    <w:rPr>
                      <w:rFonts w:hint="eastAsia" w:cs="Times New Roman"/>
                      <w:highlight w:val="none"/>
                      <w:lang w:val="en-US" w:eastAsia="zh-CN"/>
                    </w:rPr>
                  </w:pPr>
                  <w:r>
                    <w:rPr>
                      <w:rFonts w:hint="eastAsia" w:cs="Times New Roman"/>
                      <w:highlight w:val="none"/>
                      <w:lang w:val="en-US" w:eastAsia="zh-CN"/>
                    </w:rPr>
                    <w:t>无组织</w:t>
                  </w:r>
                </w:p>
                <w:p w14:paraId="463CF720">
                  <w:pPr>
                    <w:pStyle w:val="62"/>
                    <w:keepNext w:val="0"/>
                    <w:keepLines w:val="0"/>
                    <w:suppressLineNumbers w:val="0"/>
                    <w:bidi w:val="0"/>
                    <w:spacing w:before="0" w:beforeAutospacing="0" w:after="0" w:afterAutospacing="0"/>
                    <w:ind w:left="0" w:right="0"/>
                    <w:jc w:val="center"/>
                    <w:rPr>
                      <w:rFonts w:hint="default" w:ascii="Times New Roman" w:hAnsi="Times New Roman" w:cs="Times New Roman"/>
                      <w:highlight w:val="none"/>
                      <w:lang w:val="en-US" w:eastAsia="zh-CN"/>
                    </w:rPr>
                  </w:pPr>
                  <w:r>
                    <w:rPr>
                      <w:rFonts w:hint="eastAsia" w:cs="Times New Roman"/>
                      <w:highlight w:val="none"/>
                      <w:lang w:val="en-US" w:eastAsia="zh-CN"/>
                    </w:rPr>
                    <w:t>管控</w:t>
                  </w:r>
                </w:p>
              </w:tc>
              <w:tc>
                <w:tcPr>
                  <w:tcW w:w="3304" w:type="dxa"/>
                  <w:noWrap w:val="0"/>
                  <w:vAlign w:val="center"/>
                </w:tcPr>
                <w:p w14:paraId="3C822A36">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1.除尘器应设置密闭灰仓并及时卸灰，除尘灰应通过气力输送、罐车、吨包袋等封闭方式卸灰，不得直接卸落到地面；</w:t>
                  </w:r>
                </w:p>
                <w:p w14:paraId="625FA68F">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2.除尘灰如果转运应采用气力输送、封闭传送带方式，如果直接外运应采用罐车或袋装后运输，并在装车过程中采取抑尘措施，除尘灰在厂区内应密闭/封闭储存；</w:t>
                  </w:r>
                </w:p>
                <w:p w14:paraId="34C25D11">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3.脱硫石膏和脱硫废渣等固体废物在厂区内应封闭储存，在转运过程中应采取封闭抑尘措施并应封闭储存。</w:t>
                  </w:r>
                </w:p>
              </w:tc>
              <w:tc>
                <w:tcPr>
                  <w:tcW w:w="2610" w:type="dxa"/>
                  <w:noWrap w:val="0"/>
                  <w:vAlign w:val="center"/>
                </w:tcPr>
                <w:p w14:paraId="582DCE0F">
                  <w:pPr>
                    <w:pStyle w:val="62"/>
                    <w:keepNext w:val="0"/>
                    <w:keepLines w:val="0"/>
                    <w:numPr>
                      <w:ilvl w:val="0"/>
                      <w:numId w:val="0"/>
                    </w:numPr>
                    <w:suppressLineNumbers w:val="0"/>
                    <w:bidi w:val="0"/>
                    <w:spacing w:before="0" w:beforeAutospacing="0" w:after="0" w:afterAutospacing="0"/>
                    <w:ind w:left="0" w:right="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本项目</w:t>
                  </w:r>
                  <w:r>
                    <w:rPr>
                      <w:rFonts w:hint="eastAsia" w:cs="Times New Roman"/>
                      <w:highlight w:val="none"/>
                      <w:lang w:val="en-US" w:eastAsia="zh-CN"/>
                    </w:rPr>
                    <w:t>利用瓦斯为燃料在机组内燃烧进而发电，减少温室气体外排，项目废气产生的颗粒物未使用除尘器处理，瓦斯气体运输是密闭的，不涉及脱硫石膏和脱硫废渣等固体废物转</w:t>
                  </w:r>
                  <w:r>
                    <w:rPr>
                      <w:rFonts w:hint="eastAsia" w:cs="宋体"/>
                      <w:color w:val="auto"/>
                      <w:kern w:val="2"/>
                      <w:sz w:val="21"/>
                      <w:szCs w:val="21"/>
                      <w:highlight w:val="none"/>
                      <w:lang w:val="en-US" w:eastAsia="zh-CN" w:bidi="ar-SA"/>
                    </w:rPr>
                    <w:t>运。</w:t>
                  </w:r>
                </w:p>
              </w:tc>
              <w:tc>
                <w:tcPr>
                  <w:tcW w:w="940" w:type="dxa"/>
                  <w:noWrap w:val="0"/>
                  <w:vAlign w:val="center"/>
                </w:tcPr>
                <w:p w14:paraId="030786BD">
                  <w:pPr>
                    <w:keepNext w:val="0"/>
                    <w:keepLines w:val="0"/>
                    <w:suppressLineNumbers w:val="0"/>
                    <w:bidi w:val="0"/>
                    <w:spacing w:before="0" w:beforeAutospacing="0" w:after="0" w:afterAutospacing="0"/>
                    <w:ind w:left="0" w:right="0"/>
                    <w:jc w:val="center"/>
                    <w:rPr>
                      <w:rFonts w:hint="default" w:ascii="Times New Roman" w:hAnsi="Times New Roman" w:cs="Times New Roman"/>
                      <w:szCs w:val="22"/>
                      <w:lang w:val="en-US" w:eastAsia="zh-CN"/>
                    </w:rPr>
                  </w:pPr>
                  <w:r>
                    <w:rPr>
                      <w:rFonts w:hint="eastAsia" w:cs="Times New Roman"/>
                      <w:szCs w:val="22"/>
                      <w:lang w:val="en-US" w:eastAsia="zh-CN"/>
                    </w:rPr>
                    <w:t>符合</w:t>
                  </w:r>
                </w:p>
              </w:tc>
            </w:tr>
            <w:tr w14:paraId="54EE8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 w:hRule="atLeast"/>
                <w:jc w:val="center"/>
              </w:trPr>
              <w:tc>
                <w:tcPr>
                  <w:tcW w:w="1216" w:type="dxa"/>
                  <w:gridSpan w:val="2"/>
                  <w:noWrap w:val="0"/>
                  <w:vAlign w:val="center"/>
                </w:tcPr>
                <w:p w14:paraId="065A4C50">
                  <w:pPr>
                    <w:pStyle w:val="62"/>
                    <w:keepNext w:val="0"/>
                    <w:keepLines w:val="0"/>
                    <w:suppressLineNumbers w:val="0"/>
                    <w:bidi w:val="0"/>
                    <w:spacing w:before="0" w:beforeAutospacing="0" w:after="0" w:afterAutospacing="0"/>
                    <w:ind w:left="0" w:right="0"/>
                    <w:jc w:val="center"/>
                    <w:rPr>
                      <w:rFonts w:hint="default" w:cs="Times New Roman"/>
                      <w:highlight w:val="none"/>
                      <w:lang w:val="en-US" w:eastAsia="zh-CN"/>
                    </w:rPr>
                  </w:pPr>
                  <w:r>
                    <w:rPr>
                      <w:rFonts w:hint="eastAsia" w:cs="Times New Roman"/>
                      <w:highlight w:val="none"/>
                      <w:lang w:val="en-US" w:eastAsia="zh-CN"/>
                    </w:rPr>
                    <w:t>视频监管</w:t>
                  </w:r>
                </w:p>
              </w:tc>
              <w:tc>
                <w:tcPr>
                  <w:tcW w:w="3304" w:type="dxa"/>
                  <w:noWrap w:val="0"/>
                  <w:vAlign w:val="center"/>
                </w:tcPr>
                <w:p w14:paraId="3269C664">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未安装自动在线监控的企业，应在主要生产设备（投料口、卸料口等位置）安装视频监控设施，相关数据保存6个月以上</w:t>
                  </w:r>
                  <w:r>
                    <w:rPr>
                      <w:rFonts w:hint="eastAsia" w:cs="Times New Roman"/>
                      <w:highlight w:val="none"/>
                      <w:lang w:val="en-US" w:eastAsia="zh-CN"/>
                    </w:rPr>
                    <w:t>。</w:t>
                  </w:r>
                </w:p>
              </w:tc>
              <w:tc>
                <w:tcPr>
                  <w:tcW w:w="2610" w:type="dxa"/>
                  <w:noWrap w:val="0"/>
                  <w:vAlign w:val="center"/>
                </w:tcPr>
                <w:p w14:paraId="36CED769">
                  <w:pPr>
                    <w:pStyle w:val="62"/>
                    <w:keepNext w:val="0"/>
                    <w:keepLines w:val="0"/>
                    <w:numPr>
                      <w:ilvl w:val="0"/>
                      <w:numId w:val="0"/>
                    </w:numPr>
                    <w:suppressLineNumbers w:val="0"/>
                    <w:bidi w:val="0"/>
                    <w:spacing w:before="0" w:beforeAutospacing="0" w:after="0" w:afterAutospacing="0"/>
                    <w:ind w:left="0" w:right="0"/>
                    <w:jc w:val="center"/>
                    <w:rPr>
                      <w:rFonts w:hint="default" w:ascii="Times New Roman" w:hAnsi="Times New Roman" w:cs="Times New Roman"/>
                      <w:highlight w:val="none"/>
                      <w:lang w:val="en-US" w:eastAsia="zh-CN"/>
                    </w:rPr>
                  </w:pPr>
                  <w:r>
                    <w:rPr>
                      <w:rFonts w:hint="eastAsia" w:cs="Times New Roman"/>
                      <w:highlight w:val="none"/>
                      <w:lang w:val="en-US" w:eastAsia="zh-CN"/>
                    </w:rPr>
                    <w:t>项目瓦斯气体运输在管道内不便安装视频监控，可在机组处安装视频监控便于生产监控，相关数据保存6个月以上。</w:t>
                  </w:r>
                </w:p>
              </w:tc>
              <w:tc>
                <w:tcPr>
                  <w:tcW w:w="940" w:type="dxa"/>
                  <w:noWrap w:val="0"/>
                  <w:vAlign w:val="center"/>
                </w:tcPr>
                <w:p w14:paraId="093D4335">
                  <w:pPr>
                    <w:keepNext w:val="0"/>
                    <w:keepLines w:val="0"/>
                    <w:suppressLineNumbers w:val="0"/>
                    <w:bidi w:val="0"/>
                    <w:spacing w:before="0" w:beforeAutospacing="0" w:after="0" w:afterAutospacing="0"/>
                    <w:ind w:left="0" w:right="0"/>
                    <w:jc w:val="center"/>
                    <w:rPr>
                      <w:rFonts w:hint="default" w:ascii="Times New Roman" w:hAnsi="Times New Roman" w:cs="Times New Roman"/>
                      <w:szCs w:val="22"/>
                      <w:lang w:val="en-US" w:eastAsia="zh-CN"/>
                    </w:rPr>
                  </w:pPr>
                  <w:r>
                    <w:rPr>
                      <w:rFonts w:hint="eastAsia" w:cs="Times New Roman"/>
                      <w:szCs w:val="22"/>
                      <w:lang w:val="en-US" w:eastAsia="zh-CN"/>
                    </w:rPr>
                    <w:t>符合</w:t>
                  </w:r>
                </w:p>
              </w:tc>
            </w:tr>
            <w:tr w14:paraId="5C271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 w:hRule="atLeast"/>
                <w:jc w:val="center"/>
              </w:trPr>
              <w:tc>
                <w:tcPr>
                  <w:tcW w:w="1216" w:type="dxa"/>
                  <w:gridSpan w:val="2"/>
                  <w:noWrap w:val="0"/>
                  <w:vAlign w:val="center"/>
                </w:tcPr>
                <w:p w14:paraId="72E74378">
                  <w:pPr>
                    <w:pStyle w:val="62"/>
                    <w:keepNext w:val="0"/>
                    <w:keepLines w:val="0"/>
                    <w:suppressLineNumbers w:val="0"/>
                    <w:bidi w:val="0"/>
                    <w:spacing w:before="0" w:beforeAutospacing="0" w:after="0" w:afterAutospacing="0"/>
                    <w:ind w:left="0" w:right="0"/>
                    <w:jc w:val="center"/>
                    <w:rPr>
                      <w:rFonts w:hint="default" w:cs="Times New Roman"/>
                      <w:highlight w:val="none"/>
                      <w:lang w:val="en-US" w:eastAsia="zh-CN"/>
                    </w:rPr>
                  </w:pPr>
                  <w:r>
                    <w:rPr>
                      <w:rFonts w:hint="eastAsia" w:cs="Times New Roman"/>
                      <w:highlight w:val="none"/>
                      <w:lang w:val="en-US" w:eastAsia="zh-CN"/>
                    </w:rPr>
                    <w:t>厂容厂貌</w:t>
                  </w:r>
                </w:p>
              </w:tc>
              <w:tc>
                <w:tcPr>
                  <w:tcW w:w="3304" w:type="dxa"/>
                  <w:noWrap w:val="0"/>
                  <w:vAlign w:val="center"/>
                </w:tcPr>
                <w:p w14:paraId="207F2449">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1.厂区内道路、原辅材料和燃料堆场等路面应硬化；</w:t>
                  </w:r>
                </w:p>
                <w:p w14:paraId="0EDAE0E4">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2.厂区内道路采取定期清扫、洒水等措施，保持清洁，路面无明显可见积尘；</w:t>
                  </w:r>
                </w:p>
                <w:p w14:paraId="76B5341B">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3.其他未利用地优先绿化，或进行硬化，无成片裸露土地。</w:t>
                  </w:r>
                </w:p>
              </w:tc>
              <w:tc>
                <w:tcPr>
                  <w:tcW w:w="2610" w:type="dxa"/>
                  <w:noWrap w:val="0"/>
                  <w:vAlign w:val="center"/>
                </w:tcPr>
                <w:p w14:paraId="547C4DB8">
                  <w:pPr>
                    <w:pStyle w:val="62"/>
                    <w:keepNext w:val="0"/>
                    <w:keepLines w:val="0"/>
                    <w:numPr>
                      <w:ilvl w:val="0"/>
                      <w:numId w:val="0"/>
                    </w:numPr>
                    <w:suppressLineNumbers w:val="0"/>
                    <w:bidi w:val="0"/>
                    <w:spacing w:before="0" w:beforeAutospacing="0" w:after="0" w:afterAutospacing="0"/>
                    <w:ind w:left="0" w:right="0"/>
                    <w:jc w:val="center"/>
                    <w:rPr>
                      <w:rFonts w:hint="default" w:ascii="Times New Roman" w:hAnsi="Times New Roman" w:cs="Times New Roman"/>
                      <w:highlight w:val="none"/>
                      <w:lang w:val="en-US" w:eastAsia="zh-CN"/>
                    </w:rPr>
                  </w:pPr>
                  <w:r>
                    <w:rPr>
                      <w:rFonts w:hint="default" w:ascii="Times New Roman" w:hAnsi="Times New Roman" w:cs="Times New Roman"/>
                      <w:lang w:val="en-US" w:eastAsia="zh-CN"/>
                    </w:rPr>
                    <w:t>厂区内道路、原辅材料等路面应硬化</w:t>
                  </w:r>
                  <w:r>
                    <w:rPr>
                      <w:rFonts w:hint="eastAsia" w:cs="Times New Roman"/>
                      <w:lang w:val="en-US" w:eastAsia="zh-CN"/>
                    </w:rPr>
                    <w:t>，</w:t>
                  </w:r>
                  <w:r>
                    <w:rPr>
                      <w:rFonts w:hint="default" w:ascii="Times New Roman" w:hAnsi="Times New Roman" w:cs="Times New Roman"/>
                      <w:lang w:val="en-US" w:eastAsia="zh-CN"/>
                    </w:rPr>
                    <w:t>厂区内道路采取定期清扫、洒水等措施，保持清洁，路面无明显可见积尘</w:t>
                  </w:r>
                  <w:r>
                    <w:rPr>
                      <w:rFonts w:hint="eastAsia" w:cs="Times New Roman"/>
                      <w:lang w:val="en-US" w:eastAsia="zh-CN"/>
                    </w:rPr>
                    <w:t>，</w:t>
                  </w:r>
                  <w:r>
                    <w:rPr>
                      <w:rFonts w:hint="default" w:ascii="Times New Roman" w:hAnsi="Times New Roman" w:cs="Times New Roman"/>
                      <w:lang w:val="en-US" w:eastAsia="zh-CN"/>
                    </w:rPr>
                    <w:t>其他未利用地优先绿化，或进行硬化，无成片裸露土地。</w:t>
                  </w:r>
                </w:p>
              </w:tc>
              <w:tc>
                <w:tcPr>
                  <w:tcW w:w="940" w:type="dxa"/>
                  <w:noWrap w:val="0"/>
                  <w:vAlign w:val="center"/>
                </w:tcPr>
                <w:p w14:paraId="75BBAB21">
                  <w:pPr>
                    <w:keepNext w:val="0"/>
                    <w:keepLines w:val="0"/>
                    <w:suppressLineNumbers w:val="0"/>
                    <w:bidi w:val="0"/>
                    <w:spacing w:before="0" w:beforeAutospacing="0" w:after="0" w:afterAutospacing="0"/>
                    <w:ind w:left="0" w:right="0"/>
                    <w:jc w:val="center"/>
                    <w:rPr>
                      <w:rFonts w:hint="default" w:ascii="Times New Roman" w:hAnsi="Times New Roman" w:cs="Times New Roman"/>
                      <w:szCs w:val="22"/>
                      <w:lang w:val="en-US" w:eastAsia="zh-CN"/>
                    </w:rPr>
                  </w:pPr>
                  <w:r>
                    <w:rPr>
                      <w:rFonts w:hint="eastAsia" w:cs="Times New Roman"/>
                      <w:szCs w:val="22"/>
                      <w:lang w:val="en-US" w:eastAsia="zh-CN"/>
                    </w:rPr>
                    <w:t>符合</w:t>
                  </w:r>
                </w:p>
              </w:tc>
            </w:tr>
            <w:tr w14:paraId="6062A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 w:hRule="atLeast"/>
                <w:jc w:val="center"/>
              </w:trPr>
              <w:tc>
                <w:tcPr>
                  <w:tcW w:w="608" w:type="dxa"/>
                  <w:vMerge w:val="restart"/>
                  <w:noWrap w:val="0"/>
                  <w:vAlign w:val="center"/>
                </w:tcPr>
                <w:p w14:paraId="73F3CD52">
                  <w:pPr>
                    <w:pStyle w:val="62"/>
                    <w:keepNext w:val="0"/>
                    <w:keepLines w:val="0"/>
                    <w:suppressLineNumbers w:val="0"/>
                    <w:bidi w:val="0"/>
                    <w:spacing w:before="0" w:beforeAutospacing="0" w:after="0" w:afterAutospacing="0"/>
                    <w:ind w:left="0" w:right="0"/>
                    <w:jc w:val="center"/>
                    <w:rPr>
                      <w:rFonts w:hint="default" w:cs="Times New Roman"/>
                      <w:highlight w:val="none"/>
                      <w:lang w:val="en-US" w:eastAsia="zh-CN"/>
                    </w:rPr>
                  </w:pPr>
                  <w:r>
                    <w:rPr>
                      <w:rFonts w:hint="eastAsia" w:cs="Times New Roman"/>
                      <w:highlight w:val="none"/>
                      <w:lang w:val="en-US" w:eastAsia="zh-CN"/>
                    </w:rPr>
                    <w:t>环境管理水平</w:t>
                  </w:r>
                </w:p>
              </w:tc>
              <w:tc>
                <w:tcPr>
                  <w:tcW w:w="608" w:type="dxa"/>
                  <w:noWrap w:val="0"/>
                  <w:vAlign w:val="center"/>
                </w:tcPr>
                <w:p w14:paraId="25F56649">
                  <w:pPr>
                    <w:pStyle w:val="62"/>
                    <w:keepNext w:val="0"/>
                    <w:keepLines w:val="0"/>
                    <w:suppressLineNumbers w:val="0"/>
                    <w:bidi w:val="0"/>
                    <w:spacing w:before="0" w:beforeAutospacing="0" w:after="0" w:afterAutospacing="0"/>
                    <w:ind w:left="0" w:right="0"/>
                    <w:jc w:val="center"/>
                    <w:rPr>
                      <w:rFonts w:hint="default" w:cs="Times New Roman"/>
                      <w:highlight w:val="none"/>
                      <w:lang w:val="en-US" w:eastAsia="zh-CN"/>
                    </w:rPr>
                  </w:pPr>
                  <w:r>
                    <w:rPr>
                      <w:rFonts w:hint="eastAsia" w:cs="Times New Roman"/>
                      <w:highlight w:val="none"/>
                      <w:lang w:val="en-US" w:eastAsia="zh-CN"/>
                    </w:rPr>
                    <w:t>环保档案</w:t>
                  </w:r>
                </w:p>
              </w:tc>
              <w:tc>
                <w:tcPr>
                  <w:tcW w:w="3304" w:type="dxa"/>
                  <w:noWrap w:val="0"/>
                  <w:vAlign w:val="center"/>
                </w:tcPr>
                <w:p w14:paraId="14EFD542">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1.环评批复文件和竣工验收文件/现状评估文件；</w:t>
                  </w:r>
                </w:p>
                <w:p w14:paraId="71C3CF82">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2.废气治理设施运行管理规程；</w:t>
                  </w:r>
                </w:p>
                <w:p w14:paraId="39963FF6">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3.一年内废气监测报告；</w:t>
                  </w:r>
                </w:p>
                <w:p w14:paraId="07C27630">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4.国家版排污许可证，并按要求开展自行监测和信息披露，规范设置废气排放口标志牌、二维码标识和采样平台、采样孔。</w:t>
                  </w:r>
                </w:p>
              </w:tc>
              <w:tc>
                <w:tcPr>
                  <w:tcW w:w="2610" w:type="dxa"/>
                  <w:noWrap w:val="0"/>
                  <w:vAlign w:val="center"/>
                </w:tcPr>
                <w:p w14:paraId="0C23BAC3">
                  <w:pPr>
                    <w:pStyle w:val="62"/>
                    <w:keepNext w:val="0"/>
                    <w:keepLines w:val="0"/>
                    <w:suppressLineNumbers w:val="0"/>
                    <w:bidi w:val="0"/>
                    <w:spacing w:before="0" w:beforeAutospacing="0" w:after="0" w:afterAutospacing="0"/>
                    <w:ind w:left="0" w:right="0"/>
                    <w:jc w:val="left"/>
                    <w:rPr>
                      <w:rFonts w:hint="default" w:ascii="Times New Roman" w:hAnsi="Times New Roman" w:cs="Times New Roman"/>
                      <w:highlight w:val="none"/>
                      <w:lang w:val="en-US" w:eastAsia="zh-CN"/>
                    </w:rPr>
                  </w:pPr>
                  <w:r>
                    <w:rPr>
                      <w:rFonts w:hint="default" w:ascii="Times New Roman" w:hAnsi="Times New Roman" w:cs="Times New Roman"/>
                      <w:lang w:val="en-US" w:eastAsia="zh-CN"/>
                    </w:rPr>
                    <w:t>本项目处于环评阶段，待建成投产后，拟按要求保证环保档案资料齐全①环评批复文件和竣工验收文件/现状评估文件；②废气治理设施运行管理规程；③一年内废气监测报告；④国家版排污许可证，并按要求开展自行监测和信息披露，有规范的排气筒监测平台和排污口标识</w:t>
                  </w:r>
                  <w:r>
                    <w:rPr>
                      <w:rFonts w:hint="eastAsia" w:cs="Times New Roman"/>
                      <w:lang w:val="en-US" w:eastAsia="zh-CN"/>
                    </w:rPr>
                    <w:t>。</w:t>
                  </w:r>
                </w:p>
              </w:tc>
              <w:tc>
                <w:tcPr>
                  <w:tcW w:w="940" w:type="dxa"/>
                  <w:noWrap w:val="0"/>
                  <w:vAlign w:val="center"/>
                </w:tcPr>
                <w:p w14:paraId="4C7E2D88">
                  <w:pPr>
                    <w:keepNext w:val="0"/>
                    <w:keepLines w:val="0"/>
                    <w:suppressLineNumbers w:val="0"/>
                    <w:bidi w:val="0"/>
                    <w:spacing w:before="0" w:beforeAutospacing="0" w:after="0" w:afterAutospacing="0"/>
                    <w:ind w:left="0" w:right="0"/>
                    <w:jc w:val="center"/>
                    <w:rPr>
                      <w:rFonts w:hint="default" w:ascii="Times New Roman" w:hAnsi="Times New Roman" w:cs="Times New Roman"/>
                      <w:szCs w:val="22"/>
                      <w:lang w:val="en-US" w:eastAsia="zh-CN"/>
                    </w:rPr>
                  </w:pPr>
                  <w:r>
                    <w:rPr>
                      <w:rFonts w:hint="eastAsia" w:cs="Times New Roman"/>
                      <w:szCs w:val="22"/>
                      <w:lang w:val="en-US" w:eastAsia="zh-CN"/>
                    </w:rPr>
                    <w:t>符合</w:t>
                  </w:r>
                </w:p>
              </w:tc>
            </w:tr>
            <w:tr w14:paraId="25CF0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 w:hRule="atLeast"/>
                <w:jc w:val="center"/>
              </w:trPr>
              <w:tc>
                <w:tcPr>
                  <w:tcW w:w="608" w:type="dxa"/>
                  <w:vMerge w:val="continue"/>
                  <w:noWrap w:val="0"/>
                  <w:vAlign w:val="center"/>
                </w:tcPr>
                <w:p w14:paraId="551FA8CF">
                  <w:pPr>
                    <w:pStyle w:val="62"/>
                    <w:keepNext w:val="0"/>
                    <w:keepLines w:val="0"/>
                    <w:suppressLineNumbers w:val="0"/>
                    <w:bidi w:val="0"/>
                    <w:spacing w:before="0" w:beforeAutospacing="0" w:after="0" w:afterAutospacing="0"/>
                    <w:ind w:left="0" w:right="0"/>
                    <w:jc w:val="center"/>
                    <w:rPr>
                      <w:rFonts w:hint="eastAsia" w:cs="Times New Roman"/>
                      <w:highlight w:val="none"/>
                      <w:lang w:val="en-US" w:eastAsia="zh-CN"/>
                    </w:rPr>
                  </w:pPr>
                </w:p>
              </w:tc>
              <w:tc>
                <w:tcPr>
                  <w:tcW w:w="608" w:type="dxa"/>
                  <w:noWrap w:val="0"/>
                  <w:vAlign w:val="center"/>
                </w:tcPr>
                <w:p w14:paraId="5D0DD9DD">
                  <w:pPr>
                    <w:pStyle w:val="62"/>
                    <w:keepNext w:val="0"/>
                    <w:keepLines w:val="0"/>
                    <w:suppressLineNumbers w:val="0"/>
                    <w:bidi w:val="0"/>
                    <w:spacing w:before="0" w:beforeAutospacing="0" w:after="0" w:afterAutospacing="0"/>
                    <w:ind w:left="0" w:right="0"/>
                    <w:jc w:val="center"/>
                    <w:rPr>
                      <w:rFonts w:hint="default" w:cs="Times New Roman"/>
                      <w:highlight w:val="none"/>
                      <w:lang w:val="en-US" w:eastAsia="zh-CN"/>
                    </w:rPr>
                  </w:pPr>
                  <w:r>
                    <w:rPr>
                      <w:rFonts w:hint="eastAsia" w:cs="Times New Roman"/>
                      <w:highlight w:val="none"/>
                      <w:lang w:val="en-US" w:eastAsia="zh-CN"/>
                    </w:rPr>
                    <w:t>台账记录</w:t>
                  </w:r>
                </w:p>
              </w:tc>
              <w:tc>
                <w:tcPr>
                  <w:tcW w:w="3304" w:type="dxa"/>
                  <w:noWrap w:val="0"/>
                  <w:vAlign w:val="center"/>
                </w:tcPr>
                <w:p w14:paraId="50E44D38">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1.生产设施运行管理信息（生产时间、运行负荷、产品产量等）；</w:t>
                  </w:r>
                </w:p>
                <w:p w14:paraId="6146B447">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2.废气污染治理设施运行管理信息（除尘滤料等更换量和时间）；</w:t>
                  </w:r>
                </w:p>
                <w:p w14:paraId="458ED7C2">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3.监测记录信息（主要污染排放口废气排放记录（手工监测和在线监测）等）；</w:t>
                  </w:r>
                </w:p>
                <w:p w14:paraId="5A983BC2">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4.主要原辅材料、燃料消耗记录；</w:t>
                  </w:r>
                </w:p>
                <w:p w14:paraId="69138A73">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5.电消耗记录。</w:t>
                  </w:r>
                </w:p>
              </w:tc>
              <w:tc>
                <w:tcPr>
                  <w:tcW w:w="2610" w:type="dxa"/>
                  <w:noWrap w:val="0"/>
                  <w:vAlign w:val="center"/>
                </w:tcPr>
                <w:p w14:paraId="25B5520C">
                  <w:pPr>
                    <w:pStyle w:val="62"/>
                    <w:keepNext w:val="0"/>
                    <w:keepLines w:val="0"/>
                    <w:suppressLineNumbers w:val="0"/>
                    <w:bidi w:val="0"/>
                    <w:spacing w:before="0" w:beforeAutospacing="0" w:after="0" w:afterAutospacing="0"/>
                    <w:ind w:left="0" w:right="0"/>
                    <w:jc w:val="left"/>
                    <w:rPr>
                      <w:rFonts w:hint="default" w:ascii="Times New Roman" w:hAnsi="Times New Roman" w:cs="Times New Roman"/>
                      <w:highlight w:val="none"/>
                      <w:lang w:val="en-US" w:eastAsia="zh-CN"/>
                    </w:rPr>
                  </w:pPr>
                  <w:r>
                    <w:rPr>
                      <w:rFonts w:hint="eastAsia" w:cs="Times New Roman"/>
                      <w:lang w:val="en-US" w:eastAsia="zh-CN"/>
                    </w:rPr>
                    <w:t>企业后续生产详细记录</w:t>
                  </w:r>
                  <w:r>
                    <w:rPr>
                      <w:rFonts w:hint="default" w:ascii="Times New Roman" w:hAnsi="Times New Roman" w:cs="Times New Roman"/>
                      <w:lang w:val="en-US" w:eastAsia="zh-CN"/>
                    </w:rPr>
                    <w:t>生产设施运行管理信息（生产时间、运行负荷、产品产量等）；废气污染治理设施运行管理信息；监测记录信息（主要污染排放口废气排放记录（手工监测和在线监测）等）；</w:t>
                  </w:r>
                  <w:r>
                    <w:rPr>
                      <w:rFonts w:hint="default" w:ascii="Times New Roman" w:hAnsi="Times New Roman" w:cs="Times New Roman"/>
                      <w:highlight w:val="none"/>
                      <w:lang w:val="en-US" w:eastAsia="zh-CN"/>
                    </w:rPr>
                    <w:t>主要原辅材料、燃料消耗记录；电消耗记录。</w:t>
                  </w:r>
                </w:p>
              </w:tc>
              <w:tc>
                <w:tcPr>
                  <w:tcW w:w="940" w:type="dxa"/>
                  <w:noWrap w:val="0"/>
                  <w:vAlign w:val="center"/>
                </w:tcPr>
                <w:p w14:paraId="3D42E06B">
                  <w:pPr>
                    <w:keepNext w:val="0"/>
                    <w:keepLines w:val="0"/>
                    <w:suppressLineNumbers w:val="0"/>
                    <w:bidi w:val="0"/>
                    <w:spacing w:before="0" w:beforeAutospacing="0" w:after="0" w:afterAutospacing="0"/>
                    <w:ind w:left="0" w:right="0"/>
                    <w:jc w:val="center"/>
                    <w:rPr>
                      <w:rFonts w:hint="default" w:ascii="Times New Roman" w:hAnsi="Times New Roman" w:cs="Times New Roman"/>
                      <w:szCs w:val="22"/>
                      <w:lang w:val="en-US" w:eastAsia="zh-CN"/>
                    </w:rPr>
                  </w:pPr>
                  <w:r>
                    <w:rPr>
                      <w:rFonts w:hint="eastAsia" w:cs="Times New Roman"/>
                      <w:szCs w:val="22"/>
                      <w:lang w:val="en-US" w:eastAsia="zh-CN"/>
                    </w:rPr>
                    <w:t>符合</w:t>
                  </w:r>
                </w:p>
              </w:tc>
            </w:tr>
            <w:tr w14:paraId="603AB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 w:hRule="atLeast"/>
                <w:jc w:val="center"/>
              </w:trPr>
              <w:tc>
                <w:tcPr>
                  <w:tcW w:w="608" w:type="dxa"/>
                  <w:vMerge w:val="continue"/>
                  <w:noWrap w:val="0"/>
                  <w:vAlign w:val="center"/>
                </w:tcPr>
                <w:p w14:paraId="7A944DE6">
                  <w:pPr>
                    <w:pStyle w:val="62"/>
                    <w:keepNext w:val="0"/>
                    <w:keepLines w:val="0"/>
                    <w:suppressLineNumbers w:val="0"/>
                    <w:bidi w:val="0"/>
                    <w:spacing w:before="0" w:beforeAutospacing="0" w:after="0" w:afterAutospacing="0"/>
                    <w:ind w:left="0" w:right="0"/>
                    <w:jc w:val="center"/>
                    <w:rPr>
                      <w:rFonts w:hint="eastAsia" w:cs="Times New Roman"/>
                      <w:highlight w:val="none"/>
                      <w:lang w:val="en-US" w:eastAsia="zh-CN"/>
                    </w:rPr>
                  </w:pPr>
                </w:p>
              </w:tc>
              <w:tc>
                <w:tcPr>
                  <w:tcW w:w="608" w:type="dxa"/>
                  <w:noWrap w:val="0"/>
                  <w:vAlign w:val="center"/>
                </w:tcPr>
                <w:p w14:paraId="5C737C60">
                  <w:pPr>
                    <w:pStyle w:val="62"/>
                    <w:keepNext w:val="0"/>
                    <w:keepLines w:val="0"/>
                    <w:suppressLineNumbers w:val="0"/>
                    <w:bidi w:val="0"/>
                    <w:spacing w:before="0" w:beforeAutospacing="0" w:after="0" w:afterAutospacing="0"/>
                    <w:ind w:left="0" w:right="0"/>
                    <w:jc w:val="center"/>
                    <w:rPr>
                      <w:rFonts w:hint="default" w:cs="Times New Roman"/>
                      <w:highlight w:val="none"/>
                      <w:lang w:val="en-US" w:eastAsia="zh-CN"/>
                    </w:rPr>
                  </w:pPr>
                  <w:r>
                    <w:rPr>
                      <w:rFonts w:hint="eastAsia" w:cs="Times New Roman"/>
                      <w:highlight w:val="none"/>
                      <w:lang w:val="en-US" w:eastAsia="zh-CN"/>
                    </w:rPr>
                    <w:t>人员配置</w:t>
                  </w:r>
                </w:p>
              </w:tc>
              <w:tc>
                <w:tcPr>
                  <w:tcW w:w="3304" w:type="dxa"/>
                  <w:noWrap w:val="0"/>
                  <w:vAlign w:val="center"/>
                </w:tcPr>
                <w:p w14:paraId="68E665E8">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配备专职环保人员，并具备相应的环境管理能力（学历、培训、从业经验等）。</w:t>
                  </w:r>
                </w:p>
              </w:tc>
              <w:tc>
                <w:tcPr>
                  <w:tcW w:w="2610" w:type="dxa"/>
                  <w:noWrap w:val="0"/>
                  <w:vAlign w:val="center"/>
                </w:tcPr>
                <w:p w14:paraId="38261492">
                  <w:pPr>
                    <w:pStyle w:val="62"/>
                    <w:keepNext w:val="0"/>
                    <w:keepLines w:val="0"/>
                    <w:numPr>
                      <w:ilvl w:val="0"/>
                      <w:numId w:val="0"/>
                    </w:numPr>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lang w:val="en-US" w:eastAsia="zh-CN"/>
                    </w:rPr>
                    <w:t>配备专职环保人员，并具备相应的环境管理能力</w:t>
                  </w:r>
                  <w:r>
                    <w:rPr>
                      <w:rFonts w:hint="eastAsia" w:cs="Times New Roman"/>
                      <w:lang w:val="en-US" w:eastAsia="zh-CN"/>
                    </w:rPr>
                    <w:t>。</w:t>
                  </w:r>
                </w:p>
              </w:tc>
              <w:tc>
                <w:tcPr>
                  <w:tcW w:w="940" w:type="dxa"/>
                  <w:noWrap w:val="0"/>
                  <w:vAlign w:val="center"/>
                </w:tcPr>
                <w:p w14:paraId="697229AB">
                  <w:pPr>
                    <w:keepNext w:val="0"/>
                    <w:keepLines w:val="0"/>
                    <w:suppressLineNumbers w:val="0"/>
                    <w:bidi w:val="0"/>
                    <w:spacing w:before="0" w:beforeAutospacing="0" w:after="0" w:afterAutospacing="0"/>
                    <w:ind w:left="0" w:right="0"/>
                    <w:jc w:val="center"/>
                    <w:rPr>
                      <w:rFonts w:hint="default" w:ascii="Times New Roman" w:hAnsi="Times New Roman" w:cs="Times New Roman"/>
                      <w:szCs w:val="22"/>
                      <w:lang w:val="en-US" w:eastAsia="zh-CN"/>
                    </w:rPr>
                  </w:pPr>
                  <w:r>
                    <w:rPr>
                      <w:rFonts w:hint="eastAsia" w:cs="Times New Roman"/>
                      <w:szCs w:val="22"/>
                      <w:lang w:val="en-US" w:eastAsia="zh-CN"/>
                    </w:rPr>
                    <w:t>符合</w:t>
                  </w:r>
                </w:p>
              </w:tc>
            </w:tr>
            <w:tr w14:paraId="2DA8D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 w:hRule="atLeast"/>
                <w:jc w:val="center"/>
              </w:trPr>
              <w:tc>
                <w:tcPr>
                  <w:tcW w:w="1216" w:type="dxa"/>
                  <w:gridSpan w:val="2"/>
                  <w:noWrap w:val="0"/>
                  <w:vAlign w:val="center"/>
                </w:tcPr>
                <w:p w14:paraId="1DB875BA">
                  <w:pPr>
                    <w:pStyle w:val="62"/>
                    <w:keepNext w:val="0"/>
                    <w:keepLines w:val="0"/>
                    <w:suppressLineNumbers w:val="0"/>
                    <w:bidi w:val="0"/>
                    <w:spacing w:before="0" w:beforeAutospacing="0" w:after="0" w:afterAutospacing="0"/>
                    <w:ind w:left="0" w:right="0"/>
                    <w:jc w:val="center"/>
                    <w:rPr>
                      <w:rFonts w:hint="default" w:cs="Times New Roman"/>
                      <w:highlight w:val="none"/>
                      <w:lang w:val="en-US" w:eastAsia="zh-CN"/>
                    </w:rPr>
                  </w:pPr>
                  <w:r>
                    <w:rPr>
                      <w:rFonts w:hint="eastAsia" w:cs="Times New Roman"/>
                      <w:highlight w:val="none"/>
                      <w:lang w:val="en-US" w:eastAsia="zh-CN"/>
                    </w:rPr>
                    <w:t>运输方式</w:t>
                  </w:r>
                </w:p>
              </w:tc>
              <w:tc>
                <w:tcPr>
                  <w:tcW w:w="3304" w:type="dxa"/>
                  <w:noWrap w:val="0"/>
                  <w:vAlign w:val="center"/>
                </w:tcPr>
                <w:p w14:paraId="3D3291AA">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1.物料、产品等公路运输全部使用国五及以上排放标准重型载货车辆（重型燃气车辆达到国六排放标准）或新能源车辆；</w:t>
                  </w:r>
                </w:p>
                <w:p w14:paraId="1C897120">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2.厂内运输全部使用国五及以上排放标准（重型燃气车辆达到国六排放标准）或使用新能源车辆；</w:t>
                  </w:r>
                </w:p>
                <w:p w14:paraId="1051F4AD">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3.危险品及危废运输全部使用国五及以上排放标准（重型燃气车辆达到国六排放标准）或新能源车辆；</w:t>
                  </w:r>
                </w:p>
                <w:p w14:paraId="293C1CAC">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4.厂内非道路移动机械全部使用国三及以上排放标准或使用新能源（电动、氢能）机械。</w:t>
                  </w:r>
                </w:p>
              </w:tc>
              <w:tc>
                <w:tcPr>
                  <w:tcW w:w="2610" w:type="dxa"/>
                  <w:noWrap w:val="0"/>
                  <w:vAlign w:val="center"/>
                </w:tcPr>
                <w:p w14:paraId="6F4E2EE6">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物料、产品等公路运输全部使用国五及以上排放标准重型载货车辆（重型燃气车辆达到国六排放标准）或新能源车辆；厂内运输全部使用国五及以上排放标准（重型燃气车辆达到国六排放标准）或使用新能源车辆；危险品及危废运输全部使用国五及以上排放标准（重型燃气车辆达到国六排放标准）或新能源车辆；厂内非道路移动机械全部使用国三及以上排放标准或使用新能源（电动、氢能）机械。</w:t>
                  </w:r>
                </w:p>
              </w:tc>
              <w:tc>
                <w:tcPr>
                  <w:tcW w:w="940" w:type="dxa"/>
                  <w:noWrap w:val="0"/>
                  <w:vAlign w:val="center"/>
                </w:tcPr>
                <w:p w14:paraId="54E8A903">
                  <w:pPr>
                    <w:keepNext w:val="0"/>
                    <w:keepLines w:val="0"/>
                    <w:suppressLineNumbers w:val="0"/>
                    <w:bidi w:val="0"/>
                    <w:spacing w:before="0" w:beforeAutospacing="0" w:after="0" w:afterAutospacing="0"/>
                    <w:ind w:left="0" w:right="0"/>
                    <w:jc w:val="center"/>
                    <w:rPr>
                      <w:rFonts w:hint="default" w:ascii="Times New Roman" w:hAnsi="Times New Roman" w:cs="Times New Roman"/>
                      <w:szCs w:val="22"/>
                      <w:lang w:val="en-US" w:eastAsia="zh-CN"/>
                    </w:rPr>
                  </w:pPr>
                  <w:r>
                    <w:rPr>
                      <w:rFonts w:hint="eastAsia" w:cs="Times New Roman"/>
                      <w:szCs w:val="22"/>
                      <w:lang w:val="en-US" w:eastAsia="zh-CN"/>
                    </w:rPr>
                    <w:t>符合</w:t>
                  </w:r>
                </w:p>
              </w:tc>
            </w:tr>
            <w:tr w14:paraId="519EA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 w:hRule="atLeast"/>
                <w:jc w:val="center"/>
              </w:trPr>
              <w:tc>
                <w:tcPr>
                  <w:tcW w:w="1216" w:type="dxa"/>
                  <w:gridSpan w:val="2"/>
                  <w:noWrap w:val="0"/>
                  <w:vAlign w:val="center"/>
                </w:tcPr>
                <w:p w14:paraId="652C15D4">
                  <w:pPr>
                    <w:pStyle w:val="62"/>
                    <w:keepNext w:val="0"/>
                    <w:keepLines w:val="0"/>
                    <w:suppressLineNumbers w:val="0"/>
                    <w:bidi w:val="0"/>
                    <w:spacing w:before="0" w:beforeAutospacing="0" w:after="0" w:afterAutospacing="0"/>
                    <w:ind w:left="0" w:right="0"/>
                    <w:jc w:val="center"/>
                    <w:rPr>
                      <w:rFonts w:hint="default" w:cs="Times New Roman"/>
                      <w:highlight w:val="none"/>
                      <w:lang w:val="en-US" w:eastAsia="zh-CN"/>
                    </w:rPr>
                  </w:pPr>
                  <w:r>
                    <w:rPr>
                      <w:rFonts w:hint="eastAsia" w:cs="Times New Roman"/>
                      <w:highlight w:val="none"/>
                      <w:lang w:val="en-US" w:eastAsia="zh-CN"/>
                    </w:rPr>
                    <w:t>运输监管</w:t>
                  </w:r>
                </w:p>
              </w:tc>
              <w:tc>
                <w:tcPr>
                  <w:tcW w:w="3304" w:type="dxa"/>
                  <w:noWrap w:val="0"/>
                  <w:vAlign w:val="center"/>
                </w:tcPr>
                <w:p w14:paraId="1137E1B0">
                  <w:pPr>
                    <w:pStyle w:val="62"/>
                    <w:keepNext w:val="0"/>
                    <w:keepLines w:val="0"/>
                    <w:suppressLineNumbers w:val="0"/>
                    <w:bidi w:val="0"/>
                    <w:spacing w:before="0" w:beforeAutospacing="0" w:after="0" w:afterAutospacing="0"/>
                    <w:ind w:left="0" w:right="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日均进出货物150吨（或载货车辆日进出10辆次）及以上（货物包括原料、辅料、燃料、产品和其他与生产相关物料）的企业，参照《重污染天气重点行业移动源应急管理技术指南》建立门禁视频监控系统和电子台账；其他企业安装车辆运输视频监控（数据能保存6个月），并建立车辆运输手工台账。</w:t>
                  </w:r>
                </w:p>
              </w:tc>
              <w:tc>
                <w:tcPr>
                  <w:tcW w:w="2610" w:type="dxa"/>
                  <w:noWrap w:val="0"/>
                  <w:vAlign w:val="center"/>
                </w:tcPr>
                <w:p w14:paraId="545DBC6B">
                  <w:pPr>
                    <w:pStyle w:val="62"/>
                    <w:keepNext w:val="0"/>
                    <w:keepLines w:val="0"/>
                    <w:numPr>
                      <w:ilvl w:val="0"/>
                      <w:numId w:val="0"/>
                    </w:numPr>
                    <w:suppressLineNumbers w:val="0"/>
                    <w:bidi w:val="0"/>
                    <w:spacing w:before="0" w:beforeAutospacing="0" w:after="0" w:afterAutospacing="0"/>
                    <w:ind w:left="0" w:right="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本项目日均进出货物未达到150吨，企业安装车辆运输视频监控（数据能保存6个月），并建立车辆运输手工台账</w:t>
                  </w:r>
                  <w:r>
                    <w:rPr>
                      <w:rFonts w:hint="eastAsia" w:cs="Times New Roman"/>
                      <w:highlight w:val="none"/>
                      <w:lang w:val="en-US" w:eastAsia="zh-CN"/>
                    </w:rPr>
                    <w:t>。</w:t>
                  </w:r>
                </w:p>
              </w:tc>
              <w:tc>
                <w:tcPr>
                  <w:tcW w:w="940" w:type="dxa"/>
                  <w:noWrap w:val="0"/>
                  <w:vAlign w:val="center"/>
                </w:tcPr>
                <w:p w14:paraId="291FAA8C">
                  <w:pPr>
                    <w:keepNext w:val="0"/>
                    <w:keepLines w:val="0"/>
                    <w:suppressLineNumbers w:val="0"/>
                    <w:bidi w:val="0"/>
                    <w:spacing w:before="0" w:beforeAutospacing="0" w:after="0" w:afterAutospacing="0"/>
                    <w:ind w:left="0" w:right="0"/>
                    <w:jc w:val="center"/>
                    <w:rPr>
                      <w:rFonts w:hint="default" w:ascii="Times New Roman" w:hAnsi="Times New Roman" w:cs="Times New Roman"/>
                      <w:szCs w:val="22"/>
                      <w:lang w:val="en-US" w:eastAsia="zh-CN"/>
                    </w:rPr>
                  </w:pPr>
                  <w:r>
                    <w:rPr>
                      <w:rFonts w:hint="eastAsia" w:cs="Times New Roman"/>
                      <w:szCs w:val="22"/>
                      <w:lang w:val="en-US" w:eastAsia="zh-CN"/>
                    </w:rPr>
                    <w:t>符合</w:t>
                  </w:r>
                </w:p>
              </w:tc>
            </w:tr>
          </w:tbl>
          <w:p w14:paraId="7C263DDD">
            <w:pPr>
              <w:pStyle w:val="28"/>
              <w:keepNext w:val="0"/>
              <w:keepLines w:val="0"/>
              <w:pageBreakBefore w:val="0"/>
              <w:widowControl w:val="0"/>
              <w:tabs>
                <w:tab w:val="left" w:pos="4140"/>
              </w:tabs>
              <w:kinsoku/>
              <w:wordWrap/>
              <w:overflowPunct/>
              <w:topLinePunct w:val="0"/>
              <w:autoSpaceDE w:val="0"/>
              <w:autoSpaceDN w:val="0"/>
              <w:bidi w:val="0"/>
              <w:adjustRightInd w:val="0"/>
              <w:snapToGrid w:val="0"/>
              <w:spacing w:before="0" w:beforeAutospacing="0" w:after="0" w:afterAutospacing="0" w:line="500" w:lineRule="exact"/>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rPr>
              <w:t>由上表分析可知，</w:t>
            </w:r>
            <w:r>
              <w:rPr>
                <w:rFonts w:hint="default" w:ascii="Times New Roman" w:hAnsi="Times New Roman" w:eastAsia="宋体" w:cs="Times New Roman"/>
                <w:b w:val="0"/>
                <w:bCs w:val="0"/>
                <w:color w:val="auto"/>
                <w:kern w:val="0"/>
                <w:sz w:val="24"/>
                <w:szCs w:val="24"/>
                <w:highlight w:val="none"/>
                <w:lang w:val="en-US" w:eastAsia="zh-CN"/>
              </w:rPr>
              <w:t>本项目建设符合《</w:t>
            </w:r>
            <w:r>
              <w:rPr>
                <w:rFonts w:hint="default" w:ascii="Times New Roman" w:hAnsi="Times New Roman" w:eastAsia="宋体" w:cs="Times New Roman"/>
                <w:b w:val="0"/>
                <w:bCs w:val="0"/>
                <w:kern w:val="28"/>
                <w:sz w:val="24"/>
                <w:szCs w:val="40"/>
                <w:highlight w:val="none"/>
                <w:lang w:val="en-US" w:eastAsia="zh-CN" w:bidi="ar-SA"/>
              </w:rPr>
              <w:t>河南省重污染天气通用行业应急减排措施制定技术指南（202</w:t>
            </w:r>
            <w:r>
              <w:rPr>
                <w:rFonts w:hint="eastAsia" w:ascii="Times New Roman" w:hAnsi="Times New Roman" w:cs="Times New Roman"/>
                <w:b w:val="0"/>
                <w:bCs w:val="0"/>
                <w:kern w:val="28"/>
                <w:sz w:val="24"/>
                <w:szCs w:val="40"/>
                <w:highlight w:val="none"/>
                <w:lang w:val="en-US" w:eastAsia="zh-CN" w:bidi="ar-SA"/>
              </w:rPr>
              <w:t>4</w:t>
            </w:r>
            <w:r>
              <w:rPr>
                <w:rFonts w:hint="default" w:ascii="Times New Roman" w:hAnsi="Times New Roman" w:eastAsia="宋体" w:cs="Times New Roman"/>
                <w:b w:val="0"/>
                <w:bCs w:val="0"/>
                <w:kern w:val="28"/>
                <w:sz w:val="24"/>
                <w:szCs w:val="40"/>
                <w:highlight w:val="none"/>
                <w:lang w:val="en-US" w:eastAsia="zh-CN" w:bidi="ar-SA"/>
              </w:rPr>
              <w:t>年修订版）</w:t>
            </w:r>
            <w:r>
              <w:rPr>
                <w:rFonts w:hint="default" w:ascii="Times New Roman" w:hAnsi="Times New Roman" w:cs="Times New Roman"/>
                <w:b w:val="0"/>
                <w:bCs w:val="0"/>
                <w:color w:val="auto"/>
                <w:kern w:val="28"/>
                <w:sz w:val="24"/>
                <w:szCs w:val="40"/>
                <w:highlight w:val="none"/>
                <w:lang w:val="en-US" w:eastAsia="zh-CN" w:bidi="ar-SA"/>
              </w:rPr>
              <w:t>》</w:t>
            </w:r>
            <w:r>
              <w:rPr>
                <w:rFonts w:hint="default" w:ascii="Times New Roman" w:hAnsi="Times New Roman" w:eastAsia="宋体" w:cs="Times New Roman"/>
                <w:b w:val="0"/>
                <w:bCs w:val="0"/>
                <w:color w:val="auto"/>
                <w:kern w:val="0"/>
                <w:sz w:val="24"/>
                <w:szCs w:val="24"/>
                <w:highlight w:val="none"/>
                <w:lang w:val="en-US" w:eastAsia="zh-CN"/>
              </w:rPr>
              <w:t>中相关要</w:t>
            </w:r>
            <w:r>
              <w:rPr>
                <w:rFonts w:hint="default" w:ascii="Times New Roman" w:hAnsi="Times New Roman" w:eastAsia="宋体" w:cs="Times New Roman"/>
                <w:color w:val="auto"/>
                <w:kern w:val="0"/>
                <w:sz w:val="24"/>
                <w:szCs w:val="24"/>
                <w:highlight w:val="none"/>
                <w:lang w:val="en-US" w:eastAsia="zh-CN"/>
              </w:rPr>
              <w:t>求</w:t>
            </w:r>
            <w:r>
              <w:rPr>
                <w:rFonts w:hint="default" w:ascii="Times New Roman" w:hAnsi="Times New Roman" w:eastAsia="宋体" w:cs="Times New Roman"/>
                <w:color w:val="auto"/>
                <w:sz w:val="24"/>
                <w:szCs w:val="24"/>
                <w:highlight w:val="none"/>
              </w:rPr>
              <w:t>。</w:t>
            </w:r>
          </w:p>
          <w:p w14:paraId="506F4438">
            <w:pPr>
              <w:pStyle w:val="74"/>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500" w:lineRule="exact"/>
              <w:ind w:left="0" w:right="0" w:firstLine="482" w:firstLineChars="200"/>
              <w:textAlignment w:val="auto"/>
              <w:rPr>
                <w:rFonts w:hint="default" w:ascii="Times New Roman" w:hAnsi="Times New Roman" w:eastAsia="宋体" w:cs="Times New Roman"/>
                <w:b/>
                <w:bCs w:val="0"/>
                <w:color w:val="auto"/>
                <w:kern w:val="28"/>
                <w:sz w:val="24"/>
                <w:szCs w:val="40"/>
                <w:lang w:val="en-US" w:eastAsia="zh-CN" w:bidi="ar-SA"/>
              </w:rPr>
            </w:pPr>
            <w:r>
              <w:rPr>
                <w:rFonts w:hint="eastAsia" w:ascii="Times New Roman" w:cs="Times New Roman"/>
                <w:b/>
                <w:bCs w:val="0"/>
                <w:color w:val="auto"/>
                <w:kern w:val="28"/>
                <w:sz w:val="24"/>
                <w:szCs w:val="40"/>
                <w:u w:val="none"/>
                <w:lang w:val="en-US" w:eastAsia="zh-CN" w:bidi="ar-SA"/>
              </w:rPr>
              <w:t>7、</w:t>
            </w:r>
            <w:r>
              <w:rPr>
                <w:rFonts w:hint="eastAsia" w:ascii="Times New Roman" w:hAnsi="Times New Roman" w:eastAsia="宋体" w:cs="Times New Roman"/>
                <w:b/>
                <w:bCs w:val="0"/>
                <w:color w:val="auto"/>
                <w:kern w:val="28"/>
                <w:sz w:val="24"/>
                <w:szCs w:val="40"/>
                <w:u w:val="none"/>
                <w:lang w:val="en-US" w:eastAsia="zh-CN" w:bidi="ar-SA"/>
              </w:rPr>
              <w:t>项目</w:t>
            </w:r>
            <w:r>
              <w:rPr>
                <w:rFonts w:hint="eastAsia" w:ascii="Times New Roman" w:cs="Times New Roman"/>
                <w:b/>
                <w:bCs w:val="0"/>
                <w:color w:val="auto"/>
                <w:kern w:val="28"/>
                <w:sz w:val="24"/>
                <w:szCs w:val="40"/>
                <w:highlight w:val="none"/>
                <w:lang w:val="en-US" w:eastAsia="zh-CN" w:bidi="ar-SA"/>
              </w:rPr>
              <w:t>与关于印发平顶山市“十四五”生态环境保护和生态经济发展规划的通知》（平政〔2023〕10号）相符性分析</w:t>
            </w:r>
          </w:p>
          <w:p w14:paraId="02F3CE20">
            <w:pPr>
              <w:pStyle w:val="7"/>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right="0"/>
              <w:jc w:val="center"/>
              <w:textAlignment w:val="auto"/>
              <w:rPr>
                <w:rFonts w:hint="eastAsia" w:ascii="Times New Roman" w:hAnsi="Times New Roman" w:eastAsia="黑体" w:cs="Times New Roman"/>
                <w:b w:val="0"/>
                <w:color w:val="auto"/>
                <w:kern w:val="0"/>
                <w:sz w:val="24"/>
                <w:szCs w:val="24"/>
                <w:u w:val="none"/>
                <w:lang w:val="en-US" w:eastAsia="zh-CN" w:bidi="ar-SA"/>
              </w:rPr>
            </w:pPr>
            <w:r>
              <w:rPr>
                <w:rFonts w:hint="eastAsia" w:ascii="Times New Roman" w:hAnsi="Times New Roman" w:eastAsia="黑体" w:cs="Times New Roman"/>
                <w:b w:val="0"/>
                <w:color w:val="auto"/>
                <w:kern w:val="0"/>
                <w:sz w:val="24"/>
                <w:szCs w:val="24"/>
                <w:u w:val="none"/>
                <w:lang w:val="en-US" w:eastAsia="zh-CN" w:bidi="ar-SA"/>
              </w:rPr>
              <w:t>表</w:t>
            </w:r>
            <w:r>
              <w:rPr>
                <w:rFonts w:hint="eastAsia" w:eastAsia="黑体" w:cs="Times New Roman"/>
                <w:b w:val="0"/>
                <w:color w:val="auto"/>
                <w:kern w:val="0"/>
                <w:sz w:val="24"/>
                <w:szCs w:val="24"/>
                <w:u w:val="none"/>
                <w:lang w:val="en-US" w:eastAsia="zh-CN" w:bidi="ar-SA"/>
              </w:rPr>
              <w:t>1-6</w:t>
            </w:r>
            <w:r>
              <w:rPr>
                <w:rFonts w:hint="eastAsia" w:ascii="Times New Roman" w:hAnsi="Times New Roman" w:eastAsia="黑体" w:cs="Times New Roman"/>
                <w:b w:val="0"/>
                <w:color w:val="auto"/>
                <w:kern w:val="0"/>
                <w:sz w:val="24"/>
                <w:szCs w:val="24"/>
                <w:u w:val="none"/>
                <w:lang w:val="en-US" w:eastAsia="zh-CN" w:bidi="ar-SA"/>
              </w:rPr>
              <w:t xml:space="preserve"> </w:t>
            </w:r>
            <w:r>
              <w:rPr>
                <w:rFonts w:hint="eastAsia" w:eastAsia="黑体" w:cs="Times New Roman"/>
                <w:b w:val="0"/>
                <w:color w:val="auto"/>
                <w:kern w:val="0"/>
                <w:sz w:val="24"/>
                <w:szCs w:val="24"/>
                <w:u w:val="none"/>
                <w:lang w:val="en-US" w:eastAsia="zh-CN" w:bidi="ar-SA"/>
              </w:rPr>
              <w:t>本项目</w:t>
            </w:r>
            <w:r>
              <w:rPr>
                <w:rFonts w:hint="eastAsia" w:ascii="Times New Roman" w:hAnsi="Times New Roman" w:eastAsia="黑体" w:cs="Times New Roman"/>
                <w:b w:val="0"/>
                <w:color w:val="auto"/>
                <w:kern w:val="0"/>
                <w:sz w:val="24"/>
                <w:szCs w:val="24"/>
                <w:u w:val="none"/>
                <w:lang w:val="en-US" w:eastAsia="zh-CN" w:bidi="ar-SA"/>
              </w:rPr>
              <w:t>建设内容与上述文件符合性分析一览表</w:t>
            </w:r>
          </w:p>
          <w:tbl>
            <w:tblPr>
              <w:tblStyle w:val="32"/>
              <w:tblW w:w="8157"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893"/>
              <w:gridCol w:w="741"/>
              <w:gridCol w:w="4146"/>
              <w:gridCol w:w="1527"/>
              <w:gridCol w:w="850"/>
            </w:tblGrid>
            <w:tr w14:paraId="011E49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39" w:hRule="atLeast"/>
                <w:jc w:val="center"/>
              </w:trPr>
              <w:tc>
                <w:tcPr>
                  <w:tcW w:w="893" w:type="dxa"/>
                  <w:tcBorders>
                    <w:tl2br w:val="nil"/>
                    <w:tr2bl w:val="nil"/>
                  </w:tcBorders>
                  <w:noWrap w:val="0"/>
                  <w:vAlign w:val="center"/>
                </w:tcPr>
                <w:p w14:paraId="101333F8">
                  <w:pPr>
                    <w:keepNext w:val="0"/>
                    <w:keepLines w:val="0"/>
                    <w:suppressLineNumbers w:val="0"/>
                    <w:autoSpaceDE w:val="0"/>
                    <w:autoSpaceDN w:val="0"/>
                    <w:spacing w:before="0" w:beforeAutospacing="0" w:after="0" w:afterAutospacing="0" w:line="240" w:lineRule="auto"/>
                    <w:ind w:left="0" w:right="0"/>
                    <w:jc w:val="center"/>
                    <w:rPr>
                      <w:rFonts w:hint="eastAsia" w:cs="Times New Roman"/>
                      <w:b/>
                      <w:bCs/>
                      <w:color w:val="auto"/>
                      <w:kern w:val="2"/>
                      <w:sz w:val="21"/>
                      <w:szCs w:val="21"/>
                      <w:u w:val="none"/>
                      <w:lang w:val="en-US" w:eastAsia="zh-CN" w:bidi="ar-SA"/>
                    </w:rPr>
                  </w:pPr>
                  <w:r>
                    <w:rPr>
                      <w:rFonts w:hint="eastAsia" w:cs="Times New Roman"/>
                      <w:b/>
                      <w:bCs/>
                      <w:color w:val="auto"/>
                      <w:kern w:val="2"/>
                      <w:sz w:val="21"/>
                      <w:szCs w:val="21"/>
                      <w:u w:val="none"/>
                      <w:lang w:val="en-US" w:eastAsia="zh-CN" w:bidi="ar-SA"/>
                    </w:rPr>
                    <w:t>文件</w:t>
                  </w:r>
                </w:p>
                <w:p w14:paraId="69C5568C">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u w:val="none"/>
                      <w:lang w:val="en-US"/>
                    </w:rPr>
                  </w:pPr>
                  <w:r>
                    <w:rPr>
                      <w:rFonts w:hint="eastAsia" w:cs="Times New Roman"/>
                      <w:b/>
                      <w:bCs/>
                      <w:color w:val="auto"/>
                      <w:kern w:val="2"/>
                      <w:sz w:val="21"/>
                      <w:szCs w:val="21"/>
                      <w:u w:val="none"/>
                      <w:lang w:val="en-US" w:eastAsia="zh-CN" w:bidi="ar-SA"/>
                    </w:rPr>
                    <w:t>名称</w:t>
                  </w:r>
                </w:p>
              </w:tc>
              <w:tc>
                <w:tcPr>
                  <w:tcW w:w="741" w:type="dxa"/>
                  <w:tcBorders>
                    <w:tl2br w:val="nil"/>
                    <w:tr2bl w:val="nil"/>
                  </w:tcBorders>
                  <w:noWrap w:val="0"/>
                  <w:vAlign w:val="center"/>
                </w:tcPr>
                <w:p w14:paraId="3638701D">
                  <w:pPr>
                    <w:keepNext w:val="0"/>
                    <w:keepLines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b/>
                      <w:bCs/>
                      <w:color w:val="auto"/>
                      <w:sz w:val="21"/>
                      <w:szCs w:val="21"/>
                      <w:u w:val="none"/>
                      <w:lang w:val="zh-CN"/>
                    </w:rPr>
                  </w:pPr>
                  <w:r>
                    <w:rPr>
                      <w:rFonts w:hint="eastAsia" w:cs="Times New Roman"/>
                      <w:b/>
                      <w:bCs/>
                      <w:color w:val="auto"/>
                      <w:kern w:val="2"/>
                      <w:sz w:val="21"/>
                      <w:szCs w:val="21"/>
                      <w:u w:val="none"/>
                      <w:lang w:val="en-US" w:eastAsia="zh-CN" w:bidi="ar-SA"/>
                    </w:rPr>
                    <w:t>类别</w:t>
                  </w:r>
                </w:p>
              </w:tc>
              <w:tc>
                <w:tcPr>
                  <w:tcW w:w="4146" w:type="dxa"/>
                  <w:tcBorders>
                    <w:tl2br w:val="nil"/>
                    <w:tr2bl w:val="nil"/>
                  </w:tcBorders>
                  <w:noWrap w:val="0"/>
                  <w:vAlign w:val="center"/>
                </w:tcPr>
                <w:p w14:paraId="1CBEA235">
                  <w:pPr>
                    <w:keepNext w:val="0"/>
                    <w:keepLines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b/>
                      <w:bCs/>
                      <w:color w:val="auto"/>
                      <w:sz w:val="21"/>
                      <w:szCs w:val="21"/>
                      <w:u w:val="none"/>
                      <w:lang w:val="zh-CN"/>
                    </w:rPr>
                  </w:pPr>
                  <w:r>
                    <w:rPr>
                      <w:rFonts w:hint="eastAsia" w:ascii="Times New Roman" w:hAnsi="Times New Roman" w:eastAsia="宋体" w:cs="Times New Roman"/>
                      <w:b/>
                      <w:bCs/>
                      <w:color w:val="auto"/>
                      <w:kern w:val="2"/>
                      <w:sz w:val="21"/>
                      <w:szCs w:val="21"/>
                      <w:u w:val="none"/>
                      <w:lang w:val="zh-CN" w:eastAsia="zh-CN" w:bidi="ar-SA"/>
                    </w:rPr>
                    <w:t>实施方案</w:t>
                  </w:r>
                  <w:r>
                    <w:rPr>
                      <w:rFonts w:hint="eastAsia" w:cs="Times New Roman"/>
                      <w:b/>
                      <w:bCs/>
                      <w:color w:val="auto"/>
                      <w:kern w:val="2"/>
                      <w:sz w:val="21"/>
                      <w:szCs w:val="21"/>
                      <w:u w:val="none"/>
                      <w:lang w:val="en-US" w:eastAsia="zh-CN" w:bidi="ar-SA"/>
                    </w:rPr>
                    <w:t>具体</w:t>
                  </w:r>
                  <w:r>
                    <w:rPr>
                      <w:rFonts w:hint="eastAsia" w:ascii="Times New Roman" w:hAnsi="Times New Roman" w:eastAsia="宋体" w:cs="Times New Roman"/>
                      <w:b/>
                      <w:bCs/>
                      <w:color w:val="auto"/>
                      <w:kern w:val="2"/>
                      <w:sz w:val="21"/>
                      <w:szCs w:val="21"/>
                      <w:u w:val="none"/>
                      <w:lang w:val="zh-CN" w:eastAsia="zh-CN" w:bidi="ar-SA"/>
                    </w:rPr>
                    <w:t>相关要求</w:t>
                  </w:r>
                </w:p>
              </w:tc>
              <w:tc>
                <w:tcPr>
                  <w:tcW w:w="1527" w:type="dxa"/>
                  <w:tcBorders>
                    <w:tl2br w:val="nil"/>
                    <w:tr2bl w:val="nil"/>
                  </w:tcBorders>
                  <w:noWrap w:val="0"/>
                  <w:vAlign w:val="center"/>
                </w:tcPr>
                <w:p w14:paraId="732237B0">
                  <w:pPr>
                    <w:keepNext w:val="0"/>
                    <w:keepLines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b/>
                      <w:bCs/>
                      <w:color w:val="auto"/>
                      <w:sz w:val="21"/>
                      <w:szCs w:val="21"/>
                      <w:u w:val="none"/>
                      <w:lang w:val="zh-CN"/>
                    </w:rPr>
                  </w:pPr>
                  <w:r>
                    <w:rPr>
                      <w:rFonts w:hint="eastAsia" w:cs="Times New Roman"/>
                      <w:b/>
                      <w:bCs/>
                      <w:color w:val="auto"/>
                      <w:kern w:val="2"/>
                      <w:sz w:val="21"/>
                      <w:szCs w:val="21"/>
                      <w:u w:val="none"/>
                      <w:lang w:val="zh-CN" w:eastAsia="zh-CN" w:bidi="ar-SA"/>
                    </w:rPr>
                    <w:t>本项目</w:t>
                  </w:r>
                  <w:r>
                    <w:rPr>
                      <w:rFonts w:hint="eastAsia" w:ascii="Times New Roman" w:hAnsi="Times New Roman" w:eastAsia="宋体" w:cs="Times New Roman"/>
                      <w:b/>
                      <w:bCs/>
                      <w:color w:val="auto"/>
                      <w:kern w:val="2"/>
                      <w:sz w:val="21"/>
                      <w:szCs w:val="21"/>
                      <w:u w:val="none"/>
                      <w:lang w:val="zh-CN" w:eastAsia="zh-CN" w:bidi="ar-SA"/>
                    </w:rPr>
                    <w:t>情况</w:t>
                  </w:r>
                </w:p>
              </w:tc>
              <w:tc>
                <w:tcPr>
                  <w:tcW w:w="850" w:type="dxa"/>
                  <w:tcBorders>
                    <w:tl2br w:val="nil"/>
                    <w:tr2bl w:val="nil"/>
                  </w:tcBorders>
                  <w:noWrap w:val="0"/>
                  <w:vAlign w:val="center"/>
                </w:tcPr>
                <w:p w14:paraId="3C246062">
                  <w:pPr>
                    <w:keepNext w:val="0"/>
                    <w:keepLines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b/>
                      <w:bCs/>
                      <w:color w:val="auto"/>
                      <w:sz w:val="21"/>
                      <w:szCs w:val="21"/>
                      <w:u w:val="none"/>
                      <w:lang w:val="zh-CN"/>
                    </w:rPr>
                  </w:pPr>
                  <w:r>
                    <w:rPr>
                      <w:rFonts w:hint="eastAsia" w:ascii="Times New Roman" w:hAnsi="Times New Roman" w:eastAsia="宋体" w:cs="Times New Roman"/>
                      <w:b/>
                      <w:bCs/>
                      <w:color w:val="auto"/>
                      <w:kern w:val="2"/>
                      <w:sz w:val="21"/>
                      <w:szCs w:val="21"/>
                      <w:u w:val="none"/>
                      <w:lang w:val="zh-CN" w:eastAsia="zh-CN" w:bidi="ar-SA"/>
                    </w:rPr>
                    <w:t>符合性</w:t>
                  </w:r>
                </w:p>
              </w:tc>
            </w:tr>
            <w:tr w14:paraId="395E03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844" w:hRule="atLeast"/>
                <w:jc w:val="center"/>
              </w:trPr>
              <w:tc>
                <w:tcPr>
                  <w:tcW w:w="893" w:type="dxa"/>
                  <w:vMerge w:val="restart"/>
                  <w:tcBorders>
                    <w:tl2br w:val="nil"/>
                    <w:tr2bl w:val="nil"/>
                  </w:tcBorders>
                  <w:noWrap w:val="0"/>
                  <w:vAlign w:val="center"/>
                </w:tcPr>
                <w:p w14:paraId="0B1FBA6C">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平顶山市人民政府关于印发平顶山市“十四五”生态环境保护和生态经济发展规划的通知</w:t>
                  </w:r>
                </w:p>
                <w:p w14:paraId="05F48AA6">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平政〔2023〕10号</w:t>
                  </w:r>
                </w:p>
              </w:tc>
              <w:tc>
                <w:tcPr>
                  <w:tcW w:w="741" w:type="dxa"/>
                  <w:tcBorders>
                    <w:tl2br w:val="nil"/>
                    <w:tr2bl w:val="nil"/>
                  </w:tcBorders>
                  <w:noWrap w:val="0"/>
                  <w:vAlign w:val="center"/>
                </w:tcPr>
                <w:p w14:paraId="19D98A2F">
                  <w:pPr>
                    <w:keepNext w:val="0"/>
                    <w:keepLines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实施生态环境分区管控</w:t>
                  </w:r>
                </w:p>
              </w:tc>
              <w:tc>
                <w:tcPr>
                  <w:tcW w:w="4146" w:type="dxa"/>
                  <w:tcBorders>
                    <w:tl2br w:val="nil"/>
                    <w:tr2bl w:val="nil"/>
                  </w:tcBorders>
                  <w:noWrap w:val="0"/>
                  <w:vAlign w:val="center"/>
                </w:tcPr>
                <w:p w14:paraId="4780BE5D">
                  <w:pPr>
                    <w:keepNext w:val="0"/>
                    <w:keepLines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立足资源环境承载能力，完善“三线一单”生态环境分区管控体系，建立动态更新和调整机制。将“三线一单”作为推进污染防治、生态修复、环境风险防控等工作的重要依据，强化“三线一单”在地方立法、政策制定、环境准入、园区管理.执法监管等领域的应用，从源头预防环境污染和生态破坏，强化重点生态功</w:t>
                  </w:r>
                  <w:r>
                    <w:rPr>
                      <w:rFonts w:hint="eastAsia" w:cs="Times New Roman"/>
                      <w:color w:val="auto"/>
                      <w:sz w:val="21"/>
                      <w:szCs w:val="21"/>
                      <w:u w:val="none"/>
                      <w:lang w:val="en-US" w:eastAsia="zh-CN"/>
                    </w:rPr>
                    <w:t>能</w:t>
                  </w:r>
                  <w:r>
                    <w:rPr>
                      <w:rFonts w:hint="eastAsia" w:ascii="Times New Roman" w:hAnsi="Times New Roman" w:eastAsia="宋体" w:cs="Times New Roman"/>
                      <w:color w:val="auto"/>
                      <w:sz w:val="21"/>
                      <w:szCs w:val="21"/>
                      <w:u w:val="none"/>
                      <w:lang w:val="en-US" w:eastAsia="zh-CN"/>
                    </w:rPr>
                    <w:t>区生态保护和修复，加强农产品主产区的耕地保护，严控开发强度;推进城市化发展区集约绿色低碳发展。</w:t>
                  </w:r>
                </w:p>
              </w:tc>
              <w:tc>
                <w:tcPr>
                  <w:tcW w:w="1527" w:type="dxa"/>
                  <w:tcBorders>
                    <w:tl2br w:val="nil"/>
                    <w:tr2bl w:val="nil"/>
                  </w:tcBorders>
                  <w:noWrap w:val="0"/>
                  <w:vAlign w:val="center"/>
                </w:tcPr>
                <w:p w14:paraId="70489D6C">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本项目符合</w:t>
                  </w:r>
                  <w:r>
                    <w:rPr>
                      <w:rFonts w:hint="eastAsia" w:ascii="Times New Roman" w:hAnsi="Times New Roman" w:cs="Times New Roman"/>
                      <w:color w:val="auto"/>
                      <w:sz w:val="21"/>
                      <w:szCs w:val="21"/>
                      <w:u w:val="none"/>
                      <w:lang w:val="en-US" w:eastAsia="zh-CN"/>
                    </w:rPr>
                    <w:t>叶县</w:t>
                  </w:r>
                  <w:r>
                    <w:rPr>
                      <w:rFonts w:hint="eastAsia" w:ascii="Times New Roman" w:hAnsi="Times New Roman" w:eastAsia="宋体" w:cs="Times New Roman"/>
                      <w:color w:val="auto"/>
                      <w:sz w:val="21"/>
                      <w:szCs w:val="21"/>
                      <w:u w:val="none"/>
                      <w:lang w:val="en-US" w:eastAsia="zh-CN"/>
                    </w:rPr>
                    <w:t>“三线一单”生态环境分区管控体系要求。</w:t>
                  </w:r>
                </w:p>
              </w:tc>
              <w:tc>
                <w:tcPr>
                  <w:tcW w:w="850" w:type="dxa"/>
                  <w:tcBorders>
                    <w:tl2br w:val="nil"/>
                    <w:tr2bl w:val="nil"/>
                  </w:tcBorders>
                  <w:noWrap w:val="0"/>
                  <w:vAlign w:val="center"/>
                </w:tcPr>
                <w:p w14:paraId="7AB79B6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相符</w:t>
                  </w:r>
                </w:p>
              </w:tc>
            </w:tr>
            <w:tr w14:paraId="574BCC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73" w:hRule="atLeast"/>
                <w:jc w:val="center"/>
              </w:trPr>
              <w:tc>
                <w:tcPr>
                  <w:tcW w:w="893" w:type="dxa"/>
                  <w:vMerge w:val="continue"/>
                  <w:tcBorders>
                    <w:tl2br w:val="nil"/>
                    <w:tr2bl w:val="nil"/>
                  </w:tcBorders>
                  <w:noWrap w:val="0"/>
                  <w:vAlign w:val="center"/>
                </w:tcPr>
                <w:p w14:paraId="0DE3C7C6">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1"/>
                      <w:szCs w:val="21"/>
                      <w:u w:val="none"/>
                      <w:lang w:val="en-US" w:eastAsia="zh-CN"/>
                    </w:rPr>
                  </w:pPr>
                </w:p>
              </w:tc>
              <w:tc>
                <w:tcPr>
                  <w:tcW w:w="741" w:type="dxa"/>
                  <w:tcBorders>
                    <w:tl2br w:val="nil"/>
                    <w:tr2bl w:val="nil"/>
                  </w:tcBorders>
                  <w:noWrap w:val="0"/>
                  <w:vAlign w:val="center"/>
                </w:tcPr>
                <w:p w14:paraId="59703FE6">
                  <w:pPr>
                    <w:keepNext w:val="0"/>
                    <w:keepLines w:val="0"/>
                    <w:suppressLineNumbers w:val="0"/>
                    <w:autoSpaceDE w:val="0"/>
                    <w:autoSpaceDN w:val="0"/>
                    <w:adjustRightInd w:val="0"/>
                    <w:spacing w:before="0" w:beforeAutospacing="0" w:after="0" w:afterAutospacing="0" w:line="240" w:lineRule="auto"/>
                    <w:ind w:left="0" w:right="0"/>
                    <w:jc w:val="center"/>
                    <w:rPr>
                      <w:rFonts w:hint="eastAsia"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深化重点领域节能减排</w:t>
                  </w:r>
                </w:p>
              </w:tc>
              <w:tc>
                <w:tcPr>
                  <w:tcW w:w="4146" w:type="dxa"/>
                  <w:tcBorders>
                    <w:tl2br w:val="nil"/>
                    <w:tr2bl w:val="nil"/>
                  </w:tcBorders>
                  <w:noWrap w:val="0"/>
                  <w:vAlign w:val="center"/>
                </w:tcPr>
                <w:p w14:paraId="7193C509">
                  <w:pPr>
                    <w:keepNext w:val="0"/>
                    <w:keepLines w:val="0"/>
                    <w:suppressLineNumbers w:val="0"/>
                    <w:autoSpaceDE w:val="0"/>
                    <w:autoSpaceDN w:val="0"/>
                    <w:spacing w:before="0" w:beforeAutospacing="0" w:after="0" w:afterAutospacing="0" w:line="240" w:lineRule="auto"/>
                    <w:ind w:left="0" w:right="0"/>
                    <w:jc w:val="center"/>
                    <w:rPr>
                      <w:rFonts w:hint="eastAsia" w:cs="Times New Roman"/>
                      <w:color w:val="auto"/>
                      <w:sz w:val="21"/>
                      <w:szCs w:val="21"/>
                      <w:u w:val="none"/>
                      <w:lang w:val="en-US" w:eastAsia="zh-CN"/>
                    </w:rPr>
                  </w:pPr>
                  <w:r>
                    <w:rPr>
                      <w:rFonts w:hint="eastAsia" w:cs="Times New Roman"/>
                      <w:color w:val="auto"/>
                      <w:sz w:val="21"/>
                      <w:szCs w:val="21"/>
                      <w:u w:val="none"/>
                      <w:lang w:val="en-US" w:eastAsia="zh-CN"/>
                    </w:rPr>
                    <w:t>推动工业领域节能减排综合改造，坚决遏制“两高”(高耗能、高排放)项目盲目发展，以钢铁、焦化、铸造、建材、有色、化工、工业涂装、包装印刷、电镀、制革、造纸、纺织印染、农副食品加工等行业为重点，开展全流程清洁化、循环化、低碳化改造。强化重点用能单位节能管理，对以煤、石油焦、渣油、重油等为燃料的工业炉窑，加快使用清洁低碳能源、工业余热电厂热力等进行替代，开展高耗能、高耗水行业和重点产品资源效率对标提升行动，实施能效、水效领跑者行动。加快推进农业、建筑业、服务业等领域清洁生产，强化农业领域节水增效和清洁能源替代，推进食用菌、烟叶等种植业及农副产品加工行业重点企业燃煤设施清洁化能源替代，2022年年底前完成烟叶烤房“双改”工作。推动煤炭清洁高效利用，加强洁净型煤质量监管。</w:t>
                  </w:r>
                </w:p>
              </w:tc>
              <w:tc>
                <w:tcPr>
                  <w:tcW w:w="1527" w:type="dxa"/>
                  <w:tcBorders>
                    <w:tl2br w:val="nil"/>
                    <w:tr2bl w:val="nil"/>
                  </w:tcBorders>
                  <w:noWrap w:val="0"/>
                  <w:vAlign w:val="center"/>
                </w:tcPr>
                <w:p w14:paraId="5D5E77D0">
                  <w:pPr>
                    <w:keepNext w:val="0"/>
                    <w:keepLines w:val="0"/>
                    <w:suppressLineNumbers w:val="0"/>
                    <w:autoSpaceDE w:val="0"/>
                    <w:autoSpaceDN w:val="0"/>
                    <w:spacing w:before="0" w:beforeAutospacing="0" w:after="0" w:afterAutospacing="0" w:line="240" w:lineRule="auto"/>
                    <w:ind w:left="0" w:right="0"/>
                    <w:jc w:val="center"/>
                    <w:rPr>
                      <w:rFonts w:hint="default" w:cs="Times New Roman"/>
                      <w:color w:val="auto"/>
                      <w:sz w:val="21"/>
                      <w:szCs w:val="21"/>
                      <w:u w:val="none"/>
                      <w:lang w:val="en-US" w:eastAsia="zh-CN"/>
                    </w:rPr>
                  </w:pPr>
                  <w:r>
                    <w:rPr>
                      <w:rFonts w:hint="eastAsia" w:cs="Times New Roman"/>
                      <w:color w:val="auto"/>
                      <w:sz w:val="21"/>
                      <w:szCs w:val="21"/>
                      <w:highlight w:val="none"/>
                      <w:u w:val="none"/>
                      <w:lang w:val="en-US" w:eastAsia="zh-CN"/>
                    </w:rPr>
                    <w:t>本项目不属于“两高”项目</w:t>
                  </w:r>
                  <w:r>
                    <w:rPr>
                      <w:rFonts w:hint="eastAsia" w:cs="Times New Roman"/>
                      <w:color w:val="auto"/>
                      <w:sz w:val="21"/>
                      <w:szCs w:val="21"/>
                      <w:u w:val="none"/>
                      <w:lang w:val="en-US" w:eastAsia="zh-CN"/>
                    </w:rPr>
                    <w:t>，废气经处理后均可实现达标排放，本项目废气排放量较小，并按照相关文件要求实行区域替代方案</w:t>
                  </w:r>
                </w:p>
              </w:tc>
              <w:tc>
                <w:tcPr>
                  <w:tcW w:w="850" w:type="dxa"/>
                  <w:tcBorders>
                    <w:tl2br w:val="nil"/>
                    <w:tr2bl w:val="nil"/>
                  </w:tcBorders>
                  <w:noWrap w:val="0"/>
                  <w:vAlign w:val="center"/>
                </w:tcPr>
                <w:p w14:paraId="361438C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相符</w:t>
                  </w:r>
                </w:p>
              </w:tc>
            </w:tr>
            <w:tr w14:paraId="112338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234" w:hRule="atLeast"/>
                <w:jc w:val="center"/>
              </w:trPr>
              <w:tc>
                <w:tcPr>
                  <w:tcW w:w="893" w:type="dxa"/>
                  <w:vMerge w:val="continue"/>
                  <w:tcBorders>
                    <w:tl2br w:val="nil"/>
                    <w:tr2bl w:val="nil"/>
                  </w:tcBorders>
                  <w:noWrap w:val="0"/>
                  <w:vAlign w:val="center"/>
                </w:tcPr>
                <w:p w14:paraId="5D585527">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1"/>
                      <w:szCs w:val="21"/>
                      <w:u w:val="none"/>
                      <w:lang w:val="en-US" w:eastAsia="zh-CN"/>
                    </w:rPr>
                  </w:pPr>
                </w:p>
              </w:tc>
              <w:tc>
                <w:tcPr>
                  <w:tcW w:w="741" w:type="dxa"/>
                  <w:tcBorders>
                    <w:tl2br w:val="nil"/>
                    <w:tr2bl w:val="nil"/>
                  </w:tcBorders>
                  <w:noWrap w:val="0"/>
                  <w:vAlign w:val="center"/>
                </w:tcPr>
                <w:p w14:paraId="63FD32E3">
                  <w:pPr>
                    <w:keepNext w:val="0"/>
                    <w:keepLines w:val="0"/>
                    <w:suppressLineNumbers w:val="0"/>
                    <w:autoSpaceDE w:val="0"/>
                    <w:autoSpaceDN w:val="0"/>
                    <w:adjustRightInd w:val="0"/>
                    <w:spacing w:before="0" w:beforeAutospacing="0" w:after="0" w:afterAutospacing="0" w:line="240" w:lineRule="auto"/>
                    <w:ind w:left="0" w:right="0"/>
                    <w:jc w:val="center"/>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加强水资源集约利用</w:t>
                  </w:r>
                </w:p>
              </w:tc>
              <w:tc>
                <w:tcPr>
                  <w:tcW w:w="4146" w:type="dxa"/>
                  <w:tcBorders>
                    <w:tl2br w:val="nil"/>
                    <w:tr2bl w:val="nil"/>
                  </w:tcBorders>
                  <w:noWrap w:val="0"/>
                  <w:vAlign w:val="center"/>
                </w:tcPr>
                <w:p w14:paraId="131C9AEF">
                  <w:pPr>
                    <w:keepNext w:val="0"/>
                    <w:keepLines w:val="0"/>
                    <w:suppressLineNumbers w:val="0"/>
                    <w:autoSpaceDE w:val="0"/>
                    <w:autoSpaceDN w:val="0"/>
                    <w:spacing w:before="0" w:beforeAutospacing="0" w:after="0" w:afterAutospacing="0" w:line="240" w:lineRule="auto"/>
                    <w:ind w:left="0" w:right="0"/>
                    <w:jc w:val="center"/>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强化水资源刚性约束制度，坚持“以水定城、以水定地、以水定人、以水定产”，进一步控制水资源消耗。严格用水全过程管理，强化节水监督考核。因地制宜推进区域再生水循环利用，鼓励工业领域节水和水循环利用，围绕火电、有色、造纸、印染等高耗水行业，加强企业内部工业用水循环利用，鼓励新建、改建、扩建的污水处理广配套建设再生水利用系统，到2025年，市区再生水利用率达到25%以上，因地制宜调整种植结构，推进农业灌溉用水总量控制和定额管理，到2025年，全市灌溉水有效利用系数达到0.638以上</w:t>
                  </w:r>
                </w:p>
              </w:tc>
              <w:tc>
                <w:tcPr>
                  <w:tcW w:w="1527" w:type="dxa"/>
                  <w:tcBorders>
                    <w:tl2br w:val="nil"/>
                    <w:tr2bl w:val="nil"/>
                  </w:tcBorders>
                  <w:noWrap w:val="0"/>
                  <w:vAlign w:val="center"/>
                </w:tcPr>
                <w:p w14:paraId="776A3D47">
                  <w:pPr>
                    <w:keepNext w:val="0"/>
                    <w:keepLines w:val="0"/>
                    <w:suppressLineNumbers w:val="0"/>
                    <w:autoSpaceDE w:val="0"/>
                    <w:autoSpaceDN w:val="0"/>
                    <w:spacing w:before="0" w:beforeAutospacing="0" w:after="0" w:afterAutospacing="0" w:line="240" w:lineRule="auto"/>
                    <w:ind w:left="0" w:right="0"/>
                    <w:jc w:val="center"/>
                    <w:rPr>
                      <w:rFonts w:hint="default"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本项目用水量较小，用水主要是生活用水，不属于高耗水行业</w:t>
                  </w:r>
                </w:p>
              </w:tc>
              <w:tc>
                <w:tcPr>
                  <w:tcW w:w="850" w:type="dxa"/>
                  <w:tcBorders>
                    <w:tl2br w:val="nil"/>
                    <w:tr2bl w:val="nil"/>
                  </w:tcBorders>
                  <w:noWrap w:val="0"/>
                  <w:vAlign w:val="center"/>
                </w:tcPr>
                <w:p w14:paraId="7F202228">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相符</w:t>
                  </w:r>
                </w:p>
              </w:tc>
            </w:tr>
          </w:tbl>
          <w:p w14:paraId="3780AAA9">
            <w:pPr>
              <w:pStyle w:val="74"/>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val="0"/>
                <w:color w:val="auto"/>
                <w:kern w:val="28"/>
                <w:sz w:val="24"/>
                <w:szCs w:val="40"/>
                <w:lang w:val="en-US" w:eastAsia="zh-CN" w:bidi="ar-SA"/>
              </w:rPr>
            </w:pPr>
            <w:r>
              <w:rPr>
                <w:rFonts w:hint="eastAsia" w:ascii="Times New Roman" w:hAnsi="Times New Roman" w:cs="Times New Roman"/>
                <w:b/>
                <w:bCs w:val="0"/>
                <w:color w:val="auto"/>
                <w:kern w:val="28"/>
                <w:sz w:val="24"/>
                <w:szCs w:val="40"/>
                <w:lang w:val="en-US" w:eastAsia="zh-CN" w:bidi="ar-SA"/>
              </w:rPr>
              <w:t>8</w:t>
            </w:r>
            <w:r>
              <w:rPr>
                <w:rFonts w:hint="default" w:ascii="Times New Roman" w:hAnsi="Times New Roman" w:cs="Times New Roman"/>
                <w:b/>
                <w:bCs w:val="0"/>
                <w:color w:val="auto"/>
                <w:kern w:val="28"/>
                <w:sz w:val="24"/>
                <w:szCs w:val="40"/>
                <w:lang w:val="en-US" w:eastAsia="zh-CN" w:bidi="ar-SA"/>
              </w:rPr>
              <w:t>、与《河南省人民政府关于河南省空气质量持续改善行动计划的通知》（豫政〔2024〕12号）</w:t>
            </w:r>
            <w:r>
              <w:rPr>
                <w:rFonts w:hint="eastAsia" w:ascii="Times New Roman" w:hAnsi="Times New Roman" w:cs="Times New Roman"/>
                <w:b/>
                <w:bCs w:val="0"/>
                <w:color w:val="auto"/>
                <w:kern w:val="28"/>
                <w:sz w:val="24"/>
                <w:szCs w:val="40"/>
                <w:lang w:val="en-US" w:eastAsia="zh-CN" w:bidi="ar-SA"/>
              </w:rPr>
              <w:t>相符性分析</w:t>
            </w:r>
          </w:p>
          <w:p w14:paraId="4AF7D961">
            <w:pPr>
              <w:pStyle w:val="7"/>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right="0"/>
              <w:jc w:val="center"/>
              <w:textAlignment w:val="auto"/>
              <w:rPr>
                <w:rFonts w:hint="default" w:ascii="Times New Roman" w:hAnsi="Times New Roman" w:eastAsia="黑体" w:cs="Times New Roman"/>
                <w:b w:val="0"/>
                <w:color w:val="auto"/>
                <w:kern w:val="0"/>
                <w:sz w:val="24"/>
                <w:szCs w:val="24"/>
                <w:u w:val="none"/>
                <w:lang w:val="en-US" w:eastAsia="zh-CN" w:bidi="ar-SA"/>
              </w:rPr>
            </w:pPr>
            <w:r>
              <w:rPr>
                <w:rFonts w:hint="default" w:ascii="Times New Roman" w:hAnsi="Times New Roman" w:eastAsia="黑体" w:cs="Times New Roman"/>
                <w:b w:val="0"/>
                <w:color w:val="auto"/>
                <w:kern w:val="0"/>
                <w:sz w:val="24"/>
                <w:szCs w:val="24"/>
                <w:highlight w:val="none"/>
                <w:u w:val="none"/>
                <w:lang w:val="en-US" w:eastAsia="zh-CN" w:bidi="ar-SA"/>
              </w:rPr>
              <w:t>表</w:t>
            </w:r>
            <w:r>
              <w:rPr>
                <w:rFonts w:hint="eastAsia" w:eastAsia="黑体" w:cs="Times New Roman"/>
                <w:b w:val="0"/>
                <w:color w:val="auto"/>
                <w:kern w:val="0"/>
                <w:sz w:val="24"/>
                <w:szCs w:val="24"/>
                <w:highlight w:val="none"/>
                <w:u w:val="none"/>
                <w:lang w:val="en-US" w:eastAsia="zh-CN" w:bidi="ar-SA"/>
              </w:rPr>
              <w:t>1-</w:t>
            </w:r>
            <w:r>
              <w:rPr>
                <w:rFonts w:hint="default" w:ascii="Times New Roman" w:hAnsi="Times New Roman" w:eastAsia="黑体" w:cs="Times New Roman"/>
                <w:b w:val="0"/>
                <w:color w:val="auto"/>
                <w:kern w:val="0"/>
                <w:sz w:val="24"/>
                <w:szCs w:val="24"/>
                <w:highlight w:val="none"/>
                <w:u w:val="none"/>
                <w:lang w:val="en-US" w:eastAsia="zh-CN" w:bidi="ar-SA"/>
              </w:rPr>
              <w:t xml:space="preserve">7 </w:t>
            </w:r>
            <w:r>
              <w:rPr>
                <w:rFonts w:hint="default" w:ascii="Times New Roman" w:hAnsi="Times New Roman" w:eastAsia="黑体" w:cs="Times New Roman"/>
                <w:b w:val="0"/>
                <w:color w:val="auto"/>
                <w:kern w:val="0"/>
                <w:sz w:val="24"/>
                <w:szCs w:val="24"/>
                <w:u w:val="none"/>
                <w:lang w:val="en-US" w:eastAsia="zh-CN" w:bidi="ar-SA"/>
              </w:rPr>
              <w:t>本项目建设内容与上述文件符合性分析一览表</w:t>
            </w:r>
          </w:p>
          <w:tbl>
            <w:tblPr>
              <w:tblStyle w:val="32"/>
              <w:tblW w:w="8077"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897"/>
              <w:gridCol w:w="1064"/>
              <w:gridCol w:w="3829"/>
              <w:gridCol w:w="1399"/>
              <w:gridCol w:w="888"/>
            </w:tblGrid>
            <w:tr w14:paraId="66308F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65" w:hRule="atLeast"/>
                <w:jc w:val="center"/>
              </w:trPr>
              <w:tc>
                <w:tcPr>
                  <w:tcW w:w="897" w:type="dxa"/>
                  <w:tcBorders>
                    <w:tl2br w:val="nil"/>
                    <w:tr2bl w:val="nil"/>
                  </w:tcBorders>
                  <w:noWrap w:val="0"/>
                  <w:vAlign w:val="center"/>
                </w:tcPr>
                <w:p w14:paraId="096034F5">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cs="Times New Roman"/>
                      <w:b/>
                      <w:bCs/>
                      <w:color w:val="auto"/>
                      <w:kern w:val="2"/>
                      <w:sz w:val="21"/>
                      <w:szCs w:val="21"/>
                      <w:u w:val="none"/>
                      <w:lang w:val="en-US" w:eastAsia="zh-CN" w:bidi="ar-SA"/>
                    </w:rPr>
                  </w:pPr>
                  <w:r>
                    <w:rPr>
                      <w:rFonts w:hint="default" w:ascii="Times New Roman" w:hAnsi="Times New Roman" w:cs="Times New Roman"/>
                      <w:b/>
                      <w:bCs/>
                      <w:color w:val="auto"/>
                      <w:kern w:val="2"/>
                      <w:sz w:val="21"/>
                      <w:szCs w:val="21"/>
                      <w:u w:val="none"/>
                      <w:lang w:val="en-US" w:eastAsia="zh-CN" w:bidi="ar-SA"/>
                    </w:rPr>
                    <w:t>文件</w:t>
                  </w:r>
                </w:p>
                <w:p w14:paraId="074C7BF4">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u w:val="none"/>
                      <w:lang w:val="en-US"/>
                    </w:rPr>
                  </w:pPr>
                  <w:r>
                    <w:rPr>
                      <w:rFonts w:hint="default" w:ascii="Times New Roman" w:hAnsi="Times New Roman" w:cs="Times New Roman"/>
                      <w:b/>
                      <w:bCs/>
                      <w:color w:val="auto"/>
                      <w:kern w:val="2"/>
                      <w:sz w:val="21"/>
                      <w:szCs w:val="21"/>
                      <w:u w:val="none"/>
                      <w:lang w:val="en-US" w:eastAsia="zh-CN" w:bidi="ar-SA"/>
                    </w:rPr>
                    <w:t>名称</w:t>
                  </w:r>
                </w:p>
              </w:tc>
              <w:tc>
                <w:tcPr>
                  <w:tcW w:w="1064" w:type="dxa"/>
                  <w:tcBorders>
                    <w:tl2br w:val="nil"/>
                    <w:tr2bl w:val="nil"/>
                  </w:tcBorders>
                  <w:noWrap w:val="0"/>
                  <w:vAlign w:val="center"/>
                </w:tcPr>
                <w:p w14:paraId="596783F6">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u w:val="none"/>
                      <w:lang w:val="zh-CN"/>
                    </w:rPr>
                  </w:pPr>
                  <w:r>
                    <w:rPr>
                      <w:rFonts w:hint="default" w:ascii="Times New Roman" w:hAnsi="Times New Roman" w:cs="Times New Roman"/>
                      <w:b/>
                      <w:bCs/>
                      <w:color w:val="auto"/>
                      <w:kern w:val="2"/>
                      <w:sz w:val="21"/>
                      <w:szCs w:val="21"/>
                      <w:u w:val="none"/>
                      <w:lang w:val="en-US" w:eastAsia="zh-CN" w:bidi="ar-SA"/>
                    </w:rPr>
                    <w:t>类别</w:t>
                  </w:r>
                </w:p>
              </w:tc>
              <w:tc>
                <w:tcPr>
                  <w:tcW w:w="3829" w:type="dxa"/>
                  <w:tcBorders>
                    <w:tl2br w:val="nil"/>
                    <w:tr2bl w:val="nil"/>
                  </w:tcBorders>
                  <w:noWrap w:val="0"/>
                  <w:vAlign w:val="center"/>
                </w:tcPr>
                <w:p w14:paraId="0C08AF0E">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u w:val="none"/>
                      <w:lang w:val="zh-CN"/>
                    </w:rPr>
                  </w:pPr>
                  <w:r>
                    <w:rPr>
                      <w:rFonts w:hint="default" w:ascii="Times New Roman" w:hAnsi="Times New Roman" w:eastAsia="宋体" w:cs="Times New Roman"/>
                      <w:b/>
                      <w:bCs/>
                      <w:color w:val="auto"/>
                      <w:kern w:val="2"/>
                      <w:sz w:val="21"/>
                      <w:szCs w:val="21"/>
                      <w:u w:val="none"/>
                      <w:lang w:val="zh-CN" w:eastAsia="zh-CN" w:bidi="ar-SA"/>
                    </w:rPr>
                    <w:t>实施方案</w:t>
                  </w:r>
                  <w:r>
                    <w:rPr>
                      <w:rFonts w:hint="default" w:ascii="Times New Roman" w:hAnsi="Times New Roman" w:cs="Times New Roman"/>
                      <w:b/>
                      <w:bCs/>
                      <w:color w:val="auto"/>
                      <w:kern w:val="2"/>
                      <w:sz w:val="21"/>
                      <w:szCs w:val="21"/>
                      <w:u w:val="none"/>
                      <w:lang w:val="en-US" w:eastAsia="zh-CN" w:bidi="ar-SA"/>
                    </w:rPr>
                    <w:t>具体</w:t>
                  </w:r>
                  <w:r>
                    <w:rPr>
                      <w:rFonts w:hint="default" w:ascii="Times New Roman" w:hAnsi="Times New Roman" w:eastAsia="宋体" w:cs="Times New Roman"/>
                      <w:b/>
                      <w:bCs/>
                      <w:color w:val="auto"/>
                      <w:kern w:val="2"/>
                      <w:sz w:val="21"/>
                      <w:szCs w:val="21"/>
                      <w:u w:val="none"/>
                      <w:lang w:val="zh-CN" w:eastAsia="zh-CN" w:bidi="ar-SA"/>
                    </w:rPr>
                    <w:t>相关要求</w:t>
                  </w:r>
                </w:p>
              </w:tc>
              <w:tc>
                <w:tcPr>
                  <w:tcW w:w="1399" w:type="dxa"/>
                  <w:tcBorders>
                    <w:tl2br w:val="nil"/>
                    <w:tr2bl w:val="nil"/>
                  </w:tcBorders>
                  <w:noWrap w:val="0"/>
                  <w:vAlign w:val="center"/>
                </w:tcPr>
                <w:p w14:paraId="6D282ED9">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u w:val="none"/>
                      <w:lang w:val="zh-CN"/>
                    </w:rPr>
                  </w:pPr>
                  <w:r>
                    <w:rPr>
                      <w:rFonts w:hint="default" w:ascii="Times New Roman" w:hAnsi="Times New Roman" w:cs="Times New Roman"/>
                      <w:b/>
                      <w:bCs/>
                      <w:color w:val="auto"/>
                      <w:kern w:val="2"/>
                      <w:sz w:val="21"/>
                      <w:szCs w:val="21"/>
                      <w:u w:val="none"/>
                      <w:lang w:val="zh-CN" w:eastAsia="zh-CN" w:bidi="ar-SA"/>
                    </w:rPr>
                    <w:t>本项目</w:t>
                  </w:r>
                  <w:r>
                    <w:rPr>
                      <w:rFonts w:hint="default" w:ascii="Times New Roman" w:hAnsi="Times New Roman" w:eastAsia="宋体" w:cs="Times New Roman"/>
                      <w:b/>
                      <w:bCs/>
                      <w:color w:val="auto"/>
                      <w:kern w:val="2"/>
                      <w:sz w:val="21"/>
                      <w:szCs w:val="21"/>
                      <w:u w:val="none"/>
                      <w:lang w:val="zh-CN" w:eastAsia="zh-CN" w:bidi="ar-SA"/>
                    </w:rPr>
                    <w:t>情况</w:t>
                  </w:r>
                </w:p>
              </w:tc>
              <w:tc>
                <w:tcPr>
                  <w:tcW w:w="888" w:type="dxa"/>
                  <w:tcBorders>
                    <w:tl2br w:val="nil"/>
                    <w:tr2bl w:val="nil"/>
                  </w:tcBorders>
                  <w:noWrap w:val="0"/>
                  <w:vAlign w:val="center"/>
                </w:tcPr>
                <w:p w14:paraId="3C70F952">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u w:val="none"/>
                      <w:lang w:val="zh-CN"/>
                    </w:rPr>
                  </w:pPr>
                  <w:r>
                    <w:rPr>
                      <w:rFonts w:hint="default" w:ascii="Times New Roman" w:hAnsi="Times New Roman" w:eastAsia="宋体" w:cs="Times New Roman"/>
                      <w:b/>
                      <w:bCs/>
                      <w:color w:val="auto"/>
                      <w:kern w:val="2"/>
                      <w:sz w:val="21"/>
                      <w:szCs w:val="21"/>
                      <w:u w:val="none"/>
                      <w:lang w:val="zh-CN" w:eastAsia="zh-CN" w:bidi="ar-SA"/>
                    </w:rPr>
                    <w:t>符合性</w:t>
                  </w:r>
                </w:p>
              </w:tc>
            </w:tr>
            <w:tr w14:paraId="51DAD2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163" w:hRule="atLeast"/>
                <w:jc w:val="center"/>
              </w:trPr>
              <w:tc>
                <w:tcPr>
                  <w:tcW w:w="897" w:type="dxa"/>
                  <w:vMerge w:val="restart"/>
                  <w:tcBorders>
                    <w:tl2br w:val="nil"/>
                    <w:tr2bl w:val="nil"/>
                  </w:tcBorders>
                  <w:noWrap w:val="0"/>
                  <w:vAlign w:val="center"/>
                </w:tcPr>
                <w:p w14:paraId="3EFDFCF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b w:val="0"/>
                      <w:bCs/>
                      <w:color w:val="auto"/>
                      <w:kern w:val="28"/>
                      <w:sz w:val="21"/>
                      <w:szCs w:val="21"/>
                      <w:lang w:val="en-US" w:eastAsia="zh-CN" w:bidi="ar-SA"/>
                    </w:rPr>
                    <w:t>河南省人民政府关于河南省空气质量持续改善行动计划的通知</w:t>
                  </w:r>
                </w:p>
              </w:tc>
              <w:tc>
                <w:tcPr>
                  <w:tcW w:w="1064" w:type="dxa"/>
                  <w:tcBorders>
                    <w:tl2br w:val="nil"/>
                    <w:tr2bl w:val="nil"/>
                  </w:tcBorders>
                  <w:noWrap w:val="0"/>
                  <w:vAlign w:val="center"/>
                </w:tcPr>
                <w:p w14:paraId="1130B195">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推进重点行业污染深度治理</w:t>
                  </w:r>
                </w:p>
              </w:tc>
              <w:tc>
                <w:tcPr>
                  <w:tcW w:w="3829" w:type="dxa"/>
                  <w:tcBorders>
                    <w:tl2br w:val="nil"/>
                    <w:tr2bl w:val="nil"/>
                  </w:tcBorders>
                  <w:noWrap w:val="0"/>
                  <w:vAlign w:val="center"/>
                </w:tcPr>
                <w:p w14:paraId="36D3DDBF">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全省新(改、扩)建火电、钢铁、水泥、焦化项目要达到超低排放水平。2024年年底前，水泥、焦化企业基本完成有组织和无组织超低排放改造</w:t>
                  </w:r>
                  <w:r>
                    <w:rPr>
                      <w:rFonts w:hint="eastAsia" w:ascii="Times New Roman" w:hAnsi="Times New Roman" w:eastAsia="宋体" w:cs="Times New Roman"/>
                      <w:color w:val="auto"/>
                      <w:sz w:val="21"/>
                      <w:szCs w:val="21"/>
                      <w:u w:val="none"/>
                      <w:lang w:val="en-US" w:eastAsia="zh-CN"/>
                    </w:rPr>
                    <w:t>；</w:t>
                  </w:r>
                  <w:r>
                    <w:rPr>
                      <w:rFonts w:hint="default" w:ascii="Times New Roman" w:hAnsi="Times New Roman" w:eastAsia="宋体" w:cs="Times New Roman"/>
                      <w:color w:val="auto"/>
                      <w:sz w:val="21"/>
                      <w:szCs w:val="21"/>
                      <w:u w:val="none"/>
                      <w:lang w:val="en-US" w:eastAsia="zh-CN"/>
                    </w:rPr>
                    <w:t>2025年9月底前，钢铁、水泥、焦化企业力争完成清洁运输超低排放改造。持续推进玻璃、耐火材料、有色、铸造、炭素、石灰、砖瓦等工业炉窑深度治理，实施陶瓷、化肥、生活垃圾焚烧、生物质锅炉等行业提标改造。2025年年底前，基本完成燃气锅炉低氮燃烧改造;生物质锅炉全部采用专用炉具，配套布袋等高效除尘设施，禁止掺烧煤炭、生活垃圾等其他物料。推进整合小型生物质锅炉。原则上不得设置烟气和VOCs废气旁路，因安全生产需要无法取消的应安装烟气自动监控、流量、温度等监控设施并加强监管，重点涉气企业应加装备用处置设施。</w:t>
                  </w:r>
                </w:p>
              </w:tc>
              <w:tc>
                <w:tcPr>
                  <w:tcW w:w="1399" w:type="dxa"/>
                  <w:tcBorders>
                    <w:tl2br w:val="nil"/>
                    <w:tr2bl w:val="nil"/>
                  </w:tcBorders>
                  <w:noWrap w:val="0"/>
                  <w:vAlign w:val="center"/>
                </w:tcPr>
                <w:p w14:paraId="133C04CE">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lang w:val="en-US" w:eastAsia="zh-CN"/>
                    </w:rPr>
                  </w:pPr>
                  <w:r>
                    <w:rPr>
                      <w:rFonts w:hint="eastAsia" w:asciiTheme="minorEastAsia" w:hAnsiTheme="minorEastAsia" w:eastAsiaTheme="minorEastAsia" w:cstheme="minorEastAsia"/>
                      <w:color w:val="auto"/>
                      <w:sz w:val="21"/>
                      <w:szCs w:val="21"/>
                      <w:u w:val="none"/>
                      <w:lang w:val="en-US" w:eastAsia="zh-CN"/>
                    </w:rPr>
                    <w:t>本次工程</w:t>
                  </w:r>
                  <w:r>
                    <w:rPr>
                      <w:rFonts w:hint="eastAsia"/>
                      <w:color w:val="auto"/>
                      <w:u w:val="none"/>
                      <w:lang w:val="en-US" w:eastAsia="zh-CN"/>
                    </w:rPr>
                    <w:t>发电机组</w:t>
                  </w:r>
                  <w:r>
                    <w:rPr>
                      <w:rFonts w:hint="eastAsia" w:ascii="Times New Roman" w:hAnsi="Times New Roman" w:eastAsia="宋体" w:cs="Times New Roman"/>
                      <w:color w:val="auto"/>
                      <w:kern w:val="2"/>
                      <w:sz w:val="21"/>
                      <w:szCs w:val="21"/>
                      <w:u w:val="none"/>
                      <w:lang w:val="en-US" w:eastAsia="zh-CN" w:bidi="ar-SA"/>
                    </w:rPr>
                    <w:t>经</w:t>
                  </w:r>
                  <w:r>
                    <w:rPr>
                      <w:rFonts w:hint="eastAsia" w:cs="Times New Roman"/>
                      <w:color w:val="auto"/>
                      <w:kern w:val="2"/>
                      <w:sz w:val="21"/>
                      <w:szCs w:val="21"/>
                      <w:highlight w:val="none"/>
                      <w:u w:val="none"/>
                      <w:lang w:val="en-US" w:eastAsia="zh-CN" w:bidi="ar-SA"/>
                    </w:rPr>
                    <w:t>稀薄燃烧控制技术控制</w:t>
                  </w:r>
                  <w:r>
                    <w:rPr>
                      <w:rFonts w:hint="eastAsia" w:ascii="Times New Roman" w:hAnsi="Times New Roman" w:eastAsia="宋体" w:cs="Times New Roman"/>
                      <w:color w:val="auto"/>
                      <w:kern w:val="2"/>
                      <w:sz w:val="21"/>
                      <w:szCs w:val="21"/>
                      <w:highlight w:val="none"/>
                      <w:u w:val="none"/>
                      <w:lang w:val="en-US" w:eastAsia="zh-CN" w:bidi="ar-SA"/>
                    </w:rPr>
                    <w:t>后</w:t>
                  </w:r>
                  <w:r>
                    <w:rPr>
                      <w:rFonts w:hint="eastAsia" w:asciiTheme="minorEastAsia" w:hAnsiTheme="minorEastAsia" w:eastAsiaTheme="minorEastAsia" w:cstheme="minorEastAsia"/>
                      <w:color w:val="auto"/>
                      <w:sz w:val="21"/>
                      <w:szCs w:val="21"/>
                      <w:highlight w:val="none"/>
                      <w:u w:val="none"/>
                      <w:lang w:val="en-US" w:eastAsia="zh-CN"/>
                    </w:rPr>
                    <w:t>，</w:t>
                  </w:r>
                  <w:r>
                    <w:rPr>
                      <w:rFonts w:hint="eastAsia" w:asciiTheme="minorEastAsia" w:hAnsiTheme="minorEastAsia" w:eastAsiaTheme="minorEastAsia" w:cstheme="minorEastAsia"/>
                      <w:color w:val="auto"/>
                      <w:sz w:val="21"/>
                      <w:szCs w:val="21"/>
                      <w:u w:val="none"/>
                      <w:lang w:val="en-US" w:eastAsia="zh-CN"/>
                    </w:rPr>
                    <w:t>可使氮氧化物稳定达标排放</w:t>
                  </w:r>
                </w:p>
              </w:tc>
              <w:tc>
                <w:tcPr>
                  <w:tcW w:w="888" w:type="dxa"/>
                  <w:tcBorders>
                    <w:tl2br w:val="nil"/>
                    <w:tr2bl w:val="nil"/>
                  </w:tcBorders>
                  <w:noWrap w:val="0"/>
                  <w:vAlign w:val="center"/>
                </w:tcPr>
                <w:p w14:paraId="2BC4370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相符</w:t>
                  </w:r>
                </w:p>
              </w:tc>
            </w:tr>
            <w:tr w14:paraId="698298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317" w:hRule="atLeast"/>
                <w:jc w:val="center"/>
              </w:trPr>
              <w:tc>
                <w:tcPr>
                  <w:tcW w:w="897" w:type="dxa"/>
                  <w:vMerge w:val="continue"/>
                  <w:tcBorders>
                    <w:tl2br w:val="nil"/>
                    <w:tr2bl w:val="nil"/>
                  </w:tcBorders>
                  <w:noWrap w:val="0"/>
                  <w:vAlign w:val="center"/>
                </w:tcPr>
                <w:p w14:paraId="2AC0058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lang w:val="en-US" w:eastAsia="zh-CN"/>
                    </w:rPr>
                  </w:pPr>
                </w:p>
              </w:tc>
              <w:tc>
                <w:tcPr>
                  <w:tcW w:w="1064" w:type="dxa"/>
                  <w:tcBorders>
                    <w:tl2br w:val="nil"/>
                    <w:tr2bl w:val="nil"/>
                  </w:tcBorders>
                  <w:noWrap w:val="0"/>
                  <w:vAlign w:val="center"/>
                </w:tcPr>
                <w:p w14:paraId="7CB0BF5F">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严把“两高”项目准入关口</w:t>
                  </w:r>
                </w:p>
              </w:tc>
              <w:tc>
                <w:tcPr>
                  <w:tcW w:w="3829" w:type="dxa"/>
                  <w:tcBorders>
                    <w:tl2br w:val="nil"/>
                    <w:tr2bl w:val="nil"/>
                  </w:tcBorders>
                  <w:noWrap w:val="0"/>
                  <w:vAlign w:val="center"/>
                </w:tcPr>
                <w:p w14:paraId="4A61E239">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严格落实国家和我省“两高”项目相关要求，严禁新增钢铁产能。严格执行有关行业产能置换政策，被置换产能及其配套设施关停后，新建项目方可投产。国家、省绩效分级重点行业以及涉及锅炉炉窑的其他行业，新(改、扩)建项目原则上达到环境绩效A级或国内清洁生产先进水平。推进钢铁、焦化、烧结一体化布局，大幅减少独立烧结、球团和热轧企业及工序，推动高炉一转炉长流程炼钢转型为电炉短流程炼钢，淘汰落后煤炭洗选产能。统筹落实国家“以钢定焦”有关要求，研究制定焦化行业产能退出实施方案。到2025年，全省短流程炼钢产量占比达15%以上，郑州市钢铁企业全部退出。</w:t>
                  </w:r>
                </w:p>
              </w:tc>
              <w:tc>
                <w:tcPr>
                  <w:tcW w:w="1399" w:type="dxa"/>
                  <w:tcBorders>
                    <w:tl2br w:val="nil"/>
                    <w:tr2bl w:val="nil"/>
                  </w:tcBorders>
                  <w:noWrap w:val="0"/>
                  <w:vAlign w:val="center"/>
                </w:tcPr>
                <w:p w14:paraId="6DC8BCF9">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lang w:val="en-US" w:eastAsia="zh-CN"/>
                    </w:rPr>
                  </w:pPr>
                  <w:r>
                    <w:rPr>
                      <w:rFonts w:hint="eastAsia" w:asciiTheme="minorEastAsia" w:hAnsiTheme="minorEastAsia" w:eastAsiaTheme="minorEastAsia" w:cstheme="minorEastAsia"/>
                      <w:color w:val="auto"/>
                      <w:sz w:val="21"/>
                      <w:szCs w:val="21"/>
                      <w:u w:val="none"/>
                      <w:lang w:val="en-US" w:eastAsia="zh-CN"/>
                    </w:rPr>
                    <w:t>本项目不属于高耗能、高排放项目，所用原料为煤矿煤炭开采伴生废气、（煤层气/瓦斯气体），不属于高污染燃料</w:t>
                  </w:r>
                </w:p>
              </w:tc>
              <w:tc>
                <w:tcPr>
                  <w:tcW w:w="888" w:type="dxa"/>
                  <w:tcBorders>
                    <w:tl2br w:val="nil"/>
                    <w:tr2bl w:val="nil"/>
                  </w:tcBorders>
                  <w:noWrap w:val="0"/>
                  <w:vAlign w:val="center"/>
                </w:tcPr>
                <w:p w14:paraId="43A325F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rPr>
                  </w:pPr>
                  <w:r>
                    <w:rPr>
                      <w:rFonts w:hint="default" w:ascii="Times New Roman" w:hAnsi="Times New Roman" w:cs="Times New Roman"/>
                      <w:color w:val="auto"/>
                      <w:sz w:val="21"/>
                      <w:szCs w:val="21"/>
                      <w:u w:val="none"/>
                      <w:lang w:val="en-US" w:eastAsia="zh-CN"/>
                    </w:rPr>
                    <w:t>相符</w:t>
                  </w:r>
                </w:p>
              </w:tc>
            </w:tr>
            <w:tr w14:paraId="3AF3A5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739" w:hRule="atLeast"/>
                <w:jc w:val="center"/>
              </w:trPr>
              <w:tc>
                <w:tcPr>
                  <w:tcW w:w="897" w:type="dxa"/>
                  <w:vMerge w:val="continue"/>
                  <w:tcBorders>
                    <w:tl2br w:val="nil"/>
                    <w:tr2bl w:val="nil"/>
                  </w:tcBorders>
                  <w:noWrap w:val="0"/>
                  <w:vAlign w:val="center"/>
                </w:tcPr>
                <w:p w14:paraId="6932D49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lang w:val="en-US" w:eastAsia="zh-CN"/>
                    </w:rPr>
                  </w:pPr>
                </w:p>
              </w:tc>
              <w:tc>
                <w:tcPr>
                  <w:tcW w:w="1064" w:type="dxa"/>
                  <w:tcBorders>
                    <w:tl2br w:val="nil"/>
                    <w:tr2bl w:val="nil"/>
                  </w:tcBorders>
                  <w:noWrap w:val="0"/>
                  <w:vAlign w:val="center"/>
                </w:tcPr>
                <w:p w14:paraId="13514D8E">
                  <w:pPr>
                    <w:keepNext w:val="0"/>
                    <w:keepLines w:val="0"/>
                    <w:suppressLineNumbers w:val="0"/>
                    <w:autoSpaceDE w:val="0"/>
                    <w:autoSpaceDN w:val="0"/>
                    <w:adjustRightInd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大力发展清洁能源</w:t>
                  </w:r>
                </w:p>
              </w:tc>
              <w:tc>
                <w:tcPr>
                  <w:tcW w:w="3829" w:type="dxa"/>
                  <w:tcBorders>
                    <w:tl2br w:val="nil"/>
                    <w:tr2bl w:val="nil"/>
                  </w:tcBorders>
                  <w:noWrap w:val="0"/>
                  <w:vAlign w:val="center"/>
                </w:tcPr>
                <w:p w14:paraId="3515C48A">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加快推进风电和集中式光伏规模化开发，开展“光伏+”公共建筑屋顶提速行动，建设一批规模化开发项目</w:t>
                  </w:r>
                  <w:r>
                    <w:rPr>
                      <w:rFonts w:hint="eastAsia" w:ascii="Times New Roman" w:hAnsi="Times New Roman" w:eastAsia="宋体" w:cs="Times New Roman"/>
                      <w:color w:val="auto"/>
                      <w:sz w:val="21"/>
                      <w:szCs w:val="21"/>
                      <w:u w:val="none"/>
                      <w:lang w:val="en-US" w:eastAsia="zh-CN"/>
                    </w:rPr>
                    <w:t>：</w:t>
                  </w:r>
                  <w:r>
                    <w:rPr>
                      <w:rFonts w:hint="default" w:ascii="Times New Roman" w:hAnsi="Times New Roman" w:eastAsia="宋体" w:cs="Times New Roman"/>
                      <w:color w:val="auto"/>
                      <w:sz w:val="21"/>
                      <w:szCs w:val="21"/>
                      <w:u w:val="none"/>
                      <w:lang w:val="en-US" w:eastAsia="zh-CN"/>
                    </w:rPr>
                    <w:t>实施地热能利用集中连片开发，建设郑州、开封、周口、濮阳4个千万平方米地热供暖示范区</w:t>
                  </w:r>
                  <w:r>
                    <w:rPr>
                      <w:rFonts w:hint="eastAsia" w:ascii="Times New Roman" w:hAnsi="Times New Roman" w:eastAsia="宋体" w:cs="Times New Roman"/>
                      <w:color w:val="auto"/>
                      <w:sz w:val="21"/>
                      <w:szCs w:val="21"/>
                      <w:u w:val="none"/>
                      <w:lang w:val="en-US" w:eastAsia="zh-CN"/>
                    </w:rPr>
                    <w:t>；</w:t>
                  </w:r>
                  <w:r>
                    <w:rPr>
                      <w:rFonts w:hint="default" w:ascii="Times New Roman" w:hAnsi="Times New Roman" w:eastAsia="宋体" w:cs="Times New Roman"/>
                      <w:color w:val="auto"/>
                      <w:sz w:val="21"/>
                      <w:szCs w:val="21"/>
                      <w:u w:val="none"/>
                      <w:lang w:val="en-US" w:eastAsia="zh-CN"/>
                    </w:rPr>
                    <w:t>加快加氢站、氢电油气综合能源站建设，打造郑汴洛濮氢走廊。到2025年，非化石能源消费比重达到16%以上，电能占终端能源消费比重达到27%以上。</w:t>
                  </w:r>
                </w:p>
              </w:tc>
              <w:tc>
                <w:tcPr>
                  <w:tcW w:w="1399" w:type="dxa"/>
                  <w:tcBorders>
                    <w:tl2br w:val="nil"/>
                    <w:tr2bl w:val="nil"/>
                  </w:tcBorders>
                  <w:noWrap w:val="0"/>
                  <w:vAlign w:val="center"/>
                </w:tcPr>
                <w:p w14:paraId="2D59FA10">
                  <w:pPr>
                    <w:keepNext w:val="0"/>
                    <w:keepLines w:val="0"/>
                    <w:suppressLineNumbers w:val="0"/>
                    <w:autoSpaceDE w:val="0"/>
                    <w:autoSpaceDN w:val="0"/>
                    <w:spacing w:before="0" w:beforeAutospacing="0" w:after="0" w:afterAutospacing="0" w:line="240" w:lineRule="auto"/>
                    <w:ind w:left="0" w:right="0"/>
                    <w:jc w:val="center"/>
                    <w:rPr>
                      <w:rFonts w:hint="default" w:ascii="Times New Roman" w:hAnsi="Times New Roman" w:eastAsia="宋体" w:cs="Times New Roman"/>
                      <w:color w:val="auto"/>
                      <w:sz w:val="21"/>
                      <w:szCs w:val="21"/>
                      <w:u w:val="none"/>
                      <w:lang w:val="en-US" w:eastAsia="zh-CN"/>
                    </w:rPr>
                  </w:pPr>
                  <w:r>
                    <w:rPr>
                      <w:rFonts w:hint="eastAsia" w:asciiTheme="minorEastAsia" w:hAnsiTheme="minorEastAsia" w:eastAsiaTheme="minorEastAsia" w:cstheme="minorEastAsia"/>
                      <w:color w:val="auto"/>
                      <w:sz w:val="21"/>
                      <w:szCs w:val="21"/>
                      <w:u w:val="none"/>
                      <w:lang w:val="en-US" w:eastAsia="zh-CN"/>
                    </w:rPr>
                    <w:t>本次工程使用原料为煤矿煤炭开采伴生气体（煤层气），主要成分清洁能源甲烷，不涉及煤电，发电烟气由排气筒达标排放</w:t>
                  </w:r>
                </w:p>
              </w:tc>
              <w:tc>
                <w:tcPr>
                  <w:tcW w:w="888" w:type="dxa"/>
                  <w:tcBorders>
                    <w:tl2br w:val="nil"/>
                    <w:tr2bl w:val="nil"/>
                  </w:tcBorders>
                  <w:noWrap w:val="0"/>
                  <w:vAlign w:val="center"/>
                </w:tcPr>
                <w:p w14:paraId="677DBFE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相符</w:t>
                  </w:r>
                </w:p>
              </w:tc>
            </w:tr>
          </w:tbl>
          <w:p w14:paraId="658B934D">
            <w:pPr>
              <w:pStyle w:val="102"/>
              <w:keepNext w:val="0"/>
              <w:keepLines w:val="0"/>
              <w:pageBreakBefore w:val="0"/>
              <w:widowControl w:val="0"/>
              <w:kinsoku/>
              <w:wordWrap/>
              <w:overflowPunct/>
              <w:topLinePunct w:val="0"/>
              <w:autoSpaceDE/>
              <w:autoSpaceDN/>
              <w:bidi w:val="0"/>
              <w:adjustRightInd/>
              <w:snapToGrid/>
              <w:spacing w:line="500" w:lineRule="exact"/>
              <w:ind w:firstLine="464" w:firstLineChars="200"/>
              <w:textAlignment w:val="auto"/>
              <w:rPr>
                <w:rFonts w:hint="default" w:ascii="Times New Roman" w:hAnsi="Times New Roman" w:cs="Times New Roman"/>
                <w:b/>
                <w:bCs/>
                <w:color w:val="auto"/>
                <w:kern w:val="2"/>
                <w:sz w:val="24"/>
                <w:szCs w:val="24"/>
                <w:u w:val="none"/>
                <w:lang w:val="en-US" w:eastAsia="zh-CN" w:bidi="ar-SA"/>
              </w:rPr>
            </w:pPr>
            <w:r>
              <w:rPr>
                <w:rFonts w:hint="default" w:ascii="Times New Roman" w:hAnsi="Times New Roman" w:eastAsia="宋体" w:cs="Times New Roman"/>
                <w:color w:val="auto"/>
                <w:kern w:val="0"/>
                <w:sz w:val="24"/>
                <w:szCs w:val="24"/>
                <w:highlight w:val="none"/>
                <w:lang w:val="en-US" w:eastAsia="zh-CN"/>
              </w:rPr>
              <w:t>由上表分析可知，本项目建设符合《</w:t>
            </w:r>
            <w:r>
              <w:rPr>
                <w:rFonts w:hint="default" w:ascii="Times New Roman" w:hAnsi="Times New Roman" w:cs="Times New Roman"/>
                <w:color w:val="auto"/>
                <w:kern w:val="0"/>
                <w:sz w:val="24"/>
                <w:szCs w:val="24"/>
                <w:highlight w:val="none"/>
                <w:lang w:val="en-US" w:eastAsia="zh-CN"/>
              </w:rPr>
              <w:t>河南省人民政府关于河南省空气质量持续改善行动计划的通知</w:t>
            </w:r>
            <w:r>
              <w:rPr>
                <w:rFonts w:hint="default" w:ascii="Times New Roman" w:hAnsi="Times New Roman" w:eastAsia="宋体" w:cs="Times New Roman"/>
                <w:color w:val="auto"/>
                <w:kern w:val="0"/>
                <w:sz w:val="24"/>
                <w:szCs w:val="24"/>
                <w:highlight w:val="none"/>
                <w:lang w:val="en-US" w:eastAsia="zh-CN"/>
              </w:rPr>
              <w:t>》（</w:t>
            </w:r>
            <w:r>
              <w:rPr>
                <w:rFonts w:hint="default" w:ascii="Times New Roman" w:hAnsi="Times New Roman" w:cs="Times New Roman"/>
                <w:color w:val="auto"/>
                <w:kern w:val="0"/>
                <w:sz w:val="24"/>
                <w:szCs w:val="24"/>
                <w:highlight w:val="none"/>
                <w:lang w:val="en-US" w:eastAsia="zh-CN"/>
              </w:rPr>
              <w:t>豫</w:t>
            </w:r>
            <w:r>
              <w:rPr>
                <w:rFonts w:hint="default" w:ascii="Times New Roman" w:hAnsi="Times New Roman" w:eastAsia="宋体" w:cs="Times New Roman"/>
                <w:color w:val="auto"/>
                <w:kern w:val="0"/>
                <w:sz w:val="24"/>
                <w:szCs w:val="24"/>
                <w:highlight w:val="none"/>
                <w:lang w:val="en-US" w:eastAsia="zh-CN"/>
              </w:rPr>
              <w:t>政〔202</w:t>
            </w:r>
            <w:r>
              <w:rPr>
                <w:rFonts w:hint="default" w:ascii="Times New Roman" w:hAnsi="Times New Roman"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lang w:val="en-US" w:eastAsia="zh-CN"/>
              </w:rPr>
              <w:t>〕</w:t>
            </w:r>
            <w:r>
              <w:rPr>
                <w:rFonts w:hint="default" w:ascii="Times New Roman" w:hAnsi="Times New Roman" w:cs="Times New Roman"/>
                <w:color w:val="auto"/>
                <w:kern w:val="0"/>
                <w:sz w:val="24"/>
                <w:szCs w:val="24"/>
                <w:highlight w:val="none"/>
                <w:lang w:val="en-US" w:eastAsia="zh-CN"/>
              </w:rPr>
              <w:t>12</w:t>
            </w:r>
            <w:r>
              <w:rPr>
                <w:rFonts w:hint="default" w:ascii="Times New Roman" w:hAnsi="Times New Roman" w:eastAsia="宋体" w:cs="Times New Roman"/>
                <w:color w:val="auto"/>
                <w:kern w:val="0"/>
                <w:sz w:val="24"/>
                <w:szCs w:val="24"/>
                <w:highlight w:val="none"/>
                <w:lang w:val="en-US" w:eastAsia="zh-CN"/>
              </w:rPr>
              <w:t>号）中相关要求</w:t>
            </w:r>
            <w:r>
              <w:rPr>
                <w:rFonts w:hint="default" w:ascii="Times New Roman" w:hAnsi="Times New Roman" w:eastAsia="宋体" w:cs="Times New Roman"/>
                <w:color w:val="auto"/>
                <w:sz w:val="24"/>
                <w:szCs w:val="24"/>
                <w:highlight w:val="none"/>
              </w:rPr>
              <w:t>。</w:t>
            </w:r>
          </w:p>
          <w:p w14:paraId="3ABB7196">
            <w:pPr>
              <w:pStyle w:val="7"/>
              <w:keepNext w:val="0"/>
              <w:keepLines w:val="0"/>
              <w:pageBreakBefore w:val="0"/>
              <w:widowControl w:val="0"/>
              <w:numPr>
                <w:ilvl w:val="0"/>
                <w:numId w:val="0"/>
              </w:numPr>
              <w:kinsoku/>
              <w:wordWrap/>
              <w:overflowPunct/>
              <w:topLinePunct w:val="0"/>
              <w:autoSpaceDE/>
              <w:autoSpaceDN/>
              <w:bidi w:val="0"/>
              <w:snapToGrid/>
              <w:spacing w:line="500" w:lineRule="atLeast"/>
              <w:ind w:firstLine="482" w:firstLineChars="200"/>
              <w:jc w:val="left"/>
              <w:textAlignment w:val="auto"/>
              <w:rPr>
                <w:rFonts w:hint="eastAsia" w:eastAsia="宋体" w:cs="Times New Roman"/>
                <w:b/>
                <w:bCs w:val="0"/>
                <w:color w:val="auto"/>
                <w:kern w:val="28"/>
                <w:sz w:val="24"/>
                <w:szCs w:val="40"/>
                <w:u w:val="none"/>
                <w:lang w:val="en-US" w:eastAsia="zh-CN" w:bidi="ar-SA"/>
              </w:rPr>
            </w:pPr>
          </w:p>
          <w:p w14:paraId="3026B84E">
            <w:pPr>
              <w:pStyle w:val="4"/>
            </w:pPr>
          </w:p>
        </w:tc>
      </w:tr>
    </w:tbl>
    <w:p w14:paraId="497B5817">
      <w:pPr>
        <w:spacing w:before="120" w:beforeLines="50" w:after="120" w:afterLines="50"/>
        <w:outlineLvl w:val="0"/>
        <w:rPr>
          <w:rFonts w:hint="eastAsia" w:ascii="Times New Roman" w:hAnsi="Times New Roman" w:eastAsia="黑体" w:cs="Times New Roman"/>
          <w:b/>
          <w:bCs/>
          <w:color w:val="auto"/>
          <w:sz w:val="30"/>
          <w:szCs w:val="30"/>
          <w:u w:val="none"/>
          <w:lang w:val="en-US" w:eastAsia="zh-CN"/>
        </w:rPr>
        <w:sectPr>
          <w:footerReference r:id="rId6" w:type="default"/>
          <w:pgSz w:w="11906" w:h="16838"/>
          <w:pgMar w:top="1440" w:right="1531" w:bottom="1440" w:left="1531" w:header="851" w:footer="851" w:gutter="0"/>
          <w:pgBorders>
            <w:top w:val="none" w:sz="0" w:space="0"/>
            <w:left w:val="none" w:sz="0" w:space="0"/>
            <w:bottom w:val="none" w:sz="0" w:space="0"/>
            <w:right w:val="none" w:sz="0" w:space="0"/>
          </w:pgBorders>
          <w:lnNumType w:countBy="0" w:restart="continuous"/>
          <w:pgNumType w:fmt="decimal" w:start="1"/>
          <w:cols w:space="720" w:num="1"/>
          <w:docGrid w:linePitch="312" w:charSpace="0"/>
        </w:sectPr>
      </w:pPr>
    </w:p>
    <w:tbl>
      <w:tblPr>
        <w:tblStyle w:val="32"/>
        <w:tblW w:w="930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37"/>
        <w:gridCol w:w="8566"/>
      </w:tblGrid>
      <w:tr w14:paraId="3B5761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01" w:hRule="atLeast"/>
          <w:jc w:val="center"/>
        </w:trPr>
        <w:tc>
          <w:tcPr>
            <w:tcW w:w="737" w:type="dxa"/>
            <w:vAlign w:val="center"/>
          </w:tcPr>
          <w:p w14:paraId="4547044C">
            <w:pPr>
              <w:pStyle w:val="28"/>
              <w:adjustRightInd w:val="0"/>
              <w:snapToGrid w:val="0"/>
              <w:spacing w:before="0" w:beforeAutospacing="0" w:after="0" w:afterAutospacing="0"/>
              <w:jc w:val="center"/>
              <w:rPr>
                <w:rFonts w:ascii="Times New Roman" w:hAnsi="Times New Roman" w:cs="Times New Roman"/>
                <w:b/>
                <w:bCs/>
                <w:color w:val="auto"/>
                <w:sz w:val="28"/>
                <w:szCs w:val="28"/>
                <w:u w:val="none"/>
              </w:rPr>
            </w:pPr>
            <w:r>
              <w:rPr>
                <w:rFonts w:ascii="Times New Roman" w:hAnsi="Times New Roman" w:cs="Times New Roman"/>
                <w:b/>
                <w:bCs/>
                <w:color w:val="auto"/>
                <w:sz w:val="28"/>
                <w:szCs w:val="28"/>
                <w:u w:val="none"/>
              </w:rPr>
              <w:t>建设内容</w:t>
            </w:r>
          </w:p>
        </w:tc>
        <w:tc>
          <w:tcPr>
            <w:tcW w:w="8566" w:type="dxa"/>
            <w:vAlign w:val="top"/>
          </w:tcPr>
          <w:p w14:paraId="743BA51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
                <w:color w:val="auto"/>
                <w:sz w:val="24"/>
                <w:u w:val="none"/>
                <w:lang w:val="en-US" w:eastAsia="zh-CN"/>
              </w:rPr>
            </w:pPr>
            <w:r>
              <w:rPr>
                <w:color w:val="auto"/>
                <w:sz w:val="24"/>
                <w:u w:val="none"/>
              </w:rPr>
              <mc:AlternateContent>
                <mc:Choice Requires="wps">
                  <w:drawing>
                    <wp:anchor distT="0" distB="0" distL="114300" distR="114300" simplePos="0" relativeHeight="251664384" behindDoc="0" locked="0" layoutInCell="1" allowOverlap="1">
                      <wp:simplePos x="0" y="0"/>
                      <wp:positionH relativeFrom="column">
                        <wp:posOffset>907415</wp:posOffset>
                      </wp:positionH>
                      <wp:positionV relativeFrom="paragraph">
                        <wp:posOffset>-426720</wp:posOffset>
                      </wp:positionV>
                      <wp:extent cx="3209925" cy="485775"/>
                      <wp:effectExtent l="0" t="0" r="0" b="0"/>
                      <wp:wrapNone/>
                      <wp:docPr id="3" name="文本框 3"/>
                      <wp:cNvGraphicFramePr/>
                      <a:graphic xmlns:a="http://schemas.openxmlformats.org/drawingml/2006/main">
                        <a:graphicData uri="http://schemas.microsoft.com/office/word/2010/wordprocessingShape">
                          <wps:wsp>
                            <wps:cNvSpPr txBox="1"/>
                            <wps:spPr>
                              <a:xfrm>
                                <a:off x="2505710" y="590550"/>
                                <a:ext cx="3209925" cy="4857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07288D">
                                  <w:pPr>
                                    <w:spacing w:before="120" w:beforeLines="50" w:after="120" w:afterLines="50"/>
                                    <w:jc w:val="center"/>
                                    <w:outlineLvl w:val="0"/>
                                    <w:rPr>
                                      <w:rFonts w:ascii="Times New Roman" w:hAnsi="Times New Roman" w:eastAsia="黑体" w:cs="Times New Roman"/>
                                      <w:b/>
                                      <w:bCs/>
                                      <w:sz w:val="30"/>
                                      <w:szCs w:val="30"/>
                                    </w:rPr>
                                  </w:pPr>
                                  <w:r>
                                    <w:rPr>
                                      <w:rFonts w:hint="eastAsia" w:ascii="Times New Roman" w:hAnsi="Times New Roman" w:eastAsia="黑体" w:cs="Times New Roman"/>
                                      <w:b/>
                                      <w:bCs/>
                                      <w:sz w:val="30"/>
                                      <w:szCs w:val="30"/>
                                      <w:lang w:val="en-US" w:eastAsia="zh-CN"/>
                                    </w:rPr>
                                    <w:t>二、</w:t>
                                  </w:r>
                                  <w:r>
                                    <w:rPr>
                                      <w:rFonts w:ascii="Times New Roman" w:hAnsi="Times New Roman" w:eastAsia="黑体" w:cs="Times New Roman"/>
                                      <w:b/>
                                      <w:bCs/>
                                      <w:sz w:val="30"/>
                                      <w:szCs w:val="30"/>
                                    </w:rPr>
                                    <w:t>建设项目工程分析</w:t>
                                  </w:r>
                                </w:p>
                                <w:p w14:paraId="596425F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45pt;margin-top:-33.6pt;height:38.25pt;width:252.75pt;z-index:251664384;mso-width-relative:page;mso-height-relative:page;" filled="f" stroked="f" coordsize="21600,21600" o:gfxdata="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wiSbHdsAAAAJAQAADwAAAAAAAAAB&#10;ACAAAAAiAAAAZHJzL2Rvd25yZXYueG1sUEsBAhQAFAAAAAgAh07iQPDpPwtGAgAAcQQAAA4AAAAA&#10;AAAAAQAgAAAAKgEAAGRycy9lMm9Eb2MueG1sUEsFBgAAAAAGAAYAWQEAAOIFAAAAAA==&#10;">
                      <v:fill on="f" focussize="0,0"/>
                      <v:stroke on="f" weight="0.5pt"/>
                      <v:imagedata o:title=""/>
                      <o:lock v:ext="edit" aspectratio="f"/>
                      <v:textbox>
                        <w:txbxContent>
                          <w:p w14:paraId="5507288D">
                            <w:pPr>
                              <w:spacing w:before="120" w:beforeLines="50" w:after="120" w:afterLines="50"/>
                              <w:jc w:val="center"/>
                              <w:outlineLvl w:val="0"/>
                              <w:rPr>
                                <w:rFonts w:ascii="Times New Roman" w:hAnsi="Times New Roman" w:eastAsia="黑体" w:cs="Times New Roman"/>
                                <w:b/>
                                <w:bCs/>
                                <w:sz w:val="30"/>
                                <w:szCs w:val="30"/>
                              </w:rPr>
                            </w:pPr>
                            <w:r>
                              <w:rPr>
                                <w:rFonts w:hint="eastAsia" w:ascii="Times New Roman" w:hAnsi="Times New Roman" w:eastAsia="黑体" w:cs="Times New Roman"/>
                                <w:b/>
                                <w:bCs/>
                                <w:sz w:val="30"/>
                                <w:szCs w:val="30"/>
                                <w:lang w:val="en-US" w:eastAsia="zh-CN"/>
                              </w:rPr>
                              <w:t>二、</w:t>
                            </w:r>
                            <w:r>
                              <w:rPr>
                                <w:rFonts w:ascii="Times New Roman" w:hAnsi="Times New Roman" w:eastAsia="黑体" w:cs="Times New Roman"/>
                                <w:b/>
                                <w:bCs/>
                                <w:sz w:val="30"/>
                                <w:szCs w:val="30"/>
                              </w:rPr>
                              <w:t>建设项目工程分析</w:t>
                            </w:r>
                          </w:p>
                          <w:p w14:paraId="596425F2"/>
                        </w:txbxContent>
                      </v:textbox>
                    </v:shape>
                  </w:pict>
                </mc:Fallback>
              </mc:AlternateContent>
            </w:r>
            <w:r>
              <w:rPr>
                <w:rFonts w:hint="eastAsia" w:cs="Times New Roman"/>
                <w:b/>
                <w:color w:val="auto"/>
                <w:sz w:val="24"/>
                <w:u w:val="none"/>
                <w:lang w:val="en-US" w:eastAsia="zh-CN"/>
              </w:rPr>
              <w:t>1、项目由来</w:t>
            </w:r>
          </w:p>
          <w:p w14:paraId="7340C51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近年来，党和国家对安全生产的重视程度越来越高、要求越来越严。《中华人民共和国刑法修正案（十一）》《煤矿重大事故隐患判定标准》（国家应急管理部第 4 号令）均已发布，对安全生产和煤矿瓦斯治理提出了新的更高要求。但随着采深增加，瓦斯灾害越来越严重，瓦斯超限事故时有发生，严重威胁煤矿安全生产，尽快解决瓦斯治理瓶颈问题，杜绝煤矿瓦斯事故，是集团安全高质量发展的现实需求。</w:t>
            </w:r>
          </w:p>
          <w:p w14:paraId="51B0DB25">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b/>
                <w:color w:val="auto"/>
                <w:sz w:val="24"/>
                <w:u w:val="none"/>
              </w:rPr>
            </w:pPr>
            <w:r>
              <w:rPr>
                <w:rFonts w:hint="eastAsia" w:ascii="Times New Roman" w:hAnsi="Times New Roman" w:eastAsia="宋体" w:cs="Times New Roman"/>
                <w:color w:val="auto"/>
                <w:sz w:val="24"/>
                <w:szCs w:val="24"/>
                <w:u w:val="none"/>
                <w:lang w:val="en-US" w:eastAsia="zh-CN"/>
              </w:rPr>
              <w:t>瓦斯是优质的清洁能源，但也是重要的温室气体，其主要成分为甲烷，以原子为基准，甲烷的热效应是二氧化碳的21倍，若以重量为基准则达70倍。若甲烷直接排入大气层，不仅其温室效应引起气候异常，而且会消耗大气平流层中的臭氧，对臭氧的破坏能力是二氧化碳的7倍，严重削弱臭氧层对太阳紫外线侵袭的防护作用。如果对瓦斯综合利用，而不是直接排到大气中，既可以起到保护环境作用，同时对保障矿井安全生产、增加清洁能源供应具有重要意义。</w:t>
            </w:r>
          </w:p>
          <w:p w14:paraId="02CE65A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2021年3月，习近平总书记在中央财经委员会第九次会议上提出了碳达峰、碳中和的基本思路和主要举措，再次明确“十四五”期间要完成碳达峰任务的 60%，争取在2030年实现碳达峰，为碳中和打好基础。《煤炭工业发展“十四五”规划煤层气（煤矿瓦斯）开发利用配套方案》要求的“十四五”末，煤矿瓦斯利用率要达到50%。集团目前瓦斯抽放浓度普遍较低，瓦斯利用率低，瓦斯治理技术手段和装备水平需提高，以满足瓦斯治理效率效果和综合利用的需要。</w:t>
            </w:r>
          </w:p>
          <w:p w14:paraId="305FB75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szCs w:val="24"/>
                <w:u w:val="none"/>
                <w:lang w:val="en-US" w:eastAsia="zh-CN"/>
              </w:rPr>
            </w:pPr>
            <w:r>
              <w:rPr>
                <w:rFonts w:hint="eastAsia" w:cs="Times New Roman"/>
                <w:color w:val="auto"/>
                <w:sz w:val="24"/>
                <w:szCs w:val="24"/>
                <w:u w:val="none"/>
                <w:lang w:val="en-US" w:eastAsia="zh-CN"/>
              </w:rPr>
              <w:t>公司</w:t>
            </w:r>
            <w:r>
              <w:rPr>
                <w:rFonts w:hint="eastAsia" w:ascii="Times New Roman" w:hAnsi="Times New Roman" w:eastAsia="宋体" w:cs="Times New Roman"/>
                <w:color w:val="auto"/>
                <w:sz w:val="24"/>
                <w:szCs w:val="24"/>
                <w:u w:val="none"/>
                <w:lang w:val="en-US" w:eastAsia="zh-CN"/>
              </w:rPr>
              <w:t>大部分现有瓦斯利用设备老旧，发电效率等技术性能较低；随着瓦斯治理技术路线不断健全，瓦斯治理水平不断提高，瓦斯抽采规模及抽采浓度也随之提高，需要改造扩容现有发电站、新建瓦斯发电项目，扩大瓦斯发电范围及规模，促进集团公司清洁能源供应。</w:t>
            </w:r>
          </w:p>
          <w:p w14:paraId="1F33DDE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因此，应持续推广瓦斯治理先进技术，持续开展关键环节的技术创新，持续提升瓦斯治理和综合利用的装备水平，尽早实现瓦斯治理效率效果的重大突破，以适应集团煤炭板块高质量发展的需要。本项目的实施既有效地解决煤矿瓦斯事故、改善煤矿安全生产条件，又增加洁净能源供应、减少温室气体排放，达到保护生命、节能减排、保护资源、保护环境、提高效益的多重目标</w:t>
            </w:r>
            <w:r>
              <w:rPr>
                <w:rFonts w:hint="eastAsia" w:cs="Times New Roman"/>
                <w:color w:val="auto"/>
                <w:sz w:val="24"/>
                <w:szCs w:val="24"/>
                <w:u w:val="none"/>
                <w:lang w:val="en-US" w:eastAsia="zh-CN"/>
              </w:rPr>
              <w:t>。</w:t>
            </w:r>
          </w:p>
          <w:p w14:paraId="175EB50A">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default" w:ascii="Times New Roman" w:hAnsi="Times New Roman" w:eastAsia="宋体" w:cs="Times New Roman"/>
                <w:b/>
                <w:color w:val="auto"/>
                <w:sz w:val="24"/>
                <w:u w:val="none"/>
                <w:lang w:val="en-US" w:eastAsia="zh-CN"/>
              </w:rPr>
            </w:pPr>
            <w:r>
              <w:rPr>
                <w:rFonts w:hint="eastAsia" w:cs="Times New Roman"/>
                <w:b/>
                <w:color w:val="auto"/>
                <w:sz w:val="24"/>
                <w:u w:val="none"/>
                <w:lang w:val="en-US" w:eastAsia="zh-CN"/>
              </w:rPr>
              <w:t>2、八</w:t>
            </w:r>
            <w:r>
              <w:rPr>
                <w:rFonts w:hint="eastAsia" w:ascii="Times New Roman" w:hAnsi="Times New Roman" w:eastAsia="宋体" w:cs="Times New Roman"/>
                <w:b/>
                <w:color w:val="auto"/>
                <w:sz w:val="24"/>
                <w:u w:val="none"/>
                <w:lang w:val="en-US" w:eastAsia="zh-CN"/>
              </w:rPr>
              <w:t>矿概况</w:t>
            </w:r>
          </w:p>
          <w:p w14:paraId="161B1D45">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default" w:cs="Times New Roman"/>
                <w:b/>
                <w:bCs w:val="0"/>
                <w:color w:val="auto"/>
                <w:sz w:val="24"/>
                <w:u w:val="none"/>
                <w:lang w:val="en-US" w:eastAsia="zh-CN"/>
              </w:rPr>
            </w:pPr>
            <w:r>
              <w:rPr>
                <w:rFonts w:hint="eastAsia" w:cs="Times New Roman"/>
                <w:b/>
                <w:color w:val="auto"/>
                <w:sz w:val="24"/>
                <w:u w:val="none"/>
                <w:lang w:val="en-US" w:eastAsia="zh-CN"/>
              </w:rPr>
              <w:t>2.1</w:t>
            </w:r>
            <w:r>
              <w:rPr>
                <w:rFonts w:hint="eastAsia" w:cs="Times New Roman"/>
                <w:b/>
                <w:bCs w:val="0"/>
                <w:color w:val="auto"/>
                <w:sz w:val="24"/>
                <w:u w:val="none"/>
                <w:lang w:val="en-US" w:eastAsia="zh-CN"/>
              </w:rPr>
              <w:t>矿井概述</w:t>
            </w:r>
          </w:p>
          <w:p w14:paraId="244B8445">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eastAsia" w:cs="Times New Roman"/>
                <w:b/>
                <w:bCs w:val="0"/>
                <w:color w:val="auto"/>
                <w:sz w:val="24"/>
                <w:u w:val="none"/>
                <w:lang w:val="en-US" w:eastAsia="zh-CN"/>
              </w:rPr>
            </w:pPr>
            <w:r>
              <w:rPr>
                <w:rFonts w:hint="eastAsia" w:ascii="Times New Roman" w:hAnsi="Times New Roman" w:eastAsia="宋体" w:cs="Times New Roman"/>
                <w:b/>
                <w:bCs w:val="0"/>
                <w:color w:val="auto"/>
                <w:sz w:val="24"/>
                <w:u w:val="none"/>
                <w:lang w:val="en-US" w:eastAsia="zh-CN"/>
              </w:rPr>
              <w:t>2.1.1</w:t>
            </w:r>
            <w:r>
              <w:rPr>
                <w:rFonts w:hint="eastAsia" w:cs="Times New Roman"/>
                <w:b/>
                <w:bCs w:val="0"/>
                <w:color w:val="auto"/>
                <w:sz w:val="24"/>
                <w:u w:val="none"/>
                <w:lang w:val="en-US" w:eastAsia="zh-CN"/>
              </w:rPr>
              <w:t>开采技术条件</w:t>
            </w:r>
          </w:p>
          <w:p w14:paraId="16D7299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Times New Roman"/>
                <w:b w:val="0"/>
                <w:bCs/>
                <w:color w:val="auto"/>
                <w:sz w:val="24"/>
                <w:u w:val="none"/>
                <w:lang w:val="en-US" w:eastAsia="zh-CN"/>
              </w:rPr>
            </w:pPr>
            <w:r>
              <w:rPr>
                <w:rFonts w:hint="eastAsia" w:cs="Times New Roman"/>
                <w:b w:val="0"/>
                <w:bCs/>
                <w:color w:val="auto"/>
                <w:sz w:val="24"/>
                <w:u w:val="none"/>
                <w:lang w:val="en-US" w:eastAsia="zh-CN"/>
              </w:rPr>
              <w:t>（1）地质构造：八矿井田处于李口向斜西南翼，基本上呈一走向北西，倾向北东的单斜构造，地层倾角0~17°。次级褶曲有郭庄背斜及己一南翼的盆状向斜；大的断层主要有任庄断层、辛店断层、张湾断层及白石沟断层等。</w:t>
            </w:r>
          </w:p>
          <w:p w14:paraId="0E9752B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Times New Roman"/>
                <w:b w:val="0"/>
                <w:bCs/>
                <w:color w:val="auto"/>
                <w:sz w:val="24"/>
                <w:u w:val="none"/>
                <w:lang w:val="en-US" w:eastAsia="zh-CN"/>
              </w:rPr>
            </w:pPr>
            <w:r>
              <w:rPr>
                <w:rFonts w:hint="eastAsia" w:cs="Times New Roman"/>
                <w:b w:val="0"/>
                <w:bCs/>
                <w:color w:val="auto"/>
                <w:sz w:val="24"/>
                <w:u w:val="none"/>
                <w:lang w:val="en-US" w:eastAsia="zh-CN"/>
              </w:rPr>
              <w:t>（2）主采煤层：己16.17、己15、戊9.10、丁5.6四层。平均厚度分别为</w:t>
            </w:r>
          </w:p>
          <w:p w14:paraId="354419B1">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cs="Times New Roman"/>
                <w:b w:val="0"/>
                <w:bCs/>
                <w:color w:val="auto"/>
                <w:sz w:val="24"/>
                <w:u w:val="none"/>
                <w:lang w:val="en-US" w:eastAsia="zh-CN"/>
              </w:rPr>
            </w:pPr>
            <w:r>
              <w:rPr>
                <w:rFonts w:hint="eastAsia" w:cs="Times New Roman"/>
                <w:b w:val="0"/>
                <w:bCs/>
                <w:color w:val="auto"/>
                <w:sz w:val="24"/>
                <w:u w:val="none"/>
                <w:lang w:val="en-US" w:eastAsia="zh-CN"/>
              </w:rPr>
              <w:t>1.81m、3.49m、3.49m、1.82m。</w:t>
            </w:r>
          </w:p>
          <w:p w14:paraId="371EA043">
            <w:pPr>
              <w:keepNext w:val="0"/>
              <w:keepLines w:val="0"/>
              <w:pageBreakBefore w:val="0"/>
              <w:widowControl w:val="0"/>
              <w:numPr>
                <w:ilvl w:val="0"/>
                <w:numId w:val="6"/>
              </w:numPr>
              <w:kinsoku/>
              <w:wordWrap/>
              <w:overflowPunct/>
              <w:topLinePunct w:val="0"/>
              <w:autoSpaceDE/>
              <w:autoSpaceDN/>
              <w:bidi w:val="0"/>
              <w:adjustRightInd/>
              <w:snapToGrid/>
              <w:spacing w:line="500" w:lineRule="exact"/>
              <w:ind w:firstLine="480" w:firstLineChars="200"/>
              <w:textAlignment w:val="auto"/>
              <w:rPr>
                <w:rFonts w:hint="eastAsia" w:cs="Times New Roman"/>
                <w:b w:val="0"/>
                <w:bCs/>
                <w:color w:val="auto"/>
                <w:sz w:val="24"/>
                <w:u w:val="none"/>
                <w:lang w:val="en-US" w:eastAsia="zh-CN"/>
              </w:rPr>
            </w:pPr>
            <w:r>
              <w:rPr>
                <w:rFonts w:hint="eastAsia" w:cs="Times New Roman"/>
                <w:b w:val="0"/>
                <w:bCs/>
                <w:color w:val="auto"/>
                <w:sz w:val="24"/>
                <w:u w:val="none"/>
                <w:lang w:val="en-US" w:eastAsia="zh-CN"/>
              </w:rPr>
              <w:t>水文地质类型：矿井水文地质类型为中等。</w:t>
            </w:r>
          </w:p>
          <w:p w14:paraId="4435A362">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Times New Roman"/>
                <w:b w:val="0"/>
                <w:bCs/>
                <w:color w:val="auto"/>
                <w:sz w:val="24"/>
                <w:u w:val="none"/>
                <w:lang w:val="en-US" w:eastAsia="zh-CN"/>
              </w:rPr>
            </w:pPr>
            <w:r>
              <w:rPr>
                <w:rFonts w:hint="eastAsia" w:cs="Times New Roman"/>
                <w:b w:val="0"/>
                <w:bCs/>
                <w:color w:val="auto"/>
                <w:sz w:val="24"/>
                <w:u w:val="none"/>
                <w:lang w:val="en-US" w:eastAsia="zh-CN"/>
              </w:rPr>
              <w:t>（4）瓦斯、自燃、煤尘：矿井为煤与瓦斯突出矿井，各主采煤层均具有煤尘爆炸危险，煤层自燃倾向性均为Ⅱ类。</w:t>
            </w:r>
          </w:p>
          <w:p w14:paraId="1AE39E74">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eastAsia" w:cs="Times New Roman"/>
                <w:b/>
                <w:bCs w:val="0"/>
                <w:color w:val="auto"/>
                <w:sz w:val="24"/>
                <w:u w:val="none"/>
                <w:lang w:val="en-US" w:eastAsia="zh-CN"/>
              </w:rPr>
            </w:pPr>
            <w:r>
              <w:rPr>
                <w:rFonts w:hint="eastAsia" w:cs="Times New Roman"/>
                <w:b/>
                <w:bCs w:val="0"/>
                <w:color w:val="auto"/>
                <w:sz w:val="24"/>
                <w:u w:val="none"/>
                <w:lang w:val="en-US" w:eastAsia="zh-CN"/>
              </w:rPr>
              <w:t>2.1.2资源/储量</w:t>
            </w:r>
          </w:p>
          <w:p w14:paraId="34C095C9">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Times New Roman"/>
                <w:b w:val="0"/>
                <w:bCs/>
                <w:color w:val="auto"/>
                <w:sz w:val="24"/>
                <w:u w:val="none"/>
                <w:lang w:val="en-US" w:eastAsia="zh-CN"/>
              </w:rPr>
            </w:pPr>
            <w:r>
              <w:rPr>
                <w:rFonts w:hint="eastAsia" w:cs="Times New Roman"/>
                <w:b w:val="0"/>
                <w:bCs/>
                <w:color w:val="auto"/>
                <w:sz w:val="24"/>
                <w:u w:val="none"/>
                <w:lang w:val="en-US" w:eastAsia="zh-CN"/>
              </w:rPr>
              <w:t>截止目前，矿井剩余资源储量387.749Mt，其中，己组232.104Mt，戊组118.107Mt，丁组37.538Mt；可采储量271.42Mt，其中，己组162.47Mt，戊组煤82.67Mt，丁组煤26.28Mt，服务年限51.6年。</w:t>
            </w:r>
          </w:p>
          <w:p w14:paraId="2BA7F785">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eastAsia" w:cs="Times New Roman"/>
                <w:b w:val="0"/>
                <w:bCs/>
                <w:color w:val="auto"/>
                <w:sz w:val="24"/>
                <w:u w:val="none"/>
                <w:lang w:val="en-US" w:eastAsia="zh-CN"/>
              </w:rPr>
            </w:pPr>
            <w:r>
              <w:rPr>
                <w:rFonts w:hint="eastAsia" w:cs="Times New Roman"/>
                <w:b/>
                <w:bCs w:val="0"/>
                <w:color w:val="auto"/>
                <w:sz w:val="24"/>
                <w:u w:val="none"/>
                <w:lang w:val="en-US" w:eastAsia="zh-CN"/>
              </w:rPr>
              <w:t>2.1.3生产能力</w:t>
            </w:r>
          </w:p>
          <w:p w14:paraId="0214EDC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Times New Roman"/>
                <w:b w:val="0"/>
                <w:bCs/>
                <w:color w:val="auto"/>
                <w:sz w:val="24"/>
                <w:u w:val="none"/>
                <w:lang w:val="en-US" w:eastAsia="zh-CN"/>
              </w:rPr>
            </w:pPr>
            <w:r>
              <w:rPr>
                <w:rFonts w:hint="eastAsia" w:cs="Times New Roman"/>
                <w:b w:val="0"/>
                <w:bCs/>
                <w:color w:val="auto"/>
                <w:sz w:val="24"/>
                <w:u w:val="none"/>
                <w:lang w:val="en-US" w:eastAsia="zh-CN"/>
              </w:rPr>
              <w:t>矿井核定生产能力405万吨/年。</w:t>
            </w:r>
          </w:p>
          <w:p w14:paraId="2DED0763">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eastAsia" w:cs="Times New Roman"/>
                <w:b/>
                <w:bCs w:val="0"/>
                <w:color w:val="auto"/>
                <w:sz w:val="24"/>
                <w:u w:val="none"/>
                <w:lang w:val="en-US" w:eastAsia="zh-CN"/>
              </w:rPr>
            </w:pPr>
            <w:r>
              <w:rPr>
                <w:rFonts w:hint="eastAsia" w:cs="Times New Roman"/>
                <w:b/>
                <w:bCs w:val="0"/>
                <w:color w:val="auto"/>
                <w:sz w:val="24"/>
                <w:u w:val="none"/>
                <w:lang w:val="en-US" w:eastAsia="zh-CN"/>
              </w:rPr>
              <w:t>2.1.4开拓布置及采区划分</w:t>
            </w:r>
          </w:p>
          <w:p w14:paraId="744F24A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Times New Roman"/>
                <w:b w:val="0"/>
                <w:bCs/>
                <w:color w:val="auto"/>
                <w:sz w:val="24"/>
                <w:u w:val="none"/>
                <w:lang w:val="en-US" w:eastAsia="zh-CN"/>
              </w:rPr>
            </w:pPr>
            <w:r>
              <w:rPr>
                <w:rFonts w:hint="eastAsia" w:cs="Times New Roman"/>
                <w:b w:val="0"/>
                <w:bCs/>
                <w:color w:val="auto"/>
                <w:sz w:val="24"/>
                <w:u w:val="none"/>
                <w:lang w:val="en-US" w:eastAsia="zh-CN"/>
              </w:rPr>
              <w:t>（1）开拓方式：矿井采用立井、斜井综合开拓方式。</w:t>
            </w:r>
          </w:p>
          <w:p w14:paraId="3F5F9A5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Times New Roman"/>
                <w:b w:val="0"/>
                <w:bCs/>
                <w:color w:val="auto"/>
                <w:sz w:val="24"/>
                <w:u w:val="none"/>
                <w:lang w:val="en-US" w:eastAsia="zh-CN"/>
              </w:rPr>
            </w:pPr>
            <w:r>
              <w:rPr>
                <w:rFonts w:hint="eastAsia" w:cs="Times New Roman"/>
                <w:b w:val="0"/>
                <w:bCs/>
                <w:color w:val="auto"/>
                <w:sz w:val="24"/>
                <w:u w:val="none"/>
                <w:lang w:val="en-US" w:eastAsia="zh-CN"/>
              </w:rPr>
              <w:t>（2）水平划分：矿井划分2个水平，一水平标高-430m，二水平标高-693m。</w:t>
            </w:r>
          </w:p>
          <w:p w14:paraId="20B3290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Times New Roman"/>
                <w:b w:val="0"/>
                <w:bCs/>
                <w:color w:val="auto"/>
                <w:sz w:val="24"/>
                <w:u w:val="none"/>
                <w:lang w:val="en-US" w:eastAsia="zh-CN"/>
              </w:rPr>
            </w:pPr>
            <w:r>
              <w:rPr>
                <w:rFonts w:hint="eastAsia" w:cs="Times New Roman"/>
                <w:b w:val="0"/>
                <w:bCs/>
                <w:color w:val="auto"/>
                <w:sz w:val="24"/>
                <w:u w:val="none"/>
                <w:lang w:val="en-US" w:eastAsia="zh-CN"/>
              </w:rPr>
              <w:t>（3）井筒及大巷布置：目前在用8个井筒“五进三回”，即：主井、副井、新副井、主斜井、二号井进风井5个进风井；丁一风井、新西二风井、二号井回风井 3 个回风井。各采区通过水平运输大巷和石门联络。</w:t>
            </w:r>
          </w:p>
          <w:p w14:paraId="6BE9EFA1">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eastAsia" w:ascii="Times New Roman" w:hAnsi="Times New Roman" w:eastAsia="宋体" w:cs="Times New Roman"/>
                <w:b/>
                <w:bCs w:val="0"/>
                <w:color w:val="auto"/>
                <w:sz w:val="24"/>
                <w:u w:val="none"/>
                <w:lang w:val="en-US" w:eastAsia="zh-CN"/>
              </w:rPr>
            </w:pPr>
            <w:r>
              <w:rPr>
                <w:rFonts w:hint="eastAsia" w:ascii="Times New Roman" w:hAnsi="Times New Roman" w:eastAsia="宋体" w:cs="Times New Roman"/>
                <w:b/>
                <w:bCs w:val="0"/>
                <w:color w:val="auto"/>
                <w:sz w:val="24"/>
                <w:u w:val="none"/>
                <w:lang w:val="en-US" w:eastAsia="zh-CN"/>
              </w:rPr>
              <w:t>2.1.5采区划分</w:t>
            </w:r>
          </w:p>
          <w:p w14:paraId="01A619E5">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Times New Roman"/>
                <w:b w:val="0"/>
                <w:bCs/>
                <w:color w:val="auto"/>
                <w:sz w:val="24"/>
                <w:u w:val="none"/>
                <w:lang w:val="en-US" w:eastAsia="zh-CN"/>
              </w:rPr>
            </w:pPr>
            <w:r>
              <w:rPr>
                <w:rFonts w:hint="eastAsia" w:cs="Times New Roman"/>
                <w:b w:val="0"/>
                <w:bCs/>
                <w:color w:val="auto"/>
                <w:sz w:val="24"/>
                <w:u w:val="none"/>
                <w:lang w:val="en-US" w:eastAsia="zh-CN"/>
              </w:rPr>
              <w:t>矿井现有6个采区，一水平剩余3个采区：丁四采区、戊四采区、己五采区；二水平划分戊一采区、己一采区、己二采区3个采区。</w:t>
            </w:r>
          </w:p>
          <w:p w14:paraId="68E5CBD7">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eastAsia" w:cs="Times New Roman"/>
                <w:b/>
                <w:color w:val="auto"/>
                <w:sz w:val="24"/>
                <w:u w:val="none"/>
                <w:lang w:val="en-US" w:eastAsia="zh-CN"/>
              </w:rPr>
            </w:pPr>
            <w:r>
              <w:rPr>
                <w:rFonts w:hint="eastAsia" w:cs="Times New Roman"/>
                <w:b/>
                <w:color w:val="auto"/>
                <w:sz w:val="24"/>
                <w:u w:val="none"/>
                <w:lang w:val="en-US" w:eastAsia="zh-CN"/>
              </w:rPr>
              <w:t>2.2瓦斯抽采现状</w:t>
            </w:r>
          </w:p>
          <w:p w14:paraId="237AABD9">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eastAsia" w:cs="Times New Roman"/>
                <w:b/>
                <w:bCs w:val="0"/>
                <w:color w:val="auto"/>
                <w:sz w:val="24"/>
                <w:u w:val="none"/>
                <w:lang w:val="en-US" w:eastAsia="zh-CN"/>
              </w:rPr>
            </w:pPr>
            <w:r>
              <w:rPr>
                <w:rFonts w:hint="eastAsia" w:cs="Times New Roman"/>
                <w:b/>
                <w:bCs w:val="0"/>
                <w:color w:val="auto"/>
                <w:sz w:val="24"/>
                <w:u w:val="none"/>
                <w:lang w:val="en-US" w:eastAsia="zh-CN"/>
              </w:rPr>
              <w:t>2.2.1瓦斯抽采模式</w:t>
            </w:r>
          </w:p>
          <w:p w14:paraId="4E292929">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Times New Roman"/>
                <w:b w:val="0"/>
                <w:bCs/>
                <w:color w:val="auto"/>
                <w:sz w:val="24"/>
                <w:u w:val="none"/>
                <w:lang w:val="en-US" w:eastAsia="zh-CN"/>
              </w:rPr>
            </w:pPr>
            <w:r>
              <w:rPr>
                <w:rFonts w:hint="eastAsia" w:cs="Times New Roman"/>
                <w:b w:val="0"/>
                <w:bCs/>
                <w:color w:val="auto"/>
                <w:sz w:val="24"/>
                <w:u w:val="none"/>
                <w:lang w:val="en-US" w:eastAsia="zh-CN"/>
              </w:rPr>
              <w:t>己15、戊9.10煤层采用低抽巷穿层钻孔（水力冲孔）预抽煤巷条带、机风巷顺层钻孔+低抽巷穿层钻孔（水力冲孔）预抽回采区域煤层瓦斯区域防突措施。</w:t>
            </w:r>
          </w:p>
          <w:p w14:paraId="572FA712">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eastAsia" w:cs="Times New Roman"/>
                <w:b w:val="0"/>
                <w:bCs/>
                <w:color w:val="auto"/>
                <w:sz w:val="24"/>
                <w:u w:val="none"/>
                <w:lang w:val="en-US" w:eastAsia="zh-CN"/>
              </w:rPr>
            </w:pPr>
            <w:r>
              <w:rPr>
                <w:rFonts w:hint="eastAsia" w:cs="Times New Roman"/>
                <w:b/>
                <w:bCs w:val="0"/>
                <w:color w:val="auto"/>
                <w:sz w:val="24"/>
                <w:u w:val="none"/>
                <w:lang w:val="en-US" w:eastAsia="zh-CN"/>
              </w:rPr>
              <w:t>2.2.2瓦斯抽采系统</w:t>
            </w:r>
          </w:p>
          <w:p w14:paraId="515E65C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Times New Roman"/>
                <w:b w:val="0"/>
                <w:bCs/>
                <w:color w:val="auto"/>
                <w:sz w:val="24"/>
                <w:u w:val="none"/>
                <w:lang w:val="en-US" w:eastAsia="zh-CN"/>
              </w:rPr>
            </w:pPr>
            <w:r>
              <w:rPr>
                <w:rFonts w:hint="eastAsia" w:cs="Times New Roman"/>
                <w:b w:val="0"/>
                <w:bCs/>
                <w:color w:val="auto"/>
                <w:sz w:val="24"/>
                <w:u w:val="none"/>
                <w:lang w:val="en-US" w:eastAsia="zh-CN"/>
              </w:rPr>
              <w:t>矿井共有瓦斯抽采泵站8座，瓦斯抽放泵20台，总装机功率5895kW，总抽采能力4000m</w:t>
            </w:r>
            <w:r>
              <w:rPr>
                <w:rFonts w:hint="eastAsia" w:cs="Times New Roman"/>
                <w:b w:val="0"/>
                <w:bCs/>
                <w:color w:val="auto"/>
                <w:sz w:val="24"/>
                <w:u w:val="none"/>
                <w:vertAlign w:val="superscript"/>
                <w:lang w:val="en-US" w:eastAsia="zh-CN"/>
              </w:rPr>
              <w:t>3</w:t>
            </w:r>
            <w:r>
              <w:rPr>
                <w:rFonts w:hint="eastAsia" w:cs="Times New Roman"/>
                <w:b w:val="0"/>
                <w:bCs/>
                <w:color w:val="auto"/>
                <w:sz w:val="24"/>
                <w:u w:val="none"/>
                <w:lang w:val="en-US" w:eastAsia="zh-CN"/>
              </w:rPr>
              <w:t>/min。</w:t>
            </w:r>
          </w:p>
          <w:p w14:paraId="454982C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Times New Roman"/>
                <w:b/>
                <w:color w:val="auto"/>
                <w:sz w:val="24"/>
                <w:u w:val="none"/>
                <w:lang w:val="en-US" w:eastAsia="zh-CN"/>
              </w:rPr>
            </w:pPr>
            <w:r>
              <w:rPr>
                <w:rFonts w:hint="eastAsia" w:cs="Times New Roman"/>
                <w:b w:val="0"/>
                <w:bCs/>
                <w:color w:val="auto"/>
                <w:sz w:val="24"/>
                <w:u w:val="none"/>
                <w:lang w:val="en-US" w:eastAsia="zh-CN"/>
              </w:rPr>
              <w:t>其中地面瓦斯抽采泵站2座，分别是北山瓦斯抽采泵站（装备2BEF－60 型和 2BEC-60 型抽放泵2台）和北风井瓦斯抽采泵站（装备CBF－710型抽放泵2台）。井下抽采泵站6座，分别是：二水平己二采区瓦斯抽采泵站（装备 2BEC－42 型抽放泵3台）。己五采区瓦斯抽采泵站（装备2BEC－42型抽放泵3台）。丁四采区瓦斯抽采泵站（装备2BEC－50型抽放泵2台）。戊四采区瓦斯抽采泵站（装备 2BEC－42型抽放泵2台）。戊一采区瓦斯抽采泵站（装备2BEC－42型抽放泵2台）。二水平己一采区瓦斯抽采泵站（装备2BEC－50型抽放泵3台）。</w:t>
            </w:r>
          </w:p>
          <w:p w14:paraId="7CCCEF72">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default" w:cs="Times New Roman"/>
                <w:b/>
                <w:color w:val="auto"/>
                <w:sz w:val="24"/>
                <w:u w:val="none"/>
                <w:lang w:val="en-US" w:eastAsia="zh-CN"/>
              </w:rPr>
            </w:pPr>
            <w:r>
              <w:rPr>
                <w:rFonts w:hint="eastAsia" w:cs="Times New Roman"/>
                <w:b/>
                <w:color w:val="auto"/>
                <w:sz w:val="24"/>
                <w:u w:val="none"/>
                <w:lang w:val="en-US" w:eastAsia="zh-CN"/>
              </w:rPr>
              <w:t>2.3瓦斯含量赋存情况</w:t>
            </w:r>
          </w:p>
          <w:p w14:paraId="1EDDEBD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Times New Roman"/>
                <w:b w:val="0"/>
                <w:bCs/>
                <w:color w:val="auto"/>
                <w:sz w:val="24"/>
                <w:u w:val="none"/>
                <w:lang w:val="en-US" w:eastAsia="zh-CN"/>
              </w:rPr>
            </w:pPr>
            <w:r>
              <w:rPr>
                <w:rFonts w:hint="eastAsia" w:cs="Times New Roman"/>
                <w:b w:val="0"/>
                <w:bCs/>
                <w:color w:val="auto"/>
                <w:sz w:val="24"/>
                <w:u w:val="none"/>
                <w:lang w:val="en-US" w:eastAsia="zh-CN"/>
              </w:rPr>
              <w:t>①戊组煤层（-400～-750m）：根据矿井实测参数对瓦斯含量进行线性②戊组煤层（-600～-1000m）：</w:t>
            </w:r>
          </w:p>
          <w:p w14:paraId="5DA03F4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Times New Roman"/>
                <w:b w:val="0"/>
                <w:bCs/>
                <w:color w:val="auto"/>
                <w:sz w:val="24"/>
                <w:u w:val="none"/>
                <w:lang w:val="en-US" w:eastAsia="zh-CN"/>
              </w:rPr>
            </w:pPr>
            <w:r>
              <w:rPr>
                <w:rFonts w:hint="eastAsia" w:cs="Times New Roman"/>
                <w:b w:val="0"/>
                <w:bCs/>
                <w:color w:val="auto"/>
                <w:sz w:val="24"/>
                <w:u w:val="none"/>
                <w:lang w:val="en-US" w:eastAsia="zh-CN"/>
              </w:rPr>
              <w:t>回归预测，瓦斯含量随开采深度增加逐渐增大，戊9-10煤层在20-2勘探线范围，其递增关系为y=-0.047x-14.63，瓦斯含量4.17～20.62m</w:t>
            </w:r>
            <w:r>
              <w:rPr>
                <w:rFonts w:hint="eastAsia" w:cs="Times New Roman"/>
                <w:b w:val="0"/>
                <w:bCs/>
                <w:color w:val="auto"/>
                <w:sz w:val="24"/>
                <w:u w:val="none"/>
                <w:vertAlign w:val="superscript"/>
                <w:lang w:val="en-US" w:eastAsia="zh-CN"/>
              </w:rPr>
              <w:t>3</w:t>
            </w:r>
            <w:r>
              <w:rPr>
                <w:rFonts w:hint="eastAsia" w:cs="Times New Roman"/>
                <w:b w:val="0"/>
                <w:bCs/>
                <w:color w:val="auto"/>
                <w:sz w:val="24"/>
                <w:u w:val="none"/>
                <w:lang w:val="en-US" w:eastAsia="zh-CN"/>
              </w:rPr>
              <w:t>/t。</w:t>
            </w:r>
          </w:p>
          <w:p w14:paraId="113EC30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Times New Roman"/>
                <w:b w:val="0"/>
                <w:bCs/>
                <w:color w:val="auto"/>
                <w:sz w:val="24"/>
                <w:u w:val="none"/>
                <w:lang w:val="en-US" w:eastAsia="zh-CN"/>
              </w:rPr>
            </w:pPr>
            <w:r>
              <w:rPr>
                <w:rFonts w:hint="eastAsia" w:cs="Times New Roman"/>
                <w:b w:val="0"/>
                <w:bCs/>
                <w:color w:val="auto"/>
                <w:sz w:val="24"/>
                <w:u w:val="none"/>
                <w:lang w:val="en-US" w:eastAsia="zh-CN"/>
              </w:rPr>
              <w:t>②己组煤层（-500～-900m）：根据矿井实测参数对瓦斯含量进行线性回归预测，瓦斯含量随开采深度增加逐渐增大，己15煤层递增关系为</w:t>
            </w:r>
          </w:p>
          <w:p w14:paraId="76B8775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Times New Roman"/>
                <w:b w:val="0"/>
                <w:bCs/>
                <w:color w:val="auto"/>
                <w:sz w:val="24"/>
                <w:u w:val="none"/>
                <w:lang w:val="en-US" w:eastAsia="zh-CN"/>
              </w:rPr>
            </w:pPr>
            <w:r>
              <w:rPr>
                <w:rFonts w:hint="eastAsia" w:cs="Times New Roman"/>
                <w:b w:val="0"/>
                <w:bCs/>
                <w:color w:val="auto"/>
                <w:sz w:val="24"/>
                <w:u w:val="none"/>
                <w:lang w:val="en-US" w:eastAsia="zh-CN"/>
              </w:rPr>
              <w:t>y=-0.019x-0.856，瓦斯含量8.64～16.24m</w:t>
            </w:r>
            <w:r>
              <w:rPr>
                <w:rFonts w:hint="eastAsia" w:cs="Times New Roman"/>
                <w:b w:val="0"/>
                <w:bCs/>
                <w:color w:val="auto"/>
                <w:sz w:val="24"/>
                <w:u w:val="none"/>
                <w:vertAlign w:val="superscript"/>
                <w:lang w:val="en-US" w:eastAsia="zh-CN"/>
              </w:rPr>
              <w:t>3</w:t>
            </w:r>
            <w:r>
              <w:rPr>
                <w:rFonts w:hint="eastAsia" w:cs="Times New Roman"/>
                <w:b w:val="0"/>
                <w:bCs/>
                <w:color w:val="auto"/>
                <w:sz w:val="24"/>
                <w:u w:val="none"/>
                <w:lang w:val="en-US" w:eastAsia="zh-CN"/>
              </w:rPr>
              <w:t>/t；己16-17煤层瓦斯含量递增关系为 y=-0.021x-2.436，瓦斯含量8.06～16.46m</w:t>
            </w:r>
            <w:r>
              <w:rPr>
                <w:rFonts w:hint="eastAsia" w:cs="Times New Roman"/>
                <w:b w:val="0"/>
                <w:bCs/>
                <w:color w:val="auto"/>
                <w:sz w:val="24"/>
                <w:u w:val="none"/>
                <w:vertAlign w:val="superscript"/>
                <w:lang w:val="en-US" w:eastAsia="zh-CN"/>
              </w:rPr>
              <w:t>3</w:t>
            </w:r>
            <w:r>
              <w:rPr>
                <w:rFonts w:hint="eastAsia" w:cs="Times New Roman"/>
                <w:b w:val="0"/>
                <w:bCs/>
                <w:color w:val="auto"/>
                <w:sz w:val="24"/>
                <w:u w:val="none"/>
                <w:lang w:val="en-US" w:eastAsia="zh-CN"/>
              </w:rPr>
              <w:t>/t。</w:t>
            </w:r>
          </w:p>
          <w:p w14:paraId="4439B23B">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default" w:cs="Times New Roman"/>
                <w:b/>
                <w:color w:val="auto"/>
                <w:sz w:val="24"/>
                <w:u w:val="none"/>
                <w:lang w:val="en-US" w:eastAsia="zh-CN"/>
              </w:rPr>
            </w:pPr>
            <w:r>
              <w:rPr>
                <w:rFonts w:hint="eastAsia" w:cs="Times New Roman"/>
                <w:b/>
                <w:color w:val="auto"/>
                <w:sz w:val="24"/>
                <w:u w:val="none"/>
                <w:lang w:val="en-US" w:eastAsia="zh-CN"/>
              </w:rPr>
              <w:t>2.4装机容量可行性</w:t>
            </w:r>
          </w:p>
          <w:p w14:paraId="4A6C08DE">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Times New Roman"/>
                <w:b w:val="0"/>
                <w:bCs/>
                <w:color w:val="auto"/>
                <w:sz w:val="24"/>
                <w:u w:val="none"/>
                <w:lang w:val="en-US" w:eastAsia="zh-CN"/>
              </w:rPr>
            </w:pPr>
            <w:r>
              <w:rPr>
                <w:rFonts w:hint="eastAsia" w:cs="Times New Roman"/>
                <w:b w:val="0"/>
                <w:bCs/>
                <w:color w:val="auto"/>
                <w:sz w:val="24"/>
                <w:u w:val="none"/>
                <w:lang w:val="en-US" w:eastAsia="zh-CN"/>
              </w:rPr>
              <w:t>八矿二井地面抽采泵站现安装2BES-80 型抽采泵2台，单台抽采能力620m³/min，一备一用。通过二号井主抽采系统（进风井一趟DN500mm 管路）与己五采区抽采系统相连，服务于己五采区高负压抽采任务。</w:t>
            </w:r>
          </w:p>
          <w:p w14:paraId="4EB8EC8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Times New Roman"/>
                <w:b w:val="0"/>
                <w:bCs/>
                <w:color w:val="auto"/>
                <w:sz w:val="24"/>
                <w:u w:val="none"/>
                <w:lang w:val="en-US" w:eastAsia="zh-CN"/>
              </w:rPr>
            </w:pPr>
            <w:r>
              <w:rPr>
                <w:rFonts w:hint="eastAsia" w:cs="Times New Roman"/>
                <w:b w:val="0"/>
                <w:bCs/>
                <w:color w:val="auto"/>
                <w:sz w:val="24"/>
                <w:u w:val="none"/>
                <w:lang w:val="en-US" w:eastAsia="zh-CN"/>
              </w:rPr>
              <w:t>根据矿井抽采现状及未来情况测算，矿井抽采瓦斯纯量预计30m³/min 左右，年抽采瓦斯约1576.8</w:t>
            </w:r>
            <w:r>
              <w:rPr>
                <w:rFonts w:hint="eastAsia" w:cs="Times New Roman"/>
                <w:b w:val="0"/>
                <w:bCs/>
                <w:color w:val="auto"/>
                <w:sz w:val="24"/>
                <w:highlight w:val="none"/>
                <w:u w:val="none"/>
                <w:lang w:val="en-US" w:eastAsia="zh-CN"/>
              </w:rPr>
              <w:t>万m³以上，</w:t>
            </w:r>
            <w:r>
              <w:rPr>
                <w:rFonts w:hint="eastAsia" w:cs="Times New Roman"/>
                <w:b w:val="0"/>
                <w:bCs/>
                <w:color w:val="auto"/>
                <w:sz w:val="24"/>
                <w:u w:val="none"/>
                <w:lang w:val="en-US" w:eastAsia="zh-CN"/>
              </w:rPr>
              <w:t>抽采浓度预计在10%以上，可满足4台1000kW 发电机组（</w:t>
            </w:r>
            <w:r>
              <w:rPr>
                <w:rFonts w:hint="eastAsia" w:eastAsia="宋体" w:cs="Times New Roman"/>
                <w:b w:val="0"/>
                <w:bCs/>
                <w:color w:val="auto"/>
                <w:sz w:val="24"/>
                <w:u w:val="none"/>
                <w:lang w:val="en-US" w:eastAsia="zh-CN"/>
              </w:rPr>
              <w:t>耗气量为1152万</w:t>
            </w:r>
            <w:r>
              <w:rPr>
                <w:rFonts w:hint="eastAsia" w:cs="Times New Roman"/>
                <w:b w:val="0"/>
                <w:bCs/>
                <w:color w:val="auto"/>
                <w:sz w:val="24"/>
                <w:highlight w:val="none"/>
                <w:u w:val="none"/>
                <w:lang w:val="en-US" w:eastAsia="zh-CN"/>
              </w:rPr>
              <w:t>m³</w:t>
            </w:r>
            <w:r>
              <w:rPr>
                <w:rFonts w:hint="eastAsia" w:eastAsia="宋体" w:cs="Times New Roman"/>
                <w:b w:val="0"/>
                <w:bCs/>
                <w:color w:val="auto"/>
                <w:sz w:val="24"/>
                <w:u w:val="none"/>
                <w:lang w:val="en-US" w:eastAsia="zh-CN"/>
              </w:rPr>
              <w:t>）</w:t>
            </w:r>
            <w:r>
              <w:rPr>
                <w:rFonts w:hint="eastAsia" w:cs="Times New Roman"/>
                <w:b w:val="0"/>
                <w:bCs/>
                <w:color w:val="auto"/>
                <w:sz w:val="24"/>
                <w:u w:val="none"/>
                <w:lang w:val="en-US" w:eastAsia="zh-CN"/>
              </w:rPr>
              <w:t>运行需求。</w:t>
            </w:r>
          </w:p>
          <w:p w14:paraId="71D60A98">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default" w:cs="Times New Roman"/>
                <w:b/>
                <w:color w:val="auto"/>
                <w:sz w:val="24"/>
                <w:highlight w:val="none"/>
                <w:u w:val="none"/>
                <w:lang w:val="en-US" w:eastAsia="zh-CN"/>
              </w:rPr>
            </w:pPr>
            <w:r>
              <w:rPr>
                <w:rFonts w:hint="eastAsia" w:cs="Times New Roman"/>
                <w:b/>
                <w:color w:val="auto"/>
                <w:sz w:val="24"/>
                <w:highlight w:val="none"/>
                <w:u w:val="none"/>
                <w:lang w:val="en-US" w:eastAsia="zh-CN"/>
              </w:rPr>
              <w:t>2.5煤矿瓦斯成分分析</w:t>
            </w:r>
          </w:p>
          <w:p w14:paraId="7E4C7AE5">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cs="Times New Roman"/>
                <w:b/>
                <w:color w:val="auto"/>
                <w:sz w:val="24"/>
                <w:u w:val="none"/>
                <w:lang w:val="en-US" w:eastAsia="zh-CN"/>
              </w:rPr>
            </w:pPr>
            <w:r>
              <w:rPr>
                <w:rFonts w:hint="eastAsia" w:ascii="Times New Roman" w:hAnsi="Times New Roman" w:eastAsia="宋体" w:cs="Times New Roman"/>
                <w:color w:val="auto"/>
                <w:sz w:val="24"/>
                <w:szCs w:val="24"/>
                <w:u w:val="none"/>
                <w:lang w:val="en-US" w:eastAsia="zh-CN"/>
              </w:rPr>
              <w:t>2023年</w:t>
            </w:r>
            <w:r>
              <w:rPr>
                <w:rFonts w:hint="eastAsia" w:cs="Times New Roman"/>
                <w:color w:val="auto"/>
                <w:sz w:val="24"/>
                <w:szCs w:val="24"/>
                <w:u w:val="none"/>
                <w:lang w:val="en-US" w:eastAsia="zh-CN"/>
              </w:rPr>
              <w:t>9</w:t>
            </w:r>
            <w:r>
              <w:rPr>
                <w:rFonts w:hint="eastAsia" w:ascii="Times New Roman" w:hAnsi="Times New Roman" w:eastAsia="宋体" w:cs="Times New Roman"/>
                <w:color w:val="auto"/>
                <w:sz w:val="24"/>
                <w:szCs w:val="24"/>
                <w:u w:val="none"/>
                <w:lang w:val="en-US" w:eastAsia="zh-CN"/>
              </w:rPr>
              <w:t>月</w:t>
            </w:r>
            <w:r>
              <w:rPr>
                <w:rFonts w:hint="eastAsia" w:cs="Times New Roman"/>
                <w:color w:val="auto"/>
                <w:sz w:val="24"/>
                <w:szCs w:val="24"/>
                <w:u w:val="none"/>
                <w:lang w:val="en-US" w:eastAsia="zh-CN"/>
              </w:rPr>
              <w:t>7</w:t>
            </w:r>
            <w:r>
              <w:rPr>
                <w:rFonts w:hint="eastAsia" w:ascii="Times New Roman" w:hAnsi="Times New Roman" w:eastAsia="宋体" w:cs="Times New Roman"/>
                <w:color w:val="auto"/>
                <w:sz w:val="24"/>
                <w:szCs w:val="24"/>
                <w:u w:val="none"/>
                <w:lang w:val="en-US" w:eastAsia="zh-CN"/>
              </w:rPr>
              <w:t>日</w:t>
            </w:r>
            <w:r>
              <w:rPr>
                <w:rFonts w:hint="eastAsia" w:cs="Times New Roman"/>
                <w:color w:val="auto"/>
                <w:sz w:val="24"/>
                <w:szCs w:val="24"/>
                <w:u w:val="none"/>
                <w:lang w:val="en-US" w:eastAsia="zh-CN"/>
              </w:rPr>
              <w:t>河南平煤神马中南检验检测有限公司对本项目八矿二井泵站抽放瓦斯气体进行分析，分析结果见下表：</w:t>
            </w:r>
          </w:p>
          <w:p w14:paraId="1FF99F0C">
            <w:pPr>
              <w:pStyle w:val="7"/>
              <w:keepNext w:val="0"/>
              <w:keepLines w:val="0"/>
              <w:pageBreakBefore w:val="0"/>
              <w:widowControl w:val="0"/>
              <w:numPr>
                <w:ilvl w:val="0"/>
                <w:numId w:val="0"/>
              </w:numPr>
              <w:kinsoku/>
              <w:wordWrap/>
              <w:overflowPunct/>
              <w:topLinePunct w:val="0"/>
              <w:autoSpaceDE/>
              <w:autoSpaceDN/>
              <w:bidi w:val="0"/>
              <w:adjustRightInd w:val="0"/>
              <w:snapToGrid/>
              <w:spacing w:line="240" w:lineRule="auto"/>
              <w:ind w:leftChars="200"/>
              <w:jc w:val="center"/>
              <w:textAlignment w:val="auto"/>
              <w:rPr>
                <w:rFonts w:hint="default" w:ascii="Times New Roman" w:hAnsi="Times New Roman" w:eastAsia="黑体" w:cs="Times New Roman"/>
                <w:b w:val="0"/>
                <w:color w:val="auto"/>
                <w:kern w:val="2"/>
                <w:sz w:val="24"/>
                <w:szCs w:val="24"/>
                <w:u w:val="none"/>
                <w:lang w:val="en-US" w:eastAsia="zh-CN" w:bidi="ar-SA"/>
              </w:rPr>
            </w:pPr>
            <w:r>
              <w:rPr>
                <w:rFonts w:hint="eastAsia" w:ascii="Times New Roman" w:hAnsi="Times New Roman" w:eastAsia="黑体" w:cs="Times New Roman"/>
                <w:b w:val="0"/>
                <w:color w:val="auto"/>
                <w:kern w:val="2"/>
                <w:sz w:val="24"/>
                <w:szCs w:val="24"/>
                <w:u w:val="none"/>
                <w:lang w:val="en-US" w:eastAsia="zh-CN" w:bidi="ar-SA"/>
              </w:rPr>
              <w:t>表</w:t>
            </w:r>
            <w:r>
              <w:rPr>
                <w:rFonts w:hint="eastAsia" w:eastAsia="黑体" w:cs="Times New Roman"/>
                <w:b w:val="0"/>
                <w:color w:val="auto"/>
                <w:kern w:val="2"/>
                <w:sz w:val="24"/>
                <w:szCs w:val="24"/>
                <w:u w:val="none"/>
                <w:lang w:val="en-US" w:eastAsia="zh-CN" w:bidi="ar-SA"/>
              </w:rPr>
              <w:t>2-1</w:t>
            </w:r>
            <w:r>
              <w:rPr>
                <w:rFonts w:hint="eastAsia" w:ascii="Times New Roman" w:hAnsi="Times New Roman" w:eastAsia="黑体" w:cs="Times New Roman"/>
                <w:b w:val="0"/>
                <w:color w:val="auto"/>
                <w:kern w:val="2"/>
                <w:sz w:val="24"/>
                <w:szCs w:val="24"/>
                <w:u w:val="none"/>
                <w:lang w:val="en-US" w:eastAsia="zh-CN" w:bidi="ar-SA"/>
              </w:rPr>
              <w:t xml:space="preserve"> </w:t>
            </w:r>
            <w:r>
              <w:rPr>
                <w:rFonts w:hint="eastAsia" w:eastAsia="黑体" w:cs="Times New Roman"/>
                <w:b w:val="0"/>
                <w:color w:val="auto"/>
                <w:kern w:val="2"/>
                <w:sz w:val="24"/>
                <w:szCs w:val="24"/>
                <w:u w:val="none"/>
                <w:lang w:val="en-US" w:eastAsia="zh-CN" w:bidi="ar-SA"/>
              </w:rPr>
              <w:t>八矿二井泵站瓦斯成分分析表</w:t>
            </w:r>
          </w:p>
          <w:tbl>
            <w:tblPr>
              <w:tblStyle w:val="33"/>
              <w:tblW w:w="8438" w:type="dxa"/>
              <w:tblInd w:w="-2"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19"/>
              <w:gridCol w:w="627"/>
              <w:gridCol w:w="723"/>
              <w:gridCol w:w="810"/>
              <w:gridCol w:w="636"/>
              <w:gridCol w:w="723"/>
              <w:gridCol w:w="723"/>
              <w:gridCol w:w="824"/>
              <w:gridCol w:w="738"/>
              <w:gridCol w:w="686"/>
              <w:gridCol w:w="585"/>
              <w:gridCol w:w="544"/>
            </w:tblGrid>
            <w:tr w14:paraId="6DF8593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24" w:hRule="atLeast"/>
              </w:trPr>
              <w:tc>
                <w:tcPr>
                  <w:tcW w:w="819" w:type="dxa"/>
                  <w:tcBorders>
                    <w:tl2br w:val="nil"/>
                    <w:tr2bl w:val="nil"/>
                  </w:tcBorders>
                  <w:vAlign w:val="center"/>
                </w:tcPr>
                <w:p w14:paraId="7A25C408">
                  <w:pPr>
                    <w:spacing w:line="240" w:lineRule="auto"/>
                    <w:jc w:val="center"/>
                    <w:rPr>
                      <w:rFonts w:hint="default"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成分</w:t>
                  </w:r>
                </w:p>
              </w:tc>
              <w:tc>
                <w:tcPr>
                  <w:tcW w:w="627" w:type="dxa"/>
                  <w:tcBorders>
                    <w:tl2br w:val="nil"/>
                    <w:tr2bl w:val="nil"/>
                  </w:tcBorders>
                  <w:vAlign w:val="center"/>
                </w:tcPr>
                <w:p w14:paraId="1C4F90F5">
                  <w:pPr>
                    <w:spacing w:line="240" w:lineRule="auto"/>
                    <w:jc w:val="center"/>
                    <w:rPr>
                      <w:rFonts w:hint="default" w:cs="Times New Roman"/>
                      <w:b/>
                      <w:color w:val="auto"/>
                      <w:sz w:val="24"/>
                      <w:u w:val="none"/>
                      <w:vertAlign w:val="baseline"/>
                      <w:lang w:val="en-US" w:eastAsia="zh-CN"/>
                    </w:rPr>
                  </w:pPr>
                  <w:r>
                    <w:rPr>
                      <w:rFonts w:hint="eastAsia" w:ascii="Times New Roman" w:hAnsi="Times New Roman" w:cs="Times New Roman"/>
                      <w:color w:val="auto"/>
                      <w:szCs w:val="21"/>
                      <w:u w:val="none"/>
                      <w:lang w:val="en-US" w:eastAsia="zh-CN"/>
                    </w:rPr>
                    <w:t>O</w:t>
                  </w:r>
                  <w:r>
                    <w:rPr>
                      <w:rFonts w:hint="eastAsia" w:ascii="Times New Roman" w:hAnsi="Times New Roman" w:cs="Times New Roman"/>
                      <w:color w:val="auto"/>
                      <w:szCs w:val="21"/>
                      <w:u w:val="none"/>
                      <w:vertAlign w:val="subscript"/>
                      <w:lang w:val="en-US" w:eastAsia="zh-CN"/>
                    </w:rPr>
                    <w:t>2</w:t>
                  </w:r>
                </w:p>
              </w:tc>
              <w:tc>
                <w:tcPr>
                  <w:tcW w:w="723" w:type="dxa"/>
                  <w:tcBorders>
                    <w:tl2br w:val="nil"/>
                    <w:tr2bl w:val="nil"/>
                  </w:tcBorders>
                  <w:vAlign w:val="center"/>
                </w:tcPr>
                <w:p w14:paraId="78E52159">
                  <w:pPr>
                    <w:spacing w:line="240" w:lineRule="auto"/>
                    <w:jc w:val="center"/>
                    <w:rPr>
                      <w:rFonts w:hint="default" w:cs="Times New Roman"/>
                      <w:b/>
                      <w:color w:val="auto"/>
                      <w:sz w:val="24"/>
                      <w:u w:val="none"/>
                      <w:vertAlign w:val="baseline"/>
                      <w:lang w:val="en-US" w:eastAsia="zh-CN"/>
                    </w:rPr>
                  </w:pPr>
                  <w:r>
                    <w:rPr>
                      <w:rFonts w:hint="eastAsia" w:ascii="Times New Roman" w:hAnsi="Times New Roman" w:cs="Times New Roman"/>
                      <w:color w:val="auto"/>
                      <w:szCs w:val="21"/>
                      <w:u w:val="none"/>
                      <w:lang w:val="en-US" w:eastAsia="zh-CN"/>
                    </w:rPr>
                    <w:t>N</w:t>
                  </w:r>
                  <w:r>
                    <w:rPr>
                      <w:rFonts w:hint="eastAsia" w:ascii="Times New Roman" w:hAnsi="Times New Roman" w:cs="Times New Roman"/>
                      <w:color w:val="auto"/>
                      <w:szCs w:val="21"/>
                      <w:u w:val="none"/>
                      <w:vertAlign w:val="subscript"/>
                      <w:lang w:val="en-US" w:eastAsia="zh-CN"/>
                    </w:rPr>
                    <w:t>2</w:t>
                  </w:r>
                </w:p>
              </w:tc>
              <w:tc>
                <w:tcPr>
                  <w:tcW w:w="810" w:type="dxa"/>
                  <w:tcBorders>
                    <w:tl2br w:val="nil"/>
                    <w:tr2bl w:val="nil"/>
                  </w:tcBorders>
                  <w:vAlign w:val="center"/>
                </w:tcPr>
                <w:p w14:paraId="2C60E7CA">
                  <w:pPr>
                    <w:spacing w:line="240" w:lineRule="auto"/>
                    <w:jc w:val="center"/>
                    <w:rPr>
                      <w:rFonts w:hint="default" w:cs="Times New Roman"/>
                      <w:b/>
                      <w:color w:val="auto"/>
                      <w:sz w:val="24"/>
                      <w:u w:val="none"/>
                      <w:vertAlign w:val="baseline"/>
                      <w:lang w:val="en-US" w:eastAsia="zh-CN"/>
                    </w:rPr>
                  </w:pPr>
                  <w:r>
                    <w:rPr>
                      <w:rFonts w:hint="eastAsia" w:ascii="Times New Roman" w:hAnsi="Times New Roman" w:cs="Times New Roman"/>
                      <w:color w:val="auto"/>
                      <w:szCs w:val="21"/>
                      <w:u w:val="none"/>
                      <w:lang w:val="en-US" w:eastAsia="zh-CN"/>
                    </w:rPr>
                    <w:t>CO</w:t>
                  </w:r>
                </w:p>
              </w:tc>
              <w:tc>
                <w:tcPr>
                  <w:tcW w:w="636" w:type="dxa"/>
                  <w:tcBorders>
                    <w:tl2br w:val="nil"/>
                    <w:tr2bl w:val="nil"/>
                  </w:tcBorders>
                  <w:vAlign w:val="center"/>
                </w:tcPr>
                <w:p w14:paraId="01D1B18F">
                  <w:pPr>
                    <w:spacing w:line="240" w:lineRule="auto"/>
                    <w:jc w:val="center"/>
                    <w:rPr>
                      <w:rFonts w:hint="default" w:cs="Times New Roman"/>
                      <w:b/>
                      <w:color w:val="auto"/>
                      <w:sz w:val="24"/>
                      <w:u w:val="none"/>
                      <w:vertAlign w:val="baseline"/>
                      <w:lang w:val="en-US" w:eastAsia="zh-CN"/>
                    </w:rPr>
                  </w:pPr>
                  <w:r>
                    <w:rPr>
                      <w:rFonts w:hint="eastAsia" w:ascii="Times New Roman" w:hAnsi="Times New Roman" w:cs="Times New Roman"/>
                      <w:color w:val="auto"/>
                      <w:szCs w:val="21"/>
                      <w:u w:val="none"/>
                      <w:lang w:val="en-US" w:eastAsia="zh-CN"/>
                    </w:rPr>
                    <w:t>CH</w:t>
                  </w:r>
                  <w:r>
                    <w:rPr>
                      <w:rFonts w:hint="eastAsia" w:ascii="Times New Roman" w:hAnsi="Times New Roman" w:cs="Times New Roman"/>
                      <w:color w:val="auto"/>
                      <w:szCs w:val="21"/>
                      <w:u w:val="none"/>
                      <w:vertAlign w:val="subscript"/>
                      <w:lang w:val="en-US" w:eastAsia="zh-CN"/>
                    </w:rPr>
                    <w:t>4</w:t>
                  </w:r>
                </w:p>
              </w:tc>
              <w:tc>
                <w:tcPr>
                  <w:tcW w:w="723" w:type="dxa"/>
                  <w:tcBorders>
                    <w:tl2br w:val="nil"/>
                    <w:tr2bl w:val="nil"/>
                  </w:tcBorders>
                  <w:vAlign w:val="center"/>
                </w:tcPr>
                <w:p w14:paraId="1BC333F4">
                  <w:pPr>
                    <w:spacing w:line="240" w:lineRule="auto"/>
                    <w:jc w:val="center"/>
                    <w:rPr>
                      <w:rFonts w:hint="default" w:cs="Times New Roman"/>
                      <w:b/>
                      <w:color w:val="auto"/>
                      <w:sz w:val="24"/>
                      <w:u w:val="none"/>
                      <w:vertAlign w:val="baseline"/>
                      <w:lang w:val="en-US" w:eastAsia="zh-CN"/>
                    </w:rPr>
                  </w:pPr>
                  <w:r>
                    <w:rPr>
                      <w:rFonts w:hint="eastAsia" w:ascii="Times New Roman" w:hAnsi="Times New Roman" w:cs="Times New Roman"/>
                      <w:color w:val="auto"/>
                      <w:szCs w:val="21"/>
                      <w:u w:val="none"/>
                      <w:lang w:val="en-US" w:eastAsia="zh-CN"/>
                    </w:rPr>
                    <w:t>CO</w:t>
                  </w:r>
                  <w:r>
                    <w:rPr>
                      <w:rFonts w:hint="eastAsia" w:ascii="Times New Roman" w:hAnsi="Times New Roman" w:cs="Times New Roman"/>
                      <w:color w:val="auto"/>
                      <w:szCs w:val="21"/>
                      <w:u w:val="none"/>
                      <w:vertAlign w:val="subscript"/>
                      <w:lang w:val="en-US" w:eastAsia="zh-CN"/>
                    </w:rPr>
                    <w:t>2</w:t>
                  </w:r>
                </w:p>
              </w:tc>
              <w:tc>
                <w:tcPr>
                  <w:tcW w:w="723" w:type="dxa"/>
                  <w:tcBorders>
                    <w:tl2br w:val="nil"/>
                    <w:tr2bl w:val="nil"/>
                  </w:tcBorders>
                  <w:vAlign w:val="center"/>
                </w:tcPr>
                <w:p w14:paraId="784A39E4">
                  <w:pPr>
                    <w:spacing w:line="240" w:lineRule="auto"/>
                    <w:jc w:val="center"/>
                    <w:rPr>
                      <w:rFonts w:hint="default" w:cs="Times New Roman"/>
                      <w:b/>
                      <w:color w:val="auto"/>
                      <w:sz w:val="24"/>
                      <w:u w:val="none"/>
                      <w:vertAlign w:val="baseline"/>
                      <w:lang w:val="en-US" w:eastAsia="zh-CN"/>
                    </w:rPr>
                  </w:pPr>
                  <w:r>
                    <w:rPr>
                      <w:rFonts w:hint="eastAsia" w:ascii="Times New Roman" w:hAnsi="Times New Roman" w:cs="Times New Roman"/>
                      <w:color w:val="auto"/>
                      <w:szCs w:val="21"/>
                      <w:u w:val="none"/>
                      <w:lang w:val="en-US" w:eastAsia="zh-CN"/>
                    </w:rPr>
                    <w:t>C</w:t>
                  </w:r>
                  <w:r>
                    <w:rPr>
                      <w:rFonts w:hint="eastAsia" w:ascii="Times New Roman" w:hAnsi="Times New Roman" w:cs="Times New Roman"/>
                      <w:color w:val="auto"/>
                      <w:szCs w:val="21"/>
                      <w:u w:val="none"/>
                      <w:vertAlign w:val="subscript"/>
                      <w:lang w:val="en-US" w:eastAsia="zh-CN"/>
                    </w:rPr>
                    <w:t>2</w:t>
                  </w:r>
                  <w:r>
                    <w:rPr>
                      <w:rFonts w:hint="eastAsia" w:ascii="Times New Roman" w:hAnsi="Times New Roman" w:cs="Times New Roman"/>
                      <w:color w:val="auto"/>
                      <w:szCs w:val="21"/>
                      <w:u w:val="none"/>
                      <w:lang w:val="en-US" w:eastAsia="zh-CN"/>
                    </w:rPr>
                    <w:t>H</w:t>
                  </w:r>
                  <w:r>
                    <w:rPr>
                      <w:rFonts w:hint="eastAsia" w:ascii="Times New Roman" w:hAnsi="Times New Roman" w:cs="Times New Roman"/>
                      <w:color w:val="auto"/>
                      <w:szCs w:val="21"/>
                      <w:u w:val="none"/>
                      <w:vertAlign w:val="subscript"/>
                      <w:lang w:val="en-US" w:eastAsia="zh-CN"/>
                    </w:rPr>
                    <w:t>4</w:t>
                  </w:r>
                </w:p>
              </w:tc>
              <w:tc>
                <w:tcPr>
                  <w:tcW w:w="824" w:type="dxa"/>
                  <w:tcBorders>
                    <w:tl2br w:val="nil"/>
                    <w:tr2bl w:val="nil"/>
                  </w:tcBorders>
                  <w:vAlign w:val="center"/>
                </w:tcPr>
                <w:p w14:paraId="21A54239">
                  <w:pPr>
                    <w:spacing w:line="240" w:lineRule="auto"/>
                    <w:jc w:val="center"/>
                    <w:rPr>
                      <w:rFonts w:hint="eastAsia" w:cs="Times New Roman"/>
                      <w:b/>
                      <w:color w:val="auto"/>
                      <w:sz w:val="24"/>
                      <w:u w:val="none"/>
                      <w:vertAlign w:val="baseline"/>
                      <w:lang w:val="en-US" w:eastAsia="zh-CN"/>
                    </w:rPr>
                  </w:pPr>
                  <w:r>
                    <w:rPr>
                      <w:rFonts w:hint="eastAsia" w:ascii="Times New Roman" w:hAnsi="Times New Roman" w:cs="Times New Roman"/>
                      <w:color w:val="auto"/>
                      <w:szCs w:val="21"/>
                      <w:u w:val="none"/>
                      <w:lang w:val="en-US" w:eastAsia="zh-CN"/>
                    </w:rPr>
                    <w:t>C</w:t>
                  </w:r>
                  <w:r>
                    <w:rPr>
                      <w:rFonts w:hint="eastAsia" w:ascii="Times New Roman" w:hAnsi="Times New Roman" w:cs="Times New Roman"/>
                      <w:color w:val="auto"/>
                      <w:szCs w:val="21"/>
                      <w:u w:val="none"/>
                      <w:vertAlign w:val="subscript"/>
                      <w:lang w:val="en-US" w:eastAsia="zh-CN"/>
                    </w:rPr>
                    <w:t>2</w:t>
                  </w:r>
                  <w:r>
                    <w:rPr>
                      <w:rFonts w:hint="eastAsia" w:ascii="Times New Roman" w:hAnsi="Times New Roman" w:cs="Times New Roman"/>
                      <w:color w:val="auto"/>
                      <w:szCs w:val="21"/>
                      <w:u w:val="none"/>
                      <w:lang w:val="en-US" w:eastAsia="zh-CN"/>
                    </w:rPr>
                    <w:t>H</w:t>
                  </w:r>
                  <w:r>
                    <w:rPr>
                      <w:rFonts w:hint="eastAsia" w:cs="Times New Roman"/>
                      <w:color w:val="auto"/>
                      <w:szCs w:val="21"/>
                      <w:u w:val="none"/>
                      <w:vertAlign w:val="subscript"/>
                      <w:lang w:val="en-US" w:eastAsia="zh-CN"/>
                    </w:rPr>
                    <w:t>6</w:t>
                  </w:r>
                </w:p>
              </w:tc>
              <w:tc>
                <w:tcPr>
                  <w:tcW w:w="738" w:type="dxa"/>
                  <w:tcBorders>
                    <w:tl2br w:val="nil"/>
                    <w:tr2bl w:val="nil"/>
                  </w:tcBorders>
                  <w:vAlign w:val="center"/>
                </w:tcPr>
                <w:p w14:paraId="4962D772">
                  <w:pPr>
                    <w:spacing w:line="240" w:lineRule="auto"/>
                    <w:jc w:val="center"/>
                    <w:rPr>
                      <w:rFonts w:hint="eastAsia" w:cs="Times New Roman"/>
                      <w:b/>
                      <w:color w:val="auto"/>
                      <w:sz w:val="24"/>
                      <w:u w:val="none"/>
                      <w:vertAlign w:val="baseline"/>
                      <w:lang w:val="en-US" w:eastAsia="zh-CN"/>
                    </w:rPr>
                  </w:pPr>
                  <w:r>
                    <w:rPr>
                      <w:rFonts w:hint="eastAsia" w:ascii="Times New Roman" w:hAnsi="Times New Roman" w:cs="Times New Roman"/>
                      <w:color w:val="auto"/>
                      <w:szCs w:val="21"/>
                      <w:u w:val="none"/>
                      <w:lang w:val="en-US" w:eastAsia="zh-CN"/>
                    </w:rPr>
                    <w:t>C</w:t>
                  </w:r>
                  <w:r>
                    <w:rPr>
                      <w:rFonts w:hint="eastAsia" w:cs="Times New Roman"/>
                      <w:color w:val="auto"/>
                      <w:szCs w:val="21"/>
                      <w:u w:val="none"/>
                      <w:vertAlign w:val="subscript"/>
                      <w:lang w:val="en-US" w:eastAsia="zh-CN"/>
                    </w:rPr>
                    <w:t>3</w:t>
                  </w:r>
                  <w:r>
                    <w:rPr>
                      <w:rFonts w:hint="eastAsia" w:ascii="Times New Roman" w:hAnsi="Times New Roman" w:cs="Times New Roman"/>
                      <w:color w:val="auto"/>
                      <w:szCs w:val="21"/>
                      <w:u w:val="none"/>
                      <w:lang w:val="en-US" w:eastAsia="zh-CN"/>
                    </w:rPr>
                    <w:t>H</w:t>
                  </w:r>
                  <w:r>
                    <w:rPr>
                      <w:rFonts w:hint="eastAsia" w:cs="Times New Roman"/>
                      <w:color w:val="auto"/>
                      <w:szCs w:val="21"/>
                      <w:u w:val="none"/>
                      <w:vertAlign w:val="subscript"/>
                      <w:lang w:val="en-US" w:eastAsia="zh-CN"/>
                    </w:rPr>
                    <w:t>8</w:t>
                  </w:r>
                </w:p>
              </w:tc>
              <w:tc>
                <w:tcPr>
                  <w:tcW w:w="686" w:type="dxa"/>
                  <w:tcBorders>
                    <w:tl2br w:val="nil"/>
                    <w:tr2bl w:val="nil"/>
                  </w:tcBorders>
                  <w:vAlign w:val="center"/>
                </w:tcPr>
                <w:p w14:paraId="7F5631F9">
                  <w:pPr>
                    <w:spacing w:line="240" w:lineRule="auto"/>
                    <w:jc w:val="center"/>
                    <w:rPr>
                      <w:rFonts w:hint="eastAsia" w:cs="Times New Roman"/>
                      <w:b/>
                      <w:color w:val="auto"/>
                      <w:sz w:val="24"/>
                      <w:u w:val="none"/>
                      <w:vertAlign w:val="baseline"/>
                      <w:lang w:val="en-US" w:eastAsia="zh-CN"/>
                    </w:rPr>
                  </w:pPr>
                  <w:r>
                    <w:rPr>
                      <w:rFonts w:hint="eastAsia" w:ascii="Times New Roman" w:hAnsi="Times New Roman" w:cs="Times New Roman"/>
                      <w:color w:val="auto"/>
                      <w:szCs w:val="21"/>
                      <w:u w:val="none"/>
                      <w:lang w:val="en-US" w:eastAsia="zh-CN"/>
                    </w:rPr>
                    <w:t>C</w:t>
                  </w:r>
                  <w:r>
                    <w:rPr>
                      <w:rFonts w:hint="eastAsia" w:ascii="Times New Roman" w:hAnsi="Times New Roman" w:cs="Times New Roman"/>
                      <w:color w:val="auto"/>
                      <w:szCs w:val="21"/>
                      <w:u w:val="none"/>
                      <w:vertAlign w:val="subscript"/>
                      <w:lang w:val="en-US" w:eastAsia="zh-CN"/>
                    </w:rPr>
                    <w:t>2</w:t>
                  </w:r>
                  <w:r>
                    <w:rPr>
                      <w:rFonts w:hint="eastAsia" w:ascii="Times New Roman" w:hAnsi="Times New Roman" w:cs="Times New Roman"/>
                      <w:color w:val="auto"/>
                      <w:szCs w:val="21"/>
                      <w:u w:val="none"/>
                      <w:lang w:val="en-US" w:eastAsia="zh-CN"/>
                    </w:rPr>
                    <w:t>H</w:t>
                  </w:r>
                  <w:r>
                    <w:rPr>
                      <w:rFonts w:hint="eastAsia" w:cs="Times New Roman"/>
                      <w:color w:val="auto"/>
                      <w:szCs w:val="21"/>
                      <w:u w:val="none"/>
                      <w:vertAlign w:val="subscript"/>
                      <w:lang w:val="en-US" w:eastAsia="zh-CN"/>
                    </w:rPr>
                    <w:t>2</w:t>
                  </w:r>
                </w:p>
              </w:tc>
              <w:tc>
                <w:tcPr>
                  <w:tcW w:w="585" w:type="dxa"/>
                  <w:tcBorders>
                    <w:tl2br w:val="nil"/>
                    <w:tr2bl w:val="nil"/>
                  </w:tcBorders>
                  <w:vAlign w:val="center"/>
                </w:tcPr>
                <w:p w14:paraId="5A5EA078">
                  <w:pPr>
                    <w:spacing w:line="240" w:lineRule="auto"/>
                    <w:jc w:val="center"/>
                    <w:rPr>
                      <w:rFonts w:hint="default" w:ascii="Times New Roman" w:hAnsi="Times New Roman" w:cs="Times New Roman"/>
                      <w:color w:val="auto"/>
                      <w:szCs w:val="21"/>
                      <w:u w:val="none"/>
                      <w:lang w:val="en-US" w:eastAsia="zh-CN"/>
                    </w:rPr>
                  </w:pPr>
                  <w:r>
                    <w:rPr>
                      <w:rFonts w:hint="eastAsia" w:cs="Times New Roman"/>
                      <w:color w:val="auto"/>
                      <w:szCs w:val="21"/>
                      <w:u w:val="none"/>
                      <w:lang w:val="en-US" w:eastAsia="zh-CN"/>
                    </w:rPr>
                    <w:t>H</w:t>
                  </w:r>
                  <w:r>
                    <w:rPr>
                      <w:rFonts w:hint="eastAsia" w:cs="Times New Roman"/>
                      <w:color w:val="auto"/>
                      <w:szCs w:val="21"/>
                      <w:u w:val="none"/>
                      <w:vertAlign w:val="subscript"/>
                      <w:lang w:val="en-US" w:eastAsia="zh-CN"/>
                    </w:rPr>
                    <w:t>2</w:t>
                  </w:r>
                  <w:r>
                    <w:rPr>
                      <w:rFonts w:hint="eastAsia" w:cs="Times New Roman"/>
                      <w:color w:val="auto"/>
                      <w:szCs w:val="21"/>
                      <w:u w:val="none"/>
                      <w:lang w:val="en-US" w:eastAsia="zh-CN"/>
                    </w:rPr>
                    <w:t>S</w:t>
                  </w:r>
                </w:p>
              </w:tc>
              <w:tc>
                <w:tcPr>
                  <w:tcW w:w="544" w:type="dxa"/>
                  <w:tcBorders>
                    <w:tl2br w:val="nil"/>
                    <w:tr2bl w:val="nil"/>
                  </w:tcBorders>
                  <w:vAlign w:val="center"/>
                </w:tcPr>
                <w:p w14:paraId="6B9B9A7F">
                  <w:pPr>
                    <w:spacing w:line="240" w:lineRule="auto"/>
                    <w:jc w:val="center"/>
                    <w:rPr>
                      <w:rFonts w:hint="default" w:ascii="Times New Roman" w:hAnsi="Times New Roman" w:cs="Times New Roman"/>
                      <w:color w:val="auto"/>
                      <w:szCs w:val="21"/>
                      <w:u w:val="none"/>
                      <w:lang w:val="en-US" w:eastAsia="zh-CN"/>
                    </w:rPr>
                  </w:pPr>
                  <w:r>
                    <w:rPr>
                      <w:rFonts w:hint="eastAsia" w:cs="Times New Roman"/>
                      <w:color w:val="auto"/>
                      <w:szCs w:val="21"/>
                      <w:u w:val="none"/>
                      <w:lang w:val="en-US" w:eastAsia="zh-CN"/>
                    </w:rPr>
                    <w:t>其他</w:t>
                  </w:r>
                </w:p>
              </w:tc>
            </w:tr>
            <w:tr w14:paraId="7377E43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62" w:hRule="atLeast"/>
              </w:trPr>
              <w:tc>
                <w:tcPr>
                  <w:tcW w:w="819" w:type="dxa"/>
                  <w:tcBorders>
                    <w:tl2br w:val="nil"/>
                    <w:tr2bl w:val="nil"/>
                  </w:tcBorders>
                  <w:vAlign w:val="center"/>
                </w:tcPr>
                <w:p w14:paraId="51C5C591">
                  <w:pPr>
                    <w:spacing w:line="240" w:lineRule="auto"/>
                    <w:jc w:val="center"/>
                    <w:rPr>
                      <w:rFonts w:hint="default"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含量</w:t>
                  </w:r>
                  <w:r>
                    <w:rPr>
                      <w:rFonts w:hint="eastAsia" w:cs="Times New Roman"/>
                      <w:color w:val="auto"/>
                      <w:szCs w:val="21"/>
                      <w:u w:val="none"/>
                      <w:lang w:val="en-US" w:eastAsia="zh-CN"/>
                    </w:rPr>
                    <w:t>（</w:t>
                  </w:r>
                  <w:r>
                    <w:rPr>
                      <w:rFonts w:hint="eastAsia" w:ascii="宋体" w:hAnsi="宋体" w:eastAsia="宋体" w:cs="宋体"/>
                      <w:color w:val="auto"/>
                      <w:szCs w:val="21"/>
                      <w:u w:val="none"/>
                      <w:lang w:val="en-US" w:eastAsia="zh-CN"/>
                    </w:rPr>
                    <w:t>％</w:t>
                  </w:r>
                  <w:r>
                    <w:rPr>
                      <w:rFonts w:hint="eastAsia" w:cs="Times New Roman"/>
                      <w:color w:val="auto"/>
                      <w:szCs w:val="21"/>
                      <w:u w:val="none"/>
                      <w:lang w:val="en-US" w:eastAsia="zh-CN"/>
                    </w:rPr>
                    <w:t>）</w:t>
                  </w:r>
                </w:p>
              </w:tc>
              <w:tc>
                <w:tcPr>
                  <w:tcW w:w="627" w:type="dxa"/>
                  <w:tcBorders>
                    <w:tl2br w:val="nil"/>
                    <w:tr2bl w:val="nil"/>
                  </w:tcBorders>
                  <w:vAlign w:val="center"/>
                </w:tcPr>
                <w:p w14:paraId="56630F31">
                  <w:pPr>
                    <w:spacing w:line="240" w:lineRule="auto"/>
                    <w:jc w:val="center"/>
                    <w:rPr>
                      <w:rFonts w:hint="default" w:cs="Times New Roman"/>
                      <w:b/>
                      <w:color w:val="auto"/>
                      <w:sz w:val="24"/>
                      <w:highlight w:val="none"/>
                      <w:u w:val="none"/>
                      <w:vertAlign w:val="baseline"/>
                      <w:lang w:val="en-US" w:eastAsia="zh-CN"/>
                    </w:rPr>
                  </w:pPr>
                  <w:r>
                    <w:rPr>
                      <w:rFonts w:hint="eastAsia" w:cs="Times New Roman"/>
                      <w:color w:val="auto"/>
                      <w:szCs w:val="21"/>
                      <w:highlight w:val="none"/>
                      <w:u w:val="none"/>
                      <w:lang w:val="en-US" w:eastAsia="zh-CN"/>
                    </w:rPr>
                    <w:t>17.3</w:t>
                  </w:r>
                </w:p>
              </w:tc>
              <w:tc>
                <w:tcPr>
                  <w:tcW w:w="723" w:type="dxa"/>
                  <w:tcBorders>
                    <w:tl2br w:val="nil"/>
                    <w:tr2bl w:val="nil"/>
                  </w:tcBorders>
                  <w:vAlign w:val="center"/>
                </w:tcPr>
                <w:p w14:paraId="2BC80995">
                  <w:pPr>
                    <w:spacing w:line="240" w:lineRule="auto"/>
                    <w:jc w:val="center"/>
                    <w:rPr>
                      <w:rFonts w:hint="default" w:ascii="Times New Roman" w:hAnsi="Times New Roman" w:cs="Times New Roman"/>
                      <w:color w:val="auto"/>
                      <w:szCs w:val="21"/>
                      <w:highlight w:val="none"/>
                      <w:u w:val="none"/>
                      <w:lang w:val="en-US" w:eastAsia="zh-CN"/>
                    </w:rPr>
                  </w:pPr>
                  <w:r>
                    <w:rPr>
                      <w:rFonts w:hint="eastAsia" w:cs="Times New Roman"/>
                      <w:color w:val="auto"/>
                      <w:szCs w:val="21"/>
                      <w:highlight w:val="none"/>
                      <w:u w:val="none"/>
                      <w:lang w:val="en-US" w:eastAsia="zh-CN"/>
                    </w:rPr>
                    <w:t>67.5</w:t>
                  </w:r>
                </w:p>
              </w:tc>
              <w:tc>
                <w:tcPr>
                  <w:tcW w:w="810" w:type="dxa"/>
                  <w:tcBorders>
                    <w:tl2br w:val="nil"/>
                    <w:tr2bl w:val="nil"/>
                  </w:tcBorders>
                  <w:vAlign w:val="center"/>
                </w:tcPr>
                <w:p w14:paraId="349D5928">
                  <w:pPr>
                    <w:spacing w:line="240" w:lineRule="auto"/>
                    <w:jc w:val="center"/>
                    <w:rPr>
                      <w:rFonts w:hint="default" w:ascii="Times New Roman" w:hAnsi="Times New Roman" w:cs="Times New Roman"/>
                      <w:color w:val="auto"/>
                      <w:szCs w:val="21"/>
                      <w:highlight w:val="none"/>
                      <w:u w:val="none"/>
                      <w:lang w:val="en-US" w:eastAsia="zh-CN"/>
                    </w:rPr>
                  </w:pPr>
                  <w:r>
                    <w:rPr>
                      <w:rFonts w:hint="eastAsia" w:cs="Times New Roman"/>
                      <w:color w:val="auto"/>
                      <w:szCs w:val="21"/>
                      <w:highlight w:val="none"/>
                      <w:u w:val="none"/>
                      <w:lang w:val="en-US" w:eastAsia="zh-CN"/>
                    </w:rPr>
                    <w:t>0.0023</w:t>
                  </w:r>
                </w:p>
              </w:tc>
              <w:tc>
                <w:tcPr>
                  <w:tcW w:w="636" w:type="dxa"/>
                  <w:tcBorders>
                    <w:tl2br w:val="nil"/>
                    <w:tr2bl w:val="nil"/>
                  </w:tcBorders>
                  <w:vAlign w:val="center"/>
                </w:tcPr>
                <w:p w14:paraId="22356A2A">
                  <w:pPr>
                    <w:spacing w:line="240" w:lineRule="auto"/>
                    <w:jc w:val="center"/>
                    <w:rPr>
                      <w:rFonts w:hint="default" w:ascii="Times New Roman" w:hAnsi="Times New Roman" w:cs="Times New Roman"/>
                      <w:color w:val="auto"/>
                      <w:szCs w:val="21"/>
                      <w:highlight w:val="none"/>
                      <w:u w:val="none"/>
                      <w:lang w:val="en-US" w:eastAsia="zh-CN"/>
                    </w:rPr>
                  </w:pPr>
                  <w:r>
                    <w:rPr>
                      <w:rFonts w:hint="eastAsia" w:cs="Times New Roman"/>
                      <w:color w:val="auto"/>
                      <w:szCs w:val="21"/>
                      <w:highlight w:val="none"/>
                      <w:u w:val="none"/>
                      <w:lang w:val="en-US" w:eastAsia="zh-CN"/>
                    </w:rPr>
                    <w:t>11.0</w:t>
                  </w:r>
                </w:p>
              </w:tc>
              <w:tc>
                <w:tcPr>
                  <w:tcW w:w="723" w:type="dxa"/>
                  <w:tcBorders>
                    <w:tl2br w:val="nil"/>
                    <w:tr2bl w:val="nil"/>
                  </w:tcBorders>
                  <w:vAlign w:val="center"/>
                </w:tcPr>
                <w:p w14:paraId="39D06BA6">
                  <w:pPr>
                    <w:spacing w:line="240" w:lineRule="auto"/>
                    <w:jc w:val="center"/>
                    <w:rPr>
                      <w:rFonts w:hint="default" w:ascii="Times New Roman" w:hAnsi="Times New Roman" w:cs="Times New Roman"/>
                      <w:color w:val="auto"/>
                      <w:szCs w:val="21"/>
                      <w:highlight w:val="none"/>
                      <w:u w:val="none"/>
                      <w:lang w:val="en-US" w:eastAsia="zh-CN"/>
                    </w:rPr>
                  </w:pPr>
                  <w:r>
                    <w:rPr>
                      <w:rFonts w:hint="eastAsia" w:cs="Times New Roman"/>
                      <w:color w:val="auto"/>
                      <w:szCs w:val="21"/>
                      <w:highlight w:val="none"/>
                      <w:u w:val="none"/>
                      <w:lang w:val="en-US" w:eastAsia="zh-CN"/>
                    </w:rPr>
                    <w:t>1.22</w:t>
                  </w:r>
                </w:p>
              </w:tc>
              <w:tc>
                <w:tcPr>
                  <w:tcW w:w="723" w:type="dxa"/>
                  <w:tcBorders>
                    <w:tl2br w:val="nil"/>
                    <w:tr2bl w:val="nil"/>
                  </w:tcBorders>
                  <w:vAlign w:val="center"/>
                </w:tcPr>
                <w:p w14:paraId="7E77B0AA">
                  <w:pPr>
                    <w:spacing w:line="240" w:lineRule="auto"/>
                    <w:jc w:val="center"/>
                    <w:rPr>
                      <w:rFonts w:hint="default" w:ascii="Times New Roman" w:hAnsi="Times New Roman" w:cs="Times New Roman"/>
                      <w:color w:val="auto"/>
                      <w:szCs w:val="21"/>
                      <w:highlight w:val="none"/>
                      <w:u w:val="none"/>
                      <w:lang w:val="en-US" w:eastAsia="zh-CN"/>
                    </w:rPr>
                  </w:pPr>
                  <w:r>
                    <w:rPr>
                      <w:rFonts w:hint="eastAsia" w:cs="Times New Roman"/>
                      <w:color w:val="auto"/>
                      <w:szCs w:val="21"/>
                      <w:highlight w:val="none"/>
                      <w:u w:val="none"/>
                      <w:lang w:val="en-US" w:eastAsia="zh-CN"/>
                    </w:rPr>
                    <w:t>0ppm</w:t>
                  </w:r>
                </w:p>
              </w:tc>
              <w:tc>
                <w:tcPr>
                  <w:tcW w:w="824" w:type="dxa"/>
                  <w:tcBorders>
                    <w:tl2br w:val="nil"/>
                    <w:tr2bl w:val="nil"/>
                  </w:tcBorders>
                  <w:vAlign w:val="center"/>
                </w:tcPr>
                <w:p w14:paraId="7DDF04EC">
                  <w:pPr>
                    <w:spacing w:line="240" w:lineRule="auto"/>
                    <w:jc w:val="center"/>
                    <w:rPr>
                      <w:rFonts w:hint="default" w:ascii="Times New Roman" w:hAnsi="Times New Roman" w:cs="Times New Roman"/>
                      <w:color w:val="auto"/>
                      <w:szCs w:val="21"/>
                      <w:highlight w:val="none"/>
                      <w:u w:val="none"/>
                      <w:lang w:val="en-US" w:eastAsia="zh-CN"/>
                    </w:rPr>
                  </w:pPr>
                  <w:r>
                    <w:rPr>
                      <w:rFonts w:hint="eastAsia" w:cs="Times New Roman"/>
                      <w:color w:val="auto"/>
                      <w:szCs w:val="21"/>
                      <w:highlight w:val="none"/>
                      <w:u w:val="none"/>
                      <w:lang w:val="en-US" w:eastAsia="zh-CN"/>
                    </w:rPr>
                    <w:t>2106ppm</w:t>
                  </w:r>
                </w:p>
              </w:tc>
              <w:tc>
                <w:tcPr>
                  <w:tcW w:w="738" w:type="dxa"/>
                  <w:tcBorders>
                    <w:tl2br w:val="nil"/>
                    <w:tr2bl w:val="nil"/>
                  </w:tcBorders>
                  <w:vAlign w:val="center"/>
                </w:tcPr>
                <w:p w14:paraId="2CC65925">
                  <w:pPr>
                    <w:spacing w:line="240" w:lineRule="auto"/>
                    <w:jc w:val="center"/>
                    <w:rPr>
                      <w:rFonts w:hint="default" w:ascii="Times New Roman" w:hAnsi="Times New Roman" w:cs="Times New Roman"/>
                      <w:color w:val="auto"/>
                      <w:szCs w:val="21"/>
                      <w:highlight w:val="none"/>
                      <w:u w:val="none"/>
                      <w:lang w:val="en-US" w:eastAsia="zh-CN"/>
                    </w:rPr>
                  </w:pPr>
                  <w:r>
                    <w:rPr>
                      <w:rFonts w:hint="eastAsia" w:cs="Times New Roman"/>
                      <w:color w:val="auto"/>
                      <w:szCs w:val="21"/>
                      <w:highlight w:val="none"/>
                      <w:u w:val="none"/>
                      <w:lang w:val="en-US" w:eastAsia="zh-CN"/>
                    </w:rPr>
                    <w:t>243ppm</w:t>
                  </w:r>
                </w:p>
              </w:tc>
              <w:tc>
                <w:tcPr>
                  <w:tcW w:w="686" w:type="dxa"/>
                  <w:tcBorders>
                    <w:tl2br w:val="nil"/>
                    <w:tr2bl w:val="nil"/>
                  </w:tcBorders>
                  <w:vAlign w:val="center"/>
                </w:tcPr>
                <w:p w14:paraId="093CD9DD">
                  <w:pPr>
                    <w:spacing w:line="240" w:lineRule="auto"/>
                    <w:jc w:val="center"/>
                    <w:rPr>
                      <w:rFonts w:hint="default" w:ascii="Times New Roman" w:hAnsi="Times New Roman" w:cs="Times New Roman"/>
                      <w:color w:val="auto"/>
                      <w:szCs w:val="21"/>
                      <w:highlight w:val="none"/>
                      <w:u w:val="none"/>
                      <w:lang w:val="en-US" w:eastAsia="zh-CN"/>
                    </w:rPr>
                  </w:pPr>
                  <w:r>
                    <w:rPr>
                      <w:rFonts w:hint="eastAsia" w:cs="Times New Roman"/>
                      <w:color w:val="auto"/>
                      <w:szCs w:val="21"/>
                      <w:highlight w:val="none"/>
                      <w:u w:val="none"/>
                      <w:lang w:val="en-US" w:eastAsia="zh-CN"/>
                    </w:rPr>
                    <w:t>0ppm</w:t>
                  </w:r>
                </w:p>
              </w:tc>
              <w:tc>
                <w:tcPr>
                  <w:tcW w:w="585" w:type="dxa"/>
                  <w:tcBorders>
                    <w:tl2br w:val="nil"/>
                    <w:tr2bl w:val="nil"/>
                  </w:tcBorders>
                  <w:vAlign w:val="center"/>
                </w:tcPr>
                <w:p w14:paraId="49A2E990">
                  <w:pPr>
                    <w:spacing w:line="240" w:lineRule="auto"/>
                    <w:jc w:val="center"/>
                    <w:rPr>
                      <w:rFonts w:hint="default" w:cs="Times New Roman"/>
                      <w:color w:val="auto"/>
                      <w:szCs w:val="21"/>
                      <w:highlight w:val="none"/>
                      <w:u w:val="none"/>
                      <w:lang w:val="en-US" w:eastAsia="zh-CN"/>
                    </w:rPr>
                  </w:pPr>
                  <w:r>
                    <w:rPr>
                      <w:rFonts w:hint="eastAsia" w:cs="Times New Roman"/>
                      <w:color w:val="auto"/>
                      <w:szCs w:val="21"/>
                      <w:highlight w:val="none"/>
                      <w:u w:val="none"/>
                      <w:lang w:val="en-US" w:eastAsia="zh-CN"/>
                    </w:rPr>
                    <w:t>0</w:t>
                  </w:r>
                </w:p>
              </w:tc>
              <w:tc>
                <w:tcPr>
                  <w:tcW w:w="544" w:type="dxa"/>
                  <w:tcBorders>
                    <w:tl2br w:val="nil"/>
                    <w:tr2bl w:val="nil"/>
                  </w:tcBorders>
                  <w:vAlign w:val="center"/>
                </w:tcPr>
                <w:p w14:paraId="0BC53D34">
                  <w:pPr>
                    <w:spacing w:line="240" w:lineRule="auto"/>
                    <w:jc w:val="center"/>
                    <w:rPr>
                      <w:rFonts w:hint="default" w:cs="Times New Roman"/>
                      <w:color w:val="auto"/>
                      <w:szCs w:val="21"/>
                      <w:highlight w:val="none"/>
                      <w:u w:val="none"/>
                      <w:lang w:val="en-US" w:eastAsia="zh-CN"/>
                    </w:rPr>
                  </w:pPr>
                  <w:r>
                    <w:rPr>
                      <w:rFonts w:hint="eastAsia" w:cs="Times New Roman"/>
                      <w:color w:val="auto"/>
                      <w:szCs w:val="21"/>
                      <w:highlight w:val="none"/>
                      <w:u w:val="none"/>
                      <w:lang w:val="en-US" w:eastAsia="zh-CN"/>
                    </w:rPr>
                    <w:t>2.74</w:t>
                  </w:r>
                </w:p>
              </w:tc>
            </w:tr>
          </w:tbl>
          <w:p w14:paraId="03F7985B">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cs="Times New Roman"/>
                <w:b w:val="0"/>
                <w:bCs/>
                <w:color w:val="auto"/>
                <w:sz w:val="24"/>
                <w:u w:val="none"/>
                <w:lang w:val="en-US" w:eastAsia="zh-CN"/>
              </w:rPr>
            </w:pPr>
            <w:r>
              <w:rPr>
                <w:rFonts w:hint="eastAsia" w:cs="Times New Roman"/>
                <w:b w:val="0"/>
                <w:bCs/>
                <w:color w:val="auto"/>
                <w:sz w:val="24"/>
                <w:u w:val="none"/>
                <w:lang w:val="en-US" w:eastAsia="zh-CN"/>
              </w:rPr>
              <w:t>本项目参考其成分分析进行评价。</w:t>
            </w:r>
          </w:p>
          <w:p w14:paraId="639D3BDA">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eastAsia" w:cs="Times New Roman"/>
                <w:b/>
                <w:color w:val="auto"/>
                <w:sz w:val="24"/>
                <w:highlight w:val="none"/>
                <w:u w:val="none"/>
                <w:lang w:val="en-US" w:eastAsia="zh-CN"/>
              </w:rPr>
            </w:pPr>
            <w:r>
              <w:rPr>
                <w:rFonts w:hint="eastAsia" w:cs="Times New Roman"/>
                <w:b/>
                <w:color w:val="auto"/>
                <w:sz w:val="24"/>
                <w:u w:val="none"/>
                <w:lang w:val="en-US" w:eastAsia="zh-CN"/>
              </w:rPr>
              <w:t>2.6</w:t>
            </w:r>
            <w:r>
              <w:rPr>
                <w:rFonts w:hint="eastAsia" w:cs="Times New Roman"/>
                <w:b/>
                <w:color w:val="auto"/>
                <w:sz w:val="24"/>
                <w:highlight w:val="none"/>
                <w:u w:val="none"/>
                <w:lang w:val="en-US" w:eastAsia="zh-CN"/>
              </w:rPr>
              <w:t>关于</w:t>
            </w:r>
            <w:r>
              <w:rPr>
                <w:rFonts w:hint="default" w:cs="Times New Roman"/>
                <w:b/>
                <w:color w:val="auto"/>
                <w:sz w:val="24"/>
                <w:highlight w:val="none"/>
                <w:u w:val="none"/>
                <w:lang w:val="en-US" w:eastAsia="zh-CN"/>
              </w:rPr>
              <w:t>河南超蓝能源科技有限公司</w:t>
            </w:r>
            <w:r>
              <w:rPr>
                <w:rFonts w:hint="eastAsia" w:cs="Times New Roman"/>
                <w:b/>
                <w:color w:val="auto"/>
                <w:sz w:val="24"/>
                <w:highlight w:val="none"/>
                <w:u w:val="none"/>
                <w:lang w:val="en-US" w:eastAsia="zh-CN"/>
              </w:rPr>
              <w:t>与</w:t>
            </w:r>
            <w:r>
              <w:rPr>
                <w:rFonts w:hint="default" w:cs="Times New Roman"/>
                <w:b/>
                <w:color w:val="auto"/>
                <w:sz w:val="24"/>
                <w:highlight w:val="none"/>
                <w:u w:val="none"/>
                <w:lang w:val="en-US" w:eastAsia="zh-CN"/>
              </w:rPr>
              <w:t>平煤煌龙新能源有限公司</w:t>
            </w:r>
            <w:r>
              <w:rPr>
                <w:rFonts w:hint="eastAsia" w:cs="Times New Roman"/>
                <w:b/>
                <w:color w:val="auto"/>
                <w:sz w:val="24"/>
                <w:highlight w:val="none"/>
                <w:u w:val="none"/>
                <w:lang w:val="en-US" w:eastAsia="zh-CN"/>
              </w:rPr>
              <w:t>背景关系介绍</w:t>
            </w:r>
          </w:p>
          <w:p w14:paraId="513AFABD">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olor w:val="auto"/>
                <w:sz w:val="24"/>
                <w:szCs w:val="24"/>
                <w:u w:val="none"/>
                <w:lang w:val="en-US" w:eastAsia="zh-CN"/>
              </w:rPr>
            </w:pPr>
            <w:r>
              <w:rPr>
                <w:rFonts w:hint="eastAsia" w:ascii="Times New Roman" w:hAnsi="Times New Roman" w:cs="Times New Roman"/>
                <w:color w:val="auto"/>
                <w:sz w:val="24"/>
                <w:szCs w:val="24"/>
                <w:u w:val="none"/>
                <w:lang w:val="en-US" w:eastAsia="zh-CN"/>
              </w:rPr>
              <w:t>项目原本备案以及编制过程中公司名称是</w:t>
            </w:r>
            <w:r>
              <w:rPr>
                <w:rFonts w:hint="eastAsia" w:ascii="Times New Roman" w:hAnsi="Times New Roman" w:eastAsia="宋体" w:cs="Times New Roman"/>
                <w:color w:val="auto"/>
                <w:sz w:val="24"/>
                <w:szCs w:val="24"/>
                <w:u w:val="none"/>
                <w:lang w:val="en-US" w:eastAsia="zh-CN"/>
              </w:rPr>
              <w:t>平煤煌龙</w:t>
            </w:r>
            <w:r>
              <w:rPr>
                <w:rFonts w:hint="eastAsia" w:ascii="Times New Roman" w:hAnsi="Times New Roman" w:cs="Times New Roman"/>
                <w:color w:val="auto"/>
                <w:sz w:val="24"/>
                <w:szCs w:val="24"/>
                <w:u w:val="none"/>
                <w:lang w:val="en-US" w:eastAsia="zh-CN"/>
              </w:rPr>
              <w:t>新能源有限公司，后续</w:t>
            </w:r>
            <w:r>
              <w:rPr>
                <w:rFonts w:hint="eastAsia" w:ascii="Times New Roman" w:hAnsi="Times New Roman" w:eastAsia="宋体" w:cs="Times New Roman"/>
                <w:color w:val="auto"/>
                <w:sz w:val="24"/>
                <w:szCs w:val="24"/>
                <w:u w:val="none"/>
                <w:lang w:val="en-US" w:eastAsia="zh-CN"/>
              </w:rPr>
              <w:t>平煤煌龙</w:t>
            </w:r>
            <w:r>
              <w:rPr>
                <w:rFonts w:hint="eastAsia" w:ascii="Times New Roman" w:hAnsi="Times New Roman" w:cs="Times New Roman"/>
                <w:color w:val="auto"/>
                <w:sz w:val="24"/>
                <w:szCs w:val="24"/>
                <w:u w:val="none"/>
                <w:lang w:val="en-US" w:eastAsia="zh-CN"/>
              </w:rPr>
              <w:t>新能源有限公司</w:t>
            </w:r>
            <w:r>
              <w:rPr>
                <w:rFonts w:hint="eastAsia" w:ascii="Times New Roman" w:hAnsi="Times New Roman" w:eastAsia="宋体" w:cs="Times New Roman"/>
                <w:color w:val="auto"/>
                <w:sz w:val="24"/>
                <w:szCs w:val="24"/>
                <w:u w:val="none"/>
                <w:lang w:val="en-US" w:eastAsia="zh-CN"/>
              </w:rPr>
              <w:t>为优化企业结构，提高协作效率</w:t>
            </w:r>
            <w:r>
              <w:rPr>
                <w:rFonts w:hint="eastAsia" w:ascii="Times New Roman" w:hAnsi="Times New Roman" w:cs="Times New Roman"/>
                <w:color w:val="auto"/>
                <w:sz w:val="24"/>
                <w:szCs w:val="24"/>
                <w:u w:val="none"/>
                <w:lang w:val="en-US" w:eastAsia="zh-CN"/>
              </w:rPr>
              <w:t>，</w:t>
            </w:r>
            <w:r>
              <w:rPr>
                <w:rFonts w:hint="eastAsia" w:ascii="Times New Roman" w:hAnsi="Times New Roman" w:eastAsia="宋体" w:cs="Times New Roman"/>
                <w:color w:val="auto"/>
                <w:sz w:val="24"/>
                <w:szCs w:val="24"/>
                <w:u w:val="none"/>
                <w:lang w:val="en-US" w:eastAsia="zh-CN"/>
              </w:rPr>
              <w:t>平煤煌龙</w:t>
            </w:r>
            <w:r>
              <w:rPr>
                <w:rFonts w:hint="eastAsia" w:ascii="Times New Roman" w:hAnsi="Times New Roman" w:cs="Times New Roman"/>
                <w:color w:val="auto"/>
                <w:sz w:val="24"/>
                <w:szCs w:val="24"/>
                <w:u w:val="none"/>
                <w:lang w:val="en-US" w:eastAsia="zh-CN"/>
              </w:rPr>
              <w:t>由河南超蓝能源科技有限公司吸收合并，环评报告编制方面公司名称现改为河南超蓝能源科技有限公司，但项目备案上公司名称由于备案时间和公司吸收合并时间方面原因没有进行修改，河南超蓝能源科技有限公司后续的</w:t>
            </w:r>
            <w:r>
              <w:rPr>
                <w:rFonts w:hint="eastAsia" w:ascii="Times New Roman" w:hAnsi="Times New Roman" w:eastAsia="宋体" w:cs="Times New Roman"/>
                <w:color w:val="auto"/>
                <w:sz w:val="24"/>
                <w:szCs w:val="24"/>
                <w:u w:val="none"/>
                <w:lang w:val="en-US" w:eastAsia="zh-CN"/>
              </w:rPr>
              <w:t>资产、负债、所有者权益</w:t>
            </w:r>
            <w:r>
              <w:rPr>
                <w:rFonts w:hint="eastAsia" w:ascii="Times New Roman" w:hAnsi="Times New Roman" w:cs="Times New Roman"/>
                <w:color w:val="auto"/>
                <w:sz w:val="24"/>
                <w:szCs w:val="24"/>
                <w:u w:val="none"/>
                <w:lang w:val="en-US" w:eastAsia="zh-CN"/>
              </w:rPr>
              <w:t>等等问题在公司内部</w:t>
            </w:r>
            <w:r>
              <w:rPr>
                <w:rFonts w:hint="eastAsia" w:cs="Times New Roman"/>
                <w:b w:val="0"/>
                <w:bCs/>
                <w:kern w:val="2"/>
                <w:sz w:val="24"/>
                <w:szCs w:val="24"/>
                <w:u w:val="none"/>
                <w:lang w:val="en-US" w:eastAsia="zh-CN" w:bidi="ar-SA"/>
              </w:rPr>
              <w:t>关于超蓝公司合并平煤煌龙事宜会议纪要上已经分析完成，</w:t>
            </w:r>
            <w:r>
              <w:rPr>
                <w:rFonts w:hint="eastAsia" w:ascii="Times New Roman" w:hAnsi="Times New Roman" w:eastAsia="宋体" w:cs="Times New Roman"/>
                <w:color w:val="auto"/>
                <w:sz w:val="24"/>
                <w:szCs w:val="24"/>
                <w:u w:val="none"/>
                <w:lang w:val="en-US" w:eastAsia="zh-CN"/>
              </w:rPr>
              <w:t>会议认为，该方案可进一步优化资源配置，提高瓦斯综合利用上下游协作效率，实现规模效益。会议决定，同意超蓝公司按照上述方案吸收合并平煤煌龙。</w:t>
            </w:r>
            <w:r>
              <w:rPr>
                <w:rFonts w:hint="eastAsia" w:cs="Times New Roman"/>
                <w:color w:val="auto"/>
                <w:sz w:val="24"/>
                <w:szCs w:val="24"/>
                <w:highlight w:val="none"/>
                <w:u w:val="none"/>
                <w:lang w:val="en-US" w:eastAsia="zh-CN"/>
              </w:rPr>
              <w:t>（见附件8）</w:t>
            </w:r>
            <w:r>
              <w:rPr>
                <w:rFonts w:hint="eastAsia" w:cs="Times New Roman"/>
                <w:color w:val="auto"/>
                <w:sz w:val="24"/>
                <w:szCs w:val="24"/>
                <w:u w:val="none"/>
                <w:lang w:val="en-US" w:eastAsia="zh-CN"/>
              </w:rPr>
              <w:t>。</w:t>
            </w:r>
          </w:p>
          <w:p w14:paraId="2BAA5742">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ascii="Times New Roman" w:hAnsi="Times New Roman" w:cs="Times New Roman"/>
                <w:b/>
                <w:color w:val="auto"/>
                <w:sz w:val="24"/>
                <w:u w:val="none"/>
              </w:rPr>
            </w:pPr>
            <w:r>
              <w:rPr>
                <w:rFonts w:hint="eastAsia" w:cs="Times New Roman"/>
                <w:b/>
                <w:color w:val="auto"/>
                <w:sz w:val="24"/>
                <w:u w:val="none"/>
                <w:lang w:val="en-US" w:eastAsia="zh-CN"/>
              </w:rPr>
              <w:t>3、</w:t>
            </w:r>
            <w:r>
              <w:rPr>
                <w:rFonts w:hint="eastAsia" w:ascii="Times New Roman" w:hAnsi="Times New Roman" w:cs="Times New Roman"/>
                <w:b/>
                <w:color w:val="auto"/>
                <w:sz w:val="24"/>
                <w:u w:val="none"/>
              </w:rPr>
              <w:t>厂址</w:t>
            </w:r>
            <w:r>
              <w:rPr>
                <w:rFonts w:ascii="Times New Roman" w:hAnsi="Times New Roman" w:cs="Times New Roman"/>
                <w:b/>
                <w:color w:val="auto"/>
                <w:sz w:val="24"/>
                <w:u w:val="none"/>
              </w:rPr>
              <w:t>概况</w:t>
            </w:r>
          </w:p>
          <w:p w14:paraId="7761599E">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color w:val="auto"/>
                <w:sz w:val="24"/>
                <w:u w:val="none"/>
                <w:lang w:val="zh-CN"/>
              </w:rPr>
            </w:pPr>
            <w:r>
              <w:rPr>
                <w:rFonts w:hint="eastAsia" w:cs="Times New Roman"/>
                <w:color w:val="auto"/>
                <w:sz w:val="24"/>
                <w:szCs w:val="24"/>
                <w:u w:val="none"/>
                <w:lang w:val="en-US" w:eastAsia="zh-CN"/>
              </w:rPr>
              <w:t>平煤煌龙新能源有限公司八矿二井瓦斯发电站</w:t>
            </w:r>
            <w:r>
              <w:rPr>
                <w:rFonts w:hint="eastAsia" w:ascii="Times New Roman" w:hAnsi="Times New Roman" w:eastAsia="宋体" w:cs="Times New Roman"/>
                <w:color w:val="auto"/>
                <w:sz w:val="24"/>
                <w:u w:val="none"/>
                <w:lang w:val="zh-CN" w:eastAsia="zh-CN"/>
              </w:rPr>
              <w:t>位</w:t>
            </w:r>
            <w:r>
              <w:rPr>
                <w:rFonts w:ascii="Times New Roman" w:hAnsi="Times New Roman" w:eastAsia="宋体" w:cs="Times New Roman"/>
                <w:color w:val="auto"/>
                <w:sz w:val="24"/>
                <w:u w:val="none"/>
                <w:lang w:val="zh-CN"/>
              </w:rPr>
              <w:t>于</w:t>
            </w:r>
            <w:r>
              <w:rPr>
                <w:rFonts w:hint="eastAsia" w:cs="Times New Roman"/>
                <w:color w:val="auto"/>
                <w:sz w:val="24"/>
                <w:u w:val="none"/>
                <w:lang w:val="en-US" w:eastAsia="zh-CN"/>
              </w:rPr>
              <w:t>平顶山市叶县洪庄杨乡张集村、贾庄村</w:t>
            </w:r>
            <w:r>
              <w:rPr>
                <w:rFonts w:ascii="Times New Roman" w:hAnsi="Times New Roman" w:eastAsia="宋体" w:cs="Times New Roman"/>
                <w:color w:val="auto"/>
                <w:sz w:val="24"/>
                <w:u w:val="none"/>
                <w:lang w:val="zh-CN"/>
              </w:rPr>
              <w:t>（地理位置图见附图</w:t>
            </w:r>
            <w:r>
              <w:rPr>
                <w:rFonts w:ascii="Times New Roman" w:hAnsi="Times New Roman" w:cs="Times New Roman"/>
                <w:color w:val="auto"/>
                <w:sz w:val="24"/>
                <w:u w:val="none"/>
                <w:lang w:val="zh-CN"/>
              </w:rPr>
              <w:t>一）</w:t>
            </w:r>
            <w:r>
              <w:rPr>
                <w:rFonts w:hint="eastAsia" w:ascii="Times New Roman" w:hAnsi="Times New Roman" w:cs="Times New Roman"/>
                <w:color w:val="auto"/>
                <w:kern w:val="0"/>
                <w:sz w:val="24"/>
                <w:szCs w:val="24"/>
                <w:u w:val="none"/>
                <w:lang w:val="zh-CN"/>
              </w:rPr>
              <w:t>。</w:t>
            </w:r>
            <w:r>
              <w:rPr>
                <w:rFonts w:hint="eastAsia" w:ascii="Times New Roman" w:hAnsi="Times New Roman" w:eastAsia="宋体" w:cs="Times New Roman"/>
                <w:color w:val="auto"/>
                <w:kern w:val="0"/>
                <w:sz w:val="24"/>
                <w:szCs w:val="24"/>
                <w:highlight w:val="none"/>
                <w:u w:val="none"/>
                <w:lang w:val="zh-CN" w:eastAsia="zh-CN"/>
              </w:rPr>
              <w:t>占地面积</w:t>
            </w:r>
            <w:r>
              <w:rPr>
                <w:rFonts w:hint="eastAsia" w:ascii="Times New Roman" w:hAnsi="Times New Roman" w:cs="Times New Roman"/>
                <w:color w:val="auto"/>
                <w:kern w:val="0"/>
                <w:sz w:val="24"/>
                <w:szCs w:val="24"/>
                <w:highlight w:val="none"/>
                <w:u w:val="none"/>
                <w:lang w:val="en-US" w:eastAsia="zh-CN"/>
              </w:rPr>
              <w:t>约</w:t>
            </w:r>
            <w:r>
              <w:rPr>
                <w:rFonts w:hint="eastAsia" w:cs="Times New Roman"/>
                <w:color w:val="auto"/>
                <w:sz w:val="24"/>
                <w:highlight w:val="none"/>
                <w:u w:val="none"/>
                <w:lang w:val="en-US" w:eastAsia="zh-CN"/>
              </w:rPr>
              <w:t>1500</w:t>
            </w:r>
            <w:r>
              <w:rPr>
                <w:rFonts w:hint="eastAsia" w:ascii="Times New Roman" w:hAnsi="Times New Roman" w:cs="Times New Roman"/>
                <w:color w:val="auto"/>
                <w:kern w:val="0"/>
                <w:sz w:val="24"/>
                <w:szCs w:val="24"/>
                <w:highlight w:val="none"/>
                <w:u w:val="none"/>
                <w:lang w:val="zh-CN"/>
              </w:rPr>
              <w:t>平方米</w:t>
            </w:r>
            <w:r>
              <w:rPr>
                <w:rFonts w:hint="eastAsia" w:ascii="Times New Roman" w:hAnsi="Times New Roman" w:cs="Times New Roman"/>
                <w:color w:val="auto"/>
                <w:sz w:val="24"/>
                <w:szCs w:val="24"/>
                <w:u w:val="none"/>
                <w:lang w:eastAsia="zh-CN"/>
              </w:rPr>
              <w:t>，</w:t>
            </w:r>
            <w:r>
              <w:rPr>
                <w:rFonts w:ascii="Times New Roman" w:hAnsi="Times New Roman" w:cs="Times New Roman"/>
                <w:color w:val="auto"/>
                <w:sz w:val="24"/>
                <w:u w:val="none"/>
              </w:rPr>
              <w:t>根据现场踏勘，</w:t>
            </w:r>
            <w:r>
              <w:rPr>
                <w:rFonts w:hint="eastAsia" w:ascii="Times New Roman" w:hAnsi="Times New Roman" w:cs="Times New Roman"/>
                <w:color w:val="auto"/>
                <w:sz w:val="24"/>
                <w:u w:val="none"/>
                <w:lang w:eastAsia="zh-CN"/>
              </w:rPr>
              <w:t>本项目</w:t>
            </w:r>
            <w:r>
              <w:rPr>
                <w:rFonts w:hint="eastAsia" w:cs="Times New Roman"/>
                <w:color w:val="auto"/>
                <w:sz w:val="24"/>
                <w:u w:val="none"/>
                <w:lang w:val="en-US" w:eastAsia="zh-CN"/>
              </w:rPr>
              <w:t>西</w:t>
            </w:r>
            <w:r>
              <w:rPr>
                <w:rFonts w:hint="eastAsia" w:ascii="Times New Roman" w:hAnsi="Times New Roman" w:cs="Times New Roman"/>
                <w:color w:val="auto"/>
                <w:sz w:val="24"/>
                <w:u w:val="none"/>
                <w:lang w:val="en-US" w:eastAsia="zh-CN"/>
              </w:rPr>
              <w:t>侧为瓦斯抽采泵站、</w:t>
            </w:r>
            <w:r>
              <w:rPr>
                <w:rFonts w:hint="eastAsia" w:cs="Times New Roman"/>
                <w:color w:val="auto"/>
                <w:sz w:val="24"/>
                <w:u w:val="none"/>
                <w:lang w:val="en-US" w:eastAsia="zh-CN"/>
              </w:rPr>
              <w:t>东</w:t>
            </w:r>
            <w:r>
              <w:rPr>
                <w:rFonts w:hint="eastAsia" w:ascii="Times New Roman" w:hAnsi="Times New Roman" w:cs="Times New Roman"/>
                <w:color w:val="auto"/>
                <w:sz w:val="24"/>
                <w:u w:val="none"/>
                <w:lang w:val="en-US" w:eastAsia="zh-CN"/>
              </w:rPr>
              <w:t>侧为</w:t>
            </w:r>
            <w:r>
              <w:rPr>
                <w:rFonts w:hint="eastAsia" w:cs="Times New Roman"/>
                <w:color w:val="auto"/>
                <w:sz w:val="24"/>
                <w:u w:val="none"/>
                <w:lang w:val="en-US" w:eastAsia="zh-CN"/>
              </w:rPr>
              <w:t>空地和闲置</w:t>
            </w:r>
            <w:r>
              <w:rPr>
                <w:rFonts w:hint="eastAsia" w:ascii="Times New Roman" w:hAnsi="Times New Roman" w:cs="Times New Roman"/>
                <w:color w:val="auto"/>
                <w:sz w:val="24"/>
                <w:u w:val="none"/>
                <w:lang w:val="en-US" w:eastAsia="zh-CN"/>
              </w:rPr>
              <w:t>房、</w:t>
            </w:r>
            <w:r>
              <w:rPr>
                <w:rFonts w:hint="eastAsia" w:cs="Times New Roman"/>
                <w:color w:val="auto"/>
                <w:sz w:val="24"/>
                <w:u w:val="none"/>
                <w:lang w:val="en-US" w:eastAsia="zh-CN"/>
              </w:rPr>
              <w:t>南</w:t>
            </w:r>
            <w:r>
              <w:rPr>
                <w:rFonts w:hint="eastAsia" w:ascii="Times New Roman" w:hAnsi="Times New Roman" w:cs="Times New Roman"/>
                <w:color w:val="auto"/>
                <w:sz w:val="24"/>
                <w:u w:val="none"/>
                <w:lang w:val="en-US" w:eastAsia="zh-CN"/>
              </w:rPr>
              <w:t>侧为</w:t>
            </w:r>
            <w:r>
              <w:rPr>
                <w:rFonts w:hint="eastAsia" w:cs="Times New Roman"/>
                <w:color w:val="auto"/>
                <w:sz w:val="24"/>
                <w:u w:val="none"/>
                <w:lang w:val="en-US" w:eastAsia="zh-CN"/>
              </w:rPr>
              <w:t>空地</w:t>
            </w:r>
            <w:r>
              <w:rPr>
                <w:rFonts w:hint="eastAsia" w:ascii="Times New Roman" w:hAnsi="Times New Roman" w:cs="Times New Roman"/>
                <w:color w:val="auto"/>
                <w:sz w:val="24"/>
                <w:u w:val="none"/>
                <w:lang w:val="en-US" w:eastAsia="zh-CN"/>
              </w:rPr>
              <w:t>、</w:t>
            </w:r>
            <w:r>
              <w:rPr>
                <w:rFonts w:hint="eastAsia" w:cs="Times New Roman"/>
                <w:color w:val="auto"/>
                <w:sz w:val="24"/>
                <w:u w:val="none"/>
                <w:lang w:val="en-US" w:eastAsia="zh-CN"/>
              </w:rPr>
              <w:t>北</w:t>
            </w:r>
            <w:r>
              <w:rPr>
                <w:rFonts w:hint="eastAsia" w:ascii="Times New Roman" w:hAnsi="Times New Roman" w:cs="Times New Roman"/>
                <w:color w:val="auto"/>
                <w:sz w:val="24"/>
                <w:u w:val="none"/>
                <w:lang w:val="en-US" w:eastAsia="zh-CN"/>
              </w:rPr>
              <w:t>侧</w:t>
            </w:r>
            <w:r>
              <w:rPr>
                <w:rFonts w:hint="eastAsia" w:cs="Times New Roman"/>
                <w:color w:val="auto"/>
                <w:sz w:val="24"/>
                <w:u w:val="none"/>
                <w:lang w:val="en-US" w:eastAsia="zh-CN"/>
              </w:rPr>
              <w:t>为厂内道路及</w:t>
            </w:r>
            <w:r>
              <w:rPr>
                <w:rFonts w:hint="eastAsia" w:ascii="Times New Roman" w:hAnsi="Times New Roman" w:cs="Times New Roman"/>
                <w:color w:val="auto"/>
                <w:sz w:val="24"/>
                <w:u w:val="none"/>
                <w:lang w:val="en-US" w:eastAsia="zh-CN"/>
              </w:rPr>
              <w:t>厂房</w:t>
            </w:r>
            <w:r>
              <w:rPr>
                <w:rFonts w:hint="eastAsia" w:ascii="Times New Roman" w:hAnsi="Times New Roman" w:cs="Times New Roman"/>
                <w:color w:val="auto"/>
                <w:sz w:val="24"/>
                <w:u w:val="none"/>
                <w:lang w:eastAsia="zh-CN"/>
              </w:rPr>
              <w:t>，</w:t>
            </w:r>
            <w:r>
              <w:rPr>
                <w:rFonts w:hint="eastAsia" w:ascii="Times New Roman" w:hAnsi="Times New Roman" w:cs="Times New Roman"/>
                <w:color w:val="auto"/>
                <w:sz w:val="24"/>
                <w:u w:val="none"/>
                <w:lang w:val="en-US" w:eastAsia="zh-CN"/>
              </w:rPr>
              <w:t>距离本项目</w:t>
            </w:r>
            <w:r>
              <w:rPr>
                <w:rFonts w:hint="eastAsia" w:cs="Times New Roman"/>
                <w:color w:val="auto"/>
                <w:sz w:val="24"/>
                <w:u w:val="none"/>
                <w:lang w:val="en-US" w:eastAsia="zh-CN"/>
              </w:rPr>
              <w:t>500米范围内</w:t>
            </w:r>
            <w:r>
              <w:rPr>
                <w:rFonts w:hint="eastAsia" w:ascii="Times New Roman" w:hAnsi="Times New Roman" w:cs="Times New Roman"/>
                <w:color w:val="auto"/>
                <w:sz w:val="24"/>
                <w:u w:val="none"/>
                <w:lang w:val="en-US" w:eastAsia="zh-CN"/>
              </w:rPr>
              <w:t>敏感点为项目地西</w:t>
            </w:r>
            <w:r>
              <w:rPr>
                <w:rFonts w:hint="eastAsia" w:cs="Times New Roman"/>
                <w:color w:val="auto"/>
                <w:sz w:val="24"/>
                <w:u w:val="none"/>
                <w:lang w:val="en-US" w:eastAsia="zh-CN"/>
              </w:rPr>
              <w:t>北</w:t>
            </w:r>
            <w:r>
              <w:rPr>
                <w:rFonts w:hint="eastAsia" w:ascii="Times New Roman" w:hAnsi="Times New Roman" w:cs="Times New Roman"/>
                <w:color w:val="auto"/>
                <w:sz w:val="24"/>
                <w:u w:val="none"/>
                <w:lang w:val="en-US" w:eastAsia="zh-CN"/>
              </w:rPr>
              <w:t>侧</w:t>
            </w:r>
            <w:r>
              <w:rPr>
                <w:rFonts w:hint="eastAsia" w:cs="Times New Roman"/>
                <w:color w:val="auto"/>
                <w:sz w:val="24"/>
                <w:highlight w:val="none"/>
                <w:u w:val="none"/>
                <w:lang w:val="en-US" w:eastAsia="zh-CN"/>
              </w:rPr>
              <w:t>420</w:t>
            </w:r>
            <w:r>
              <w:rPr>
                <w:rFonts w:hint="eastAsia" w:ascii="Times New Roman" w:hAnsi="Times New Roman" w:cs="Times New Roman"/>
                <w:color w:val="auto"/>
                <w:sz w:val="24"/>
                <w:highlight w:val="none"/>
                <w:u w:val="none"/>
                <w:lang w:val="en-US" w:eastAsia="zh-CN"/>
              </w:rPr>
              <w:t>m左右的</w:t>
            </w:r>
            <w:r>
              <w:rPr>
                <w:rFonts w:hint="eastAsia" w:cs="Times New Roman"/>
                <w:color w:val="auto"/>
                <w:sz w:val="24"/>
                <w:highlight w:val="none"/>
                <w:u w:val="none"/>
                <w:lang w:val="en-US" w:eastAsia="zh-CN"/>
              </w:rPr>
              <w:t>桑树贾</w:t>
            </w:r>
            <w:r>
              <w:rPr>
                <w:rFonts w:hint="eastAsia" w:ascii="Times New Roman" w:hAnsi="Times New Roman" w:cs="Times New Roman"/>
                <w:color w:val="auto"/>
                <w:sz w:val="24"/>
                <w:highlight w:val="none"/>
                <w:u w:val="none"/>
                <w:lang w:val="en-US" w:eastAsia="zh-CN"/>
              </w:rPr>
              <w:t>村</w:t>
            </w:r>
            <w:r>
              <w:rPr>
                <w:rFonts w:hint="eastAsia" w:ascii="Times New Roman" w:hAnsi="Times New Roman" w:cs="Times New Roman"/>
                <w:color w:val="auto"/>
                <w:sz w:val="24"/>
                <w:highlight w:val="none"/>
                <w:u w:val="none"/>
                <w:lang w:val="zh-CN"/>
              </w:rPr>
              <w:t>。</w:t>
            </w:r>
            <w:r>
              <w:rPr>
                <w:rFonts w:hint="eastAsia" w:cs="Times New Roman"/>
                <w:color w:val="auto"/>
                <w:sz w:val="24"/>
                <w:highlight w:val="none"/>
                <w:u w:val="none"/>
                <w:lang w:val="en-US" w:eastAsia="zh-CN"/>
              </w:rPr>
              <w:t>目前厂址概况为空地，未开工建设，</w:t>
            </w:r>
            <w:r>
              <w:rPr>
                <w:rFonts w:ascii="Times New Roman" w:hAnsi="Times New Roman" w:cs="Times New Roman"/>
                <w:color w:val="auto"/>
                <w:sz w:val="24"/>
                <w:u w:val="none"/>
                <w:lang w:val="zh-CN"/>
              </w:rPr>
              <w:t>项目周边环境详见附图二。</w:t>
            </w:r>
          </w:p>
          <w:p w14:paraId="2C32AAF8">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left="481" w:leftChars="229" w:firstLine="0" w:firstLineChars="0"/>
              <w:textAlignment w:val="auto"/>
              <w:rPr>
                <w:rFonts w:ascii="Times New Roman" w:hAnsi="Times New Roman" w:cs="Times New Roman"/>
                <w:b/>
                <w:color w:val="auto"/>
                <w:sz w:val="24"/>
                <w:u w:val="none"/>
              </w:rPr>
            </w:pPr>
            <w:r>
              <w:rPr>
                <w:rFonts w:hint="eastAsia" w:cs="Times New Roman"/>
                <w:b/>
                <w:color w:val="auto"/>
                <w:sz w:val="24"/>
                <w:u w:val="none"/>
                <w:lang w:val="en-US" w:eastAsia="zh-CN"/>
              </w:rPr>
              <w:t>4、</w:t>
            </w:r>
            <w:r>
              <w:rPr>
                <w:rFonts w:ascii="Times New Roman" w:hAnsi="Times New Roman" w:cs="Times New Roman"/>
                <w:b/>
                <w:color w:val="auto"/>
                <w:sz w:val="24"/>
                <w:u w:val="none"/>
              </w:rPr>
              <w:t>项目产品方案</w:t>
            </w:r>
          </w:p>
          <w:p w14:paraId="47B17D9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cs="Times New Roman"/>
                <w:color w:val="auto"/>
                <w:sz w:val="24"/>
                <w:u w:val="none"/>
              </w:rPr>
            </w:pPr>
            <w:r>
              <w:rPr>
                <w:rFonts w:ascii="Times New Roman" w:hAnsi="Times New Roman" w:eastAsia="宋体" w:cs="Times New Roman"/>
                <w:color w:val="auto"/>
                <w:sz w:val="24"/>
                <w:u w:val="none"/>
              </w:rPr>
              <w:t>项目具体生产规模</w:t>
            </w:r>
            <w:r>
              <w:rPr>
                <w:rFonts w:ascii="Times New Roman" w:hAnsi="Times New Roman" w:cs="Times New Roman"/>
                <w:color w:val="auto"/>
                <w:sz w:val="24"/>
                <w:u w:val="none"/>
              </w:rPr>
              <w:t>及产品方案详见下表。</w:t>
            </w:r>
          </w:p>
          <w:p w14:paraId="38841355">
            <w:pPr>
              <w:pStyle w:val="7"/>
              <w:keepNext w:val="0"/>
              <w:keepLines w:val="0"/>
              <w:pageBreakBefore w:val="0"/>
              <w:widowControl w:val="0"/>
              <w:numPr>
                <w:ilvl w:val="0"/>
                <w:numId w:val="0"/>
              </w:numPr>
              <w:kinsoku/>
              <w:wordWrap/>
              <w:overflowPunct/>
              <w:topLinePunct w:val="0"/>
              <w:autoSpaceDE/>
              <w:autoSpaceDN/>
              <w:bidi w:val="0"/>
              <w:adjustRightInd w:val="0"/>
              <w:snapToGrid/>
              <w:spacing w:line="240" w:lineRule="auto"/>
              <w:ind w:leftChars="200"/>
              <w:jc w:val="center"/>
              <w:textAlignment w:val="auto"/>
              <w:rPr>
                <w:rFonts w:hint="eastAsia" w:ascii="Times New Roman" w:hAnsi="Times New Roman" w:eastAsia="黑体" w:cs="Times New Roman"/>
                <w:b w:val="0"/>
                <w:color w:val="auto"/>
                <w:kern w:val="2"/>
                <w:sz w:val="24"/>
                <w:szCs w:val="24"/>
                <w:u w:val="none"/>
                <w:lang w:val="en-US" w:eastAsia="zh-CN" w:bidi="ar-SA"/>
              </w:rPr>
            </w:pPr>
            <w:r>
              <w:rPr>
                <w:rFonts w:hint="eastAsia" w:ascii="Times New Roman" w:hAnsi="Times New Roman" w:eastAsia="黑体" w:cs="Times New Roman"/>
                <w:b w:val="0"/>
                <w:color w:val="auto"/>
                <w:kern w:val="2"/>
                <w:sz w:val="24"/>
                <w:szCs w:val="24"/>
                <w:u w:val="none"/>
                <w:lang w:val="en-US" w:eastAsia="zh-CN" w:bidi="ar-SA"/>
              </w:rPr>
              <w:t>表</w:t>
            </w:r>
            <w:r>
              <w:rPr>
                <w:rFonts w:hint="eastAsia" w:eastAsia="黑体" w:cs="Times New Roman"/>
                <w:b w:val="0"/>
                <w:color w:val="auto"/>
                <w:kern w:val="2"/>
                <w:sz w:val="24"/>
                <w:szCs w:val="24"/>
                <w:u w:val="none"/>
                <w:lang w:val="en-US" w:eastAsia="zh-CN" w:bidi="ar-SA"/>
              </w:rPr>
              <w:t>2-2</w:t>
            </w:r>
            <w:r>
              <w:rPr>
                <w:rFonts w:hint="eastAsia" w:ascii="Times New Roman" w:hAnsi="Times New Roman" w:eastAsia="黑体" w:cs="Times New Roman"/>
                <w:b w:val="0"/>
                <w:color w:val="auto"/>
                <w:kern w:val="2"/>
                <w:sz w:val="24"/>
                <w:szCs w:val="24"/>
                <w:u w:val="none"/>
                <w:lang w:val="en-US" w:eastAsia="zh-CN" w:bidi="ar-SA"/>
              </w:rPr>
              <w:t>本项目生产规模及产品方案</w:t>
            </w:r>
          </w:p>
          <w:tbl>
            <w:tblPr>
              <w:tblStyle w:val="32"/>
              <w:tblW w:w="7598" w:type="dxa"/>
              <w:jc w:val="center"/>
              <w:tblBorders>
                <w:top w:val="single" w:color="auto" w:sz="4"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935"/>
              <w:gridCol w:w="2112"/>
              <w:gridCol w:w="1856"/>
              <w:gridCol w:w="2695"/>
            </w:tblGrid>
            <w:tr w14:paraId="70CA0514">
              <w:tblPrEx>
                <w:tblBorders>
                  <w:top w:val="single" w:color="auto" w:sz="4"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935" w:type="dxa"/>
                  <w:tcBorders>
                    <w:tl2br w:val="nil"/>
                    <w:tr2bl w:val="nil"/>
                  </w:tcBorders>
                  <w:vAlign w:val="center"/>
                </w:tcPr>
                <w:p w14:paraId="53A56AA6">
                  <w:pPr>
                    <w:spacing w:line="276" w:lineRule="auto"/>
                    <w:jc w:val="center"/>
                    <w:rPr>
                      <w:rFonts w:ascii="Times New Roman" w:hAnsi="Times New Roman" w:cs="Times New Roman"/>
                      <w:b/>
                      <w:bCs/>
                      <w:color w:val="auto"/>
                      <w:szCs w:val="21"/>
                      <w:u w:val="none"/>
                    </w:rPr>
                  </w:pPr>
                  <w:r>
                    <w:rPr>
                      <w:rFonts w:hint="eastAsia" w:ascii="Times New Roman" w:hAnsi="Times New Roman" w:cs="Times New Roman"/>
                      <w:b/>
                      <w:bCs/>
                      <w:color w:val="auto"/>
                      <w:szCs w:val="21"/>
                      <w:u w:val="none"/>
                    </w:rPr>
                    <w:t>序号</w:t>
                  </w:r>
                </w:p>
              </w:tc>
              <w:tc>
                <w:tcPr>
                  <w:tcW w:w="2112" w:type="dxa"/>
                  <w:tcBorders>
                    <w:tl2br w:val="nil"/>
                    <w:tr2bl w:val="nil"/>
                  </w:tcBorders>
                  <w:vAlign w:val="center"/>
                </w:tcPr>
                <w:p w14:paraId="7181950F">
                  <w:pPr>
                    <w:spacing w:line="276" w:lineRule="auto"/>
                    <w:jc w:val="center"/>
                    <w:rPr>
                      <w:rFonts w:ascii="Times New Roman" w:hAnsi="Times New Roman" w:cs="Times New Roman"/>
                      <w:b/>
                      <w:bCs/>
                      <w:color w:val="auto"/>
                      <w:szCs w:val="21"/>
                      <w:u w:val="none"/>
                    </w:rPr>
                  </w:pPr>
                  <w:r>
                    <w:rPr>
                      <w:rFonts w:hint="eastAsia" w:ascii="Times New Roman" w:hAnsi="Times New Roman" w:cs="Times New Roman"/>
                      <w:b/>
                      <w:bCs/>
                      <w:color w:val="auto"/>
                      <w:szCs w:val="21"/>
                      <w:u w:val="none"/>
                    </w:rPr>
                    <w:t>产品</w:t>
                  </w:r>
                </w:p>
              </w:tc>
              <w:tc>
                <w:tcPr>
                  <w:tcW w:w="1856" w:type="dxa"/>
                  <w:tcBorders>
                    <w:tl2br w:val="nil"/>
                    <w:tr2bl w:val="nil"/>
                  </w:tcBorders>
                  <w:vAlign w:val="center"/>
                </w:tcPr>
                <w:p w14:paraId="26E1302C">
                  <w:pPr>
                    <w:spacing w:line="276" w:lineRule="auto"/>
                    <w:jc w:val="center"/>
                    <w:rPr>
                      <w:rFonts w:hint="eastAsia" w:ascii="Times New Roman" w:hAnsi="Times New Roman" w:eastAsia="宋体" w:cs="Times New Roman"/>
                      <w:b/>
                      <w:bCs/>
                      <w:color w:val="auto"/>
                      <w:szCs w:val="21"/>
                      <w:u w:val="none"/>
                      <w:lang w:eastAsia="zh-CN"/>
                    </w:rPr>
                  </w:pPr>
                  <w:r>
                    <w:rPr>
                      <w:rFonts w:hint="eastAsia" w:ascii="Times New Roman" w:hAnsi="Times New Roman" w:eastAsia="宋体" w:cs="Times New Roman"/>
                      <w:b/>
                      <w:bCs/>
                      <w:color w:val="auto"/>
                      <w:szCs w:val="21"/>
                      <w:u w:val="none"/>
                      <w:lang w:val="en-US" w:eastAsia="zh-CN"/>
                    </w:rPr>
                    <w:t>规格</w:t>
                  </w:r>
                </w:p>
              </w:tc>
              <w:tc>
                <w:tcPr>
                  <w:tcW w:w="2695" w:type="dxa"/>
                  <w:tcBorders>
                    <w:tl2br w:val="nil"/>
                    <w:tr2bl w:val="nil"/>
                  </w:tcBorders>
                  <w:vAlign w:val="center"/>
                </w:tcPr>
                <w:p w14:paraId="0A3C7FF3">
                  <w:pPr>
                    <w:spacing w:line="276" w:lineRule="auto"/>
                    <w:jc w:val="center"/>
                    <w:rPr>
                      <w:rFonts w:hint="eastAsia" w:ascii="Times New Roman" w:hAnsi="Times New Roman" w:eastAsia="宋体" w:cs="Times New Roman"/>
                      <w:b/>
                      <w:bCs/>
                      <w:color w:val="auto"/>
                      <w:szCs w:val="21"/>
                      <w:u w:val="none"/>
                      <w:lang w:eastAsia="zh-CN"/>
                    </w:rPr>
                  </w:pPr>
                  <w:r>
                    <w:rPr>
                      <w:rFonts w:hint="eastAsia" w:ascii="Times New Roman" w:hAnsi="Times New Roman" w:cs="Times New Roman"/>
                      <w:b/>
                      <w:bCs/>
                      <w:color w:val="auto"/>
                      <w:szCs w:val="21"/>
                      <w:u w:val="none"/>
                      <w:lang w:val="en-US" w:eastAsia="zh-CN"/>
                    </w:rPr>
                    <w:t>产量</w:t>
                  </w:r>
                </w:p>
              </w:tc>
            </w:tr>
            <w:tr w14:paraId="122EF2B3">
              <w:tblPrEx>
                <w:tblBorders>
                  <w:top w:val="single" w:color="auto" w:sz="4"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935" w:type="dxa"/>
                  <w:tcBorders>
                    <w:tl2br w:val="nil"/>
                    <w:tr2bl w:val="nil"/>
                  </w:tcBorders>
                  <w:vAlign w:val="center"/>
                </w:tcPr>
                <w:p w14:paraId="5E3DA5EA">
                  <w:pPr>
                    <w:spacing w:line="276" w:lineRule="auto"/>
                    <w:jc w:val="center"/>
                    <w:rPr>
                      <w:rFonts w:hint="eastAsia" w:ascii="Times New Roman" w:hAnsi="Times New Roman" w:cs="Times New Roman"/>
                      <w:color w:val="auto"/>
                      <w:szCs w:val="21"/>
                      <w:u w:val="none"/>
                    </w:rPr>
                  </w:pPr>
                  <w:r>
                    <w:rPr>
                      <w:rFonts w:hint="eastAsia" w:ascii="Times New Roman" w:hAnsi="Times New Roman" w:cs="Times New Roman"/>
                      <w:color w:val="auto"/>
                      <w:szCs w:val="21"/>
                      <w:u w:val="none"/>
                    </w:rPr>
                    <w:t>1</w:t>
                  </w:r>
                </w:p>
              </w:tc>
              <w:tc>
                <w:tcPr>
                  <w:tcW w:w="6663" w:type="dxa"/>
                  <w:gridSpan w:val="3"/>
                  <w:tcBorders>
                    <w:tl2br w:val="nil"/>
                    <w:tr2bl w:val="nil"/>
                  </w:tcBorders>
                  <w:vAlign w:val="center"/>
                </w:tcPr>
                <w:p w14:paraId="56259BEE">
                  <w:pPr>
                    <w:adjustRightInd w:val="0"/>
                    <w:snapToGrid w:val="0"/>
                    <w:jc w:val="center"/>
                    <w:rPr>
                      <w:rFonts w:hint="default" w:ascii="Times New Roman" w:hAnsi="Times New Roman" w:eastAsia="宋体" w:cs="Times New Roman"/>
                      <w:color w:val="auto"/>
                      <w:szCs w:val="21"/>
                      <w:u w:val="none"/>
                      <w:lang w:val="en-US" w:eastAsia="zh-CN"/>
                    </w:rPr>
                  </w:pPr>
                  <w:r>
                    <w:rPr>
                      <w:rFonts w:hint="eastAsia" w:ascii="Times New Roman" w:hAnsi="Times New Roman" w:cs="Times New Roman"/>
                      <w:color w:val="auto"/>
                      <w:szCs w:val="21"/>
                      <w:u w:val="none"/>
                      <w:lang w:val="en-US" w:eastAsia="zh-CN"/>
                    </w:rPr>
                    <w:t>年</w:t>
                  </w:r>
                  <w:r>
                    <w:rPr>
                      <w:rFonts w:hint="eastAsia" w:ascii="Times New Roman" w:hAnsi="Times New Roman" w:eastAsia="宋体" w:cs="Times New Roman"/>
                      <w:color w:val="auto"/>
                      <w:szCs w:val="21"/>
                      <w:u w:val="none"/>
                    </w:rPr>
                    <w:t>发电量约</w:t>
                  </w:r>
                  <w:r>
                    <w:rPr>
                      <w:rFonts w:hint="eastAsia" w:cs="Times New Roman"/>
                      <w:color w:val="auto"/>
                      <w:szCs w:val="21"/>
                      <w:u w:val="none"/>
                      <w:lang w:val="en-US" w:eastAsia="zh-CN"/>
                    </w:rPr>
                    <w:t>2304</w:t>
                  </w:r>
                  <w:r>
                    <w:rPr>
                      <w:rFonts w:hint="eastAsia" w:ascii="Times New Roman" w:hAnsi="Times New Roman" w:eastAsia="宋体" w:cs="Times New Roman"/>
                      <w:color w:val="auto"/>
                      <w:szCs w:val="21"/>
                      <w:u w:val="none"/>
                      <w:lang w:val="en-US" w:eastAsia="zh-CN"/>
                    </w:rPr>
                    <w:t>万kW</w:t>
                  </w:r>
                  <w:r>
                    <w:rPr>
                      <w:rFonts w:hint="eastAsia" w:cs="Times New Roman"/>
                      <w:color w:val="auto"/>
                      <w:szCs w:val="21"/>
                      <w:u w:val="none"/>
                      <w:lang w:val="en-US" w:eastAsia="zh-CN"/>
                    </w:rPr>
                    <w:t>.</w:t>
                  </w:r>
                  <w:r>
                    <w:rPr>
                      <w:rFonts w:hint="eastAsia" w:ascii="Times New Roman" w:hAnsi="Times New Roman" w:eastAsia="宋体" w:cs="Times New Roman"/>
                      <w:color w:val="auto"/>
                      <w:szCs w:val="21"/>
                      <w:u w:val="none"/>
                      <w:lang w:val="en-US" w:eastAsia="zh-CN"/>
                    </w:rPr>
                    <w:t>h</w:t>
                  </w:r>
                </w:p>
              </w:tc>
            </w:tr>
          </w:tbl>
          <w:p w14:paraId="6C8DDC92">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default" w:cs="Times New Roman"/>
                <w:b/>
                <w:color w:val="auto"/>
                <w:sz w:val="24"/>
                <w:highlight w:val="none"/>
                <w:u w:val="none"/>
                <w:lang w:val="en-US" w:eastAsia="zh-CN"/>
              </w:rPr>
            </w:pPr>
            <w:r>
              <w:rPr>
                <w:rFonts w:hint="eastAsia" w:cs="Times New Roman"/>
                <w:b/>
                <w:color w:val="auto"/>
                <w:sz w:val="24"/>
                <w:highlight w:val="none"/>
                <w:u w:val="none"/>
                <w:lang w:val="en-US" w:eastAsia="zh-CN"/>
              </w:rPr>
              <w:t>注：计算步骤为1立方瓦斯发电量</w:t>
            </w:r>
            <w:r>
              <w:rPr>
                <w:rFonts w:hint="eastAsia" w:eastAsia="宋体" w:cs="Times New Roman"/>
                <w:b/>
                <w:color w:val="auto"/>
                <w:sz w:val="24"/>
                <w:highlight w:val="none"/>
                <w:u w:val="none"/>
                <w:lang w:val="en-US" w:eastAsia="zh-CN"/>
              </w:rPr>
              <w:t>为2kW.h</w:t>
            </w:r>
          </w:p>
          <w:p w14:paraId="6F9FE215">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ascii="Times New Roman" w:hAnsi="Times New Roman" w:cs="Times New Roman"/>
                <w:b/>
                <w:color w:val="auto"/>
                <w:sz w:val="24"/>
                <w:highlight w:val="none"/>
                <w:u w:val="none"/>
              </w:rPr>
            </w:pPr>
            <w:r>
              <w:rPr>
                <w:rFonts w:hint="eastAsia" w:cs="Times New Roman"/>
                <w:b/>
                <w:color w:val="auto"/>
                <w:sz w:val="24"/>
                <w:highlight w:val="none"/>
                <w:u w:val="none"/>
                <w:lang w:val="en-US" w:eastAsia="zh-CN"/>
              </w:rPr>
              <w:t>5、</w:t>
            </w:r>
            <w:r>
              <w:rPr>
                <w:rFonts w:ascii="Times New Roman" w:hAnsi="Times New Roman" w:cs="Times New Roman"/>
                <w:b/>
                <w:color w:val="auto"/>
                <w:sz w:val="24"/>
                <w:highlight w:val="none"/>
                <w:u w:val="none"/>
              </w:rPr>
              <w:t>建设内容</w:t>
            </w:r>
          </w:p>
          <w:p w14:paraId="28E1A9AB">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eastAsia" w:ascii="Times New Roman" w:hAnsi="Times New Roman" w:cs="Times New Roman"/>
                <w:color w:val="auto"/>
                <w:sz w:val="24"/>
                <w:u w:val="none"/>
              </w:rPr>
            </w:pPr>
            <w:r>
              <w:rPr>
                <w:rFonts w:ascii="Times New Roman" w:hAnsi="Times New Roman" w:cs="Times New Roman"/>
                <w:color w:val="auto"/>
                <w:sz w:val="24"/>
                <w:u w:val="none"/>
              </w:rPr>
              <w:t>项目</w:t>
            </w:r>
            <w:r>
              <w:rPr>
                <w:rFonts w:hint="eastAsia" w:ascii="Times New Roman" w:hAnsi="Times New Roman" w:cs="Times New Roman"/>
                <w:color w:val="auto"/>
                <w:sz w:val="24"/>
                <w:u w:val="none"/>
              </w:rPr>
              <w:t>工程</w:t>
            </w:r>
            <w:r>
              <w:rPr>
                <w:rFonts w:ascii="Times New Roman" w:hAnsi="Times New Roman" w:cs="Times New Roman"/>
                <w:color w:val="auto"/>
                <w:sz w:val="24"/>
                <w:u w:val="none"/>
              </w:rPr>
              <w:t>主要</w:t>
            </w:r>
            <w:r>
              <w:rPr>
                <w:rFonts w:hint="eastAsia" w:ascii="Times New Roman" w:hAnsi="Times New Roman" w:cs="Times New Roman"/>
                <w:color w:val="auto"/>
                <w:sz w:val="24"/>
                <w:u w:val="none"/>
              </w:rPr>
              <w:t>建设</w:t>
            </w:r>
            <w:r>
              <w:rPr>
                <w:rFonts w:ascii="Times New Roman" w:hAnsi="Times New Roman" w:cs="Times New Roman"/>
                <w:color w:val="auto"/>
                <w:sz w:val="24"/>
                <w:u w:val="none"/>
              </w:rPr>
              <w:t>情况见下表，具体平面布置图见附图</w:t>
            </w:r>
            <w:r>
              <w:rPr>
                <w:rFonts w:hint="eastAsia" w:cs="Times New Roman"/>
                <w:color w:val="auto"/>
                <w:sz w:val="24"/>
                <w:u w:val="none"/>
                <w:lang w:val="en-US" w:eastAsia="zh-CN"/>
              </w:rPr>
              <w:t>三</w:t>
            </w:r>
            <w:r>
              <w:rPr>
                <w:rFonts w:ascii="Times New Roman" w:hAnsi="Times New Roman" w:cs="Times New Roman"/>
                <w:color w:val="auto"/>
                <w:sz w:val="24"/>
                <w:u w:val="none"/>
              </w:rPr>
              <w:t>。</w:t>
            </w:r>
          </w:p>
          <w:p w14:paraId="1024B442">
            <w:pPr>
              <w:adjustRightInd w:val="0"/>
              <w:snapToGrid w:val="0"/>
              <w:spacing w:line="520" w:lineRule="exact"/>
              <w:jc w:val="center"/>
              <w:rPr>
                <w:rFonts w:hint="eastAsia" w:ascii="Times New Roman" w:hAnsi="Times New Roman" w:eastAsia="黑体" w:cs="Times New Roman"/>
                <w:color w:val="auto"/>
                <w:kern w:val="2"/>
                <w:sz w:val="24"/>
                <w:szCs w:val="24"/>
                <w:u w:val="none"/>
                <w:lang w:val="en-US" w:eastAsia="zh-CN" w:bidi="ar-SA"/>
              </w:rPr>
            </w:pPr>
            <w:r>
              <w:rPr>
                <w:rFonts w:hint="eastAsia" w:ascii="Times New Roman" w:hAnsi="Times New Roman" w:eastAsia="黑体" w:cs="Times New Roman"/>
                <w:color w:val="auto"/>
                <w:kern w:val="2"/>
                <w:sz w:val="24"/>
                <w:szCs w:val="24"/>
                <w:u w:val="none"/>
                <w:lang w:val="en-US" w:eastAsia="zh-CN" w:bidi="ar-SA"/>
              </w:rPr>
              <w:t>表</w:t>
            </w:r>
            <w:r>
              <w:rPr>
                <w:rFonts w:hint="eastAsia" w:eastAsia="黑体" w:cs="Times New Roman"/>
                <w:color w:val="auto"/>
                <w:kern w:val="2"/>
                <w:sz w:val="24"/>
                <w:szCs w:val="24"/>
                <w:u w:val="none"/>
                <w:lang w:val="en-US" w:eastAsia="zh-CN" w:bidi="ar-SA"/>
              </w:rPr>
              <w:t>2-3</w:t>
            </w:r>
            <w:r>
              <w:rPr>
                <w:rFonts w:hint="eastAsia" w:ascii="Times New Roman" w:hAnsi="Times New Roman" w:eastAsia="黑体" w:cs="Times New Roman"/>
                <w:color w:val="auto"/>
                <w:kern w:val="2"/>
                <w:sz w:val="24"/>
                <w:szCs w:val="24"/>
                <w:u w:val="none"/>
                <w:lang w:val="en-US" w:eastAsia="zh-CN" w:bidi="ar-SA"/>
              </w:rPr>
              <w:t xml:space="preserve"> 工程主要建设内容一览表</w:t>
            </w:r>
          </w:p>
          <w:tbl>
            <w:tblPr>
              <w:tblStyle w:val="32"/>
              <w:tblW w:w="83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5"/>
              <w:gridCol w:w="1113"/>
              <w:gridCol w:w="5946"/>
              <w:gridCol w:w="884"/>
            </w:tblGrid>
            <w:tr w14:paraId="4F498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568" w:type="dxa"/>
                  <w:gridSpan w:val="2"/>
                  <w:tcBorders>
                    <w:tl2br w:val="nil"/>
                    <w:tr2bl w:val="nil"/>
                  </w:tcBorders>
                  <w:vAlign w:val="center"/>
                </w:tcPr>
                <w:p w14:paraId="6D1A92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b/>
                      <w:color w:val="auto"/>
                      <w:kern w:val="0"/>
                      <w:szCs w:val="21"/>
                      <w:u w:val="none"/>
                    </w:rPr>
                  </w:pPr>
                  <w:r>
                    <w:rPr>
                      <w:rFonts w:ascii="Times New Roman" w:hAnsi="Times New Roman" w:cs="Times New Roman"/>
                      <w:b/>
                      <w:color w:val="auto"/>
                      <w:kern w:val="0"/>
                      <w:szCs w:val="21"/>
                      <w:u w:val="none"/>
                    </w:rPr>
                    <w:t>工程名称</w:t>
                  </w:r>
                </w:p>
              </w:tc>
              <w:tc>
                <w:tcPr>
                  <w:tcW w:w="5946" w:type="dxa"/>
                  <w:tcBorders>
                    <w:tl2br w:val="nil"/>
                    <w:tr2bl w:val="nil"/>
                  </w:tcBorders>
                  <w:vAlign w:val="center"/>
                </w:tcPr>
                <w:p w14:paraId="2713767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b/>
                      <w:color w:val="auto"/>
                      <w:kern w:val="0"/>
                      <w:szCs w:val="21"/>
                      <w:u w:val="none"/>
                    </w:rPr>
                  </w:pPr>
                  <w:r>
                    <w:rPr>
                      <w:rFonts w:ascii="Times New Roman" w:hAnsi="Times New Roman" w:cs="Times New Roman"/>
                      <w:b/>
                      <w:color w:val="auto"/>
                      <w:kern w:val="0"/>
                      <w:szCs w:val="21"/>
                      <w:u w:val="none"/>
                    </w:rPr>
                    <w:t>位置及规模</w:t>
                  </w:r>
                </w:p>
              </w:tc>
              <w:tc>
                <w:tcPr>
                  <w:tcW w:w="884" w:type="dxa"/>
                  <w:tcBorders>
                    <w:tl2br w:val="nil"/>
                    <w:tr2bl w:val="nil"/>
                  </w:tcBorders>
                  <w:vAlign w:val="center"/>
                </w:tcPr>
                <w:p w14:paraId="53ADAF6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color w:val="auto"/>
                      <w:kern w:val="0"/>
                      <w:szCs w:val="21"/>
                      <w:u w:val="none"/>
                      <w:lang w:val="en-US" w:eastAsia="zh-CN"/>
                    </w:rPr>
                  </w:pPr>
                  <w:r>
                    <w:rPr>
                      <w:rFonts w:hint="eastAsia" w:cs="Times New Roman"/>
                      <w:b/>
                      <w:color w:val="auto"/>
                      <w:kern w:val="0"/>
                      <w:szCs w:val="21"/>
                      <w:u w:val="none"/>
                      <w:lang w:val="en-US" w:eastAsia="zh-CN"/>
                    </w:rPr>
                    <w:t>备注</w:t>
                  </w:r>
                </w:p>
              </w:tc>
            </w:tr>
            <w:tr w14:paraId="7EB21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55" w:type="dxa"/>
                  <w:vMerge w:val="restart"/>
                  <w:tcBorders>
                    <w:tl2br w:val="nil"/>
                    <w:tr2bl w:val="nil"/>
                  </w:tcBorders>
                  <w:vAlign w:val="center"/>
                </w:tcPr>
                <w:p w14:paraId="44A985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kern w:val="0"/>
                      <w:szCs w:val="21"/>
                      <w:u w:val="none"/>
                    </w:rPr>
                  </w:pPr>
                  <w:r>
                    <w:rPr>
                      <w:rFonts w:ascii="Times New Roman" w:hAnsi="Times New Roman" w:cs="Times New Roman"/>
                      <w:color w:val="auto"/>
                      <w:kern w:val="0"/>
                      <w:szCs w:val="21"/>
                      <w:u w:val="none"/>
                    </w:rPr>
                    <w:t>主体</w:t>
                  </w:r>
                </w:p>
                <w:p w14:paraId="6CBD37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bCs/>
                      <w:color w:val="auto"/>
                      <w:szCs w:val="21"/>
                      <w:u w:val="none"/>
                    </w:rPr>
                  </w:pPr>
                  <w:r>
                    <w:rPr>
                      <w:rFonts w:ascii="Times New Roman" w:hAnsi="Times New Roman" w:cs="Times New Roman"/>
                      <w:color w:val="auto"/>
                      <w:kern w:val="0"/>
                      <w:szCs w:val="21"/>
                      <w:u w:val="none"/>
                    </w:rPr>
                    <w:t>工程</w:t>
                  </w:r>
                </w:p>
              </w:tc>
              <w:tc>
                <w:tcPr>
                  <w:tcW w:w="1113" w:type="dxa"/>
                  <w:tcBorders>
                    <w:tl2br w:val="nil"/>
                    <w:tr2bl w:val="nil"/>
                  </w:tcBorders>
                  <w:vAlign w:val="center"/>
                </w:tcPr>
                <w:p w14:paraId="7C35D22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瓦斯发电系统</w:t>
                  </w:r>
                </w:p>
              </w:tc>
              <w:tc>
                <w:tcPr>
                  <w:tcW w:w="5946" w:type="dxa"/>
                  <w:tcBorders>
                    <w:tl2br w:val="nil"/>
                    <w:tr2bl w:val="nil"/>
                  </w:tcBorders>
                  <w:vAlign w:val="center"/>
                </w:tcPr>
                <w:p w14:paraId="7D7683B1">
                  <w:pPr>
                    <w:pStyle w:val="3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color w:val="auto"/>
                      <w:u w:val="none"/>
                      <w:lang w:val="en-US" w:eastAsia="zh-CN"/>
                    </w:rPr>
                  </w:pPr>
                  <w:r>
                    <w:rPr>
                      <w:rFonts w:hint="eastAsia" w:ascii="Times New Roman" w:hAnsi="Times New Roman" w:eastAsia="宋体" w:cs="Times New Roman"/>
                      <w:color w:val="auto"/>
                      <w:kern w:val="0"/>
                      <w:sz w:val="21"/>
                      <w:szCs w:val="21"/>
                      <w:u w:val="none"/>
                      <w:lang w:val="en-US" w:eastAsia="zh-CN" w:bidi="ar-SA"/>
                    </w:rPr>
                    <w:t>1000kw瓦斯发电机组</w:t>
                  </w:r>
                  <w:r>
                    <w:rPr>
                      <w:rFonts w:hint="default" w:ascii="Times New Roman" w:hAnsi="Times New Roman" w:eastAsia="宋体" w:cs="Times New Roman"/>
                      <w:color w:val="auto"/>
                      <w:kern w:val="0"/>
                      <w:sz w:val="21"/>
                      <w:szCs w:val="21"/>
                      <w:u w:val="none"/>
                      <w:lang w:val="en-US" w:eastAsia="zh-CN" w:bidi="ar-SA"/>
                    </w:rPr>
                    <w:t>设</w:t>
                  </w:r>
                  <w:r>
                    <w:rPr>
                      <w:rFonts w:hint="eastAsia" w:ascii="Times New Roman" w:hAnsi="Times New Roman" w:eastAsia="宋体" w:cs="Times New Roman"/>
                      <w:color w:val="auto"/>
                      <w:kern w:val="0"/>
                      <w:sz w:val="21"/>
                      <w:szCs w:val="21"/>
                      <w:u w:val="none"/>
                      <w:lang w:val="en-US" w:eastAsia="zh-CN" w:bidi="ar-SA"/>
                    </w:rPr>
                    <w:t>备</w:t>
                  </w:r>
                  <w:r>
                    <w:rPr>
                      <w:rFonts w:hint="eastAsia" w:cs="Times New Roman"/>
                      <w:color w:val="auto"/>
                      <w:kern w:val="0"/>
                      <w:sz w:val="21"/>
                      <w:szCs w:val="21"/>
                      <w:u w:val="none"/>
                      <w:lang w:val="en-US" w:eastAsia="zh-CN" w:bidi="ar-SA"/>
                    </w:rPr>
                    <w:t>4</w:t>
                  </w:r>
                  <w:r>
                    <w:rPr>
                      <w:rFonts w:hint="eastAsia" w:ascii="Times New Roman" w:hAnsi="Times New Roman" w:eastAsia="宋体" w:cs="Times New Roman"/>
                      <w:color w:val="auto"/>
                      <w:kern w:val="0"/>
                      <w:sz w:val="21"/>
                      <w:szCs w:val="21"/>
                      <w:u w:val="none"/>
                      <w:lang w:val="en-US" w:eastAsia="zh-CN" w:bidi="ar-SA"/>
                    </w:rPr>
                    <w:t>台</w:t>
                  </w:r>
                </w:p>
              </w:tc>
              <w:tc>
                <w:tcPr>
                  <w:tcW w:w="884" w:type="dxa"/>
                  <w:vMerge w:val="restart"/>
                  <w:tcBorders>
                    <w:tl2br w:val="nil"/>
                    <w:tr2bl w:val="nil"/>
                  </w:tcBorders>
                  <w:vAlign w:val="center"/>
                </w:tcPr>
                <w:p w14:paraId="23D7BD47">
                  <w:pPr>
                    <w:pStyle w:val="3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u w:val="none"/>
                      <w:lang w:val="en-US" w:eastAsia="zh-CN" w:bidi="ar-SA"/>
                    </w:rPr>
                  </w:pPr>
                  <w:r>
                    <w:rPr>
                      <w:rFonts w:hint="eastAsia" w:cs="Times New Roman"/>
                      <w:color w:val="auto"/>
                      <w:kern w:val="0"/>
                      <w:sz w:val="21"/>
                      <w:szCs w:val="21"/>
                      <w:u w:val="none"/>
                      <w:lang w:val="en-US" w:eastAsia="zh-CN" w:bidi="ar-SA"/>
                    </w:rPr>
                    <w:t>新建</w:t>
                  </w:r>
                </w:p>
              </w:tc>
            </w:tr>
            <w:tr w14:paraId="6A101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atLeast"/>
                <w:jc w:val="center"/>
              </w:trPr>
              <w:tc>
                <w:tcPr>
                  <w:tcW w:w="455" w:type="dxa"/>
                  <w:vMerge w:val="continue"/>
                  <w:tcBorders>
                    <w:tl2br w:val="nil"/>
                    <w:tr2bl w:val="nil"/>
                  </w:tcBorders>
                  <w:vAlign w:val="center"/>
                </w:tcPr>
                <w:p w14:paraId="647EE9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kern w:val="0"/>
                      <w:szCs w:val="21"/>
                      <w:u w:val="none"/>
                    </w:rPr>
                  </w:pPr>
                </w:p>
              </w:tc>
              <w:tc>
                <w:tcPr>
                  <w:tcW w:w="1113" w:type="dxa"/>
                  <w:tcBorders>
                    <w:tl2br w:val="nil"/>
                    <w:tr2bl w:val="nil"/>
                  </w:tcBorders>
                  <w:vAlign w:val="center"/>
                </w:tcPr>
                <w:p w14:paraId="2A22559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瓦斯输送系统</w:t>
                  </w:r>
                </w:p>
              </w:tc>
              <w:tc>
                <w:tcPr>
                  <w:tcW w:w="5946" w:type="dxa"/>
                  <w:tcBorders>
                    <w:tl2br w:val="nil"/>
                    <w:tr2bl w:val="nil"/>
                  </w:tcBorders>
                  <w:vAlign w:val="center"/>
                </w:tcPr>
                <w:p w14:paraId="2A054F6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管径为DN500，进气管设干式阻火器，水封阻火器，篮式过滤器、湿式放散阀，采用干粉抑爆输送系统，确保瓦斯安全输送至发电机组</w:t>
                  </w:r>
                </w:p>
              </w:tc>
              <w:tc>
                <w:tcPr>
                  <w:tcW w:w="884" w:type="dxa"/>
                  <w:vMerge w:val="continue"/>
                  <w:tcBorders>
                    <w:tl2br w:val="nil"/>
                    <w:tr2bl w:val="nil"/>
                  </w:tcBorders>
                  <w:vAlign w:val="center"/>
                </w:tcPr>
                <w:p w14:paraId="7323C22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Cs w:val="21"/>
                      <w:u w:val="none"/>
                      <w:lang w:val="en-US" w:eastAsia="zh-CN"/>
                    </w:rPr>
                  </w:pPr>
                </w:p>
              </w:tc>
            </w:tr>
            <w:tr w14:paraId="595CE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455" w:type="dxa"/>
                  <w:vMerge w:val="continue"/>
                  <w:tcBorders>
                    <w:tl2br w:val="nil"/>
                    <w:tr2bl w:val="nil"/>
                  </w:tcBorders>
                  <w:vAlign w:val="center"/>
                </w:tcPr>
                <w:p w14:paraId="5270AC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kern w:val="0"/>
                      <w:szCs w:val="21"/>
                      <w:u w:val="none"/>
                    </w:rPr>
                  </w:pPr>
                </w:p>
              </w:tc>
              <w:tc>
                <w:tcPr>
                  <w:tcW w:w="1113" w:type="dxa"/>
                  <w:tcBorders>
                    <w:tl2br w:val="nil"/>
                    <w:tr2bl w:val="nil"/>
                  </w:tcBorders>
                  <w:vAlign w:val="center"/>
                </w:tcPr>
                <w:p w14:paraId="4E3E5CD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瓦斯预处理系统</w:t>
                  </w:r>
                </w:p>
              </w:tc>
              <w:tc>
                <w:tcPr>
                  <w:tcW w:w="5946" w:type="dxa"/>
                  <w:tcBorders>
                    <w:tl2br w:val="nil"/>
                    <w:tr2bl w:val="nil"/>
                  </w:tcBorders>
                  <w:vAlign w:val="center"/>
                </w:tcPr>
                <w:p w14:paraId="76EA123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进气管设置气水分离器、稳压阀，使其满足发电机组</w:t>
                  </w:r>
                </w:p>
                <w:p w14:paraId="738BF05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对瓦斯的要求</w:t>
                  </w:r>
                </w:p>
              </w:tc>
              <w:tc>
                <w:tcPr>
                  <w:tcW w:w="884" w:type="dxa"/>
                  <w:vMerge w:val="continue"/>
                  <w:tcBorders>
                    <w:tl2br w:val="nil"/>
                    <w:tr2bl w:val="nil"/>
                  </w:tcBorders>
                  <w:vAlign w:val="center"/>
                </w:tcPr>
                <w:p w14:paraId="4E26992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Cs w:val="21"/>
                      <w:u w:val="none"/>
                      <w:lang w:val="en-US" w:eastAsia="zh-CN"/>
                    </w:rPr>
                  </w:pPr>
                </w:p>
              </w:tc>
            </w:tr>
            <w:tr w14:paraId="51B19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atLeast"/>
                <w:jc w:val="center"/>
              </w:trPr>
              <w:tc>
                <w:tcPr>
                  <w:tcW w:w="455" w:type="dxa"/>
                  <w:vMerge w:val="continue"/>
                  <w:tcBorders>
                    <w:tl2br w:val="nil"/>
                    <w:tr2bl w:val="nil"/>
                  </w:tcBorders>
                  <w:vAlign w:val="center"/>
                </w:tcPr>
                <w:p w14:paraId="44B37C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kern w:val="0"/>
                      <w:szCs w:val="21"/>
                      <w:u w:val="none"/>
                    </w:rPr>
                  </w:pPr>
                </w:p>
              </w:tc>
              <w:tc>
                <w:tcPr>
                  <w:tcW w:w="1113" w:type="dxa"/>
                  <w:tcBorders>
                    <w:tl2br w:val="nil"/>
                    <w:tr2bl w:val="nil"/>
                  </w:tcBorders>
                  <w:vAlign w:val="center"/>
                </w:tcPr>
                <w:p w14:paraId="61517A9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电力外送系统</w:t>
                  </w:r>
                </w:p>
              </w:tc>
              <w:tc>
                <w:tcPr>
                  <w:tcW w:w="5946" w:type="dxa"/>
                  <w:tcBorders>
                    <w:tl2br w:val="nil"/>
                    <w:tr2bl w:val="nil"/>
                  </w:tcBorders>
                  <w:vAlign w:val="center"/>
                </w:tcPr>
                <w:p w14:paraId="77DD6E1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u w:val="none"/>
                      <w:lang w:val="en-US" w:eastAsia="zh-CN" w:bidi="ar-SA"/>
                    </w:rPr>
                  </w:pPr>
                  <w:r>
                    <w:rPr>
                      <w:rFonts w:hint="eastAsia" w:ascii="Times New Roman" w:hAnsi="Times New Roman" w:eastAsia="宋体" w:cs="Times New Roman"/>
                      <w:color w:val="auto"/>
                      <w:kern w:val="0"/>
                      <w:szCs w:val="21"/>
                      <w:u w:val="none"/>
                      <w:lang w:val="en-US" w:eastAsia="zh-CN"/>
                    </w:rPr>
                    <w:t>以</w:t>
                  </w:r>
                  <w:r>
                    <w:rPr>
                      <w:rFonts w:hint="eastAsia" w:ascii="Times New Roman" w:hAnsi="Times New Roman" w:eastAsia="宋体" w:cs="Times New Roman"/>
                      <w:color w:val="auto"/>
                      <w:sz w:val="21"/>
                      <w:szCs w:val="21"/>
                      <w:u w:val="none"/>
                      <w:lang w:val="en-US" w:eastAsia="zh-CN"/>
                    </w:rPr>
                    <w:t>6.</w:t>
                  </w:r>
                  <w:r>
                    <w:rPr>
                      <w:rFonts w:hint="eastAsia" w:cs="Times New Roman"/>
                      <w:color w:val="auto"/>
                      <w:sz w:val="21"/>
                      <w:szCs w:val="21"/>
                      <w:u w:val="none"/>
                      <w:lang w:val="en-US" w:eastAsia="zh-CN"/>
                    </w:rPr>
                    <w:t>3</w:t>
                  </w:r>
                  <w:r>
                    <w:rPr>
                      <w:rFonts w:hint="eastAsia" w:ascii="Times New Roman" w:hAnsi="Times New Roman" w:eastAsia="宋体" w:cs="Times New Roman"/>
                      <w:color w:val="auto"/>
                      <w:sz w:val="21"/>
                      <w:szCs w:val="21"/>
                      <w:u w:val="none"/>
                      <w:lang w:val="en-US" w:eastAsia="zh-CN"/>
                    </w:rPr>
                    <w:t>KV</w:t>
                  </w:r>
                  <w:r>
                    <w:rPr>
                      <w:rFonts w:hint="eastAsia" w:ascii="Times New Roman" w:hAnsi="Times New Roman" w:eastAsia="宋体" w:cs="Times New Roman"/>
                      <w:color w:val="auto"/>
                      <w:kern w:val="0"/>
                      <w:szCs w:val="21"/>
                      <w:u w:val="none"/>
                      <w:lang w:val="en-US" w:eastAsia="zh-CN"/>
                    </w:rPr>
                    <w:t>电缆线路接入发电站变压器升压后并入矿井变电所，输送至</w:t>
                  </w:r>
                  <w:r>
                    <w:rPr>
                      <w:rFonts w:ascii="Times New Roman" w:hAnsi="Times New Roman" w:cs="Times New Roman"/>
                      <w:color w:val="auto"/>
                      <w:kern w:val="0"/>
                      <w:szCs w:val="21"/>
                      <w:u w:val="none"/>
                    </w:rPr>
                    <w:t>河南天通电力有限公司</w:t>
                  </w:r>
                  <w:r>
                    <w:rPr>
                      <w:rFonts w:hint="eastAsia" w:cs="Times New Roman"/>
                      <w:color w:val="auto"/>
                      <w:kern w:val="0"/>
                      <w:szCs w:val="21"/>
                      <w:u w:val="none"/>
                      <w:lang w:val="en-US" w:eastAsia="zh-CN"/>
                    </w:rPr>
                    <w:t>供给该公司内部使用</w:t>
                  </w:r>
                  <w:r>
                    <w:rPr>
                      <w:rFonts w:hint="eastAsia" w:cs="Times New Roman"/>
                      <w:color w:val="auto"/>
                      <w:kern w:val="0"/>
                      <w:szCs w:val="21"/>
                      <w:u w:val="none"/>
                      <w:lang w:eastAsia="zh-CN"/>
                    </w:rPr>
                    <w:t>（</w:t>
                  </w:r>
                  <w:r>
                    <w:rPr>
                      <w:rFonts w:hint="eastAsia" w:cs="Times New Roman"/>
                      <w:color w:val="auto"/>
                      <w:kern w:val="0"/>
                      <w:szCs w:val="21"/>
                      <w:u w:val="none"/>
                      <w:lang w:val="en-US" w:eastAsia="zh-CN"/>
                    </w:rPr>
                    <w:t>输电线路不属于本次评价范围，该部分由其他公司另行评价</w:t>
                  </w:r>
                  <w:r>
                    <w:rPr>
                      <w:rFonts w:hint="eastAsia" w:cs="Times New Roman"/>
                      <w:color w:val="auto"/>
                      <w:kern w:val="0"/>
                      <w:szCs w:val="21"/>
                      <w:u w:val="none"/>
                      <w:lang w:eastAsia="zh-CN"/>
                    </w:rPr>
                    <w:t>）</w:t>
                  </w:r>
                </w:p>
              </w:tc>
              <w:tc>
                <w:tcPr>
                  <w:tcW w:w="884" w:type="dxa"/>
                  <w:vMerge w:val="continue"/>
                  <w:tcBorders>
                    <w:tl2br w:val="nil"/>
                    <w:tr2bl w:val="nil"/>
                  </w:tcBorders>
                  <w:vAlign w:val="center"/>
                </w:tcPr>
                <w:p w14:paraId="1598C4E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Cs w:val="21"/>
                      <w:u w:val="none"/>
                      <w:lang w:val="en-US" w:eastAsia="zh-CN"/>
                    </w:rPr>
                  </w:pPr>
                </w:p>
              </w:tc>
            </w:tr>
            <w:tr w14:paraId="68196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 w:hRule="atLeast"/>
                <w:jc w:val="center"/>
              </w:trPr>
              <w:tc>
                <w:tcPr>
                  <w:tcW w:w="455" w:type="dxa"/>
                  <w:vMerge w:val="restart"/>
                  <w:tcBorders>
                    <w:tl2br w:val="nil"/>
                    <w:tr2bl w:val="nil"/>
                  </w:tcBorders>
                  <w:vAlign w:val="center"/>
                </w:tcPr>
                <w:p w14:paraId="4F3E73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Cs w:val="21"/>
                      <w:u w:val="none"/>
                      <w:lang w:eastAsia="zh-CN"/>
                    </w:rPr>
                  </w:pPr>
                  <w:r>
                    <w:rPr>
                      <w:rFonts w:hint="eastAsia" w:ascii="Times New Roman" w:hAnsi="Times New Roman" w:cs="Times New Roman"/>
                      <w:color w:val="auto"/>
                      <w:kern w:val="0"/>
                      <w:szCs w:val="21"/>
                      <w:u w:val="none"/>
                      <w:lang w:eastAsia="zh-CN"/>
                    </w:rPr>
                    <w:t>辅助系统</w:t>
                  </w:r>
                </w:p>
              </w:tc>
              <w:tc>
                <w:tcPr>
                  <w:tcW w:w="1113" w:type="dxa"/>
                  <w:tcBorders>
                    <w:tl2br w:val="nil"/>
                    <w:tr2bl w:val="nil"/>
                  </w:tcBorders>
                  <w:vAlign w:val="center"/>
                </w:tcPr>
                <w:p w14:paraId="02F3110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发电机组所在区</w:t>
                  </w:r>
                </w:p>
              </w:tc>
              <w:tc>
                <w:tcPr>
                  <w:tcW w:w="5946" w:type="dxa"/>
                  <w:tcBorders>
                    <w:tl2br w:val="nil"/>
                    <w:tr2bl w:val="nil"/>
                  </w:tcBorders>
                  <w:vAlign w:val="center"/>
                </w:tcPr>
                <w:p w14:paraId="3727AAB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u w:val="none"/>
                      <w:lang w:val="en-US" w:eastAsia="zh-CN" w:bidi="ar-SA"/>
                    </w:rPr>
                  </w:pPr>
                  <w:r>
                    <w:rPr>
                      <w:rFonts w:hint="eastAsia" w:ascii="Times New Roman" w:hAnsi="Times New Roman" w:eastAsia="宋体" w:cs="Times New Roman"/>
                      <w:color w:val="auto"/>
                      <w:kern w:val="0"/>
                      <w:szCs w:val="21"/>
                      <w:u w:val="none"/>
                      <w:lang w:val="en-US" w:eastAsia="zh-CN"/>
                    </w:rPr>
                    <w:t>占地面积</w:t>
                  </w:r>
                  <w:r>
                    <w:rPr>
                      <w:rFonts w:hint="eastAsia" w:cs="Times New Roman"/>
                      <w:color w:val="auto"/>
                      <w:kern w:val="0"/>
                      <w:szCs w:val="21"/>
                      <w:u w:val="none"/>
                      <w:lang w:val="en-US" w:eastAsia="zh-CN"/>
                    </w:rPr>
                    <w:t>800</w:t>
                  </w:r>
                  <w:r>
                    <w:rPr>
                      <w:rFonts w:hint="eastAsia" w:ascii="Times New Roman" w:hAnsi="Times New Roman" w:eastAsia="宋体" w:cs="Times New Roman"/>
                      <w:color w:val="auto"/>
                      <w:kern w:val="0"/>
                      <w:szCs w:val="21"/>
                      <w:u w:val="none"/>
                      <w:lang w:val="en-US" w:eastAsia="zh-CN"/>
                    </w:rPr>
                    <w:t>m</w:t>
                  </w:r>
                  <w:r>
                    <w:rPr>
                      <w:rFonts w:hint="eastAsia" w:ascii="Times New Roman" w:hAnsi="Times New Roman" w:eastAsia="宋体" w:cs="Times New Roman"/>
                      <w:color w:val="auto"/>
                      <w:kern w:val="0"/>
                      <w:szCs w:val="21"/>
                      <w:u w:val="none"/>
                      <w:vertAlign w:val="superscript"/>
                      <w:lang w:val="en-US" w:eastAsia="zh-CN"/>
                    </w:rPr>
                    <w:t>2</w:t>
                  </w:r>
                </w:p>
              </w:tc>
              <w:tc>
                <w:tcPr>
                  <w:tcW w:w="884" w:type="dxa"/>
                  <w:vMerge w:val="restart"/>
                  <w:tcBorders>
                    <w:tl2br w:val="nil"/>
                    <w:tr2bl w:val="nil"/>
                  </w:tcBorders>
                  <w:vAlign w:val="center"/>
                </w:tcPr>
                <w:p w14:paraId="12751AC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Cs w:val="21"/>
                      <w:u w:val="none"/>
                      <w:lang w:val="en-US" w:eastAsia="zh-CN"/>
                    </w:rPr>
                  </w:pPr>
                  <w:r>
                    <w:rPr>
                      <w:rFonts w:hint="eastAsia" w:cs="Times New Roman"/>
                      <w:color w:val="auto"/>
                      <w:kern w:val="0"/>
                      <w:szCs w:val="21"/>
                      <w:u w:val="none"/>
                      <w:lang w:val="en-US" w:eastAsia="zh-CN"/>
                    </w:rPr>
                    <w:t>新建</w:t>
                  </w:r>
                </w:p>
              </w:tc>
            </w:tr>
            <w:tr w14:paraId="30BB4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455" w:type="dxa"/>
                  <w:vMerge w:val="continue"/>
                  <w:tcBorders>
                    <w:tl2br w:val="nil"/>
                    <w:tr2bl w:val="nil"/>
                  </w:tcBorders>
                  <w:vAlign w:val="center"/>
                </w:tcPr>
                <w:p w14:paraId="2323F4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kern w:val="0"/>
                      <w:szCs w:val="21"/>
                      <w:u w:val="none"/>
                    </w:rPr>
                  </w:pPr>
                </w:p>
              </w:tc>
              <w:tc>
                <w:tcPr>
                  <w:tcW w:w="1113" w:type="dxa"/>
                  <w:tcBorders>
                    <w:tl2br w:val="nil"/>
                    <w:tr2bl w:val="nil"/>
                  </w:tcBorders>
                  <w:vAlign w:val="center"/>
                </w:tcPr>
                <w:p w14:paraId="36DB4F3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配件库</w:t>
                  </w:r>
                </w:p>
              </w:tc>
              <w:tc>
                <w:tcPr>
                  <w:tcW w:w="5946" w:type="dxa"/>
                  <w:tcBorders>
                    <w:tl2br w:val="nil"/>
                    <w:tr2bl w:val="nil"/>
                  </w:tcBorders>
                  <w:vAlign w:val="center"/>
                </w:tcPr>
                <w:p w14:paraId="467407E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占地面积约</w:t>
                  </w:r>
                  <w:r>
                    <w:rPr>
                      <w:rFonts w:hint="eastAsia" w:cs="Times New Roman"/>
                      <w:color w:val="auto"/>
                      <w:kern w:val="0"/>
                      <w:szCs w:val="21"/>
                      <w:u w:val="none"/>
                      <w:lang w:val="en-US" w:eastAsia="zh-CN"/>
                    </w:rPr>
                    <w:t>15</w:t>
                  </w:r>
                  <w:r>
                    <w:rPr>
                      <w:rFonts w:hint="eastAsia" w:ascii="Times New Roman" w:hAnsi="Times New Roman" w:eastAsia="宋体" w:cs="Times New Roman"/>
                      <w:color w:val="auto"/>
                      <w:kern w:val="0"/>
                      <w:szCs w:val="21"/>
                      <w:u w:val="none"/>
                      <w:lang w:val="en-US" w:eastAsia="zh-CN"/>
                    </w:rPr>
                    <w:t>m</w:t>
                  </w:r>
                  <w:r>
                    <w:rPr>
                      <w:rFonts w:hint="eastAsia" w:ascii="Times New Roman" w:hAnsi="Times New Roman" w:eastAsia="宋体" w:cs="Times New Roman"/>
                      <w:color w:val="auto"/>
                      <w:kern w:val="0"/>
                      <w:szCs w:val="21"/>
                      <w:u w:val="none"/>
                      <w:vertAlign w:val="superscript"/>
                      <w:lang w:val="en-US" w:eastAsia="zh-CN"/>
                    </w:rPr>
                    <w:t>2</w:t>
                  </w:r>
                </w:p>
              </w:tc>
              <w:tc>
                <w:tcPr>
                  <w:tcW w:w="884" w:type="dxa"/>
                  <w:vMerge w:val="continue"/>
                  <w:tcBorders>
                    <w:tl2br w:val="nil"/>
                    <w:tr2bl w:val="nil"/>
                  </w:tcBorders>
                  <w:vAlign w:val="center"/>
                </w:tcPr>
                <w:p w14:paraId="1D50BA3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Cs w:val="21"/>
                      <w:u w:val="none"/>
                      <w:lang w:val="en-US" w:eastAsia="zh-CN"/>
                    </w:rPr>
                  </w:pPr>
                </w:p>
              </w:tc>
            </w:tr>
            <w:tr w14:paraId="75CD5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455" w:type="dxa"/>
                  <w:vMerge w:val="continue"/>
                  <w:tcBorders>
                    <w:tl2br w:val="nil"/>
                    <w:tr2bl w:val="nil"/>
                  </w:tcBorders>
                  <w:vAlign w:val="center"/>
                </w:tcPr>
                <w:p w14:paraId="6B13A2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kern w:val="0"/>
                      <w:szCs w:val="21"/>
                      <w:u w:val="none"/>
                    </w:rPr>
                  </w:pPr>
                </w:p>
              </w:tc>
              <w:tc>
                <w:tcPr>
                  <w:tcW w:w="1113" w:type="dxa"/>
                  <w:tcBorders>
                    <w:tl2br w:val="nil"/>
                    <w:tr2bl w:val="nil"/>
                  </w:tcBorders>
                  <w:vAlign w:val="center"/>
                </w:tcPr>
                <w:p w14:paraId="2208D4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kern w:val="0"/>
                      <w:szCs w:val="21"/>
                      <w:u w:val="none"/>
                      <w:lang w:val="en-US" w:eastAsia="zh-CN"/>
                    </w:rPr>
                  </w:pPr>
                  <w:r>
                    <w:rPr>
                      <w:rFonts w:hint="eastAsia" w:ascii="宋体" w:hAnsi="宋体" w:eastAsia="宋体" w:cs="Times New Roman"/>
                      <w:color w:val="auto"/>
                      <w:kern w:val="0"/>
                      <w:szCs w:val="21"/>
                      <w:u w:val="none"/>
                    </w:rPr>
                    <w:t>配电间</w:t>
                  </w:r>
                </w:p>
              </w:tc>
              <w:tc>
                <w:tcPr>
                  <w:tcW w:w="5946" w:type="dxa"/>
                  <w:tcBorders>
                    <w:tl2br w:val="nil"/>
                    <w:tr2bl w:val="nil"/>
                  </w:tcBorders>
                  <w:vAlign w:val="center"/>
                </w:tcPr>
                <w:p w14:paraId="289A76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砖混结构，占地面积约234m</w:t>
                  </w:r>
                  <w:r>
                    <w:rPr>
                      <w:rFonts w:hint="eastAsia" w:ascii="Times New Roman" w:hAnsi="Times New Roman" w:eastAsia="宋体" w:cs="Times New Roman"/>
                      <w:color w:val="auto"/>
                      <w:kern w:val="0"/>
                      <w:szCs w:val="21"/>
                      <w:u w:val="none"/>
                      <w:vertAlign w:val="superscript"/>
                      <w:lang w:val="en-US" w:eastAsia="zh-CN"/>
                    </w:rPr>
                    <w:t>2</w:t>
                  </w:r>
                  <w:r>
                    <w:rPr>
                      <w:rFonts w:hint="eastAsia" w:ascii="Times New Roman" w:hAnsi="Times New Roman" w:eastAsia="宋体" w:cs="Times New Roman"/>
                      <w:color w:val="auto"/>
                      <w:kern w:val="0"/>
                      <w:szCs w:val="21"/>
                      <w:u w:val="none"/>
                      <w:lang w:val="en-US" w:eastAsia="zh-CN"/>
                    </w:rPr>
                    <w:t>，变压器功率为：800KVAN</w:t>
                  </w:r>
                </w:p>
              </w:tc>
              <w:tc>
                <w:tcPr>
                  <w:tcW w:w="884" w:type="dxa"/>
                  <w:vMerge w:val="continue"/>
                  <w:tcBorders>
                    <w:tl2br w:val="nil"/>
                    <w:tr2bl w:val="nil"/>
                  </w:tcBorders>
                  <w:vAlign w:val="center"/>
                </w:tcPr>
                <w:p w14:paraId="66602D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Cs w:val="21"/>
                      <w:u w:val="single"/>
                      <w:lang w:val="en-US" w:eastAsia="zh-CN"/>
                    </w:rPr>
                  </w:pPr>
                </w:p>
              </w:tc>
            </w:tr>
            <w:tr w14:paraId="5850E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455" w:type="dxa"/>
                  <w:vMerge w:val="continue"/>
                  <w:tcBorders>
                    <w:tl2br w:val="nil"/>
                    <w:tr2bl w:val="nil"/>
                  </w:tcBorders>
                  <w:vAlign w:val="center"/>
                </w:tcPr>
                <w:p w14:paraId="644CA8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kern w:val="0"/>
                      <w:szCs w:val="21"/>
                      <w:u w:val="none"/>
                    </w:rPr>
                  </w:pPr>
                </w:p>
              </w:tc>
              <w:tc>
                <w:tcPr>
                  <w:tcW w:w="1113" w:type="dxa"/>
                  <w:tcBorders>
                    <w:tl2br w:val="nil"/>
                    <w:tr2bl w:val="nil"/>
                  </w:tcBorders>
                  <w:vAlign w:val="center"/>
                </w:tcPr>
                <w:p w14:paraId="519C3AF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危废</w:t>
                  </w:r>
                  <w:r>
                    <w:rPr>
                      <w:rFonts w:hint="eastAsia" w:cs="Times New Roman"/>
                      <w:color w:val="auto"/>
                      <w:kern w:val="0"/>
                      <w:szCs w:val="21"/>
                      <w:u w:val="none"/>
                      <w:lang w:val="en-US" w:eastAsia="zh-CN"/>
                    </w:rPr>
                    <w:t>间</w:t>
                  </w:r>
                </w:p>
              </w:tc>
              <w:tc>
                <w:tcPr>
                  <w:tcW w:w="5946" w:type="dxa"/>
                  <w:tcBorders>
                    <w:tl2br w:val="nil"/>
                    <w:tr2bl w:val="nil"/>
                  </w:tcBorders>
                  <w:vAlign w:val="center"/>
                </w:tcPr>
                <w:p w14:paraId="77484AB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highlight w:val="none"/>
                      <w:u w:val="none"/>
                      <w:lang w:val="en-US" w:eastAsia="zh-CN"/>
                    </w:rPr>
                    <w:t>占地面积约</w:t>
                  </w:r>
                  <w:r>
                    <w:rPr>
                      <w:rFonts w:hint="eastAsia" w:cs="Times New Roman"/>
                      <w:color w:val="auto"/>
                      <w:kern w:val="0"/>
                      <w:szCs w:val="21"/>
                      <w:highlight w:val="none"/>
                      <w:u w:val="none"/>
                      <w:lang w:val="en-US" w:eastAsia="zh-CN"/>
                    </w:rPr>
                    <w:t>15</w:t>
                  </w:r>
                  <w:r>
                    <w:rPr>
                      <w:rFonts w:hint="eastAsia" w:ascii="Times New Roman" w:hAnsi="Times New Roman" w:cs="Times New Roman"/>
                      <w:color w:val="auto"/>
                      <w:kern w:val="0"/>
                      <w:szCs w:val="21"/>
                      <w:highlight w:val="none"/>
                      <w:u w:val="none"/>
                      <w:lang w:val="en-US" w:eastAsia="zh-CN"/>
                    </w:rPr>
                    <w:t>m</w:t>
                  </w:r>
                  <w:r>
                    <w:rPr>
                      <w:rFonts w:hint="eastAsia" w:ascii="Times New Roman" w:hAnsi="Times New Roman" w:eastAsia="宋体" w:cs="Times New Roman"/>
                      <w:color w:val="auto"/>
                      <w:kern w:val="0"/>
                      <w:szCs w:val="21"/>
                      <w:highlight w:val="none"/>
                      <w:u w:val="none"/>
                      <w:vertAlign w:val="superscript"/>
                      <w:lang w:val="en-US" w:eastAsia="zh-CN"/>
                    </w:rPr>
                    <w:t>2</w:t>
                  </w:r>
                </w:p>
              </w:tc>
              <w:tc>
                <w:tcPr>
                  <w:tcW w:w="884" w:type="dxa"/>
                  <w:vMerge w:val="continue"/>
                  <w:tcBorders>
                    <w:tl2br w:val="nil"/>
                    <w:tr2bl w:val="nil"/>
                  </w:tcBorders>
                  <w:vAlign w:val="center"/>
                </w:tcPr>
                <w:p w14:paraId="4CFA4A7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Cs w:val="21"/>
                      <w:highlight w:val="none"/>
                      <w:u w:val="none"/>
                      <w:lang w:val="en-US" w:eastAsia="zh-CN"/>
                    </w:rPr>
                  </w:pPr>
                </w:p>
              </w:tc>
            </w:tr>
            <w:tr w14:paraId="29BAB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55" w:type="dxa"/>
                  <w:vMerge w:val="restart"/>
                  <w:tcBorders>
                    <w:tl2br w:val="nil"/>
                    <w:tr2bl w:val="nil"/>
                  </w:tcBorders>
                  <w:vAlign w:val="center"/>
                </w:tcPr>
                <w:p w14:paraId="6130D54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Cs w:val="21"/>
                      <w:u w:val="none"/>
                    </w:rPr>
                  </w:pPr>
                  <w:r>
                    <w:rPr>
                      <w:rFonts w:ascii="Times New Roman" w:hAnsi="Times New Roman" w:cs="Times New Roman"/>
                      <w:bCs/>
                      <w:color w:val="auto"/>
                      <w:szCs w:val="21"/>
                      <w:u w:val="none"/>
                    </w:rPr>
                    <w:t>公用工程</w:t>
                  </w:r>
                </w:p>
              </w:tc>
              <w:tc>
                <w:tcPr>
                  <w:tcW w:w="1113" w:type="dxa"/>
                  <w:tcBorders>
                    <w:tl2br w:val="nil"/>
                    <w:tr2bl w:val="nil"/>
                  </w:tcBorders>
                  <w:vAlign w:val="center"/>
                </w:tcPr>
                <w:p w14:paraId="0A0CD2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Cs w:val="21"/>
                      <w:u w:val="none"/>
                    </w:rPr>
                  </w:pPr>
                  <w:r>
                    <w:rPr>
                      <w:rFonts w:ascii="Times New Roman" w:hAnsi="Times New Roman" w:cs="Times New Roman"/>
                      <w:color w:val="auto"/>
                      <w:kern w:val="0"/>
                      <w:szCs w:val="21"/>
                      <w:u w:val="none"/>
                    </w:rPr>
                    <w:t>供水</w:t>
                  </w:r>
                  <w:r>
                    <w:rPr>
                      <w:rFonts w:hint="eastAsia" w:ascii="Times New Roman" w:hAnsi="Times New Roman" w:cs="Times New Roman"/>
                      <w:color w:val="auto"/>
                      <w:kern w:val="0"/>
                      <w:szCs w:val="21"/>
                      <w:u w:val="none"/>
                      <w:lang w:val="en-US" w:eastAsia="zh-CN"/>
                    </w:rPr>
                    <w:t>渠道</w:t>
                  </w:r>
                </w:p>
              </w:tc>
              <w:tc>
                <w:tcPr>
                  <w:tcW w:w="5946" w:type="dxa"/>
                  <w:tcBorders>
                    <w:tl2br w:val="nil"/>
                    <w:tr2bl w:val="nil"/>
                  </w:tcBorders>
                  <w:vAlign w:val="center"/>
                </w:tcPr>
                <w:p w14:paraId="66DF73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u w:val="none"/>
                      <w:lang w:val="en-US" w:eastAsia="zh-CN"/>
                    </w:rPr>
                  </w:pPr>
                  <w:r>
                    <w:rPr>
                      <w:rFonts w:hint="eastAsia" w:cs="Times New Roman"/>
                      <w:color w:val="auto"/>
                      <w:u w:val="none"/>
                      <w:lang w:val="en-US" w:eastAsia="zh-CN"/>
                    </w:rPr>
                    <w:t>平煤八矿</w:t>
                  </w:r>
                  <w:r>
                    <w:rPr>
                      <w:rFonts w:hint="eastAsia" w:ascii="Times New Roman" w:hAnsi="Times New Roman" w:cs="Times New Roman"/>
                      <w:color w:val="auto"/>
                      <w:u w:val="none"/>
                      <w:lang w:val="en-US" w:eastAsia="zh-CN"/>
                    </w:rPr>
                    <w:t>供水管网</w:t>
                  </w:r>
                </w:p>
              </w:tc>
              <w:tc>
                <w:tcPr>
                  <w:tcW w:w="884" w:type="dxa"/>
                  <w:vMerge w:val="restart"/>
                  <w:tcBorders>
                    <w:tl2br w:val="nil"/>
                    <w:tr2bl w:val="nil"/>
                  </w:tcBorders>
                  <w:vAlign w:val="center"/>
                </w:tcPr>
                <w:p w14:paraId="77B062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u w:val="none"/>
                      <w:lang w:val="en-US" w:eastAsia="zh-CN"/>
                    </w:rPr>
                  </w:pPr>
                  <w:r>
                    <w:rPr>
                      <w:rFonts w:hint="eastAsia" w:cs="Times New Roman"/>
                      <w:color w:val="auto"/>
                      <w:u w:val="none"/>
                      <w:lang w:val="en-US" w:eastAsia="zh-CN"/>
                    </w:rPr>
                    <w:t>新建</w:t>
                  </w:r>
                </w:p>
              </w:tc>
            </w:tr>
            <w:tr w14:paraId="02A7E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55" w:type="dxa"/>
                  <w:vMerge w:val="continue"/>
                  <w:tcBorders>
                    <w:tl2br w:val="nil"/>
                    <w:tr2bl w:val="nil"/>
                  </w:tcBorders>
                  <w:vAlign w:val="center"/>
                </w:tcPr>
                <w:p w14:paraId="09B478E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Cs w:val="21"/>
                      <w:u w:val="none"/>
                    </w:rPr>
                  </w:pPr>
                </w:p>
              </w:tc>
              <w:tc>
                <w:tcPr>
                  <w:tcW w:w="1113" w:type="dxa"/>
                  <w:tcBorders>
                    <w:tl2br w:val="nil"/>
                    <w:tr2bl w:val="nil"/>
                  </w:tcBorders>
                  <w:vAlign w:val="center"/>
                </w:tcPr>
                <w:p w14:paraId="1FCCDD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Cs w:val="21"/>
                      <w:u w:val="none"/>
                    </w:rPr>
                  </w:pPr>
                  <w:r>
                    <w:rPr>
                      <w:rFonts w:ascii="Times New Roman" w:hAnsi="Times New Roman" w:cs="Times New Roman"/>
                      <w:color w:val="auto"/>
                      <w:kern w:val="0"/>
                      <w:szCs w:val="21"/>
                      <w:u w:val="none"/>
                    </w:rPr>
                    <w:t>供电</w:t>
                  </w:r>
                  <w:r>
                    <w:rPr>
                      <w:rFonts w:hint="eastAsia" w:ascii="Times New Roman" w:hAnsi="Times New Roman" w:cs="Times New Roman"/>
                      <w:color w:val="auto"/>
                      <w:kern w:val="0"/>
                      <w:szCs w:val="21"/>
                      <w:u w:val="none"/>
                      <w:lang w:val="en-US" w:eastAsia="zh-CN"/>
                    </w:rPr>
                    <w:t>渠道</w:t>
                  </w:r>
                </w:p>
              </w:tc>
              <w:tc>
                <w:tcPr>
                  <w:tcW w:w="5946" w:type="dxa"/>
                  <w:tcBorders>
                    <w:tl2br w:val="nil"/>
                    <w:tr2bl w:val="nil"/>
                  </w:tcBorders>
                  <w:vAlign w:val="center"/>
                </w:tcPr>
                <w:p w14:paraId="79881E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u w:val="none"/>
                      <w:lang w:val="en-US" w:eastAsia="zh-CN"/>
                    </w:rPr>
                  </w:pPr>
                  <w:r>
                    <w:rPr>
                      <w:rFonts w:hint="eastAsia" w:cs="Times New Roman"/>
                      <w:color w:val="auto"/>
                      <w:u w:val="none"/>
                      <w:lang w:val="en-US" w:eastAsia="zh-CN"/>
                    </w:rPr>
                    <w:t>平煤八矿</w:t>
                  </w:r>
                  <w:r>
                    <w:rPr>
                      <w:rFonts w:hint="eastAsia" w:ascii="Times New Roman" w:hAnsi="Times New Roman" w:cs="Times New Roman"/>
                      <w:color w:val="auto"/>
                      <w:u w:val="none"/>
                      <w:lang w:val="en-US" w:eastAsia="zh-CN"/>
                    </w:rPr>
                    <w:t>供电管网</w:t>
                  </w:r>
                </w:p>
              </w:tc>
              <w:tc>
                <w:tcPr>
                  <w:tcW w:w="884" w:type="dxa"/>
                  <w:vMerge w:val="continue"/>
                  <w:tcBorders>
                    <w:tl2br w:val="nil"/>
                    <w:tr2bl w:val="nil"/>
                  </w:tcBorders>
                  <w:vAlign w:val="center"/>
                </w:tcPr>
                <w:p w14:paraId="677EBE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u w:val="none"/>
                      <w:lang w:val="en-US" w:eastAsia="zh-CN"/>
                    </w:rPr>
                  </w:pPr>
                </w:p>
              </w:tc>
            </w:tr>
            <w:tr w14:paraId="30A357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455" w:type="dxa"/>
                  <w:vMerge w:val="continue"/>
                  <w:tcBorders>
                    <w:tl2br w:val="nil"/>
                    <w:tr2bl w:val="nil"/>
                  </w:tcBorders>
                  <w:vAlign w:val="center"/>
                </w:tcPr>
                <w:p w14:paraId="7C4549C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Cs w:val="21"/>
                      <w:u w:val="none"/>
                    </w:rPr>
                  </w:pPr>
                </w:p>
              </w:tc>
              <w:tc>
                <w:tcPr>
                  <w:tcW w:w="1113" w:type="dxa"/>
                  <w:tcBorders>
                    <w:tl2br w:val="nil"/>
                    <w:tr2bl w:val="nil"/>
                  </w:tcBorders>
                  <w:vAlign w:val="center"/>
                </w:tcPr>
                <w:p w14:paraId="63B7E4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Cs w:val="21"/>
                      <w:u w:val="none"/>
                    </w:rPr>
                  </w:pPr>
                  <w:r>
                    <w:rPr>
                      <w:rFonts w:ascii="Times New Roman" w:hAnsi="Times New Roman" w:cs="Times New Roman"/>
                      <w:color w:val="auto"/>
                      <w:kern w:val="0"/>
                      <w:szCs w:val="21"/>
                      <w:u w:val="none"/>
                    </w:rPr>
                    <w:t>排水</w:t>
                  </w:r>
                  <w:r>
                    <w:rPr>
                      <w:rFonts w:hint="eastAsia" w:ascii="Times New Roman" w:hAnsi="Times New Roman" w:cs="Times New Roman"/>
                      <w:color w:val="auto"/>
                      <w:kern w:val="0"/>
                      <w:szCs w:val="21"/>
                      <w:u w:val="none"/>
                      <w:lang w:val="en-US" w:eastAsia="zh-CN"/>
                    </w:rPr>
                    <w:t>渠道</w:t>
                  </w:r>
                </w:p>
              </w:tc>
              <w:tc>
                <w:tcPr>
                  <w:tcW w:w="5946" w:type="dxa"/>
                  <w:tcBorders>
                    <w:tl2br w:val="nil"/>
                    <w:tr2bl w:val="nil"/>
                  </w:tcBorders>
                  <w:vAlign w:val="center"/>
                </w:tcPr>
                <w:p w14:paraId="1B1321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u w:val="none"/>
                      <w:lang w:val="en-US" w:eastAsia="zh-CN"/>
                    </w:rPr>
                  </w:pPr>
                  <w:r>
                    <w:rPr>
                      <w:rFonts w:hint="eastAsia" w:ascii="Times New Roman" w:hAnsi="Times New Roman" w:cs="Times New Roman"/>
                      <w:color w:val="auto"/>
                      <w:u w:val="none"/>
                      <w:lang w:val="en-US" w:eastAsia="zh-CN"/>
                    </w:rPr>
                    <w:t>本项目无废水排放</w:t>
                  </w:r>
                </w:p>
              </w:tc>
              <w:tc>
                <w:tcPr>
                  <w:tcW w:w="884" w:type="dxa"/>
                  <w:vMerge w:val="continue"/>
                  <w:tcBorders>
                    <w:tl2br w:val="nil"/>
                    <w:tr2bl w:val="nil"/>
                  </w:tcBorders>
                  <w:vAlign w:val="center"/>
                </w:tcPr>
                <w:p w14:paraId="20BFB1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u w:val="none"/>
                      <w:lang w:val="en-US" w:eastAsia="zh-CN"/>
                    </w:rPr>
                  </w:pPr>
                </w:p>
              </w:tc>
            </w:tr>
            <w:tr w14:paraId="319F6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55" w:type="dxa"/>
                  <w:vMerge w:val="continue"/>
                  <w:tcBorders>
                    <w:tl2br w:val="nil"/>
                    <w:tr2bl w:val="nil"/>
                  </w:tcBorders>
                  <w:vAlign w:val="center"/>
                </w:tcPr>
                <w:p w14:paraId="08BC1AD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Cs w:val="21"/>
                      <w:u w:val="none"/>
                    </w:rPr>
                  </w:pPr>
                </w:p>
              </w:tc>
              <w:tc>
                <w:tcPr>
                  <w:tcW w:w="1113" w:type="dxa"/>
                  <w:tcBorders>
                    <w:tl2br w:val="nil"/>
                    <w:tr2bl w:val="nil"/>
                  </w:tcBorders>
                  <w:vAlign w:val="center"/>
                </w:tcPr>
                <w:p w14:paraId="0E53C2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Cs w:val="21"/>
                      <w:u w:val="none"/>
                      <w:lang w:eastAsia="zh-CN"/>
                    </w:rPr>
                  </w:pPr>
                  <w:r>
                    <w:rPr>
                      <w:rFonts w:hint="eastAsia" w:ascii="Times New Roman" w:hAnsi="Times New Roman" w:cs="Times New Roman"/>
                      <w:color w:val="auto"/>
                      <w:kern w:val="0"/>
                      <w:szCs w:val="21"/>
                      <w:u w:val="none"/>
                      <w:lang w:eastAsia="zh-CN"/>
                    </w:rPr>
                    <w:t>消防系统</w:t>
                  </w:r>
                </w:p>
              </w:tc>
              <w:tc>
                <w:tcPr>
                  <w:tcW w:w="5946" w:type="dxa"/>
                  <w:tcBorders>
                    <w:tl2br w:val="nil"/>
                    <w:tr2bl w:val="nil"/>
                  </w:tcBorders>
                  <w:vAlign w:val="center"/>
                </w:tcPr>
                <w:p w14:paraId="4003E5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kern w:val="0"/>
                      <w:szCs w:val="21"/>
                      <w:u w:val="none"/>
                      <w:lang w:val="en-US"/>
                    </w:rPr>
                  </w:pPr>
                  <w:r>
                    <w:rPr>
                      <w:rFonts w:hint="eastAsia" w:ascii="Times New Roman" w:hAnsi="Times New Roman" w:cs="Times New Roman"/>
                      <w:color w:val="auto"/>
                      <w:szCs w:val="21"/>
                      <w:u w:val="none"/>
                      <w:lang w:val="en-US" w:eastAsia="zh-CN"/>
                    </w:rPr>
                    <w:t>配套设置手提式干粉灭火器与手提式二氧化碳灭火器</w:t>
                  </w:r>
                </w:p>
              </w:tc>
              <w:tc>
                <w:tcPr>
                  <w:tcW w:w="884" w:type="dxa"/>
                  <w:vMerge w:val="continue"/>
                  <w:tcBorders>
                    <w:tl2br w:val="nil"/>
                    <w:tr2bl w:val="nil"/>
                  </w:tcBorders>
                  <w:vAlign w:val="center"/>
                </w:tcPr>
                <w:p w14:paraId="3D5E27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Cs w:val="21"/>
                      <w:u w:val="none"/>
                      <w:lang w:val="en-US" w:eastAsia="zh-CN"/>
                    </w:rPr>
                  </w:pPr>
                </w:p>
              </w:tc>
            </w:tr>
            <w:tr w14:paraId="2537D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55" w:type="dxa"/>
                  <w:vMerge w:val="restart"/>
                  <w:tcBorders>
                    <w:tl2br w:val="nil"/>
                    <w:tr2bl w:val="nil"/>
                  </w:tcBorders>
                  <w:vAlign w:val="center"/>
                </w:tcPr>
                <w:p w14:paraId="05EB994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Cs w:val="21"/>
                      <w:u w:val="none"/>
                    </w:rPr>
                  </w:pPr>
                  <w:r>
                    <w:rPr>
                      <w:rFonts w:ascii="Times New Roman" w:hAnsi="Times New Roman" w:cs="Times New Roman"/>
                      <w:bCs/>
                      <w:color w:val="auto"/>
                      <w:szCs w:val="21"/>
                      <w:u w:val="none"/>
                    </w:rPr>
                    <w:t>环保工程</w:t>
                  </w:r>
                </w:p>
              </w:tc>
              <w:tc>
                <w:tcPr>
                  <w:tcW w:w="1113" w:type="dxa"/>
                  <w:tcBorders>
                    <w:tl2br w:val="nil"/>
                    <w:tr2bl w:val="nil"/>
                  </w:tcBorders>
                  <w:vAlign w:val="center"/>
                </w:tcPr>
                <w:p w14:paraId="3875F58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Cs w:val="21"/>
                      <w:u w:val="none"/>
                    </w:rPr>
                  </w:pPr>
                  <w:r>
                    <w:rPr>
                      <w:rFonts w:ascii="Times New Roman" w:hAnsi="Times New Roman" w:cs="Times New Roman"/>
                      <w:bCs/>
                      <w:color w:val="auto"/>
                      <w:szCs w:val="21"/>
                      <w:u w:val="none"/>
                    </w:rPr>
                    <w:t>废气治理</w:t>
                  </w:r>
                </w:p>
              </w:tc>
              <w:tc>
                <w:tcPr>
                  <w:tcW w:w="5946" w:type="dxa"/>
                  <w:tcBorders>
                    <w:tl2br w:val="nil"/>
                    <w:tr2bl w:val="nil"/>
                  </w:tcBorders>
                  <w:vAlign w:val="center"/>
                </w:tcPr>
                <w:p w14:paraId="32B8D31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Cs w:val="21"/>
                      <w:highlight w:val="none"/>
                      <w:u w:val="none"/>
                      <w:lang w:val="en-US" w:eastAsia="zh-CN"/>
                    </w:rPr>
                  </w:pPr>
                  <w:r>
                    <w:rPr>
                      <w:rFonts w:hint="eastAsia" w:cs="Times New Roman"/>
                      <w:color w:val="auto"/>
                      <w:sz w:val="21"/>
                      <w:szCs w:val="21"/>
                      <w:highlight w:val="none"/>
                      <w:u w:val="none"/>
                      <w:lang w:val="en-US" w:eastAsia="zh-CN"/>
                    </w:rPr>
                    <w:t>稀薄燃烧控制技术+15m高排气筒</w:t>
                  </w:r>
                  <w:r>
                    <w:rPr>
                      <w:rFonts w:hint="eastAsia" w:ascii="Times New Roman" w:hAnsi="Times New Roman" w:cs="Times New Roman"/>
                      <w:color w:val="auto"/>
                      <w:szCs w:val="21"/>
                      <w:highlight w:val="none"/>
                      <w:u w:val="none"/>
                      <w:lang w:val="en-US" w:eastAsia="zh-CN"/>
                    </w:rPr>
                    <w:t>排放</w:t>
                  </w:r>
                </w:p>
              </w:tc>
              <w:tc>
                <w:tcPr>
                  <w:tcW w:w="884" w:type="dxa"/>
                  <w:vMerge w:val="restart"/>
                  <w:tcBorders>
                    <w:tl2br w:val="nil"/>
                    <w:tr2bl w:val="nil"/>
                  </w:tcBorders>
                  <w:vAlign w:val="center"/>
                </w:tcPr>
                <w:p w14:paraId="0153B97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21"/>
                      <w:szCs w:val="21"/>
                      <w:u w:val="none"/>
                      <w:lang w:val="en-US" w:eastAsia="zh-CN"/>
                    </w:rPr>
                  </w:pPr>
                  <w:r>
                    <w:rPr>
                      <w:rFonts w:hint="eastAsia" w:cs="Times New Roman"/>
                      <w:color w:val="auto"/>
                      <w:sz w:val="21"/>
                      <w:szCs w:val="21"/>
                      <w:u w:val="none"/>
                      <w:lang w:val="en-US" w:eastAsia="zh-CN"/>
                    </w:rPr>
                    <w:t>新建</w:t>
                  </w:r>
                </w:p>
              </w:tc>
            </w:tr>
            <w:tr w14:paraId="7CC85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55" w:type="dxa"/>
                  <w:vMerge w:val="continue"/>
                  <w:tcBorders>
                    <w:tl2br w:val="nil"/>
                    <w:tr2bl w:val="nil"/>
                  </w:tcBorders>
                  <w:vAlign w:val="center"/>
                </w:tcPr>
                <w:p w14:paraId="0C92A6E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Cs w:val="21"/>
                      <w:u w:val="none"/>
                    </w:rPr>
                  </w:pPr>
                </w:p>
              </w:tc>
              <w:tc>
                <w:tcPr>
                  <w:tcW w:w="1113" w:type="dxa"/>
                  <w:vMerge w:val="restart"/>
                  <w:tcBorders>
                    <w:tl2br w:val="nil"/>
                    <w:tr2bl w:val="nil"/>
                  </w:tcBorders>
                  <w:vAlign w:val="center"/>
                </w:tcPr>
                <w:p w14:paraId="719E24A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Cs w:val="21"/>
                      <w:u w:val="none"/>
                    </w:rPr>
                  </w:pPr>
                  <w:r>
                    <w:rPr>
                      <w:rFonts w:ascii="Times New Roman" w:hAnsi="Times New Roman" w:cs="Times New Roman"/>
                      <w:bCs/>
                      <w:color w:val="auto"/>
                      <w:szCs w:val="21"/>
                      <w:u w:val="none"/>
                    </w:rPr>
                    <w:t>废水治理</w:t>
                  </w:r>
                </w:p>
              </w:tc>
              <w:tc>
                <w:tcPr>
                  <w:tcW w:w="5946" w:type="dxa"/>
                  <w:tcBorders>
                    <w:tl2br w:val="nil"/>
                    <w:tr2bl w:val="nil"/>
                  </w:tcBorders>
                  <w:vAlign w:val="center"/>
                </w:tcPr>
                <w:p w14:paraId="26D2A4B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生活污水经化粪池收集后由周边居民拉走用于农田施肥</w:t>
                  </w:r>
                </w:p>
              </w:tc>
              <w:tc>
                <w:tcPr>
                  <w:tcW w:w="884" w:type="dxa"/>
                  <w:vMerge w:val="continue"/>
                  <w:tcBorders>
                    <w:tl2br w:val="nil"/>
                    <w:tr2bl w:val="nil"/>
                  </w:tcBorders>
                  <w:vAlign w:val="center"/>
                </w:tcPr>
                <w:p w14:paraId="2D6FBCF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Cs w:val="21"/>
                      <w:u w:val="none"/>
                      <w:lang w:val="en-US" w:eastAsia="zh-CN"/>
                    </w:rPr>
                  </w:pPr>
                </w:p>
              </w:tc>
            </w:tr>
            <w:tr w14:paraId="06088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55" w:type="dxa"/>
                  <w:vMerge w:val="continue"/>
                  <w:tcBorders>
                    <w:tl2br w:val="nil"/>
                    <w:tr2bl w:val="nil"/>
                  </w:tcBorders>
                  <w:vAlign w:val="center"/>
                </w:tcPr>
                <w:p w14:paraId="6EAEBF2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Cs w:val="21"/>
                      <w:u w:val="none"/>
                    </w:rPr>
                  </w:pPr>
                </w:p>
              </w:tc>
              <w:tc>
                <w:tcPr>
                  <w:tcW w:w="1113" w:type="dxa"/>
                  <w:vMerge w:val="continue"/>
                  <w:tcBorders>
                    <w:tl2br w:val="nil"/>
                    <w:tr2bl w:val="nil"/>
                  </w:tcBorders>
                  <w:vAlign w:val="center"/>
                </w:tcPr>
                <w:p w14:paraId="2B47863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bCs/>
                      <w:color w:val="auto"/>
                      <w:szCs w:val="21"/>
                      <w:u w:val="none"/>
                    </w:rPr>
                  </w:pPr>
                </w:p>
              </w:tc>
              <w:tc>
                <w:tcPr>
                  <w:tcW w:w="5946" w:type="dxa"/>
                  <w:tcBorders>
                    <w:tl2br w:val="nil"/>
                    <w:tr2bl w:val="nil"/>
                  </w:tcBorders>
                  <w:vAlign w:val="center"/>
                </w:tcPr>
                <w:p w14:paraId="003846A1">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Cs w:val="21"/>
                      <w:u w:val="none"/>
                      <w:lang w:val="en-US" w:eastAsia="zh-CN"/>
                    </w:rPr>
                  </w:pPr>
                  <w:r>
                    <w:rPr>
                      <w:rFonts w:hint="eastAsia" w:cs="Times New Roman"/>
                      <w:color w:val="auto"/>
                      <w:szCs w:val="21"/>
                      <w:u w:val="none"/>
                      <w:lang w:val="en-US" w:eastAsia="zh-CN"/>
                    </w:rPr>
                    <w:t>机组发电时产生的</w:t>
                  </w:r>
                  <w:r>
                    <w:rPr>
                      <w:rFonts w:hint="eastAsia" w:ascii="Times New Roman" w:hAnsi="Times New Roman" w:eastAsia="宋体" w:cs="Times New Roman"/>
                      <w:color w:val="auto"/>
                      <w:szCs w:val="21"/>
                      <w:u w:val="none"/>
                      <w:lang w:val="en-US" w:eastAsia="zh-CN"/>
                    </w:rPr>
                    <w:t>冷凝水集中收集到</w:t>
                  </w:r>
                  <w:r>
                    <w:rPr>
                      <w:rFonts w:hint="eastAsia" w:cs="Times New Roman"/>
                      <w:color w:val="auto"/>
                      <w:szCs w:val="21"/>
                      <w:u w:val="none"/>
                      <w:lang w:val="en-US" w:eastAsia="zh-CN"/>
                    </w:rPr>
                    <w:t>贮</w:t>
                  </w:r>
                  <w:r>
                    <w:rPr>
                      <w:rFonts w:hint="eastAsia" w:ascii="Times New Roman" w:hAnsi="Times New Roman" w:eastAsia="宋体" w:cs="Times New Roman"/>
                      <w:color w:val="auto"/>
                      <w:szCs w:val="21"/>
                      <w:u w:val="none"/>
                      <w:lang w:val="en-US" w:eastAsia="zh-CN"/>
                    </w:rPr>
                    <w:t>水池</w:t>
                  </w:r>
                  <w:r>
                    <w:rPr>
                      <w:rFonts w:hint="eastAsia" w:cs="Times New Roman"/>
                      <w:color w:val="auto"/>
                      <w:szCs w:val="21"/>
                      <w:u w:val="none"/>
                      <w:lang w:val="en-US" w:eastAsia="zh-CN"/>
                    </w:rPr>
                    <w:t>（20m</w:t>
                  </w:r>
                  <w:r>
                    <w:rPr>
                      <w:rFonts w:hint="eastAsia" w:cs="Times New Roman"/>
                      <w:color w:val="auto"/>
                      <w:szCs w:val="21"/>
                      <w:u w:val="none"/>
                      <w:vertAlign w:val="superscript"/>
                      <w:lang w:val="en-US" w:eastAsia="zh-CN"/>
                    </w:rPr>
                    <w:t>3</w:t>
                  </w:r>
                  <w:r>
                    <w:rPr>
                      <w:rFonts w:hint="eastAsia" w:cs="Times New Roman"/>
                      <w:color w:val="auto"/>
                      <w:szCs w:val="21"/>
                      <w:u w:val="none"/>
                      <w:lang w:val="en-US" w:eastAsia="zh-CN"/>
                    </w:rPr>
                    <w:t>）</w:t>
                  </w:r>
                  <w:r>
                    <w:rPr>
                      <w:rFonts w:hint="eastAsia" w:ascii="Times New Roman" w:hAnsi="Times New Roman" w:eastAsia="宋体" w:cs="Times New Roman"/>
                      <w:color w:val="auto"/>
                      <w:szCs w:val="21"/>
                      <w:u w:val="none"/>
                      <w:lang w:val="en-US" w:eastAsia="zh-CN"/>
                    </w:rPr>
                    <w:t>中进行</w:t>
                  </w:r>
                </w:p>
                <w:p w14:paraId="7732440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日常场地降尘洒水。</w:t>
                  </w:r>
                </w:p>
              </w:tc>
              <w:tc>
                <w:tcPr>
                  <w:tcW w:w="884" w:type="dxa"/>
                  <w:vMerge w:val="continue"/>
                  <w:tcBorders>
                    <w:tl2br w:val="nil"/>
                    <w:tr2bl w:val="nil"/>
                  </w:tcBorders>
                  <w:vAlign w:val="center"/>
                </w:tcPr>
                <w:p w14:paraId="2D1F339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Cs w:val="21"/>
                      <w:u w:val="none"/>
                      <w:lang w:val="en-US" w:eastAsia="zh-CN"/>
                    </w:rPr>
                  </w:pPr>
                </w:p>
              </w:tc>
            </w:tr>
            <w:tr w14:paraId="33FD0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455" w:type="dxa"/>
                  <w:vMerge w:val="continue"/>
                  <w:tcBorders>
                    <w:tl2br w:val="nil"/>
                    <w:tr2bl w:val="nil"/>
                  </w:tcBorders>
                  <w:vAlign w:val="center"/>
                </w:tcPr>
                <w:p w14:paraId="6ECC5EF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Cs w:val="21"/>
                      <w:u w:val="none"/>
                    </w:rPr>
                  </w:pPr>
                </w:p>
              </w:tc>
              <w:tc>
                <w:tcPr>
                  <w:tcW w:w="1113" w:type="dxa"/>
                  <w:tcBorders>
                    <w:tl2br w:val="nil"/>
                    <w:tr2bl w:val="nil"/>
                  </w:tcBorders>
                  <w:vAlign w:val="center"/>
                </w:tcPr>
                <w:p w14:paraId="2567A39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Cs w:val="21"/>
                      <w:u w:val="none"/>
                    </w:rPr>
                  </w:pPr>
                  <w:r>
                    <w:rPr>
                      <w:rFonts w:ascii="Times New Roman" w:hAnsi="Times New Roman" w:cs="Times New Roman"/>
                      <w:bCs/>
                      <w:color w:val="auto"/>
                      <w:szCs w:val="21"/>
                      <w:u w:val="none"/>
                    </w:rPr>
                    <w:t>噪声治理</w:t>
                  </w:r>
                </w:p>
              </w:tc>
              <w:tc>
                <w:tcPr>
                  <w:tcW w:w="5946" w:type="dxa"/>
                  <w:tcBorders>
                    <w:tl2br w:val="nil"/>
                    <w:tr2bl w:val="nil"/>
                  </w:tcBorders>
                  <w:vAlign w:val="center"/>
                </w:tcPr>
                <w:p w14:paraId="34BB30B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Cs w:val="21"/>
                      <w:u w:val="none"/>
                    </w:rPr>
                  </w:pPr>
                  <w:r>
                    <w:rPr>
                      <w:rFonts w:hint="eastAsia" w:ascii="Times New Roman" w:hAnsi="Times New Roman" w:eastAsia="宋体" w:cs="Times New Roman"/>
                      <w:color w:val="auto"/>
                      <w:szCs w:val="21"/>
                      <w:u w:val="none"/>
                      <w:lang w:val="en-US" w:eastAsia="zh-CN"/>
                    </w:rPr>
                    <w:t>在发电机组燃料后出气口安装消声器，撬装式发电机组内壁设吸声材料</w:t>
                  </w:r>
                </w:p>
              </w:tc>
              <w:tc>
                <w:tcPr>
                  <w:tcW w:w="884" w:type="dxa"/>
                  <w:vMerge w:val="continue"/>
                  <w:tcBorders>
                    <w:tl2br w:val="nil"/>
                    <w:tr2bl w:val="nil"/>
                  </w:tcBorders>
                  <w:vAlign w:val="center"/>
                </w:tcPr>
                <w:p w14:paraId="1BA7C52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Cs w:val="21"/>
                      <w:u w:val="none"/>
                      <w:lang w:val="en-US" w:eastAsia="zh-CN"/>
                    </w:rPr>
                  </w:pPr>
                </w:p>
              </w:tc>
            </w:tr>
            <w:tr w14:paraId="0DC6A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8" w:hRule="atLeast"/>
                <w:jc w:val="center"/>
              </w:trPr>
              <w:tc>
                <w:tcPr>
                  <w:tcW w:w="455" w:type="dxa"/>
                  <w:vMerge w:val="continue"/>
                  <w:tcBorders>
                    <w:tl2br w:val="nil"/>
                    <w:tr2bl w:val="nil"/>
                  </w:tcBorders>
                  <w:vAlign w:val="center"/>
                </w:tcPr>
                <w:p w14:paraId="69FFC4F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Cs w:val="21"/>
                      <w:u w:val="none"/>
                    </w:rPr>
                  </w:pPr>
                </w:p>
              </w:tc>
              <w:tc>
                <w:tcPr>
                  <w:tcW w:w="1113" w:type="dxa"/>
                  <w:tcBorders>
                    <w:tl2br w:val="nil"/>
                    <w:tr2bl w:val="nil"/>
                  </w:tcBorders>
                  <w:vAlign w:val="center"/>
                </w:tcPr>
                <w:p w14:paraId="27EF2C2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Cs w:val="21"/>
                      <w:u w:val="none"/>
                    </w:rPr>
                  </w:pPr>
                  <w:r>
                    <w:rPr>
                      <w:rFonts w:ascii="Times New Roman" w:hAnsi="Times New Roman" w:cs="Times New Roman"/>
                      <w:bCs/>
                      <w:color w:val="auto"/>
                      <w:szCs w:val="21"/>
                      <w:u w:val="none"/>
                    </w:rPr>
                    <w:t>固废处置</w:t>
                  </w:r>
                </w:p>
              </w:tc>
              <w:tc>
                <w:tcPr>
                  <w:tcW w:w="5946" w:type="dxa"/>
                  <w:tcBorders>
                    <w:tl2br w:val="nil"/>
                    <w:tr2bl w:val="nil"/>
                  </w:tcBorders>
                  <w:vAlign w:val="center"/>
                </w:tcPr>
                <w:p w14:paraId="1AADE45C">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Cs w:val="21"/>
                      <w:highlight w:val="yellow"/>
                      <w:u w:val="none"/>
                      <w:lang w:val="en-US" w:eastAsia="zh-CN"/>
                    </w:rPr>
                  </w:pPr>
                  <w:r>
                    <w:rPr>
                      <w:rFonts w:hint="eastAsia" w:ascii="Times New Roman" w:hAnsi="Times New Roman" w:eastAsia="宋体" w:cs="Times New Roman"/>
                      <w:color w:val="auto"/>
                      <w:kern w:val="2"/>
                      <w:sz w:val="21"/>
                      <w:szCs w:val="21"/>
                      <w:highlight w:val="none"/>
                      <w:u w:val="none"/>
                      <w:lang w:val="en-US" w:eastAsia="zh-CN" w:bidi="ar-SA"/>
                    </w:rPr>
                    <w:t>生活垃圾经本公司圾桶（箱）收集后交由环卫部门处理，送往当地垃圾中转站；废机油</w:t>
                  </w:r>
                  <w:r>
                    <w:rPr>
                      <w:rFonts w:hint="eastAsia" w:ascii="Times New Roman" w:hAnsi="Times New Roman" w:cs="Times New Roman"/>
                      <w:color w:val="auto"/>
                      <w:kern w:val="2"/>
                      <w:sz w:val="21"/>
                      <w:szCs w:val="21"/>
                      <w:highlight w:val="none"/>
                      <w:u w:val="none"/>
                      <w:lang w:val="en-US" w:eastAsia="zh-CN" w:bidi="ar-SA"/>
                    </w:rPr>
                    <w:t>、油桶</w:t>
                  </w:r>
                  <w:r>
                    <w:rPr>
                      <w:rFonts w:hint="eastAsia" w:ascii="Times New Roman" w:hAnsi="Times New Roman" w:eastAsia="宋体" w:cs="Times New Roman"/>
                      <w:color w:val="auto"/>
                      <w:kern w:val="2"/>
                      <w:sz w:val="21"/>
                      <w:szCs w:val="21"/>
                      <w:highlight w:val="none"/>
                      <w:u w:val="none"/>
                      <w:lang w:val="en-US" w:eastAsia="zh-CN" w:bidi="ar-SA"/>
                    </w:rPr>
                    <w:t>等危险废物暂存于危废间，定期交由有资质单位安全处置。</w:t>
                  </w:r>
                </w:p>
              </w:tc>
              <w:tc>
                <w:tcPr>
                  <w:tcW w:w="884" w:type="dxa"/>
                  <w:vMerge w:val="continue"/>
                  <w:tcBorders>
                    <w:tl2br w:val="nil"/>
                    <w:tr2bl w:val="nil"/>
                  </w:tcBorders>
                  <w:vAlign w:val="center"/>
                </w:tcPr>
                <w:p w14:paraId="23F553AD">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kern w:val="2"/>
                      <w:sz w:val="21"/>
                      <w:szCs w:val="21"/>
                      <w:highlight w:val="none"/>
                      <w:u w:val="none"/>
                      <w:lang w:val="en-US" w:eastAsia="zh-CN" w:bidi="ar-SA"/>
                    </w:rPr>
                  </w:pPr>
                </w:p>
              </w:tc>
            </w:tr>
          </w:tbl>
          <w:p w14:paraId="21627B59">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ascii="Times New Roman" w:hAnsi="Times New Roman" w:cs="Times New Roman"/>
                <w:b/>
                <w:color w:val="auto"/>
                <w:sz w:val="24"/>
                <w:u w:val="none"/>
              </w:rPr>
            </w:pPr>
            <w:r>
              <w:rPr>
                <w:rFonts w:hint="eastAsia" w:cs="Times New Roman"/>
                <w:b/>
                <w:color w:val="auto"/>
                <w:sz w:val="24"/>
                <w:u w:val="none"/>
                <w:lang w:val="en-US" w:eastAsia="zh-CN"/>
              </w:rPr>
              <w:t>6、</w:t>
            </w:r>
            <w:r>
              <w:rPr>
                <w:rFonts w:ascii="Times New Roman" w:hAnsi="Times New Roman" w:cs="Times New Roman"/>
                <w:b/>
                <w:color w:val="auto"/>
                <w:sz w:val="24"/>
                <w:u w:val="none"/>
              </w:rPr>
              <w:t>主要生产设备</w:t>
            </w:r>
          </w:p>
          <w:p w14:paraId="0752EC6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cs="Times New Roman"/>
                <w:color w:val="auto"/>
                <w:sz w:val="24"/>
                <w:u w:val="none"/>
              </w:rPr>
            </w:pPr>
            <w:r>
              <w:rPr>
                <w:rFonts w:ascii="Times New Roman" w:hAnsi="Times New Roman" w:cs="Times New Roman"/>
                <w:color w:val="auto"/>
                <w:sz w:val="24"/>
                <w:u w:val="none"/>
              </w:rPr>
              <w:t>本项目生产过程主要使用的设备见下表。</w:t>
            </w:r>
          </w:p>
          <w:p w14:paraId="1F56451F">
            <w:pPr>
              <w:jc w:val="center"/>
              <w:rPr>
                <w:rFonts w:hint="eastAsia"/>
                <w:b/>
                <w:bCs/>
                <w:color w:val="auto"/>
                <w:sz w:val="32"/>
                <w:szCs w:val="32"/>
                <w:u w:val="none"/>
              </w:rPr>
            </w:pPr>
            <w:r>
              <w:rPr>
                <w:rFonts w:hint="eastAsia" w:ascii="Times New Roman" w:hAnsi="Times New Roman" w:eastAsia="黑体" w:cs="Times New Roman"/>
                <w:b w:val="0"/>
                <w:color w:val="auto"/>
                <w:kern w:val="2"/>
                <w:sz w:val="24"/>
                <w:szCs w:val="24"/>
                <w:u w:val="none"/>
                <w:lang w:val="en-US" w:eastAsia="zh-CN" w:bidi="ar-SA"/>
              </w:rPr>
              <w:t>表</w:t>
            </w:r>
            <w:r>
              <w:rPr>
                <w:rFonts w:hint="eastAsia" w:eastAsia="黑体" w:cs="Times New Roman"/>
                <w:b w:val="0"/>
                <w:color w:val="auto"/>
                <w:kern w:val="2"/>
                <w:sz w:val="24"/>
                <w:szCs w:val="24"/>
                <w:u w:val="none"/>
                <w:lang w:val="en-US" w:eastAsia="zh-CN" w:bidi="ar-SA"/>
              </w:rPr>
              <w:t>2-4</w:t>
            </w:r>
            <w:r>
              <w:rPr>
                <w:rFonts w:hint="eastAsia" w:ascii="Times New Roman" w:hAnsi="Times New Roman" w:eastAsia="黑体" w:cs="Times New Roman"/>
                <w:b w:val="0"/>
                <w:color w:val="auto"/>
                <w:kern w:val="2"/>
                <w:sz w:val="24"/>
                <w:szCs w:val="24"/>
                <w:u w:val="none"/>
                <w:lang w:val="en-US" w:eastAsia="zh-CN" w:bidi="ar-SA"/>
              </w:rPr>
              <w:t xml:space="preserve"> </w:t>
            </w:r>
            <w:r>
              <w:rPr>
                <w:rFonts w:hint="eastAsia" w:eastAsia="黑体" w:cs="Times New Roman"/>
                <w:b w:val="0"/>
                <w:color w:val="auto"/>
                <w:kern w:val="2"/>
                <w:sz w:val="24"/>
                <w:szCs w:val="24"/>
                <w:highlight w:val="none"/>
                <w:u w:val="none"/>
                <w:lang w:val="en-US" w:eastAsia="zh-CN" w:bidi="ar-SA"/>
              </w:rPr>
              <w:t>本</w:t>
            </w:r>
            <w:r>
              <w:rPr>
                <w:rFonts w:hint="eastAsia" w:ascii="Times New Roman" w:hAnsi="Times New Roman" w:eastAsia="黑体" w:cs="Times New Roman"/>
                <w:color w:val="auto"/>
                <w:kern w:val="2"/>
                <w:sz w:val="24"/>
                <w:szCs w:val="24"/>
                <w:highlight w:val="none"/>
                <w:u w:val="none"/>
                <w:lang w:val="en-US" w:eastAsia="zh-CN" w:bidi="ar-SA"/>
              </w:rPr>
              <w:t>项目</w:t>
            </w:r>
            <w:r>
              <w:rPr>
                <w:rFonts w:hint="eastAsia" w:ascii="Times New Roman" w:hAnsi="Times New Roman" w:eastAsia="黑体" w:cs="Times New Roman"/>
                <w:color w:val="auto"/>
                <w:kern w:val="2"/>
                <w:sz w:val="24"/>
                <w:szCs w:val="24"/>
                <w:u w:val="none"/>
                <w:lang w:val="en-US" w:eastAsia="zh-CN" w:bidi="ar-SA"/>
              </w:rPr>
              <w:t>主要设备一览表</w:t>
            </w:r>
          </w:p>
          <w:tbl>
            <w:tblPr>
              <w:tblStyle w:val="32"/>
              <w:tblW w:w="7858" w:type="dxa"/>
              <w:jc w:val="center"/>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20"/>
              <w:gridCol w:w="2976"/>
              <w:gridCol w:w="2231"/>
              <w:gridCol w:w="858"/>
              <w:gridCol w:w="873"/>
            </w:tblGrid>
            <w:tr w14:paraId="630899A7">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8" w:hRule="exact"/>
                <w:jc w:val="center"/>
              </w:trPr>
              <w:tc>
                <w:tcPr>
                  <w:tcW w:w="920" w:type="dxa"/>
                  <w:tcBorders>
                    <w:tl2br w:val="nil"/>
                    <w:tr2bl w:val="nil"/>
                  </w:tcBorders>
                  <w:vAlign w:val="center"/>
                </w:tcPr>
                <w:p w14:paraId="35FDAB3D">
                  <w:pPr>
                    <w:jc w:val="center"/>
                    <w:rPr>
                      <w:rFonts w:hint="eastAsia" w:ascii="Times New Roman" w:hAnsi="Times New Roman" w:cs="Times New Roman"/>
                      <w:b/>
                      <w:color w:val="auto"/>
                      <w:kern w:val="0"/>
                      <w:szCs w:val="21"/>
                      <w:u w:val="none"/>
                    </w:rPr>
                  </w:pPr>
                  <w:r>
                    <w:rPr>
                      <w:rFonts w:hint="eastAsia" w:ascii="Times New Roman" w:hAnsi="Times New Roman" w:cs="Times New Roman"/>
                      <w:b/>
                      <w:color w:val="auto"/>
                      <w:kern w:val="0"/>
                      <w:szCs w:val="21"/>
                      <w:u w:val="none"/>
                      <w:lang w:val="en-US" w:eastAsia="zh-CN"/>
                    </w:rPr>
                    <w:t>序号</w:t>
                  </w:r>
                </w:p>
              </w:tc>
              <w:tc>
                <w:tcPr>
                  <w:tcW w:w="2976" w:type="dxa"/>
                  <w:tcBorders>
                    <w:tl2br w:val="nil"/>
                    <w:tr2bl w:val="nil"/>
                  </w:tcBorders>
                  <w:vAlign w:val="center"/>
                </w:tcPr>
                <w:p w14:paraId="5653192B">
                  <w:pPr>
                    <w:jc w:val="center"/>
                    <w:rPr>
                      <w:rFonts w:hint="eastAsia" w:ascii="Times New Roman" w:hAnsi="Times New Roman" w:cs="Times New Roman"/>
                      <w:b/>
                      <w:color w:val="auto"/>
                      <w:kern w:val="0"/>
                      <w:szCs w:val="21"/>
                      <w:u w:val="none"/>
                    </w:rPr>
                  </w:pPr>
                  <w:r>
                    <w:rPr>
                      <w:rFonts w:hint="eastAsia" w:ascii="Times New Roman" w:hAnsi="Times New Roman" w:cs="Times New Roman"/>
                      <w:b/>
                      <w:color w:val="auto"/>
                      <w:kern w:val="0"/>
                      <w:szCs w:val="21"/>
                      <w:u w:val="none"/>
                      <w:lang w:val="en-US" w:eastAsia="zh-CN"/>
                    </w:rPr>
                    <w:t>名称</w:t>
                  </w:r>
                </w:p>
              </w:tc>
              <w:tc>
                <w:tcPr>
                  <w:tcW w:w="2231" w:type="dxa"/>
                  <w:tcBorders>
                    <w:tl2br w:val="nil"/>
                    <w:tr2bl w:val="nil"/>
                  </w:tcBorders>
                  <w:vAlign w:val="center"/>
                </w:tcPr>
                <w:p w14:paraId="3B778981">
                  <w:pPr>
                    <w:jc w:val="center"/>
                    <w:rPr>
                      <w:rFonts w:hint="eastAsia" w:ascii="Times New Roman" w:hAnsi="Times New Roman" w:cs="Times New Roman"/>
                      <w:b/>
                      <w:color w:val="auto"/>
                      <w:kern w:val="0"/>
                      <w:szCs w:val="21"/>
                      <w:u w:val="none"/>
                    </w:rPr>
                  </w:pPr>
                  <w:r>
                    <w:rPr>
                      <w:rFonts w:hint="eastAsia" w:ascii="Times New Roman" w:hAnsi="Times New Roman" w:cs="Times New Roman"/>
                      <w:b/>
                      <w:color w:val="auto"/>
                      <w:kern w:val="0"/>
                      <w:szCs w:val="21"/>
                      <w:u w:val="none"/>
                      <w:lang w:val="en-US" w:eastAsia="zh-CN"/>
                    </w:rPr>
                    <w:t>型号/规格</w:t>
                  </w:r>
                </w:p>
              </w:tc>
              <w:tc>
                <w:tcPr>
                  <w:tcW w:w="858" w:type="dxa"/>
                  <w:tcBorders>
                    <w:tl2br w:val="nil"/>
                    <w:tr2bl w:val="nil"/>
                  </w:tcBorders>
                  <w:vAlign w:val="center"/>
                </w:tcPr>
                <w:p w14:paraId="01CC2725">
                  <w:pPr>
                    <w:jc w:val="center"/>
                    <w:rPr>
                      <w:rFonts w:hint="eastAsia" w:ascii="Times New Roman" w:hAnsi="Times New Roman" w:cs="Times New Roman"/>
                      <w:b/>
                      <w:color w:val="auto"/>
                      <w:kern w:val="0"/>
                      <w:szCs w:val="21"/>
                      <w:u w:val="none"/>
                    </w:rPr>
                  </w:pPr>
                  <w:r>
                    <w:rPr>
                      <w:rFonts w:hint="eastAsia" w:ascii="Times New Roman" w:hAnsi="Times New Roman" w:cs="Times New Roman"/>
                      <w:b/>
                      <w:color w:val="auto"/>
                      <w:kern w:val="0"/>
                      <w:szCs w:val="21"/>
                      <w:u w:val="none"/>
                      <w:lang w:val="en-US" w:eastAsia="zh-CN"/>
                    </w:rPr>
                    <w:t>单位</w:t>
                  </w:r>
                </w:p>
              </w:tc>
              <w:tc>
                <w:tcPr>
                  <w:tcW w:w="873" w:type="dxa"/>
                  <w:tcBorders>
                    <w:tl2br w:val="nil"/>
                    <w:tr2bl w:val="nil"/>
                  </w:tcBorders>
                  <w:vAlign w:val="center"/>
                </w:tcPr>
                <w:p w14:paraId="7C09DE7C">
                  <w:pPr>
                    <w:jc w:val="center"/>
                    <w:rPr>
                      <w:rFonts w:hint="eastAsia" w:ascii="Times New Roman" w:hAnsi="Times New Roman" w:cs="Times New Roman"/>
                      <w:b/>
                      <w:color w:val="auto"/>
                      <w:kern w:val="0"/>
                      <w:szCs w:val="21"/>
                      <w:u w:val="none"/>
                    </w:rPr>
                  </w:pPr>
                  <w:r>
                    <w:rPr>
                      <w:rFonts w:hint="eastAsia" w:ascii="Times New Roman" w:hAnsi="Times New Roman" w:cs="Times New Roman"/>
                      <w:b/>
                      <w:color w:val="auto"/>
                      <w:kern w:val="0"/>
                      <w:szCs w:val="21"/>
                      <w:u w:val="none"/>
                      <w:lang w:val="en-US" w:eastAsia="zh-CN"/>
                    </w:rPr>
                    <w:t>数量</w:t>
                  </w:r>
                </w:p>
              </w:tc>
            </w:tr>
            <w:tr w14:paraId="72929962">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30DB6AEF">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w:t>
                  </w:r>
                </w:p>
              </w:tc>
              <w:tc>
                <w:tcPr>
                  <w:tcW w:w="2976" w:type="dxa"/>
                  <w:tcBorders>
                    <w:tl2br w:val="nil"/>
                    <w:tr2bl w:val="nil"/>
                  </w:tcBorders>
                  <w:vAlign w:val="center"/>
                </w:tcPr>
                <w:p w14:paraId="65D2C5D9">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发电机组</w:t>
                  </w:r>
                </w:p>
              </w:tc>
              <w:tc>
                <w:tcPr>
                  <w:tcW w:w="2231" w:type="dxa"/>
                  <w:tcBorders>
                    <w:tl2br w:val="nil"/>
                    <w:tr2bl w:val="nil"/>
                  </w:tcBorders>
                  <w:vAlign w:val="center"/>
                </w:tcPr>
                <w:p w14:paraId="71E9FF1B">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w:t>
                  </w:r>
                </w:p>
              </w:tc>
              <w:tc>
                <w:tcPr>
                  <w:tcW w:w="858" w:type="dxa"/>
                  <w:tcBorders>
                    <w:tl2br w:val="nil"/>
                    <w:tr2bl w:val="nil"/>
                  </w:tcBorders>
                  <w:vAlign w:val="center"/>
                </w:tcPr>
                <w:p w14:paraId="0E4616A2">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套</w:t>
                  </w:r>
                </w:p>
              </w:tc>
              <w:tc>
                <w:tcPr>
                  <w:tcW w:w="873" w:type="dxa"/>
                  <w:tcBorders>
                    <w:tl2br w:val="nil"/>
                    <w:tr2bl w:val="nil"/>
                  </w:tcBorders>
                  <w:vAlign w:val="center"/>
                </w:tcPr>
                <w:p w14:paraId="63C619ED">
                  <w:pPr>
                    <w:jc w:val="center"/>
                    <w:rPr>
                      <w:rFonts w:hint="eastAsia" w:ascii="Times New Roman" w:hAnsi="Times New Roman" w:eastAsia="宋体" w:cs="Times New Roman"/>
                      <w:color w:val="auto"/>
                      <w:kern w:val="0"/>
                      <w:szCs w:val="21"/>
                      <w:u w:val="none"/>
                      <w:lang w:val="en-US" w:eastAsia="zh-CN"/>
                    </w:rPr>
                  </w:pPr>
                  <w:r>
                    <w:rPr>
                      <w:rFonts w:hint="eastAsia" w:cs="Times New Roman"/>
                      <w:color w:val="auto"/>
                      <w:kern w:val="0"/>
                      <w:szCs w:val="21"/>
                      <w:u w:val="none"/>
                      <w:lang w:val="en-US" w:eastAsia="zh-CN"/>
                    </w:rPr>
                    <w:t>4</w:t>
                  </w:r>
                </w:p>
              </w:tc>
            </w:tr>
            <w:tr w14:paraId="1353D6A2">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60511857">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2</w:t>
                  </w:r>
                </w:p>
              </w:tc>
              <w:tc>
                <w:tcPr>
                  <w:tcW w:w="2976" w:type="dxa"/>
                  <w:tcBorders>
                    <w:tl2br w:val="nil"/>
                    <w:tr2bl w:val="nil"/>
                  </w:tcBorders>
                  <w:vAlign w:val="center"/>
                </w:tcPr>
                <w:p w14:paraId="421685B8">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卧式多风扇水箱</w:t>
                  </w:r>
                </w:p>
              </w:tc>
              <w:tc>
                <w:tcPr>
                  <w:tcW w:w="2231" w:type="dxa"/>
                  <w:tcBorders>
                    <w:tl2br w:val="nil"/>
                    <w:tr2bl w:val="nil"/>
                  </w:tcBorders>
                  <w:vAlign w:val="center"/>
                </w:tcPr>
                <w:p w14:paraId="2A3DBB88">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w:t>
                  </w:r>
                </w:p>
              </w:tc>
              <w:tc>
                <w:tcPr>
                  <w:tcW w:w="858" w:type="dxa"/>
                  <w:tcBorders>
                    <w:tl2br w:val="nil"/>
                    <w:tr2bl w:val="nil"/>
                  </w:tcBorders>
                  <w:vAlign w:val="center"/>
                </w:tcPr>
                <w:p w14:paraId="082BB6BC">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套</w:t>
                  </w:r>
                </w:p>
              </w:tc>
              <w:tc>
                <w:tcPr>
                  <w:tcW w:w="873" w:type="dxa"/>
                  <w:tcBorders>
                    <w:tl2br w:val="nil"/>
                    <w:tr2bl w:val="nil"/>
                  </w:tcBorders>
                  <w:vAlign w:val="center"/>
                </w:tcPr>
                <w:p w14:paraId="60A69817">
                  <w:pPr>
                    <w:jc w:val="center"/>
                    <w:rPr>
                      <w:rFonts w:hint="eastAsia" w:ascii="Times New Roman" w:hAnsi="Times New Roman" w:eastAsia="宋体" w:cs="Times New Roman"/>
                      <w:color w:val="auto"/>
                      <w:kern w:val="0"/>
                      <w:szCs w:val="21"/>
                      <w:u w:val="none"/>
                      <w:lang w:val="en-US" w:eastAsia="zh-CN"/>
                    </w:rPr>
                  </w:pPr>
                  <w:r>
                    <w:rPr>
                      <w:rFonts w:hint="eastAsia" w:cs="Times New Roman"/>
                      <w:color w:val="auto"/>
                      <w:kern w:val="0"/>
                      <w:szCs w:val="21"/>
                      <w:u w:val="none"/>
                      <w:lang w:val="en-US" w:eastAsia="zh-CN"/>
                    </w:rPr>
                    <w:t>4</w:t>
                  </w:r>
                </w:p>
              </w:tc>
            </w:tr>
            <w:tr w14:paraId="010E5BD9">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25D935D8">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3</w:t>
                  </w:r>
                </w:p>
              </w:tc>
              <w:tc>
                <w:tcPr>
                  <w:tcW w:w="2976" w:type="dxa"/>
                  <w:tcBorders>
                    <w:tl2br w:val="nil"/>
                    <w:tr2bl w:val="nil"/>
                  </w:tcBorders>
                  <w:vAlign w:val="center"/>
                </w:tcPr>
                <w:p w14:paraId="647FAA4C">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风冷冷水机组</w:t>
                  </w:r>
                </w:p>
              </w:tc>
              <w:tc>
                <w:tcPr>
                  <w:tcW w:w="2231" w:type="dxa"/>
                  <w:tcBorders>
                    <w:tl2br w:val="nil"/>
                    <w:tr2bl w:val="nil"/>
                  </w:tcBorders>
                  <w:vAlign w:val="center"/>
                </w:tcPr>
                <w:p w14:paraId="5ED7FA36">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w:t>
                  </w:r>
                </w:p>
              </w:tc>
              <w:tc>
                <w:tcPr>
                  <w:tcW w:w="858" w:type="dxa"/>
                  <w:tcBorders>
                    <w:tl2br w:val="nil"/>
                    <w:tr2bl w:val="nil"/>
                  </w:tcBorders>
                  <w:vAlign w:val="center"/>
                </w:tcPr>
                <w:p w14:paraId="0394D436">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套</w:t>
                  </w:r>
                </w:p>
              </w:tc>
              <w:tc>
                <w:tcPr>
                  <w:tcW w:w="873" w:type="dxa"/>
                  <w:tcBorders>
                    <w:tl2br w:val="nil"/>
                    <w:tr2bl w:val="nil"/>
                  </w:tcBorders>
                  <w:vAlign w:val="center"/>
                </w:tcPr>
                <w:p w14:paraId="6CA39F5F">
                  <w:pPr>
                    <w:jc w:val="center"/>
                    <w:rPr>
                      <w:rFonts w:hint="eastAsia" w:ascii="Times New Roman" w:hAnsi="Times New Roman" w:eastAsia="宋体" w:cs="Times New Roman"/>
                      <w:color w:val="auto"/>
                      <w:kern w:val="0"/>
                      <w:szCs w:val="21"/>
                      <w:u w:val="none"/>
                      <w:lang w:val="en-US" w:eastAsia="zh-CN"/>
                    </w:rPr>
                  </w:pPr>
                  <w:r>
                    <w:rPr>
                      <w:rFonts w:hint="eastAsia" w:cs="Times New Roman"/>
                      <w:color w:val="auto"/>
                      <w:kern w:val="0"/>
                      <w:szCs w:val="21"/>
                      <w:u w:val="none"/>
                      <w:lang w:val="en-US" w:eastAsia="zh-CN"/>
                    </w:rPr>
                    <w:t>4</w:t>
                  </w:r>
                </w:p>
              </w:tc>
            </w:tr>
            <w:tr w14:paraId="7F73288A">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5FB5096F">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4</w:t>
                  </w:r>
                </w:p>
              </w:tc>
              <w:tc>
                <w:tcPr>
                  <w:tcW w:w="2976" w:type="dxa"/>
                  <w:tcBorders>
                    <w:tl2br w:val="nil"/>
                    <w:tr2bl w:val="nil"/>
                  </w:tcBorders>
                  <w:vAlign w:val="center"/>
                </w:tcPr>
                <w:p w14:paraId="2CC2CC6C">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降温脱水模块（冷凝脱水器）</w:t>
                  </w:r>
                </w:p>
              </w:tc>
              <w:tc>
                <w:tcPr>
                  <w:tcW w:w="2231" w:type="dxa"/>
                  <w:tcBorders>
                    <w:tl2br w:val="nil"/>
                    <w:tr2bl w:val="nil"/>
                  </w:tcBorders>
                  <w:vAlign w:val="center"/>
                </w:tcPr>
                <w:p w14:paraId="57E88AE3">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w:t>
                  </w:r>
                </w:p>
              </w:tc>
              <w:tc>
                <w:tcPr>
                  <w:tcW w:w="858" w:type="dxa"/>
                  <w:tcBorders>
                    <w:tl2br w:val="nil"/>
                    <w:tr2bl w:val="nil"/>
                  </w:tcBorders>
                  <w:vAlign w:val="center"/>
                </w:tcPr>
                <w:p w14:paraId="6DAA11B1">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套</w:t>
                  </w:r>
                </w:p>
              </w:tc>
              <w:tc>
                <w:tcPr>
                  <w:tcW w:w="873" w:type="dxa"/>
                  <w:tcBorders>
                    <w:tl2br w:val="nil"/>
                    <w:tr2bl w:val="nil"/>
                  </w:tcBorders>
                  <w:vAlign w:val="center"/>
                </w:tcPr>
                <w:p w14:paraId="7E5B45FB">
                  <w:pPr>
                    <w:jc w:val="center"/>
                    <w:rPr>
                      <w:rFonts w:hint="eastAsia" w:ascii="Times New Roman" w:hAnsi="Times New Roman" w:eastAsia="宋体" w:cs="Times New Roman"/>
                      <w:color w:val="auto"/>
                      <w:kern w:val="0"/>
                      <w:szCs w:val="21"/>
                      <w:u w:val="none"/>
                      <w:lang w:val="en-US" w:eastAsia="zh-CN"/>
                    </w:rPr>
                  </w:pPr>
                  <w:r>
                    <w:rPr>
                      <w:rFonts w:hint="eastAsia" w:cs="Times New Roman"/>
                      <w:color w:val="auto"/>
                      <w:kern w:val="0"/>
                      <w:szCs w:val="21"/>
                      <w:u w:val="none"/>
                      <w:lang w:val="en-US" w:eastAsia="zh-CN"/>
                    </w:rPr>
                    <w:t>4</w:t>
                  </w:r>
                </w:p>
              </w:tc>
            </w:tr>
            <w:tr w14:paraId="7A53415C">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5DA5895A">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5</w:t>
                  </w:r>
                </w:p>
              </w:tc>
              <w:tc>
                <w:tcPr>
                  <w:tcW w:w="2976" w:type="dxa"/>
                  <w:tcBorders>
                    <w:tl2br w:val="nil"/>
                    <w:tr2bl w:val="nil"/>
                  </w:tcBorders>
                  <w:vAlign w:val="center"/>
                </w:tcPr>
                <w:p w14:paraId="33F87588">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单极单吸立式离心泵</w:t>
                  </w:r>
                </w:p>
              </w:tc>
              <w:tc>
                <w:tcPr>
                  <w:tcW w:w="2231" w:type="dxa"/>
                  <w:tcBorders>
                    <w:tl2br w:val="nil"/>
                    <w:tr2bl w:val="nil"/>
                  </w:tcBorders>
                  <w:vAlign w:val="center"/>
                </w:tcPr>
                <w:p w14:paraId="0568A669">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w:t>
                  </w:r>
                </w:p>
              </w:tc>
              <w:tc>
                <w:tcPr>
                  <w:tcW w:w="858" w:type="dxa"/>
                  <w:tcBorders>
                    <w:tl2br w:val="nil"/>
                    <w:tr2bl w:val="nil"/>
                  </w:tcBorders>
                  <w:vAlign w:val="center"/>
                </w:tcPr>
                <w:p w14:paraId="1DB156AA">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台</w:t>
                  </w:r>
                </w:p>
              </w:tc>
              <w:tc>
                <w:tcPr>
                  <w:tcW w:w="873" w:type="dxa"/>
                  <w:tcBorders>
                    <w:tl2br w:val="nil"/>
                    <w:tr2bl w:val="nil"/>
                  </w:tcBorders>
                  <w:vAlign w:val="center"/>
                </w:tcPr>
                <w:p w14:paraId="6EC27137">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4</w:t>
                  </w:r>
                </w:p>
              </w:tc>
            </w:tr>
            <w:tr w14:paraId="7E42AAC7">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7818CC70">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6</w:t>
                  </w:r>
                </w:p>
              </w:tc>
              <w:tc>
                <w:tcPr>
                  <w:tcW w:w="2976" w:type="dxa"/>
                  <w:tcBorders>
                    <w:tl2br w:val="nil"/>
                    <w:tr2bl w:val="nil"/>
                  </w:tcBorders>
                  <w:vAlign w:val="center"/>
                </w:tcPr>
                <w:p w14:paraId="1B387C0C">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旋风气液分离器</w:t>
                  </w:r>
                </w:p>
              </w:tc>
              <w:tc>
                <w:tcPr>
                  <w:tcW w:w="2231" w:type="dxa"/>
                  <w:tcBorders>
                    <w:tl2br w:val="nil"/>
                    <w:tr2bl w:val="nil"/>
                  </w:tcBorders>
                  <w:vAlign w:val="center"/>
                </w:tcPr>
                <w:p w14:paraId="71879D8D">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DN300 PN10</w:t>
                  </w:r>
                </w:p>
              </w:tc>
              <w:tc>
                <w:tcPr>
                  <w:tcW w:w="858" w:type="dxa"/>
                  <w:tcBorders>
                    <w:tl2br w:val="nil"/>
                    <w:tr2bl w:val="nil"/>
                  </w:tcBorders>
                  <w:vAlign w:val="center"/>
                </w:tcPr>
                <w:p w14:paraId="7FA6376D">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套</w:t>
                  </w:r>
                </w:p>
              </w:tc>
              <w:tc>
                <w:tcPr>
                  <w:tcW w:w="873" w:type="dxa"/>
                  <w:tcBorders>
                    <w:tl2br w:val="nil"/>
                    <w:tr2bl w:val="nil"/>
                  </w:tcBorders>
                  <w:vAlign w:val="center"/>
                </w:tcPr>
                <w:p w14:paraId="0E88D866">
                  <w:pPr>
                    <w:jc w:val="center"/>
                    <w:rPr>
                      <w:rFonts w:hint="eastAsia" w:ascii="Times New Roman" w:hAnsi="Times New Roman" w:eastAsia="宋体" w:cs="Times New Roman"/>
                      <w:color w:val="auto"/>
                      <w:kern w:val="0"/>
                      <w:szCs w:val="21"/>
                      <w:u w:val="none"/>
                      <w:lang w:val="en-US" w:eastAsia="zh-CN"/>
                    </w:rPr>
                  </w:pPr>
                  <w:r>
                    <w:rPr>
                      <w:rFonts w:hint="eastAsia" w:cs="Times New Roman"/>
                      <w:color w:val="auto"/>
                      <w:kern w:val="0"/>
                      <w:szCs w:val="21"/>
                      <w:u w:val="none"/>
                      <w:lang w:val="en-US" w:eastAsia="zh-CN"/>
                    </w:rPr>
                    <w:t>4</w:t>
                  </w:r>
                </w:p>
              </w:tc>
            </w:tr>
            <w:tr w14:paraId="36D0E397">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7AD92115">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7</w:t>
                  </w:r>
                </w:p>
              </w:tc>
              <w:tc>
                <w:tcPr>
                  <w:tcW w:w="2976" w:type="dxa"/>
                  <w:tcBorders>
                    <w:tl2br w:val="nil"/>
                    <w:tr2bl w:val="nil"/>
                  </w:tcBorders>
                  <w:vAlign w:val="center"/>
                </w:tcPr>
                <w:p w14:paraId="2A4DE486">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进气阀组、管件</w:t>
                  </w:r>
                </w:p>
              </w:tc>
              <w:tc>
                <w:tcPr>
                  <w:tcW w:w="2231" w:type="dxa"/>
                  <w:tcBorders>
                    <w:tl2br w:val="nil"/>
                    <w:tr2bl w:val="nil"/>
                  </w:tcBorders>
                  <w:vAlign w:val="center"/>
                </w:tcPr>
                <w:p w14:paraId="5A4E75F3">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w:t>
                  </w:r>
                </w:p>
              </w:tc>
              <w:tc>
                <w:tcPr>
                  <w:tcW w:w="858" w:type="dxa"/>
                  <w:tcBorders>
                    <w:tl2br w:val="nil"/>
                    <w:tr2bl w:val="nil"/>
                  </w:tcBorders>
                  <w:vAlign w:val="center"/>
                </w:tcPr>
                <w:p w14:paraId="0B244054">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套</w:t>
                  </w:r>
                </w:p>
              </w:tc>
              <w:tc>
                <w:tcPr>
                  <w:tcW w:w="873" w:type="dxa"/>
                  <w:tcBorders>
                    <w:tl2br w:val="nil"/>
                    <w:tr2bl w:val="nil"/>
                  </w:tcBorders>
                  <w:vAlign w:val="center"/>
                </w:tcPr>
                <w:p w14:paraId="03BA39BD">
                  <w:pPr>
                    <w:jc w:val="center"/>
                    <w:rPr>
                      <w:rFonts w:hint="eastAsia" w:ascii="Times New Roman" w:hAnsi="Times New Roman" w:eastAsia="宋体" w:cs="Times New Roman"/>
                      <w:color w:val="auto"/>
                      <w:kern w:val="0"/>
                      <w:szCs w:val="21"/>
                      <w:u w:val="none"/>
                      <w:lang w:val="en-US" w:eastAsia="zh-CN"/>
                    </w:rPr>
                  </w:pPr>
                  <w:r>
                    <w:rPr>
                      <w:rFonts w:hint="eastAsia" w:cs="Times New Roman"/>
                      <w:color w:val="auto"/>
                      <w:kern w:val="0"/>
                      <w:szCs w:val="21"/>
                      <w:u w:val="none"/>
                      <w:lang w:val="en-US" w:eastAsia="zh-CN"/>
                    </w:rPr>
                    <w:t>4</w:t>
                  </w:r>
                </w:p>
              </w:tc>
            </w:tr>
            <w:tr w14:paraId="6F9BC225">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4602F447">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8</w:t>
                  </w:r>
                </w:p>
              </w:tc>
              <w:tc>
                <w:tcPr>
                  <w:tcW w:w="2976" w:type="dxa"/>
                  <w:tcBorders>
                    <w:tl2br w:val="nil"/>
                    <w:tr2bl w:val="nil"/>
                  </w:tcBorders>
                  <w:vAlign w:val="center"/>
                </w:tcPr>
                <w:p w14:paraId="0AF7E3CC">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就地控制系统</w:t>
                  </w:r>
                </w:p>
              </w:tc>
              <w:tc>
                <w:tcPr>
                  <w:tcW w:w="2231" w:type="dxa"/>
                  <w:tcBorders>
                    <w:tl2br w:val="nil"/>
                    <w:tr2bl w:val="nil"/>
                  </w:tcBorders>
                  <w:vAlign w:val="center"/>
                </w:tcPr>
                <w:p w14:paraId="758CC32D">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w:t>
                  </w:r>
                </w:p>
              </w:tc>
              <w:tc>
                <w:tcPr>
                  <w:tcW w:w="858" w:type="dxa"/>
                  <w:tcBorders>
                    <w:tl2br w:val="nil"/>
                    <w:tr2bl w:val="nil"/>
                  </w:tcBorders>
                  <w:vAlign w:val="center"/>
                </w:tcPr>
                <w:p w14:paraId="3CBF447E">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套</w:t>
                  </w:r>
                </w:p>
              </w:tc>
              <w:tc>
                <w:tcPr>
                  <w:tcW w:w="873" w:type="dxa"/>
                  <w:tcBorders>
                    <w:tl2br w:val="nil"/>
                    <w:tr2bl w:val="nil"/>
                  </w:tcBorders>
                  <w:vAlign w:val="center"/>
                </w:tcPr>
                <w:p w14:paraId="26D2046B">
                  <w:pPr>
                    <w:jc w:val="center"/>
                    <w:rPr>
                      <w:rFonts w:hint="eastAsia" w:ascii="Times New Roman" w:hAnsi="Times New Roman" w:eastAsia="宋体" w:cs="Times New Roman"/>
                      <w:color w:val="auto"/>
                      <w:kern w:val="0"/>
                      <w:szCs w:val="21"/>
                      <w:u w:val="none"/>
                      <w:lang w:val="en-US" w:eastAsia="zh-CN"/>
                    </w:rPr>
                  </w:pPr>
                  <w:r>
                    <w:rPr>
                      <w:rFonts w:hint="eastAsia" w:cs="Times New Roman"/>
                      <w:color w:val="auto"/>
                      <w:kern w:val="0"/>
                      <w:szCs w:val="21"/>
                      <w:u w:val="none"/>
                      <w:lang w:val="en-US" w:eastAsia="zh-CN"/>
                    </w:rPr>
                    <w:t>4</w:t>
                  </w:r>
                </w:p>
              </w:tc>
            </w:tr>
            <w:tr w14:paraId="5FB0862A">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4873DF40">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9</w:t>
                  </w:r>
                </w:p>
              </w:tc>
              <w:tc>
                <w:tcPr>
                  <w:tcW w:w="2976" w:type="dxa"/>
                  <w:tcBorders>
                    <w:tl2br w:val="nil"/>
                    <w:tr2bl w:val="nil"/>
                  </w:tcBorders>
                  <w:vAlign w:val="center"/>
                </w:tcPr>
                <w:p w14:paraId="31B87AC0">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远程控制柜</w:t>
                  </w:r>
                </w:p>
              </w:tc>
              <w:tc>
                <w:tcPr>
                  <w:tcW w:w="2231" w:type="dxa"/>
                  <w:tcBorders>
                    <w:tl2br w:val="nil"/>
                    <w:tr2bl w:val="nil"/>
                  </w:tcBorders>
                  <w:vAlign w:val="center"/>
                </w:tcPr>
                <w:p w14:paraId="7DE03934">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w:t>
                  </w:r>
                </w:p>
              </w:tc>
              <w:tc>
                <w:tcPr>
                  <w:tcW w:w="858" w:type="dxa"/>
                  <w:tcBorders>
                    <w:tl2br w:val="nil"/>
                    <w:tr2bl w:val="nil"/>
                  </w:tcBorders>
                  <w:vAlign w:val="center"/>
                </w:tcPr>
                <w:p w14:paraId="20373D6F">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套</w:t>
                  </w:r>
                </w:p>
              </w:tc>
              <w:tc>
                <w:tcPr>
                  <w:tcW w:w="873" w:type="dxa"/>
                  <w:tcBorders>
                    <w:tl2br w:val="nil"/>
                    <w:tr2bl w:val="nil"/>
                  </w:tcBorders>
                  <w:vAlign w:val="center"/>
                </w:tcPr>
                <w:p w14:paraId="529E01A8">
                  <w:pPr>
                    <w:jc w:val="center"/>
                    <w:rPr>
                      <w:rFonts w:hint="eastAsia" w:ascii="Times New Roman" w:hAnsi="Times New Roman" w:eastAsia="宋体" w:cs="Times New Roman"/>
                      <w:color w:val="auto"/>
                      <w:kern w:val="0"/>
                      <w:szCs w:val="21"/>
                      <w:u w:val="none"/>
                      <w:lang w:val="en-US" w:eastAsia="zh-CN"/>
                    </w:rPr>
                  </w:pPr>
                  <w:r>
                    <w:rPr>
                      <w:rFonts w:hint="eastAsia" w:cs="Times New Roman"/>
                      <w:color w:val="auto"/>
                      <w:kern w:val="0"/>
                      <w:szCs w:val="21"/>
                      <w:u w:val="none"/>
                      <w:lang w:val="en-US" w:eastAsia="zh-CN"/>
                    </w:rPr>
                    <w:t>4</w:t>
                  </w:r>
                </w:p>
              </w:tc>
            </w:tr>
            <w:tr w14:paraId="15D1D94E">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55F0DEA2">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10</w:t>
                  </w:r>
                </w:p>
              </w:tc>
              <w:tc>
                <w:tcPr>
                  <w:tcW w:w="2976" w:type="dxa"/>
                  <w:tcBorders>
                    <w:tl2br w:val="nil"/>
                    <w:tr2bl w:val="nil"/>
                  </w:tcBorders>
                  <w:vAlign w:val="center"/>
                </w:tcPr>
                <w:p w14:paraId="06BDB615">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远程集中控制系统</w:t>
                  </w:r>
                </w:p>
              </w:tc>
              <w:tc>
                <w:tcPr>
                  <w:tcW w:w="2231" w:type="dxa"/>
                  <w:tcBorders>
                    <w:tl2br w:val="nil"/>
                    <w:tr2bl w:val="nil"/>
                  </w:tcBorders>
                  <w:vAlign w:val="center"/>
                </w:tcPr>
                <w:p w14:paraId="0629E5EE">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w:t>
                  </w:r>
                </w:p>
              </w:tc>
              <w:tc>
                <w:tcPr>
                  <w:tcW w:w="858" w:type="dxa"/>
                  <w:tcBorders>
                    <w:tl2br w:val="nil"/>
                    <w:tr2bl w:val="nil"/>
                  </w:tcBorders>
                  <w:vAlign w:val="center"/>
                </w:tcPr>
                <w:p w14:paraId="6CB023AC">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套</w:t>
                  </w:r>
                </w:p>
              </w:tc>
              <w:tc>
                <w:tcPr>
                  <w:tcW w:w="873" w:type="dxa"/>
                  <w:tcBorders>
                    <w:tl2br w:val="nil"/>
                    <w:tr2bl w:val="nil"/>
                  </w:tcBorders>
                  <w:vAlign w:val="center"/>
                </w:tcPr>
                <w:p w14:paraId="6E1962A8">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w:t>
                  </w:r>
                </w:p>
              </w:tc>
            </w:tr>
            <w:tr w14:paraId="1F553B4C">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57E6471B">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11</w:t>
                  </w:r>
                </w:p>
              </w:tc>
              <w:tc>
                <w:tcPr>
                  <w:tcW w:w="2976" w:type="dxa"/>
                  <w:tcBorders>
                    <w:tl2br w:val="nil"/>
                    <w:tr2bl w:val="nil"/>
                  </w:tcBorders>
                  <w:vAlign w:val="center"/>
                </w:tcPr>
                <w:p w14:paraId="43982719">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排气管</w:t>
                  </w:r>
                </w:p>
              </w:tc>
              <w:tc>
                <w:tcPr>
                  <w:tcW w:w="2231" w:type="dxa"/>
                  <w:tcBorders>
                    <w:tl2br w:val="nil"/>
                    <w:tr2bl w:val="nil"/>
                  </w:tcBorders>
                  <w:vAlign w:val="center"/>
                </w:tcPr>
                <w:p w14:paraId="238AE487">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w:t>
                  </w:r>
                </w:p>
              </w:tc>
              <w:tc>
                <w:tcPr>
                  <w:tcW w:w="858" w:type="dxa"/>
                  <w:tcBorders>
                    <w:tl2br w:val="nil"/>
                    <w:tr2bl w:val="nil"/>
                  </w:tcBorders>
                  <w:vAlign w:val="center"/>
                </w:tcPr>
                <w:p w14:paraId="0A2E3BD8">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套</w:t>
                  </w:r>
                </w:p>
              </w:tc>
              <w:tc>
                <w:tcPr>
                  <w:tcW w:w="873" w:type="dxa"/>
                  <w:tcBorders>
                    <w:tl2br w:val="nil"/>
                    <w:tr2bl w:val="nil"/>
                  </w:tcBorders>
                  <w:vAlign w:val="center"/>
                </w:tcPr>
                <w:p w14:paraId="1EDF4AC2">
                  <w:pPr>
                    <w:jc w:val="center"/>
                    <w:rPr>
                      <w:rFonts w:hint="eastAsia" w:ascii="Times New Roman" w:hAnsi="Times New Roman" w:eastAsia="宋体" w:cs="Times New Roman"/>
                      <w:color w:val="auto"/>
                      <w:kern w:val="0"/>
                      <w:szCs w:val="21"/>
                      <w:u w:val="none"/>
                      <w:lang w:val="en-US" w:eastAsia="zh-CN"/>
                    </w:rPr>
                  </w:pPr>
                  <w:r>
                    <w:rPr>
                      <w:rFonts w:hint="eastAsia" w:cs="Times New Roman"/>
                      <w:color w:val="auto"/>
                      <w:kern w:val="0"/>
                      <w:szCs w:val="21"/>
                      <w:u w:val="none"/>
                      <w:lang w:val="en-US" w:eastAsia="zh-CN"/>
                    </w:rPr>
                    <w:t>4</w:t>
                  </w:r>
                </w:p>
              </w:tc>
            </w:tr>
            <w:tr w14:paraId="7857BC4A">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24BCFE43">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12</w:t>
                  </w:r>
                </w:p>
              </w:tc>
              <w:tc>
                <w:tcPr>
                  <w:tcW w:w="2976" w:type="dxa"/>
                  <w:tcBorders>
                    <w:tl2br w:val="nil"/>
                    <w:tr2bl w:val="nil"/>
                  </w:tcBorders>
                  <w:vAlign w:val="center"/>
                </w:tcPr>
                <w:p w14:paraId="13D53489">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消音器</w:t>
                  </w:r>
                </w:p>
              </w:tc>
              <w:tc>
                <w:tcPr>
                  <w:tcW w:w="2231" w:type="dxa"/>
                  <w:tcBorders>
                    <w:tl2br w:val="nil"/>
                    <w:tr2bl w:val="nil"/>
                  </w:tcBorders>
                  <w:vAlign w:val="center"/>
                </w:tcPr>
                <w:p w14:paraId="346A3059">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w:t>
                  </w:r>
                </w:p>
              </w:tc>
              <w:tc>
                <w:tcPr>
                  <w:tcW w:w="858" w:type="dxa"/>
                  <w:tcBorders>
                    <w:tl2br w:val="nil"/>
                    <w:tr2bl w:val="nil"/>
                  </w:tcBorders>
                  <w:vAlign w:val="center"/>
                </w:tcPr>
                <w:p w14:paraId="22120122">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个</w:t>
                  </w:r>
                </w:p>
              </w:tc>
              <w:tc>
                <w:tcPr>
                  <w:tcW w:w="873" w:type="dxa"/>
                  <w:tcBorders>
                    <w:tl2br w:val="nil"/>
                    <w:tr2bl w:val="nil"/>
                  </w:tcBorders>
                  <w:vAlign w:val="center"/>
                </w:tcPr>
                <w:p w14:paraId="11866AE1">
                  <w:pPr>
                    <w:jc w:val="center"/>
                    <w:rPr>
                      <w:rFonts w:hint="eastAsia" w:ascii="Times New Roman" w:hAnsi="Times New Roman" w:eastAsia="宋体" w:cs="Times New Roman"/>
                      <w:color w:val="auto"/>
                      <w:kern w:val="0"/>
                      <w:szCs w:val="21"/>
                      <w:u w:val="none"/>
                      <w:lang w:val="en-US" w:eastAsia="zh-CN"/>
                    </w:rPr>
                  </w:pPr>
                  <w:r>
                    <w:rPr>
                      <w:rFonts w:hint="eastAsia" w:cs="Times New Roman"/>
                      <w:color w:val="auto"/>
                      <w:kern w:val="0"/>
                      <w:szCs w:val="21"/>
                      <w:u w:val="none"/>
                      <w:lang w:val="en-US" w:eastAsia="zh-CN"/>
                    </w:rPr>
                    <w:t>4</w:t>
                  </w:r>
                </w:p>
              </w:tc>
            </w:tr>
            <w:tr w14:paraId="3C2C1E1C">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68A3DC4F">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13</w:t>
                  </w:r>
                </w:p>
              </w:tc>
              <w:tc>
                <w:tcPr>
                  <w:tcW w:w="2976" w:type="dxa"/>
                  <w:tcBorders>
                    <w:tl2br w:val="nil"/>
                    <w:tr2bl w:val="nil"/>
                  </w:tcBorders>
                  <w:vAlign w:val="center"/>
                </w:tcPr>
                <w:p w14:paraId="6EB06846">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防爆门</w:t>
                  </w:r>
                </w:p>
              </w:tc>
              <w:tc>
                <w:tcPr>
                  <w:tcW w:w="2231" w:type="dxa"/>
                  <w:tcBorders>
                    <w:tl2br w:val="nil"/>
                    <w:tr2bl w:val="nil"/>
                  </w:tcBorders>
                  <w:vAlign w:val="center"/>
                </w:tcPr>
                <w:p w14:paraId="66FC3F23">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w:t>
                  </w:r>
                </w:p>
              </w:tc>
              <w:tc>
                <w:tcPr>
                  <w:tcW w:w="858" w:type="dxa"/>
                  <w:tcBorders>
                    <w:tl2br w:val="nil"/>
                    <w:tr2bl w:val="nil"/>
                  </w:tcBorders>
                  <w:vAlign w:val="center"/>
                </w:tcPr>
                <w:p w14:paraId="7CDB0060">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个</w:t>
                  </w:r>
                </w:p>
              </w:tc>
              <w:tc>
                <w:tcPr>
                  <w:tcW w:w="873" w:type="dxa"/>
                  <w:tcBorders>
                    <w:tl2br w:val="nil"/>
                    <w:tr2bl w:val="nil"/>
                  </w:tcBorders>
                  <w:vAlign w:val="center"/>
                </w:tcPr>
                <w:p w14:paraId="53649A7F">
                  <w:pPr>
                    <w:jc w:val="center"/>
                    <w:rPr>
                      <w:rFonts w:hint="eastAsia" w:ascii="Times New Roman" w:hAnsi="Times New Roman" w:eastAsia="宋体" w:cs="Times New Roman"/>
                      <w:color w:val="auto"/>
                      <w:kern w:val="0"/>
                      <w:szCs w:val="21"/>
                      <w:u w:val="none"/>
                      <w:lang w:val="en-US" w:eastAsia="zh-CN"/>
                    </w:rPr>
                  </w:pPr>
                  <w:r>
                    <w:rPr>
                      <w:rFonts w:hint="eastAsia" w:cs="Times New Roman"/>
                      <w:color w:val="auto"/>
                      <w:kern w:val="0"/>
                      <w:szCs w:val="21"/>
                      <w:u w:val="none"/>
                      <w:lang w:val="en-US" w:eastAsia="zh-CN"/>
                    </w:rPr>
                    <w:t>4</w:t>
                  </w:r>
                </w:p>
              </w:tc>
            </w:tr>
            <w:tr w14:paraId="0CCD03CF">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567FE412">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14</w:t>
                  </w:r>
                </w:p>
              </w:tc>
              <w:tc>
                <w:tcPr>
                  <w:tcW w:w="2976" w:type="dxa"/>
                  <w:tcBorders>
                    <w:tl2br w:val="nil"/>
                    <w:tr2bl w:val="nil"/>
                  </w:tcBorders>
                  <w:vAlign w:val="center"/>
                </w:tcPr>
                <w:p w14:paraId="5BFBEC61">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机组断路器柜</w:t>
                  </w:r>
                </w:p>
              </w:tc>
              <w:tc>
                <w:tcPr>
                  <w:tcW w:w="2231" w:type="dxa"/>
                  <w:tcBorders>
                    <w:tl2br w:val="nil"/>
                    <w:tr2bl w:val="nil"/>
                  </w:tcBorders>
                  <w:vAlign w:val="center"/>
                </w:tcPr>
                <w:p w14:paraId="64878403">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KYN28A-12</w:t>
                  </w:r>
                </w:p>
              </w:tc>
              <w:tc>
                <w:tcPr>
                  <w:tcW w:w="858" w:type="dxa"/>
                  <w:tcBorders>
                    <w:tl2br w:val="nil"/>
                    <w:tr2bl w:val="nil"/>
                  </w:tcBorders>
                  <w:vAlign w:val="center"/>
                </w:tcPr>
                <w:p w14:paraId="00992377">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面</w:t>
                  </w:r>
                </w:p>
              </w:tc>
              <w:tc>
                <w:tcPr>
                  <w:tcW w:w="873" w:type="dxa"/>
                  <w:tcBorders>
                    <w:tl2br w:val="nil"/>
                    <w:tr2bl w:val="nil"/>
                  </w:tcBorders>
                  <w:vAlign w:val="center"/>
                </w:tcPr>
                <w:p w14:paraId="4F0C0DB8">
                  <w:pPr>
                    <w:jc w:val="center"/>
                    <w:rPr>
                      <w:rFonts w:hint="eastAsia" w:ascii="Times New Roman" w:hAnsi="Times New Roman" w:eastAsia="宋体" w:cs="Times New Roman"/>
                      <w:color w:val="auto"/>
                      <w:kern w:val="0"/>
                      <w:szCs w:val="21"/>
                      <w:u w:val="none"/>
                      <w:lang w:val="en-US" w:eastAsia="zh-CN"/>
                    </w:rPr>
                  </w:pPr>
                  <w:r>
                    <w:rPr>
                      <w:rFonts w:hint="eastAsia" w:cs="Times New Roman"/>
                      <w:color w:val="auto"/>
                      <w:kern w:val="0"/>
                      <w:szCs w:val="21"/>
                      <w:u w:val="none"/>
                      <w:lang w:val="en-US" w:eastAsia="zh-CN"/>
                    </w:rPr>
                    <w:t>4</w:t>
                  </w:r>
                </w:p>
              </w:tc>
            </w:tr>
            <w:tr w14:paraId="48A46BAA">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707570EA">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15</w:t>
                  </w:r>
                </w:p>
              </w:tc>
              <w:tc>
                <w:tcPr>
                  <w:tcW w:w="2976" w:type="dxa"/>
                  <w:tcBorders>
                    <w:tl2br w:val="nil"/>
                    <w:tr2bl w:val="nil"/>
                  </w:tcBorders>
                  <w:vAlign w:val="center"/>
                </w:tcPr>
                <w:p w14:paraId="249BA105">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高压柜</w:t>
                  </w:r>
                </w:p>
              </w:tc>
              <w:tc>
                <w:tcPr>
                  <w:tcW w:w="2231" w:type="dxa"/>
                  <w:tcBorders>
                    <w:tl2br w:val="nil"/>
                    <w:tr2bl w:val="nil"/>
                  </w:tcBorders>
                  <w:vAlign w:val="center"/>
                </w:tcPr>
                <w:p w14:paraId="2713BC93">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w:t>
                  </w:r>
                </w:p>
              </w:tc>
              <w:tc>
                <w:tcPr>
                  <w:tcW w:w="858" w:type="dxa"/>
                  <w:tcBorders>
                    <w:tl2br w:val="nil"/>
                    <w:tr2bl w:val="nil"/>
                  </w:tcBorders>
                  <w:vAlign w:val="center"/>
                </w:tcPr>
                <w:p w14:paraId="6FA500F4">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面</w:t>
                  </w:r>
                </w:p>
              </w:tc>
              <w:tc>
                <w:tcPr>
                  <w:tcW w:w="873" w:type="dxa"/>
                  <w:tcBorders>
                    <w:tl2br w:val="nil"/>
                    <w:tr2bl w:val="nil"/>
                  </w:tcBorders>
                  <w:vAlign w:val="center"/>
                </w:tcPr>
                <w:p w14:paraId="511ECF00">
                  <w:pPr>
                    <w:jc w:val="center"/>
                    <w:rPr>
                      <w:rFonts w:hint="default" w:ascii="Times New Roman" w:hAnsi="Times New Roman" w:eastAsia="宋体" w:cs="Times New Roman"/>
                      <w:color w:val="auto"/>
                      <w:kern w:val="0"/>
                      <w:szCs w:val="21"/>
                      <w:u w:val="none"/>
                      <w:lang w:val="en-US" w:eastAsia="zh-CN"/>
                    </w:rPr>
                  </w:pPr>
                  <w:r>
                    <w:rPr>
                      <w:rFonts w:hint="eastAsia" w:cs="Times New Roman"/>
                      <w:color w:val="auto"/>
                      <w:kern w:val="0"/>
                      <w:szCs w:val="21"/>
                      <w:u w:val="none"/>
                      <w:lang w:val="en-US" w:eastAsia="zh-CN"/>
                    </w:rPr>
                    <w:t>6</w:t>
                  </w:r>
                </w:p>
              </w:tc>
            </w:tr>
            <w:tr w14:paraId="27AC51F6">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1020C3AB">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16</w:t>
                  </w:r>
                </w:p>
              </w:tc>
              <w:tc>
                <w:tcPr>
                  <w:tcW w:w="2976" w:type="dxa"/>
                  <w:tcBorders>
                    <w:tl2br w:val="nil"/>
                    <w:tr2bl w:val="nil"/>
                  </w:tcBorders>
                  <w:vAlign w:val="center"/>
                </w:tcPr>
                <w:p w14:paraId="36245DD8">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动力柜</w:t>
                  </w:r>
                </w:p>
              </w:tc>
              <w:tc>
                <w:tcPr>
                  <w:tcW w:w="2231" w:type="dxa"/>
                  <w:tcBorders>
                    <w:tl2br w:val="nil"/>
                    <w:tr2bl w:val="nil"/>
                  </w:tcBorders>
                  <w:vAlign w:val="center"/>
                </w:tcPr>
                <w:p w14:paraId="0717A7FA">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w:t>
                  </w:r>
                </w:p>
              </w:tc>
              <w:tc>
                <w:tcPr>
                  <w:tcW w:w="858" w:type="dxa"/>
                  <w:tcBorders>
                    <w:tl2br w:val="nil"/>
                    <w:tr2bl w:val="nil"/>
                  </w:tcBorders>
                  <w:vAlign w:val="center"/>
                </w:tcPr>
                <w:p w14:paraId="74C814A8">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套</w:t>
                  </w:r>
                </w:p>
              </w:tc>
              <w:tc>
                <w:tcPr>
                  <w:tcW w:w="873" w:type="dxa"/>
                  <w:tcBorders>
                    <w:tl2br w:val="nil"/>
                    <w:tr2bl w:val="nil"/>
                  </w:tcBorders>
                  <w:vAlign w:val="center"/>
                </w:tcPr>
                <w:p w14:paraId="601ACB4E">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w:t>
                  </w:r>
                </w:p>
              </w:tc>
            </w:tr>
            <w:tr w14:paraId="66A1878A">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26D49E60">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17</w:t>
                  </w:r>
                </w:p>
              </w:tc>
              <w:tc>
                <w:tcPr>
                  <w:tcW w:w="2976" w:type="dxa"/>
                  <w:tcBorders>
                    <w:tl2br w:val="nil"/>
                    <w:tr2bl w:val="nil"/>
                  </w:tcBorders>
                  <w:vAlign w:val="center"/>
                </w:tcPr>
                <w:p w14:paraId="49479220">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丝网过滤器</w:t>
                  </w:r>
                </w:p>
              </w:tc>
              <w:tc>
                <w:tcPr>
                  <w:tcW w:w="2231" w:type="dxa"/>
                  <w:tcBorders>
                    <w:tl2br w:val="nil"/>
                    <w:tr2bl w:val="nil"/>
                  </w:tcBorders>
                  <w:vAlign w:val="center"/>
                </w:tcPr>
                <w:p w14:paraId="65D7D8AD">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DN500，PN10</w:t>
                  </w:r>
                </w:p>
              </w:tc>
              <w:tc>
                <w:tcPr>
                  <w:tcW w:w="858" w:type="dxa"/>
                  <w:tcBorders>
                    <w:tl2br w:val="nil"/>
                    <w:tr2bl w:val="nil"/>
                  </w:tcBorders>
                  <w:vAlign w:val="center"/>
                </w:tcPr>
                <w:p w14:paraId="3E05BC1B">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个</w:t>
                  </w:r>
                </w:p>
              </w:tc>
              <w:tc>
                <w:tcPr>
                  <w:tcW w:w="873" w:type="dxa"/>
                  <w:tcBorders>
                    <w:tl2br w:val="nil"/>
                    <w:tr2bl w:val="nil"/>
                  </w:tcBorders>
                  <w:vAlign w:val="center"/>
                </w:tcPr>
                <w:p w14:paraId="17C761B5">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2</w:t>
                  </w:r>
                </w:p>
              </w:tc>
            </w:tr>
            <w:tr w14:paraId="63C154FE">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40737614">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18</w:t>
                  </w:r>
                </w:p>
              </w:tc>
              <w:tc>
                <w:tcPr>
                  <w:tcW w:w="2976" w:type="dxa"/>
                  <w:tcBorders>
                    <w:tl2br w:val="nil"/>
                    <w:tr2bl w:val="nil"/>
                  </w:tcBorders>
                  <w:vAlign w:val="center"/>
                </w:tcPr>
                <w:p w14:paraId="078352CB">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超压湿式放散阀</w:t>
                  </w:r>
                </w:p>
              </w:tc>
              <w:tc>
                <w:tcPr>
                  <w:tcW w:w="2231" w:type="dxa"/>
                  <w:tcBorders>
                    <w:tl2br w:val="nil"/>
                    <w:tr2bl w:val="nil"/>
                  </w:tcBorders>
                  <w:vAlign w:val="center"/>
                </w:tcPr>
                <w:p w14:paraId="18ABAFF2">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DN500，PN10</w:t>
                  </w:r>
                </w:p>
              </w:tc>
              <w:tc>
                <w:tcPr>
                  <w:tcW w:w="858" w:type="dxa"/>
                  <w:tcBorders>
                    <w:tl2br w:val="nil"/>
                    <w:tr2bl w:val="nil"/>
                  </w:tcBorders>
                  <w:vAlign w:val="center"/>
                </w:tcPr>
                <w:p w14:paraId="0526665A">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个</w:t>
                  </w:r>
                </w:p>
              </w:tc>
              <w:tc>
                <w:tcPr>
                  <w:tcW w:w="873" w:type="dxa"/>
                  <w:tcBorders>
                    <w:tl2br w:val="nil"/>
                    <w:tr2bl w:val="nil"/>
                  </w:tcBorders>
                  <w:vAlign w:val="center"/>
                </w:tcPr>
                <w:p w14:paraId="3083FDD4">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w:t>
                  </w:r>
                </w:p>
              </w:tc>
            </w:tr>
            <w:tr w14:paraId="3E3E2E5F">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2B431F45">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19</w:t>
                  </w:r>
                </w:p>
              </w:tc>
              <w:tc>
                <w:tcPr>
                  <w:tcW w:w="2976" w:type="dxa"/>
                  <w:tcBorders>
                    <w:tl2br w:val="nil"/>
                    <w:tr2bl w:val="nil"/>
                  </w:tcBorders>
                  <w:vAlign w:val="center"/>
                </w:tcPr>
                <w:p w14:paraId="18D060AB">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自控式水封阻火器</w:t>
                  </w:r>
                </w:p>
              </w:tc>
              <w:tc>
                <w:tcPr>
                  <w:tcW w:w="2231" w:type="dxa"/>
                  <w:tcBorders>
                    <w:tl2br w:val="nil"/>
                    <w:tr2bl w:val="nil"/>
                  </w:tcBorders>
                  <w:vAlign w:val="center"/>
                </w:tcPr>
                <w:p w14:paraId="46EF0ABE">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DN500，PN10</w:t>
                  </w:r>
                </w:p>
              </w:tc>
              <w:tc>
                <w:tcPr>
                  <w:tcW w:w="858" w:type="dxa"/>
                  <w:tcBorders>
                    <w:tl2br w:val="nil"/>
                    <w:tr2bl w:val="nil"/>
                  </w:tcBorders>
                  <w:vAlign w:val="center"/>
                </w:tcPr>
                <w:p w14:paraId="03C4E997">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个</w:t>
                  </w:r>
                </w:p>
              </w:tc>
              <w:tc>
                <w:tcPr>
                  <w:tcW w:w="873" w:type="dxa"/>
                  <w:tcBorders>
                    <w:tl2br w:val="nil"/>
                    <w:tr2bl w:val="nil"/>
                  </w:tcBorders>
                  <w:vAlign w:val="center"/>
                </w:tcPr>
                <w:p w14:paraId="5E27E039">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w:t>
                  </w:r>
                </w:p>
              </w:tc>
            </w:tr>
            <w:tr w14:paraId="77F137DD">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339D8318">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20</w:t>
                  </w:r>
                </w:p>
              </w:tc>
              <w:tc>
                <w:tcPr>
                  <w:tcW w:w="2976" w:type="dxa"/>
                  <w:tcBorders>
                    <w:tl2br w:val="nil"/>
                    <w:tr2bl w:val="nil"/>
                  </w:tcBorders>
                  <w:vAlign w:val="center"/>
                </w:tcPr>
                <w:p w14:paraId="30CFC8CE">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管道专用阻火器</w:t>
                  </w:r>
                </w:p>
              </w:tc>
              <w:tc>
                <w:tcPr>
                  <w:tcW w:w="2231" w:type="dxa"/>
                  <w:tcBorders>
                    <w:tl2br w:val="nil"/>
                    <w:tr2bl w:val="nil"/>
                  </w:tcBorders>
                  <w:vAlign w:val="center"/>
                </w:tcPr>
                <w:p w14:paraId="07A8F791">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DN300，PN10</w:t>
                  </w:r>
                </w:p>
              </w:tc>
              <w:tc>
                <w:tcPr>
                  <w:tcW w:w="858" w:type="dxa"/>
                  <w:tcBorders>
                    <w:tl2br w:val="nil"/>
                    <w:tr2bl w:val="nil"/>
                  </w:tcBorders>
                  <w:vAlign w:val="center"/>
                </w:tcPr>
                <w:p w14:paraId="0DE6CE53">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个</w:t>
                  </w:r>
                </w:p>
              </w:tc>
              <w:tc>
                <w:tcPr>
                  <w:tcW w:w="873" w:type="dxa"/>
                  <w:tcBorders>
                    <w:tl2br w:val="nil"/>
                    <w:tr2bl w:val="nil"/>
                  </w:tcBorders>
                  <w:vAlign w:val="center"/>
                </w:tcPr>
                <w:p w14:paraId="080B8EE6">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w:t>
                  </w:r>
                </w:p>
              </w:tc>
            </w:tr>
            <w:tr w14:paraId="4356364B">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7894243B">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21</w:t>
                  </w:r>
                </w:p>
              </w:tc>
              <w:tc>
                <w:tcPr>
                  <w:tcW w:w="2976" w:type="dxa"/>
                  <w:tcBorders>
                    <w:tl2br w:val="nil"/>
                    <w:tr2bl w:val="nil"/>
                  </w:tcBorders>
                  <w:vAlign w:val="center"/>
                </w:tcPr>
                <w:p w14:paraId="6E4D2080">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管道专用阻火器</w:t>
                  </w:r>
                </w:p>
              </w:tc>
              <w:tc>
                <w:tcPr>
                  <w:tcW w:w="2231" w:type="dxa"/>
                  <w:tcBorders>
                    <w:tl2br w:val="nil"/>
                    <w:tr2bl w:val="nil"/>
                  </w:tcBorders>
                  <w:vAlign w:val="center"/>
                </w:tcPr>
                <w:p w14:paraId="4D68E5C5">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DN500，PN10</w:t>
                  </w:r>
                </w:p>
              </w:tc>
              <w:tc>
                <w:tcPr>
                  <w:tcW w:w="858" w:type="dxa"/>
                  <w:tcBorders>
                    <w:tl2br w:val="nil"/>
                    <w:tr2bl w:val="nil"/>
                  </w:tcBorders>
                  <w:vAlign w:val="center"/>
                </w:tcPr>
                <w:p w14:paraId="5BB9F394">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个</w:t>
                  </w:r>
                </w:p>
              </w:tc>
              <w:tc>
                <w:tcPr>
                  <w:tcW w:w="873" w:type="dxa"/>
                  <w:tcBorders>
                    <w:tl2br w:val="nil"/>
                    <w:tr2bl w:val="nil"/>
                  </w:tcBorders>
                  <w:vAlign w:val="center"/>
                </w:tcPr>
                <w:p w14:paraId="0EFDD958">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w:t>
                  </w:r>
                </w:p>
              </w:tc>
            </w:tr>
            <w:tr w14:paraId="461992D9">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687F8C29">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22</w:t>
                  </w:r>
                </w:p>
              </w:tc>
              <w:tc>
                <w:tcPr>
                  <w:tcW w:w="2976" w:type="dxa"/>
                  <w:tcBorders>
                    <w:tl2br w:val="nil"/>
                    <w:tr2bl w:val="nil"/>
                  </w:tcBorders>
                  <w:vAlign w:val="center"/>
                </w:tcPr>
                <w:p w14:paraId="2C758932">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喷粉抑爆装置（DN500）</w:t>
                  </w:r>
                </w:p>
              </w:tc>
              <w:tc>
                <w:tcPr>
                  <w:tcW w:w="2231" w:type="dxa"/>
                  <w:tcBorders>
                    <w:tl2br w:val="nil"/>
                    <w:tr2bl w:val="nil"/>
                  </w:tcBorders>
                  <w:vAlign w:val="center"/>
                </w:tcPr>
                <w:p w14:paraId="233F84C2">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ZYBG</w:t>
                  </w:r>
                </w:p>
              </w:tc>
              <w:tc>
                <w:tcPr>
                  <w:tcW w:w="858" w:type="dxa"/>
                  <w:tcBorders>
                    <w:tl2br w:val="nil"/>
                    <w:tr2bl w:val="nil"/>
                  </w:tcBorders>
                  <w:vAlign w:val="center"/>
                </w:tcPr>
                <w:p w14:paraId="6E165B0D">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套</w:t>
                  </w:r>
                </w:p>
              </w:tc>
              <w:tc>
                <w:tcPr>
                  <w:tcW w:w="873" w:type="dxa"/>
                  <w:tcBorders>
                    <w:tl2br w:val="nil"/>
                    <w:tr2bl w:val="nil"/>
                  </w:tcBorders>
                  <w:vAlign w:val="center"/>
                </w:tcPr>
                <w:p w14:paraId="10C485A8">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w:t>
                  </w:r>
                </w:p>
              </w:tc>
            </w:tr>
            <w:tr w14:paraId="3EBF9692">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5483AE06">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23</w:t>
                  </w:r>
                </w:p>
              </w:tc>
              <w:tc>
                <w:tcPr>
                  <w:tcW w:w="2976" w:type="dxa"/>
                  <w:tcBorders>
                    <w:tl2br w:val="nil"/>
                    <w:tr2bl w:val="nil"/>
                  </w:tcBorders>
                  <w:vAlign w:val="center"/>
                </w:tcPr>
                <w:p w14:paraId="45E00F6A">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自动阻爆装置</w:t>
                  </w:r>
                </w:p>
              </w:tc>
              <w:tc>
                <w:tcPr>
                  <w:tcW w:w="2231" w:type="dxa"/>
                  <w:tcBorders>
                    <w:tl2br w:val="nil"/>
                    <w:tr2bl w:val="nil"/>
                  </w:tcBorders>
                  <w:vAlign w:val="center"/>
                </w:tcPr>
                <w:p w14:paraId="0DEA5DBD">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DN500，PN25</w:t>
                  </w:r>
                </w:p>
              </w:tc>
              <w:tc>
                <w:tcPr>
                  <w:tcW w:w="858" w:type="dxa"/>
                  <w:tcBorders>
                    <w:tl2br w:val="nil"/>
                    <w:tr2bl w:val="nil"/>
                  </w:tcBorders>
                  <w:vAlign w:val="center"/>
                </w:tcPr>
                <w:p w14:paraId="6044C8CA">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套</w:t>
                  </w:r>
                </w:p>
              </w:tc>
              <w:tc>
                <w:tcPr>
                  <w:tcW w:w="873" w:type="dxa"/>
                  <w:tcBorders>
                    <w:tl2br w:val="nil"/>
                    <w:tr2bl w:val="nil"/>
                  </w:tcBorders>
                  <w:vAlign w:val="center"/>
                </w:tcPr>
                <w:p w14:paraId="12E86699">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w:t>
                  </w:r>
                </w:p>
              </w:tc>
            </w:tr>
            <w:tr w14:paraId="16CEFBB5">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031AC126">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24</w:t>
                  </w:r>
                </w:p>
              </w:tc>
              <w:tc>
                <w:tcPr>
                  <w:tcW w:w="2976" w:type="dxa"/>
                  <w:tcBorders>
                    <w:tl2br w:val="nil"/>
                    <w:tr2bl w:val="nil"/>
                  </w:tcBorders>
                  <w:vAlign w:val="center"/>
                </w:tcPr>
                <w:p w14:paraId="20399953">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煤矿瓦斯与粉尘监控系统</w:t>
                  </w:r>
                </w:p>
              </w:tc>
              <w:tc>
                <w:tcPr>
                  <w:tcW w:w="2231" w:type="dxa"/>
                  <w:tcBorders>
                    <w:tl2br w:val="nil"/>
                    <w:tr2bl w:val="nil"/>
                  </w:tcBorders>
                  <w:vAlign w:val="center"/>
                </w:tcPr>
                <w:p w14:paraId="5AC8965B">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w:t>
                  </w:r>
                </w:p>
              </w:tc>
              <w:tc>
                <w:tcPr>
                  <w:tcW w:w="858" w:type="dxa"/>
                  <w:tcBorders>
                    <w:tl2br w:val="nil"/>
                    <w:tr2bl w:val="nil"/>
                  </w:tcBorders>
                  <w:vAlign w:val="center"/>
                </w:tcPr>
                <w:p w14:paraId="77FDEB6C">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套</w:t>
                  </w:r>
                </w:p>
              </w:tc>
              <w:tc>
                <w:tcPr>
                  <w:tcW w:w="873" w:type="dxa"/>
                  <w:tcBorders>
                    <w:tl2br w:val="nil"/>
                    <w:tr2bl w:val="nil"/>
                  </w:tcBorders>
                  <w:vAlign w:val="center"/>
                </w:tcPr>
                <w:p w14:paraId="28DBF0AF">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w:t>
                  </w:r>
                </w:p>
              </w:tc>
            </w:tr>
            <w:tr w14:paraId="0E129C20">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36C934FE">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25</w:t>
                  </w:r>
                </w:p>
              </w:tc>
              <w:tc>
                <w:tcPr>
                  <w:tcW w:w="2976" w:type="dxa"/>
                  <w:tcBorders>
                    <w:tl2br w:val="nil"/>
                    <w:tr2bl w:val="nil"/>
                  </w:tcBorders>
                  <w:vAlign w:val="center"/>
                </w:tcPr>
                <w:p w14:paraId="4F9BC25E">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脱水溢流水封阻火器</w:t>
                  </w:r>
                </w:p>
              </w:tc>
              <w:tc>
                <w:tcPr>
                  <w:tcW w:w="2231" w:type="dxa"/>
                  <w:tcBorders>
                    <w:tl2br w:val="nil"/>
                    <w:tr2bl w:val="nil"/>
                  </w:tcBorders>
                  <w:vAlign w:val="center"/>
                </w:tcPr>
                <w:p w14:paraId="3294A41C">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cs="Times New Roman"/>
                      <w:color w:val="auto"/>
                      <w:kern w:val="0"/>
                      <w:szCs w:val="21"/>
                      <w:u w:val="none"/>
                      <w:lang w:val="en-US" w:eastAsia="zh-CN"/>
                    </w:rPr>
                    <w:t>/</w:t>
                  </w:r>
                </w:p>
              </w:tc>
              <w:tc>
                <w:tcPr>
                  <w:tcW w:w="858" w:type="dxa"/>
                  <w:tcBorders>
                    <w:tl2br w:val="nil"/>
                    <w:tr2bl w:val="nil"/>
                  </w:tcBorders>
                  <w:vAlign w:val="center"/>
                </w:tcPr>
                <w:p w14:paraId="4F20043B">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个</w:t>
                  </w:r>
                </w:p>
              </w:tc>
              <w:tc>
                <w:tcPr>
                  <w:tcW w:w="873" w:type="dxa"/>
                  <w:tcBorders>
                    <w:tl2br w:val="nil"/>
                    <w:tr2bl w:val="nil"/>
                  </w:tcBorders>
                  <w:vAlign w:val="center"/>
                </w:tcPr>
                <w:p w14:paraId="19E6A962">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w:t>
                  </w:r>
                </w:p>
              </w:tc>
            </w:tr>
            <w:tr w14:paraId="13C8DA39">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920" w:type="dxa"/>
                  <w:tcBorders>
                    <w:tl2br w:val="nil"/>
                    <w:tr2bl w:val="nil"/>
                  </w:tcBorders>
                  <w:vAlign w:val="center"/>
                </w:tcPr>
                <w:p w14:paraId="2B831812">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26</w:t>
                  </w:r>
                </w:p>
              </w:tc>
              <w:tc>
                <w:tcPr>
                  <w:tcW w:w="2976" w:type="dxa"/>
                  <w:tcBorders>
                    <w:tl2br w:val="nil"/>
                    <w:tr2bl w:val="nil"/>
                  </w:tcBorders>
                  <w:vAlign w:val="center"/>
                </w:tcPr>
                <w:p w14:paraId="37E4E278">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低压成套开关设备</w:t>
                  </w:r>
                </w:p>
              </w:tc>
              <w:tc>
                <w:tcPr>
                  <w:tcW w:w="2231" w:type="dxa"/>
                  <w:tcBorders>
                    <w:tl2br w:val="nil"/>
                    <w:tr2bl w:val="nil"/>
                  </w:tcBorders>
                  <w:vAlign w:val="center"/>
                </w:tcPr>
                <w:p w14:paraId="34A1ED08">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MNS/GCS</w:t>
                  </w:r>
                </w:p>
              </w:tc>
              <w:tc>
                <w:tcPr>
                  <w:tcW w:w="858" w:type="dxa"/>
                  <w:tcBorders>
                    <w:tl2br w:val="nil"/>
                    <w:tr2bl w:val="nil"/>
                  </w:tcBorders>
                  <w:vAlign w:val="center"/>
                </w:tcPr>
                <w:p w14:paraId="34C28CA3">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台</w:t>
                  </w:r>
                </w:p>
              </w:tc>
              <w:tc>
                <w:tcPr>
                  <w:tcW w:w="873" w:type="dxa"/>
                  <w:tcBorders>
                    <w:tl2br w:val="nil"/>
                    <w:tr2bl w:val="nil"/>
                  </w:tcBorders>
                  <w:vAlign w:val="center"/>
                </w:tcPr>
                <w:p w14:paraId="608EE3E7">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2</w:t>
                  </w:r>
                </w:p>
              </w:tc>
            </w:tr>
            <w:tr w14:paraId="7B1DD7EE">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91" w:hRule="atLeast"/>
                <w:jc w:val="center"/>
              </w:trPr>
              <w:tc>
                <w:tcPr>
                  <w:tcW w:w="920" w:type="dxa"/>
                  <w:tcBorders>
                    <w:tl2br w:val="nil"/>
                    <w:tr2bl w:val="nil"/>
                  </w:tcBorders>
                  <w:vAlign w:val="center"/>
                </w:tcPr>
                <w:p w14:paraId="14003808">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27</w:t>
                  </w:r>
                </w:p>
              </w:tc>
              <w:tc>
                <w:tcPr>
                  <w:tcW w:w="2976" w:type="dxa"/>
                  <w:tcBorders>
                    <w:tl2br w:val="nil"/>
                    <w:tr2bl w:val="nil"/>
                  </w:tcBorders>
                  <w:vAlign w:val="center"/>
                </w:tcPr>
                <w:p w14:paraId="5C0130C4">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直流电源系统</w:t>
                  </w:r>
                </w:p>
              </w:tc>
              <w:tc>
                <w:tcPr>
                  <w:tcW w:w="2231" w:type="dxa"/>
                  <w:tcBorders>
                    <w:tl2br w:val="nil"/>
                    <w:tr2bl w:val="nil"/>
                  </w:tcBorders>
                  <w:vAlign w:val="center"/>
                </w:tcPr>
                <w:p w14:paraId="0D5199B8">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GZDW01-30AH/220V</w:t>
                  </w:r>
                </w:p>
              </w:tc>
              <w:tc>
                <w:tcPr>
                  <w:tcW w:w="858" w:type="dxa"/>
                  <w:tcBorders>
                    <w:tl2br w:val="nil"/>
                    <w:tr2bl w:val="nil"/>
                  </w:tcBorders>
                  <w:vAlign w:val="center"/>
                </w:tcPr>
                <w:p w14:paraId="3B9A8057">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台</w:t>
                  </w:r>
                </w:p>
              </w:tc>
              <w:tc>
                <w:tcPr>
                  <w:tcW w:w="873" w:type="dxa"/>
                  <w:tcBorders>
                    <w:tl2br w:val="nil"/>
                    <w:tr2bl w:val="nil"/>
                  </w:tcBorders>
                  <w:vAlign w:val="center"/>
                </w:tcPr>
                <w:p w14:paraId="6F8C2968">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w:t>
                  </w:r>
                </w:p>
              </w:tc>
            </w:tr>
            <w:tr w14:paraId="5E1A2916">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16" w:hRule="atLeast"/>
                <w:jc w:val="center"/>
              </w:trPr>
              <w:tc>
                <w:tcPr>
                  <w:tcW w:w="920" w:type="dxa"/>
                  <w:tcBorders>
                    <w:tl2br w:val="nil"/>
                    <w:tr2bl w:val="nil"/>
                  </w:tcBorders>
                  <w:vAlign w:val="center"/>
                </w:tcPr>
                <w:p w14:paraId="4D671440">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28</w:t>
                  </w:r>
                </w:p>
              </w:tc>
              <w:tc>
                <w:tcPr>
                  <w:tcW w:w="2976" w:type="dxa"/>
                  <w:tcBorders>
                    <w:tl2br w:val="nil"/>
                    <w:tr2bl w:val="nil"/>
                  </w:tcBorders>
                  <w:vAlign w:val="center"/>
                </w:tcPr>
                <w:p w14:paraId="135F1AD0">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变压器柜</w:t>
                  </w:r>
                </w:p>
              </w:tc>
              <w:tc>
                <w:tcPr>
                  <w:tcW w:w="2231" w:type="dxa"/>
                  <w:tcBorders>
                    <w:tl2br w:val="nil"/>
                    <w:tr2bl w:val="nil"/>
                  </w:tcBorders>
                  <w:vAlign w:val="center"/>
                </w:tcPr>
                <w:p w14:paraId="344C6A50">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800kVA，MNS</w:t>
                  </w:r>
                </w:p>
              </w:tc>
              <w:tc>
                <w:tcPr>
                  <w:tcW w:w="858" w:type="dxa"/>
                  <w:tcBorders>
                    <w:tl2br w:val="nil"/>
                    <w:tr2bl w:val="nil"/>
                  </w:tcBorders>
                  <w:vAlign w:val="center"/>
                </w:tcPr>
                <w:p w14:paraId="706CBD09">
                  <w:pPr>
                    <w:jc w:val="center"/>
                    <w:rPr>
                      <w:rFonts w:hint="eastAsia"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台</w:t>
                  </w:r>
                </w:p>
              </w:tc>
              <w:tc>
                <w:tcPr>
                  <w:tcW w:w="873" w:type="dxa"/>
                  <w:tcBorders>
                    <w:tl2br w:val="nil"/>
                    <w:tr2bl w:val="nil"/>
                  </w:tcBorders>
                  <w:vAlign w:val="center"/>
                </w:tcPr>
                <w:p w14:paraId="6FCED05A">
                  <w:pPr>
                    <w:jc w:val="center"/>
                    <w:rPr>
                      <w:rFonts w:hint="default" w:ascii="Times New Roman" w:hAnsi="Times New Roman" w:eastAsia="宋体" w:cs="Times New Roman"/>
                      <w:color w:val="auto"/>
                      <w:kern w:val="0"/>
                      <w:szCs w:val="21"/>
                      <w:u w:val="none"/>
                      <w:lang w:val="en-US" w:eastAsia="zh-CN"/>
                    </w:rPr>
                  </w:pPr>
                  <w:r>
                    <w:rPr>
                      <w:rFonts w:hint="eastAsia" w:ascii="Times New Roman" w:hAnsi="Times New Roman" w:eastAsia="宋体" w:cs="Times New Roman"/>
                      <w:color w:val="auto"/>
                      <w:kern w:val="0"/>
                      <w:szCs w:val="21"/>
                      <w:u w:val="none"/>
                      <w:lang w:val="en-US" w:eastAsia="zh-CN"/>
                    </w:rPr>
                    <w:t>1</w:t>
                  </w:r>
                </w:p>
              </w:tc>
            </w:tr>
          </w:tbl>
          <w:p w14:paraId="5E3F368A">
            <w:pPr>
              <w:keepNext w:val="0"/>
              <w:keepLines w:val="0"/>
              <w:pageBreakBefore w:val="0"/>
              <w:widowControl w:val="0"/>
              <w:kinsoku/>
              <w:wordWrap/>
              <w:overflowPunct/>
              <w:topLinePunct w:val="0"/>
              <w:autoSpaceDE/>
              <w:autoSpaceDN/>
              <w:bidi w:val="0"/>
              <w:adjustRightInd/>
              <w:snapToGrid w:val="0"/>
              <w:spacing w:line="240" w:lineRule="auto"/>
              <w:ind w:firstLine="241" w:firstLineChars="100"/>
              <w:textAlignment w:val="auto"/>
              <w:rPr>
                <w:rFonts w:hint="eastAsia" w:ascii="Times New Roman" w:hAnsi="Times New Roman" w:cs="Times New Roman"/>
                <w:b/>
                <w:color w:val="auto"/>
                <w:sz w:val="24"/>
                <w:u w:val="none"/>
              </w:rPr>
            </w:pPr>
            <w:r>
              <w:rPr>
                <w:rFonts w:hint="eastAsia" w:ascii="Times New Roman" w:hAnsi="Times New Roman" w:cs="Times New Roman"/>
                <w:b/>
                <w:bCs/>
                <w:color w:val="auto"/>
                <w:sz w:val="24"/>
                <w:szCs w:val="24"/>
                <w:u w:val="none"/>
              </w:rPr>
              <w:t>备注：</w:t>
            </w:r>
            <w:r>
              <w:rPr>
                <w:rFonts w:ascii="Times New Roman" w:hAnsi="Times New Roman" w:cs="Times New Roman"/>
                <w:b/>
                <w:bCs/>
                <w:color w:val="auto"/>
                <w:sz w:val="24"/>
                <w:szCs w:val="24"/>
                <w:u w:val="none"/>
              </w:rPr>
              <w:t>本项目的生产设备中无国家明令禁止和淘汰的设备</w:t>
            </w:r>
            <w:r>
              <w:rPr>
                <w:rFonts w:hint="eastAsia" w:ascii="Times New Roman" w:hAnsi="Times New Roman" w:cs="Times New Roman"/>
                <w:b/>
                <w:bCs/>
                <w:color w:val="auto"/>
                <w:sz w:val="24"/>
                <w:szCs w:val="24"/>
                <w:u w:val="none"/>
              </w:rPr>
              <w:t>。</w:t>
            </w:r>
          </w:p>
          <w:p w14:paraId="5F0F3319">
            <w:pPr>
              <w:keepNext w:val="0"/>
              <w:keepLines w:val="0"/>
              <w:pageBreakBefore w:val="0"/>
              <w:widowControl w:val="0"/>
              <w:kinsoku/>
              <w:wordWrap/>
              <w:overflowPunct/>
              <w:topLinePunct w:val="0"/>
              <w:autoSpaceDE/>
              <w:autoSpaceDN/>
              <w:bidi w:val="0"/>
              <w:snapToGrid w:val="0"/>
              <w:spacing w:line="500" w:lineRule="exact"/>
              <w:ind w:firstLine="482" w:firstLineChars="200"/>
              <w:textAlignment w:val="auto"/>
              <w:rPr>
                <w:rFonts w:ascii="Times New Roman" w:hAnsi="Times New Roman" w:cs="Times New Roman"/>
                <w:b/>
                <w:color w:val="auto"/>
                <w:sz w:val="24"/>
                <w:u w:val="none"/>
              </w:rPr>
            </w:pPr>
            <w:r>
              <w:rPr>
                <w:rFonts w:hint="eastAsia" w:cs="Times New Roman"/>
                <w:b/>
                <w:color w:val="auto"/>
                <w:sz w:val="24"/>
                <w:u w:val="none"/>
                <w:lang w:val="en-US" w:eastAsia="zh-CN"/>
              </w:rPr>
              <w:t>7、</w:t>
            </w:r>
            <w:r>
              <w:rPr>
                <w:rFonts w:ascii="Times New Roman" w:hAnsi="Times New Roman" w:cs="Times New Roman"/>
                <w:b/>
                <w:color w:val="auto"/>
                <w:sz w:val="24"/>
                <w:u w:val="none"/>
              </w:rPr>
              <w:t>原辅材料及能源消耗</w:t>
            </w:r>
          </w:p>
          <w:p w14:paraId="6847EBCC">
            <w:pPr>
              <w:keepNext w:val="0"/>
              <w:keepLines w:val="0"/>
              <w:pageBreakBefore w:val="0"/>
              <w:widowControl w:val="0"/>
              <w:kinsoku/>
              <w:wordWrap/>
              <w:overflowPunct/>
              <w:topLinePunct w:val="0"/>
              <w:autoSpaceDE/>
              <w:autoSpaceDN/>
              <w:bidi w:val="0"/>
              <w:adjustRightInd w:val="0"/>
              <w:snapToGrid w:val="0"/>
              <w:spacing w:line="500" w:lineRule="exact"/>
              <w:ind w:firstLine="588" w:firstLineChars="245"/>
              <w:textAlignment w:val="auto"/>
              <w:rPr>
                <w:rFonts w:hint="eastAsia" w:ascii="Times New Roman" w:hAnsi="Times New Roman" w:cs="Times New Roman"/>
                <w:color w:val="auto"/>
                <w:sz w:val="24"/>
                <w:u w:val="none"/>
              </w:rPr>
            </w:pPr>
            <w:r>
              <w:rPr>
                <w:rFonts w:ascii="Times New Roman" w:hAnsi="Times New Roman" w:cs="Times New Roman"/>
                <w:color w:val="auto"/>
                <w:sz w:val="24"/>
                <w:u w:val="none"/>
              </w:rPr>
              <w:t>项目</w:t>
            </w:r>
            <w:r>
              <w:rPr>
                <w:rFonts w:hint="eastAsia" w:ascii="Times New Roman" w:hAnsi="Times New Roman" w:cs="Times New Roman"/>
                <w:color w:val="auto"/>
                <w:sz w:val="24"/>
                <w:u w:val="none"/>
                <w:lang w:val="en-US" w:eastAsia="zh-CN"/>
              </w:rPr>
              <w:t>运行</w:t>
            </w:r>
            <w:r>
              <w:rPr>
                <w:rFonts w:hint="eastAsia" w:ascii="Times New Roman" w:hAnsi="Times New Roman" w:cs="Times New Roman"/>
                <w:color w:val="auto"/>
                <w:sz w:val="24"/>
                <w:u w:val="none"/>
              </w:rPr>
              <w:t>所需</w:t>
            </w:r>
            <w:r>
              <w:rPr>
                <w:rFonts w:ascii="Times New Roman" w:hAnsi="Times New Roman" w:cs="Times New Roman"/>
                <w:color w:val="auto"/>
                <w:sz w:val="24"/>
                <w:u w:val="none"/>
              </w:rPr>
              <w:t>原材料主要</w:t>
            </w:r>
            <w:r>
              <w:rPr>
                <w:rFonts w:hint="eastAsia" w:ascii="Times New Roman" w:hAnsi="Times New Roman" w:cs="Times New Roman"/>
                <w:color w:val="auto"/>
                <w:sz w:val="24"/>
                <w:u w:val="none"/>
              </w:rPr>
              <w:t>为</w:t>
            </w:r>
            <w:r>
              <w:rPr>
                <w:rFonts w:hint="eastAsia" w:ascii="Times New Roman" w:hAnsi="Times New Roman" w:cs="Times New Roman"/>
                <w:color w:val="auto"/>
                <w:sz w:val="24"/>
                <w:u w:val="none"/>
                <w:lang w:val="en-US" w:eastAsia="zh-CN"/>
              </w:rPr>
              <w:t>矿井瓦斯</w:t>
            </w:r>
            <w:r>
              <w:rPr>
                <w:rFonts w:hint="eastAsia" w:ascii="Times New Roman" w:hAnsi="Times New Roman" w:cs="Times New Roman"/>
                <w:color w:val="auto"/>
                <w:sz w:val="24"/>
                <w:u w:val="none"/>
              </w:rPr>
              <w:t>，</w:t>
            </w:r>
            <w:r>
              <w:rPr>
                <w:rFonts w:ascii="Times New Roman" w:hAnsi="Times New Roman" w:cs="Times New Roman"/>
                <w:color w:val="auto"/>
                <w:sz w:val="24"/>
                <w:u w:val="none"/>
              </w:rPr>
              <w:t>消耗的能源主要</w:t>
            </w:r>
            <w:r>
              <w:rPr>
                <w:rFonts w:hint="eastAsia" w:ascii="Times New Roman" w:hAnsi="Times New Roman" w:cs="Times New Roman"/>
                <w:color w:val="auto"/>
                <w:sz w:val="24"/>
                <w:u w:val="none"/>
              </w:rPr>
              <w:t>为</w:t>
            </w:r>
            <w:r>
              <w:rPr>
                <w:rFonts w:ascii="Times New Roman" w:hAnsi="Times New Roman" w:cs="Times New Roman"/>
                <w:color w:val="auto"/>
                <w:sz w:val="24"/>
                <w:u w:val="none"/>
              </w:rPr>
              <w:t>水、电。项目原辅材料及能源消耗情况详见</w:t>
            </w:r>
            <w:r>
              <w:rPr>
                <w:rFonts w:hint="eastAsia" w:ascii="Times New Roman" w:hAnsi="Times New Roman" w:cs="Times New Roman"/>
                <w:color w:val="auto"/>
                <w:sz w:val="24"/>
                <w:u w:val="none"/>
                <w:lang w:val="en-US" w:eastAsia="zh-CN"/>
              </w:rPr>
              <w:t>以下</w:t>
            </w:r>
            <w:r>
              <w:rPr>
                <w:rFonts w:ascii="Times New Roman" w:hAnsi="Times New Roman" w:cs="Times New Roman"/>
                <w:color w:val="auto"/>
                <w:sz w:val="24"/>
                <w:u w:val="none"/>
              </w:rPr>
              <w:t>表。</w:t>
            </w:r>
          </w:p>
          <w:p w14:paraId="19588DB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黑体" w:cs="Times New Roman"/>
                <w:color w:val="auto"/>
                <w:kern w:val="2"/>
                <w:sz w:val="24"/>
                <w:szCs w:val="24"/>
                <w:u w:val="none"/>
                <w:lang w:val="en-US" w:eastAsia="zh-CN" w:bidi="ar-SA"/>
              </w:rPr>
            </w:pPr>
            <w:r>
              <w:rPr>
                <w:rFonts w:hint="eastAsia" w:ascii="Times New Roman" w:hAnsi="Times New Roman" w:eastAsia="黑体" w:cs="Times New Roman"/>
                <w:color w:val="auto"/>
                <w:kern w:val="2"/>
                <w:sz w:val="24"/>
                <w:szCs w:val="24"/>
                <w:u w:val="none"/>
                <w:lang w:val="en-US" w:eastAsia="zh-CN" w:bidi="ar-SA"/>
              </w:rPr>
              <w:t>表</w:t>
            </w:r>
            <w:r>
              <w:rPr>
                <w:rFonts w:hint="eastAsia" w:eastAsia="黑体" w:cs="Times New Roman"/>
                <w:color w:val="auto"/>
                <w:kern w:val="2"/>
                <w:sz w:val="24"/>
                <w:szCs w:val="24"/>
                <w:u w:val="none"/>
                <w:lang w:val="en-US" w:eastAsia="zh-CN" w:bidi="ar-SA"/>
              </w:rPr>
              <w:t>2-5</w:t>
            </w:r>
            <w:r>
              <w:rPr>
                <w:rFonts w:hint="eastAsia" w:ascii="Times New Roman" w:hAnsi="Times New Roman" w:eastAsia="黑体" w:cs="Times New Roman"/>
                <w:color w:val="auto"/>
                <w:kern w:val="2"/>
                <w:sz w:val="24"/>
                <w:szCs w:val="24"/>
                <w:u w:val="none"/>
                <w:lang w:val="en-US" w:eastAsia="zh-CN" w:bidi="ar-SA"/>
              </w:rPr>
              <w:t xml:space="preserve"> 原辅材料消耗情况一览表</w:t>
            </w:r>
          </w:p>
          <w:tbl>
            <w:tblPr>
              <w:tblStyle w:val="33"/>
              <w:tblW w:w="8378" w:type="dxa"/>
              <w:tblInd w:w="-2" w:type="dxa"/>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537"/>
              <w:gridCol w:w="1648"/>
              <w:gridCol w:w="1811"/>
              <w:gridCol w:w="3382"/>
            </w:tblGrid>
            <w:tr w14:paraId="746012B5">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1537" w:type="dxa"/>
                  <w:tcBorders>
                    <w:tl2br w:val="nil"/>
                    <w:tr2bl w:val="nil"/>
                  </w:tcBorders>
                  <w:vAlign w:val="center"/>
                </w:tcPr>
                <w:p w14:paraId="2C40F193">
                  <w:pPr>
                    <w:adjustRightInd w:val="0"/>
                    <w:snapToGrid w:val="0"/>
                    <w:jc w:val="center"/>
                    <w:rPr>
                      <w:rFonts w:hint="eastAsia" w:ascii="Times New Roman" w:hAnsi="Times New Roman" w:eastAsia="黑体" w:cs="Times New Roman"/>
                      <w:color w:val="auto"/>
                      <w:sz w:val="24"/>
                      <w:u w:val="none"/>
                      <w:vertAlign w:val="baseline"/>
                      <w:lang w:val="en-US" w:eastAsia="zh-CN"/>
                    </w:rPr>
                  </w:pPr>
                  <w:r>
                    <w:rPr>
                      <w:rFonts w:ascii="Times New Roman" w:hAnsi="Times New Roman" w:cs="Times New Roman"/>
                      <w:b/>
                      <w:bCs/>
                      <w:color w:val="auto"/>
                      <w:kern w:val="0"/>
                      <w:szCs w:val="21"/>
                      <w:u w:val="none"/>
                    </w:rPr>
                    <w:t>名称</w:t>
                  </w:r>
                </w:p>
              </w:tc>
              <w:tc>
                <w:tcPr>
                  <w:tcW w:w="1648" w:type="dxa"/>
                  <w:tcBorders>
                    <w:tl2br w:val="nil"/>
                    <w:tr2bl w:val="nil"/>
                  </w:tcBorders>
                  <w:vAlign w:val="center"/>
                </w:tcPr>
                <w:p w14:paraId="19D6EBDC">
                  <w:pPr>
                    <w:adjustRightInd w:val="0"/>
                    <w:snapToGrid w:val="0"/>
                    <w:jc w:val="center"/>
                    <w:rPr>
                      <w:rFonts w:hint="eastAsia" w:ascii="Times New Roman" w:hAnsi="Times New Roman" w:eastAsia="黑体" w:cs="Times New Roman"/>
                      <w:color w:val="auto"/>
                      <w:sz w:val="24"/>
                      <w:u w:val="none"/>
                      <w:vertAlign w:val="baseline"/>
                      <w:lang w:val="en-US" w:eastAsia="zh-CN"/>
                    </w:rPr>
                  </w:pPr>
                  <w:r>
                    <w:rPr>
                      <w:rFonts w:ascii="Times New Roman" w:hAnsi="Times New Roman" w:cs="Times New Roman"/>
                      <w:b/>
                      <w:bCs/>
                      <w:color w:val="auto"/>
                      <w:kern w:val="0"/>
                      <w:szCs w:val="21"/>
                      <w:u w:val="none"/>
                    </w:rPr>
                    <w:t>年用量</w:t>
                  </w:r>
                </w:p>
              </w:tc>
              <w:tc>
                <w:tcPr>
                  <w:tcW w:w="1811" w:type="dxa"/>
                  <w:tcBorders>
                    <w:tl2br w:val="nil"/>
                    <w:tr2bl w:val="nil"/>
                  </w:tcBorders>
                  <w:vAlign w:val="center"/>
                </w:tcPr>
                <w:p w14:paraId="46D6225F">
                  <w:pPr>
                    <w:adjustRightInd w:val="0"/>
                    <w:snapToGrid w:val="0"/>
                    <w:jc w:val="center"/>
                    <w:rPr>
                      <w:rFonts w:ascii="Times New Roman" w:hAnsi="Times New Roman" w:cs="Times New Roman"/>
                      <w:b/>
                      <w:bCs/>
                      <w:color w:val="auto"/>
                      <w:kern w:val="0"/>
                      <w:szCs w:val="21"/>
                      <w:u w:val="none"/>
                    </w:rPr>
                  </w:pPr>
                  <w:r>
                    <w:rPr>
                      <w:rFonts w:hint="eastAsia" w:cs="Times New Roman"/>
                      <w:b/>
                      <w:bCs/>
                      <w:color w:val="auto"/>
                      <w:kern w:val="0"/>
                      <w:szCs w:val="21"/>
                      <w:u w:val="none"/>
                      <w:lang w:val="en-US" w:eastAsia="zh-CN"/>
                    </w:rPr>
                    <w:t>厂区最大储存量</w:t>
                  </w:r>
                </w:p>
              </w:tc>
              <w:tc>
                <w:tcPr>
                  <w:tcW w:w="3382" w:type="dxa"/>
                  <w:tcBorders>
                    <w:tl2br w:val="nil"/>
                    <w:tr2bl w:val="nil"/>
                  </w:tcBorders>
                  <w:vAlign w:val="center"/>
                </w:tcPr>
                <w:p w14:paraId="0A2A729D">
                  <w:pPr>
                    <w:adjustRightInd w:val="0"/>
                    <w:snapToGrid w:val="0"/>
                    <w:jc w:val="center"/>
                    <w:rPr>
                      <w:rFonts w:hint="eastAsia" w:ascii="Times New Roman" w:hAnsi="Times New Roman" w:eastAsia="黑体" w:cs="Times New Roman"/>
                      <w:color w:val="auto"/>
                      <w:sz w:val="24"/>
                      <w:u w:val="none"/>
                      <w:vertAlign w:val="baseline"/>
                      <w:lang w:val="en-US" w:eastAsia="zh-CN"/>
                    </w:rPr>
                  </w:pPr>
                  <w:r>
                    <w:rPr>
                      <w:rFonts w:hint="eastAsia" w:ascii="Times New Roman" w:hAnsi="Times New Roman" w:cs="Times New Roman"/>
                      <w:b/>
                      <w:bCs/>
                      <w:color w:val="auto"/>
                      <w:kern w:val="0"/>
                      <w:szCs w:val="21"/>
                      <w:u w:val="none"/>
                    </w:rPr>
                    <w:t>备注</w:t>
                  </w:r>
                </w:p>
              </w:tc>
            </w:tr>
            <w:tr w14:paraId="48E0CCAD">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537" w:type="dxa"/>
                  <w:tcBorders>
                    <w:tl2br w:val="nil"/>
                    <w:tr2bl w:val="nil"/>
                  </w:tcBorders>
                  <w:vAlign w:val="center"/>
                </w:tcPr>
                <w:p w14:paraId="1F3BC71F">
                  <w:pPr>
                    <w:adjustRightInd w:val="0"/>
                    <w:snapToGrid w:val="0"/>
                    <w:jc w:val="center"/>
                    <w:rPr>
                      <w:rFonts w:hint="default"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瓦斯（甲烷）</w:t>
                  </w:r>
                </w:p>
              </w:tc>
              <w:tc>
                <w:tcPr>
                  <w:tcW w:w="1648" w:type="dxa"/>
                  <w:tcBorders>
                    <w:tl2br w:val="nil"/>
                    <w:tr2bl w:val="nil"/>
                  </w:tcBorders>
                  <w:vAlign w:val="center"/>
                </w:tcPr>
                <w:p w14:paraId="38606221">
                  <w:pPr>
                    <w:adjustRightInd w:val="0"/>
                    <w:snapToGrid w:val="0"/>
                    <w:jc w:val="center"/>
                    <w:rPr>
                      <w:rFonts w:hint="eastAsia" w:ascii="Times New Roman" w:hAnsi="Times New Roman" w:eastAsia="宋体" w:cs="Times New Roman"/>
                      <w:bCs/>
                      <w:color w:val="auto"/>
                      <w:kern w:val="0"/>
                      <w:szCs w:val="21"/>
                      <w:u w:val="none"/>
                      <w:lang w:val="en-US" w:eastAsia="zh-CN"/>
                    </w:rPr>
                  </w:pPr>
                  <w:r>
                    <w:rPr>
                      <w:rFonts w:hint="eastAsia" w:cs="Times New Roman"/>
                      <w:bCs/>
                      <w:color w:val="auto"/>
                      <w:kern w:val="0"/>
                      <w:szCs w:val="21"/>
                      <w:highlight w:val="none"/>
                      <w:u w:val="none"/>
                      <w:lang w:val="en-US" w:eastAsia="zh-CN"/>
                    </w:rPr>
                    <w:t>1152</w:t>
                  </w:r>
                  <w:r>
                    <w:rPr>
                      <w:rFonts w:hint="eastAsia" w:ascii="Times New Roman" w:hAnsi="Times New Roman" w:eastAsia="宋体" w:cs="Times New Roman"/>
                      <w:bCs/>
                      <w:color w:val="auto"/>
                      <w:kern w:val="0"/>
                      <w:szCs w:val="21"/>
                      <w:highlight w:val="none"/>
                      <w:u w:val="none"/>
                      <w:lang w:val="en-US" w:eastAsia="zh-CN"/>
                    </w:rPr>
                    <w:t>万</w:t>
                  </w:r>
                  <w:r>
                    <w:rPr>
                      <w:rFonts w:hint="eastAsia" w:ascii="Times New Roman" w:hAnsi="Times New Roman" w:eastAsia="宋体" w:cs="Times New Roman"/>
                      <w:bCs/>
                      <w:color w:val="auto"/>
                      <w:kern w:val="0"/>
                      <w:szCs w:val="21"/>
                      <w:u w:val="none"/>
                      <w:lang w:val="en-US" w:eastAsia="zh-CN"/>
                    </w:rPr>
                    <w:t>立方</w:t>
                  </w:r>
                </w:p>
              </w:tc>
              <w:tc>
                <w:tcPr>
                  <w:tcW w:w="1811" w:type="dxa"/>
                  <w:tcBorders>
                    <w:tl2br w:val="nil"/>
                    <w:tr2bl w:val="nil"/>
                  </w:tcBorders>
                  <w:vAlign w:val="center"/>
                </w:tcPr>
                <w:p w14:paraId="3B9103F3">
                  <w:pPr>
                    <w:adjustRightInd w:val="0"/>
                    <w:snapToGrid w:val="0"/>
                    <w:jc w:val="center"/>
                    <w:rPr>
                      <w:rFonts w:hint="default" w:cs="Times New Roman"/>
                      <w:bCs/>
                      <w:color w:val="auto"/>
                      <w:kern w:val="0"/>
                      <w:szCs w:val="21"/>
                      <w:highlight w:val="none"/>
                      <w:u w:val="none"/>
                      <w:lang w:val="en-US" w:eastAsia="zh-CN"/>
                    </w:rPr>
                  </w:pPr>
                  <w:r>
                    <w:rPr>
                      <w:rFonts w:hint="eastAsia" w:cs="Times New Roman"/>
                      <w:bCs/>
                      <w:color w:val="auto"/>
                      <w:kern w:val="0"/>
                      <w:szCs w:val="21"/>
                      <w:highlight w:val="none"/>
                      <w:u w:val="none"/>
                      <w:lang w:val="en-US" w:eastAsia="zh-CN"/>
                    </w:rPr>
                    <w:t>/</w:t>
                  </w:r>
                </w:p>
              </w:tc>
              <w:tc>
                <w:tcPr>
                  <w:tcW w:w="3382" w:type="dxa"/>
                  <w:tcBorders>
                    <w:tl2br w:val="nil"/>
                    <w:tr2bl w:val="nil"/>
                  </w:tcBorders>
                  <w:vAlign w:val="center"/>
                </w:tcPr>
                <w:p w14:paraId="5BAE68C3">
                  <w:pPr>
                    <w:adjustRightInd w:val="0"/>
                    <w:snapToGrid w:val="0"/>
                    <w:jc w:val="center"/>
                    <w:rPr>
                      <w:rFonts w:hint="eastAsia"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未储存，管道运输</w:t>
                  </w:r>
                </w:p>
              </w:tc>
            </w:tr>
            <w:tr w14:paraId="7F8BCB38">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4" w:hRule="atLeast"/>
              </w:trPr>
              <w:tc>
                <w:tcPr>
                  <w:tcW w:w="1537" w:type="dxa"/>
                  <w:tcBorders>
                    <w:tl2br w:val="nil"/>
                    <w:tr2bl w:val="nil"/>
                  </w:tcBorders>
                  <w:vAlign w:val="center"/>
                </w:tcPr>
                <w:p w14:paraId="5E11219D">
                  <w:pPr>
                    <w:adjustRightInd w:val="0"/>
                    <w:snapToGrid w:val="0"/>
                    <w:jc w:val="center"/>
                    <w:rPr>
                      <w:rFonts w:hint="default"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机油</w:t>
                  </w:r>
                </w:p>
              </w:tc>
              <w:tc>
                <w:tcPr>
                  <w:tcW w:w="1648" w:type="dxa"/>
                  <w:tcBorders>
                    <w:tl2br w:val="nil"/>
                    <w:tr2bl w:val="nil"/>
                  </w:tcBorders>
                  <w:vAlign w:val="center"/>
                </w:tcPr>
                <w:p w14:paraId="56EE06A3">
                  <w:pPr>
                    <w:adjustRightInd w:val="0"/>
                    <w:snapToGrid w:val="0"/>
                    <w:jc w:val="center"/>
                    <w:rPr>
                      <w:rFonts w:hint="default"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预计</w:t>
                  </w:r>
                  <w:r>
                    <w:rPr>
                      <w:rFonts w:hint="eastAsia" w:cs="Times New Roman"/>
                      <w:bCs/>
                      <w:color w:val="auto"/>
                      <w:kern w:val="0"/>
                      <w:szCs w:val="21"/>
                      <w:u w:val="none"/>
                      <w:lang w:val="en-US" w:eastAsia="zh-CN"/>
                    </w:rPr>
                    <w:t>4.4</w:t>
                  </w:r>
                  <w:r>
                    <w:rPr>
                      <w:rFonts w:hint="eastAsia" w:ascii="Times New Roman" w:hAnsi="Times New Roman" w:eastAsia="宋体" w:cs="Times New Roman"/>
                      <w:bCs/>
                      <w:color w:val="auto"/>
                      <w:kern w:val="0"/>
                      <w:szCs w:val="21"/>
                      <w:u w:val="none"/>
                      <w:lang w:val="en-US" w:eastAsia="zh-CN"/>
                    </w:rPr>
                    <w:t>t</w:t>
                  </w:r>
                </w:p>
              </w:tc>
              <w:tc>
                <w:tcPr>
                  <w:tcW w:w="1811" w:type="dxa"/>
                  <w:tcBorders>
                    <w:tl2br w:val="nil"/>
                    <w:tr2bl w:val="nil"/>
                  </w:tcBorders>
                  <w:vAlign w:val="center"/>
                </w:tcPr>
                <w:p w14:paraId="791A4729">
                  <w:pPr>
                    <w:adjustRightInd w:val="0"/>
                    <w:snapToGrid w:val="0"/>
                    <w:jc w:val="center"/>
                    <w:rPr>
                      <w:rFonts w:hint="eastAsia" w:ascii="Times New Roman" w:hAnsi="Times New Roman" w:eastAsia="宋体" w:cs="Times New Roman"/>
                      <w:bCs/>
                      <w:color w:val="auto"/>
                      <w:kern w:val="0"/>
                      <w:szCs w:val="21"/>
                      <w:u w:val="none"/>
                      <w:lang w:val="en-US" w:eastAsia="zh-CN"/>
                    </w:rPr>
                  </w:pPr>
                  <w:r>
                    <w:rPr>
                      <w:rFonts w:hint="eastAsia" w:cs="Times New Roman"/>
                      <w:bCs/>
                      <w:color w:val="auto"/>
                      <w:kern w:val="0"/>
                      <w:szCs w:val="21"/>
                      <w:u w:val="none"/>
                      <w:lang w:val="en-US" w:eastAsia="zh-CN"/>
                    </w:rPr>
                    <w:t>10桶</w:t>
                  </w:r>
                </w:p>
              </w:tc>
              <w:tc>
                <w:tcPr>
                  <w:tcW w:w="3382" w:type="dxa"/>
                  <w:tcBorders>
                    <w:tl2br w:val="nil"/>
                    <w:tr2bl w:val="nil"/>
                  </w:tcBorders>
                  <w:vAlign w:val="center"/>
                </w:tcPr>
                <w:p w14:paraId="5A4238D4">
                  <w:pPr>
                    <w:adjustRightInd w:val="0"/>
                    <w:snapToGrid w:val="0"/>
                    <w:jc w:val="center"/>
                    <w:rPr>
                      <w:rFonts w:hint="default"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型号:15W-40，用于发动机机箱曲轴、活塞等部件润滑，储存方式：桶装在成品油库贮存</w:t>
                  </w:r>
                  <w:r>
                    <w:rPr>
                      <w:rFonts w:hint="eastAsia" w:cs="Times New Roman"/>
                      <w:bCs/>
                      <w:color w:val="auto"/>
                      <w:kern w:val="0"/>
                      <w:szCs w:val="21"/>
                      <w:u w:val="none"/>
                      <w:lang w:val="en-US" w:eastAsia="zh-CN"/>
                    </w:rPr>
                    <w:t>，包装规格为：铁质桶200L/桶</w:t>
                  </w:r>
                </w:p>
              </w:tc>
            </w:tr>
            <w:tr w14:paraId="7F80F4A5">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761" w:hRule="atLeast"/>
              </w:trPr>
              <w:tc>
                <w:tcPr>
                  <w:tcW w:w="1537" w:type="dxa"/>
                  <w:tcBorders>
                    <w:tl2br w:val="nil"/>
                    <w:tr2bl w:val="nil"/>
                  </w:tcBorders>
                  <w:vAlign w:val="center"/>
                </w:tcPr>
                <w:p w14:paraId="2E1310B0">
                  <w:pPr>
                    <w:adjustRightInd w:val="0"/>
                    <w:snapToGrid w:val="0"/>
                    <w:jc w:val="center"/>
                    <w:rPr>
                      <w:rFonts w:hint="default" w:ascii="Times New Roman" w:hAnsi="Times New Roman" w:eastAsia="宋体" w:cs="Times New Roman"/>
                      <w:bCs/>
                      <w:color w:val="auto"/>
                      <w:kern w:val="0"/>
                      <w:szCs w:val="21"/>
                      <w:u w:val="none"/>
                      <w:lang w:val="en-US" w:eastAsia="zh-CN"/>
                    </w:rPr>
                  </w:pPr>
                  <w:r>
                    <w:rPr>
                      <w:rFonts w:hint="eastAsia" w:ascii="Times New Roman" w:hAnsi="Times New Roman" w:cs="Times New Roman"/>
                      <w:bCs/>
                      <w:color w:val="auto"/>
                      <w:kern w:val="0"/>
                      <w:szCs w:val="21"/>
                      <w:u w:val="none"/>
                      <w:lang w:val="en-US" w:eastAsia="zh-CN"/>
                    </w:rPr>
                    <w:t>润滑油</w:t>
                  </w:r>
                </w:p>
              </w:tc>
              <w:tc>
                <w:tcPr>
                  <w:tcW w:w="1648" w:type="dxa"/>
                  <w:tcBorders>
                    <w:tl2br w:val="nil"/>
                    <w:tr2bl w:val="nil"/>
                  </w:tcBorders>
                  <w:vAlign w:val="center"/>
                </w:tcPr>
                <w:p w14:paraId="0C4C561E">
                  <w:pPr>
                    <w:adjustRightInd w:val="0"/>
                    <w:snapToGrid w:val="0"/>
                    <w:jc w:val="center"/>
                    <w:rPr>
                      <w:rFonts w:hint="default" w:ascii="Times New Roman" w:hAnsi="Times New Roman" w:eastAsia="宋体" w:cs="Times New Roman"/>
                      <w:bCs/>
                      <w:color w:val="auto"/>
                      <w:kern w:val="0"/>
                      <w:szCs w:val="21"/>
                      <w:u w:val="none"/>
                      <w:lang w:val="en-US" w:eastAsia="zh-CN"/>
                    </w:rPr>
                  </w:pPr>
                  <w:r>
                    <w:rPr>
                      <w:rFonts w:hint="eastAsia" w:cs="Times New Roman"/>
                      <w:bCs/>
                      <w:color w:val="auto"/>
                      <w:kern w:val="0"/>
                      <w:szCs w:val="21"/>
                      <w:u w:val="none"/>
                      <w:lang w:val="en-US" w:eastAsia="zh-CN"/>
                    </w:rPr>
                    <w:t>15</w:t>
                  </w:r>
                  <w:r>
                    <w:rPr>
                      <w:rFonts w:hint="eastAsia" w:ascii="Times New Roman" w:hAnsi="Times New Roman" w:eastAsia="宋体" w:cs="Times New Roman"/>
                      <w:bCs/>
                      <w:color w:val="auto"/>
                      <w:kern w:val="0"/>
                      <w:szCs w:val="21"/>
                      <w:u w:val="none"/>
                      <w:lang w:val="en-US" w:eastAsia="zh-CN"/>
                    </w:rPr>
                    <w:t>kg</w:t>
                  </w:r>
                </w:p>
              </w:tc>
              <w:tc>
                <w:tcPr>
                  <w:tcW w:w="1811" w:type="dxa"/>
                  <w:tcBorders>
                    <w:tl2br w:val="nil"/>
                    <w:tr2bl w:val="nil"/>
                  </w:tcBorders>
                  <w:vAlign w:val="center"/>
                </w:tcPr>
                <w:p w14:paraId="2144B949">
                  <w:pPr>
                    <w:adjustRightInd w:val="0"/>
                    <w:snapToGrid w:val="0"/>
                    <w:jc w:val="center"/>
                    <w:rPr>
                      <w:rFonts w:hint="eastAsia" w:cs="Times New Roman"/>
                      <w:bCs/>
                      <w:color w:val="auto"/>
                      <w:kern w:val="0"/>
                      <w:szCs w:val="21"/>
                      <w:u w:val="none"/>
                      <w:lang w:val="en-US" w:eastAsia="zh-CN"/>
                    </w:rPr>
                  </w:pPr>
                  <w:r>
                    <w:rPr>
                      <w:rFonts w:hint="eastAsia" w:cs="Times New Roman"/>
                      <w:bCs/>
                      <w:color w:val="auto"/>
                      <w:kern w:val="0"/>
                      <w:szCs w:val="21"/>
                      <w:u w:val="none"/>
                      <w:lang w:val="en-US" w:eastAsia="zh-CN"/>
                    </w:rPr>
                    <w:t>1桶</w:t>
                  </w:r>
                </w:p>
              </w:tc>
              <w:tc>
                <w:tcPr>
                  <w:tcW w:w="3382" w:type="dxa"/>
                  <w:tcBorders>
                    <w:tl2br w:val="nil"/>
                    <w:tr2bl w:val="nil"/>
                  </w:tcBorders>
                  <w:vAlign w:val="center"/>
                </w:tcPr>
                <w:p w14:paraId="7B8F949E">
                  <w:pPr>
                    <w:adjustRightInd w:val="0"/>
                    <w:snapToGrid w:val="0"/>
                    <w:jc w:val="center"/>
                    <w:rPr>
                      <w:rFonts w:hint="eastAsia"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通用锂基脂3号，用于发动机、发电机等设备部件润滑，储存方式：桶装在成品油库贮存</w:t>
                  </w:r>
                  <w:r>
                    <w:rPr>
                      <w:rFonts w:hint="eastAsia" w:cs="Times New Roman"/>
                      <w:bCs/>
                      <w:color w:val="auto"/>
                      <w:kern w:val="0"/>
                      <w:szCs w:val="21"/>
                      <w:u w:val="none"/>
                      <w:lang w:val="en-US" w:eastAsia="zh-CN"/>
                    </w:rPr>
                    <w:t>，包装规格为：胶质桶15kg/桶</w:t>
                  </w:r>
                </w:p>
              </w:tc>
            </w:tr>
          </w:tbl>
          <w:p w14:paraId="2C98DDA4">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rPr>
                <w:rFonts w:ascii="Times New Roman" w:hAnsi="Times New Roman" w:eastAsia="黑体" w:cs="Times New Roman"/>
                <w:color w:val="auto"/>
                <w:sz w:val="24"/>
                <w:u w:val="none"/>
              </w:rPr>
            </w:pPr>
            <w:r>
              <w:rPr>
                <w:rFonts w:hint="eastAsia" w:ascii="Times New Roman" w:hAnsi="Times New Roman" w:eastAsia="黑体" w:cs="Times New Roman"/>
                <w:color w:val="auto"/>
                <w:sz w:val="24"/>
                <w:u w:val="none"/>
                <w:lang w:val="en-US" w:eastAsia="zh-CN"/>
              </w:rPr>
              <w:t>表</w:t>
            </w:r>
            <w:r>
              <w:rPr>
                <w:rFonts w:hint="eastAsia" w:eastAsia="黑体" w:cs="Times New Roman"/>
                <w:color w:val="auto"/>
                <w:sz w:val="24"/>
                <w:u w:val="none"/>
                <w:lang w:val="en-US" w:eastAsia="zh-CN"/>
              </w:rPr>
              <w:t>2-6</w:t>
            </w:r>
            <w:r>
              <w:rPr>
                <w:rFonts w:hint="eastAsia" w:ascii="Times New Roman" w:hAnsi="Times New Roman" w:eastAsia="黑体" w:cs="Times New Roman"/>
                <w:color w:val="auto"/>
                <w:sz w:val="24"/>
                <w:u w:val="none"/>
                <w:lang w:val="en-US" w:eastAsia="zh-CN"/>
              </w:rPr>
              <w:t xml:space="preserve"> 辅助材料成分理化性质一览表</w:t>
            </w:r>
          </w:p>
          <w:tbl>
            <w:tblPr>
              <w:tblStyle w:val="33"/>
              <w:tblW w:w="8377" w:type="dxa"/>
              <w:tblInd w:w="-2" w:type="dxa"/>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145"/>
              <w:gridCol w:w="2138"/>
              <w:gridCol w:w="2465"/>
              <w:gridCol w:w="2629"/>
            </w:tblGrid>
            <w:tr w14:paraId="27D704D7">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PrEx>
              <w:trPr>
                <w:trHeight w:val="512" w:hRule="atLeast"/>
              </w:trPr>
              <w:tc>
                <w:tcPr>
                  <w:tcW w:w="1145" w:type="dxa"/>
                  <w:tcBorders>
                    <w:tl2br w:val="nil"/>
                    <w:tr2bl w:val="nil"/>
                  </w:tcBorders>
                  <w:vAlign w:val="center"/>
                </w:tcPr>
                <w:p w14:paraId="78F09B10">
                  <w:pPr>
                    <w:adjustRightInd w:val="0"/>
                    <w:snapToGrid w:val="0"/>
                    <w:spacing w:line="240" w:lineRule="auto"/>
                    <w:jc w:val="center"/>
                    <w:rPr>
                      <w:rFonts w:hint="eastAsia" w:ascii="Times New Roman" w:hAnsi="Times New Roman" w:eastAsia="宋体" w:cs="Times New Roman"/>
                      <w:b/>
                      <w:bCs/>
                      <w:color w:val="auto"/>
                      <w:kern w:val="0"/>
                      <w:szCs w:val="21"/>
                      <w:u w:val="none"/>
                      <w:lang w:eastAsia="zh-CN"/>
                    </w:rPr>
                  </w:pPr>
                  <w:r>
                    <w:rPr>
                      <w:rFonts w:hint="eastAsia" w:ascii="Times New Roman" w:hAnsi="Times New Roman" w:eastAsia="宋体" w:cs="Times New Roman"/>
                      <w:b/>
                      <w:bCs/>
                      <w:color w:val="auto"/>
                      <w:kern w:val="0"/>
                      <w:szCs w:val="21"/>
                      <w:u w:val="none"/>
                      <w:lang w:eastAsia="zh-CN"/>
                    </w:rPr>
                    <w:t>物质名称</w:t>
                  </w:r>
                </w:p>
              </w:tc>
              <w:tc>
                <w:tcPr>
                  <w:tcW w:w="2138" w:type="dxa"/>
                  <w:tcBorders>
                    <w:tl2br w:val="nil"/>
                    <w:tr2bl w:val="nil"/>
                  </w:tcBorders>
                  <w:vAlign w:val="center"/>
                </w:tcPr>
                <w:p w14:paraId="3A094BA3">
                  <w:pPr>
                    <w:adjustRightInd w:val="0"/>
                    <w:snapToGrid w:val="0"/>
                    <w:spacing w:line="240" w:lineRule="auto"/>
                    <w:jc w:val="center"/>
                    <w:rPr>
                      <w:rFonts w:hint="eastAsia" w:ascii="Times New Roman" w:hAnsi="Times New Roman" w:eastAsia="宋体" w:cs="Times New Roman"/>
                      <w:b/>
                      <w:bCs/>
                      <w:color w:val="auto"/>
                      <w:kern w:val="0"/>
                      <w:szCs w:val="21"/>
                      <w:u w:val="none"/>
                      <w:lang w:eastAsia="zh-CN"/>
                    </w:rPr>
                  </w:pPr>
                  <w:r>
                    <w:rPr>
                      <w:rFonts w:hint="eastAsia" w:ascii="Times New Roman" w:hAnsi="Times New Roman" w:eastAsia="宋体" w:cs="Times New Roman"/>
                      <w:b/>
                      <w:bCs/>
                      <w:color w:val="auto"/>
                      <w:kern w:val="0"/>
                      <w:szCs w:val="21"/>
                      <w:u w:val="none"/>
                      <w:lang w:eastAsia="zh-CN"/>
                    </w:rPr>
                    <w:t>理化性质</w:t>
                  </w:r>
                </w:p>
              </w:tc>
              <w:tc>
                <w:tcPr>
                  <w:tcW w:w="2465" w:type="dxa"/>
                  <w:tcBorders>
                    <w:tl2br w:val="nil"/>
                    <w:tr2bl w:val="nil"/>
                  </w:tcBorders>
                  <w:vAlign w:val="center"/>
                </w:tcPr>
                <w:p w14:paraId="4597703A">
                  <w:pPr>
                    <w:adjustRightInd w:val="0"/>
                    <w:snapToGrid w:val="0"/>
                    <w:spacing w:line="240" w:lineRule="auto"/>
                    <w:jc w:val="center"/>
                    <w:rPr>
                      <w:rFonts w:hint="eastAsia" w:ascii="Times New Roman" w:hAnsi="Times New Roman" w:eastAsia="宋体" w:cs="Times New Roman"/>
                      <w:b/>
                      <w:bCs/>
                      <w:color w:val="auto"/>
                      <w:kern w:val="0"/>
                      <w:szCs w:val="21"/>
                      <w:u w:val="none"/>
                      <w:lang w:eastAsia="zh-CN"/>
                    </w:rPr>
                  </w:pPr>
                  <w:r>
                    <w:rPr>
                      <w:rFonts w:hint="eastAsia" w:ascii="Times New Roman" w:hAnsi="Times New Roman" w:eastAsia="宋体" w:cs="Times New Roman"/>
                      <w:b/>
                      <w:bCs/>
                      <w:color w:val="auto"/>
                      <w:kern w:val="0"/>
                      <w:szCs w:val="21"/>
                      <w:u w:val="none"/>
                      <w:lang w:eastAsia="zh-CN"/>
                    </w:rPr>
                    <w:t>易燃易爆性</w:t>
                  </w:r>
                </w:p>
              </w:tc>
              <w:tc>
                <w:tcPr>
                  <w:tcW w:w="2629" w:type="dxa"/>
                  <w:tcBorders>
                    <w:tl2br w:val="nil"/>
                    <w:tr2bl w:val="nil"/>
                  </w:tcBorders>
                  <w:vAlign w:val="center"/>
                </w:tcPr>
                <w:p w14:paraId="4075996A">
                  <w:pPr>
                    <w:adjustRightInd w:val="0"/>
                    <w:snapToGrid w:val="0"/>
                    <w:spacing w:line="240" w:lineRule="auto"/>
                    <w:jc w:val="center"/>
                    <w:rPr>
                      <w:rFonts w:hint="eastAsia" w:ascii="Times New Roman" w:hAnsi="Times New Roman" w:eastAsia="宋体" w:cs="Times New Roman"/>
                      <w:b/>
                      <w:bCs/>
                      <w:color w:val="auto"/>
                      <w:kern w:val="0"/>
                      <w:szCs w:val="21"/>
                      <w:u w:val="none"/>
                      <w:lang w:eastAsia="zh-CN"/>
                    </w:rPr>
                  </w:pPr>
                  <w:r>
                    <w:rPr>
                      <w:rFonts w:hint="eastAsia" w:ascii="Times New Roman" w:hAnsi="Times New Roman" w:eastAsia="宋体" w:cs="Times New Roman"/>
                      <w:b/>
                      <w:bCs/>
                      <w:color w:val="auto"/>
                      <w:kern w:val="0"/>
                      <w:szCs w:val="21"/>
                      <w:u w:val="none"/>
                      <w:lang w:eastAsia="zh-CN"/>
                    </w:rPr>
                    <w:t>毒性</w:t>
                  </w:r>
                </w:p>
              </w:tc>
            </w:tr>
            <w:tr w14:paraId="1DEAAA45">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240" w:hRule="atLeast"/>
              </w:trPr>
              <w:tc>
                <w:tcPr>
                  <w:tcW w:w="1145" w:type="dxa"/>
                  <w:tcBorders>
                    <w:tl2br w:val="nil"/>
                    <w:tr2bl w:val="nil"/>
                  </w:tcBorders>
                  <w:vAlign w:val="center"/>
                </w:tcPr>
                <w:p w14:paraId="6AAC433D">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甲烷</w:t>
                  </w:r>
                </w:p>
              </w:tc>
              <w:tc>
                <w:tcPr>
                  <w:tcW w:w="2138" w:type="dxa"/>
                  <w:tcBorders>
                    <w:tl2br w:val="nil"/>
                    <w:tr2bl w:val="nil"/>
                  </w:tcBorders>
                  <w:vAlign w:val="center"/>
                </w:tcPr>
                <w:p w14:paraId="0D45F08A">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无色，无臭气体，密度熔点-182.5℃，0.7kg/m</w:t>
                  </w:r>
                  <w:r>
                    <w:rPr>
                      <w:rFonts w:hint="eastAsia" w:ascii="Times New Roman" w:hAnsi="Times New Roman" w:eastAsia="宋体" w:cs="Times New Roman"/>
                      <w:bCs/>
                      <w:color w:val="auto"/>
                      <w:kern w:val="0"/>
                      <w:szCs w:val="21"/>
                      <w:u w:val="none"/>
                      <w:vertAlign w:val="superscript"/>
                      <w:lang w:val="en-US" w:eastAsia="zh-CN"/>
                    </w:rPr>
                    <w:t>3</w:t>
                  </w:r>
                  <w:r>
                    <w:rPr>
                      <w:rFonts w:hint="eastAsia" w:ascii="Times New Roman" w:hAnsi="Times New Roman" w:eastAsia="宋体" w:cs="Times New Roman"/>
                      <w:bCs/>
                      <w:color w:val="auto"/>
                      <w:kern w:val="0"/>
                      <w:szCs w:val="21"/>
                      <w:u w:val="none"/>
                      <w:lang w:val="en-US" w:eastAsia="zh-CN"/>
                    </w:rPr>
                    <w:t>引燃温度53.8℃，临界压力4.59Mpa∶临界温度-82.6℃最大爆炸压力0.717MPa∶爆炸热值889.5KJ/mol</w:t>
                  </w:r>
                </w:p>
              </w:tc>
              <w:tc>
                <w:tcPr>
                  <w:tcW w:w="2465" w:type="dxa"/>
                  <w:tcBorders>
                    <w:tl2br w:val="nil"/>
                    <w:tr2bl w:val="nil"/>
                  </w:tcBorders>
                  <w:vAlign w:val="center"/>
                </w:tcPr>
                <w:p w14:paraId="73B27ACB">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易燃、与空气混合能形成爆炸性混合物，遇见明火和热源有燃烧爆炸的危险，与五氧化溴、氯气、次氯酸、三氟化氮、液氨二氟化氧及其他强氧化剂接触剧烈反应</w:t>
                  </w:r>
                </w:p>
              </w:tc>
              <w:tc>
                <w:tcPr>
                  <w:tcW w:w="2629" w:type="dxa"/>
                  <w:tcBorders>
                    <w:tl2br w:val="nil"/>
                    <w:tr2bl w:val="nil"/>
                  </w:tcBorders>
                  <w:vAlign w:val="center"/>
                </w:tcPr>
                <w:p w14:paraId="27CD85A6">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甲烷对人体基本无毒，但浓度高时，使空气中氧含量明显降低，使人窒息。当空气中甲烷达25%-30%时，可引起头疼头晕、乏力、注意力不集中呼吸和心跳加速、心率失调若不及时脱离，可窒息死亡</w:t>
                  </w:r>
                </w:p>
              </w:tc>
            </w:tr>
            <w:tr w14:paraId="210DE6B0">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771" w:hRule="atLeast"/>
              </w:trPr>
              <w:tc>
                <w:tcPr>
                  <w:tcW w:w="1145" w:type="dxa"/>
                  <w:tcBorders>
                    <w:tl2br w:val="nil"/>
                    <w:tr2bl w:val="nil"/>
                  </w:tcBorders>
                  <w:vAlign w:val="center"/>
                </w:tcPr>
                <w:p w14:paraId="16A569A6">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瓦斯气</w:t>
                  </w:r>
                </w:p>
              </w:tc>
              <w:tc>
                <w:tcPr>
                  <w:tcW w:w="2138" w:type="dxa"/>
                  <w:tcBorders>
                    <w:tl2br w:val="nil"/>
                    <w:tr2bl w:val="nil"/>
                  </w:tcBorders>
                  <w:vAlign w:val="center"/>
                </w:tcPr>
                <w:p w14:paraId="16518C4A">
                  <w:pPr>
                    <w:adjustRightInd w:val="0"/>
                    <w:snapToGrid w:val="0"/>
                    <w:spacing w:line="240" w:lineRule="auto"/>
                    <w:jc w:val="center"/>
                    <w:rPr>
                      <w:rFonts w:hint="default"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爆炸上限15％，爆炸下限5％</w:t>
                  </w:r>
                </w:p>
              </w:tc>
              <w:tc>
                <w:tcPr>
                  <w:tcW w:w="2465" w:type="dxa"/>
                  <w:tcBorders>
                    <w:tl2br w:val="nil"/>
                    <w:tr2bl w:val="nil"/>
                  </w:tcBorders>
                  <w:vAlign w:val="center"/>
                </w:tcPr>
                <w:p w14:paraId="3C9AFDB1">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与空气混合能形成爆炸性混合物，遇见明火和热源有燃烧爆炸的危险</w:t>
                  </w:r>
                </w:p>
              </w:tc>
              <w:tc>
                <w:tcPr>
                  <w:tcW w:w="2629" w:type="dxa"/>
                  <w:tcBorders>
                    <w:tl2br w:val="nil"/>
                    <w:tr2bl w:val="nil"/>
                  </w:tcBorders>
                  <w:vAlign w:val="center"/>
                </w:tcPr>
                <w:p w14:paraId="6A864AE8">
                  <w:pPr>
                    <w:adjustRightInd w:val="0"/>
                    <w:snapToGrid w:val="0"/>
                    <w:spacing w:line="240" w:lineRule="auto"/>
                    <w:jc w:val="center"/>
                    <w:rPr>
                      <w:rFonts w:hint="default"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w:t>
                  </w:r>
                </w:p>
              </w:tc>
            </w:tr>
            <w:tr w14:paraId="33C131DA">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786" w:hRule="atLeast"/>
              </w:trPr>
              <w:tc>
                <w:tcPr>
                  <w:tcW w:w="1145" w:type="dxa"/>
                  <w:tcBorders>
                    <w:tl2br w:val="nil"/>
                    <w:tr2bl w:val="nil"/>
                  </w:tcBorders>
                  <w:vAlign w:val="center"/>
                </w:tcPr>
                <w:p w14:paraId="0FE8EB7D">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cs="Times New Roman"/>
                      <w:bCs/>
                      <w:color w:val="auto"/>
                      <w:kern w:val="0"/>
                      <w:szCs w:val="21"/>
                      <w:u w:val="none"/>
                      <w:lang w:val="en-US" w:eastAsia="zh-CN"/>
                    </w:rPr>
                    <w:t>机油</w:t>
                  </w:r>
                </w:p>
              </w:tc>
              <w:tc>
                <w:tcPr>
                  <w:tcW w:w="2138" w:type="dxa"/>
                  <w:tcBorders>
                    <w:tl2br w:val="nil"/>
                    <w:tr2bl w:val="nil"/>
                  </w:tcBorders>
                  <w:vAlign w:val="center"/>
                </w:tcPr>
                <w:p w14:paraId="5C413681">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油状液体，淡黄色至褐色，无气味或略带异味</w:t>
                  </w:r>
                  <w:r>
                    <w:rPr>
                      <w:rFonts w:hint="eastAsia" w:cs="Times New Roman"/>
                      <w:bCs/>
                      <w:color w:val="auto"/>
                      <w:kern w:val="0"/>
                      <w:szCs w:val="21"/>
                      <w:u w:val="none"/>
                      <w:lang w:val="en-US" w:eastAsia="zh-CN"/>
                    </w:rPr>
                    <w:t>，不溶于水</w:t>
                  </w:r>
                </w:p>
              </w:tc>
              <w:tc>
                <w:tcPr>
                  <w:tcW w:w="2465" w:type="dxa"/>
                  <w:tcBorders>
                    <w:tl2br w:val="nil"/>
                    <w:tr2bl w:val="nil"/>
                  </w:tcBorders>
                  <w:vAlign w:val="center"/>
                </w:tcPr>
                <w:p w14:paraId="2209BC7F">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cs="Times New Roman"/>
                      <w:bCs/>
                      <w:color w:val="auto"/>
                      <w:kern w:val="0"/>
                      <w:szCs w:val="21"/>
                      <w:u w:val="none"/>
                      <w:lang w:val="en-US" w:eastAsia="zh-CN"/>
                    </w:rPr>
                    <w:t>遇明火、高热可燃</w:t>
                  </w:r>
                </w:p>
              </w:tc>
              <w:tc>
                <w:tcPr>
                  <w:tcW w:w="2629" w:type="dxa"/>
                  <w:tcBorders>
                    <w:tl2br w:val="nil"/>
                    <w:tr2bl w:val="nil"/>
                  </w:tcBorders>
                  <w:vAlign w:val="center"/>
                </w:tcPr>
                <w:p w14:paraId="72BB8CEF">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侵入途径:吸如、食入</w:t>
                  </w:r>
                  <w:r>
                    <w:rPr>
                      <w:rFonts w:hint="eastAsia" w:cs="Times New Roman"/>
                      <w:bCs/>
                      <w:color w:val="auto"/>
                      <w:kern w:val="0"/>
                      <w:szCs w:val="21"/>
                      <w:u w:val="none"/>
                      <w:lang w:val="en-US" w:eastAsia="zh-CN"/>
                    </w:rPr>
                    <w:t>；</w:t>
                  </w:r>
                </w:p>
                <w:p w14:paraId="3392462D">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急性吸入，可出现乏力、头晕、头痛、恶心，严重者可引起油脂性肺炎。慢接触者，暴露部位可发生油性座疮和接触性皮炎。可引起神经衰弱综合征，呼吸道和眼刺激症状及慢性油脂性肺炎。有资料报道，接触石油润滑油类的工人，有致癌的病例报告。</w:t>
                  </w:r>
                </w:p>
              </w:tc>
            </w:tr>
            <w:tr w14:paraId="6BB9D295">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1145" w:type="dxa"/>
                  <w:tcBorders>
                    <w:tl2br w:val="nil"/>
                    <w:tr2bl w:val="nil"/>
                  </w:tcBorders>
                  <w:vAlign w:val="center"/>
                </w:tcPr>
                <w:p w14:paraId="7869859D">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cs="Times New Roman"/>
                      <w:bCs/>
                      <w:color w:val="auto"/>
                      <w:kern w:val="0"/>
                      <w:szCs w:val="21"/>
                      <w:u w:val="none"/>
                      <w:lang w:val="en-US" w:eastAsia="zh-CN"/>
                    </w:rPr>
                    <w:t>润滑油</w:t>
                  </w:r>
                </w:p>
              </w:tc>
              <w:tc>
                <w:tcPr>
                  <w:tcW w:w="2138" w:type="dxa"/>
                  <w:tcBorders>
                    <w:tl2br w:val="nil"/>
                    <w:tr2bl w:val="nil"/>
                  </w:tcBorders>
                  <w:vAlign w:val="center"/>
                </w:tcPr>
                <w:p w14:paraId="03ECA8C1">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cs="Times New Roman"/>
                      <w:bCs/>
                      <w:color w:val="auto"/>
                      <w:kern w:val="0"/>
                      <w:szCs w:val="21"/>
                      <w:u w:val="none"/>
                      <w:lang w:val="en-US" w:eastAsia="zh-CN"/>
                    </w:rPr>
                    <w:t>淡黄色粘稠液体，溶于有机溶剂</w:t>
                  </w:r>
                </w:p>
              </w:tc>
              <w:tc>
                <w:tcPr>
                  <w:tcW w:w="2465" w:type="dxa"/>
                  <w:tcBorders>
                    <w:tl2br w:val="nil"/>
                    <w:tr2bl w:val="nil"/>
                  </w:tcBorders>
                  <w:vAlign w:val="center"/>
                </w:tcPr>
                <w:p w14:paraId="23BAABD0">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可燃液体，火灾危险性为丙B类</w:t>
                  </w:r>
                  <w:r>
                    <w:rPr>
                      <w:rFonts w:hint="eastAsia" w:cs="Times New Roman"/>
                      <w:bCs/>
                      <w:color w:val="auto"/>
                      <w:kern w:val="0"/>
                      <w:szCs w:val="21"/>
                      <w:u w:val="none"/>
                      <w:lang w:val="en-US" w:eastAsia="zh-CN"/>
                    </w:rPr>
                    <w:t>；</w:t>
                  </w:r>
                  <w:r>
                    <w:rPr>
                      <w:rFonts w:hint="eastAsia" w:ascii="Times New Roman" w:hAnsi="Times New Roman" w:eastAsia="宋体" w:cs="Times New Roman"/>
                      <w:bCs/>
                      <w:color w:val="auto"/>
                      <w:kern w:val="0"/>
                      <w:szCs w:val="21"/>
                      <w:u w:val="none"/>
                      <w:lang w:val="en-US" w:eastAsia="zh-CN"/>
                    </w:rPr>
                    <w:t>遇明火、高热可燃</w:t>
                  </w:r>
                </w:p>
              </w:tc>
              <w:tc>
                <w:tcPr>
                  <w:tcW w:w="2629" w:type="dxa"/>
                  <w:tcBorders>
                    <w:tl2br w:val="nil"/>
                    <w:tr2bl w:val="nil"/>
                  </w:tcBorders>
                  <w:vAlign w:val="center"/>
                </w:tcPr>
                <w:p w14:paraId="5B811303">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急性吸入，可出现乏力、头晕、头痛、恶心，严重者可引起油脂性肺炎</w:t>
                  </w:r>
                </w:p>
                <w:p w14:paraId="00564791">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慢接触者，暴露部位可发生油性座和接触型皮炎。可引发神经衰弱综合症，呼吸道和眼刺激症状及慢性油脂性肺炎。</w:t>
                  </w:r>
                </w:p>
              </w:tc>
            </w:tr>
          </w:tbl>
          <w:p w14:paraId="415BA8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黑体" w:cs="Times New Roman"/>
                <w:color w:val="auto"/>
                <w:sz w:val="24"/>
                <w:u w:val="none"/>
              </w:rPr>
            </w:pPr>
          </w:p>
          <w:p w14:paraId="50BFD1F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u w:val="none"/>
              </w:rPr>
            </w:pPr>
            <w:r>
              <w:rPr>
                <w:rFonts w:ascii="Times New Roman" w:hAnsi="Times New Roman" w:eastAsia="黑体" w:cs="Times New Roman"/>
                <w:color w:val="auto"/>
                <w:sz w:val="24"/>
                <w:u w:val="none"/>
              </w:rPr>
              <w:t>表</w:t>
            </w:r>
            <w:r>
              <w:rPr>
                <w:rFonts w:hint="eastAsia" w:eastAsia="黑体" w:cs="Times New Roman"/>
                <w:color w:val="auto"/>
                <w:sz w:val="24"/>
                <w:u w:val="none"/>
                <w:lang w:val="en-US" w:eastAsia="zh-CN"/>
              </w:rPr>
              <w:t>2-7</w:t>
            </w:r>
            <w:r>
              <w:rPr>
                <w:rFonts w:ascii="Times New Roman" w:hAnsi="Times New Roman" w:eastAsia="黑体" w:cs="Times New Roman"/>
                <w:color w:val="auto"/>
                <w:sz w:val="24"/>
                <w:u w:val="none"/>
              </w:rPr>
              <w:t xml:space="preserve"> </w:t>
            </w:r>
            <w:r>
              <w:rPr>
                <w:rFonts w:hint="eastAsia" w:ascii="Times New Roman" w:hAnsi="Times New Roman" w:eastAsia="黑体" w:cs="Times New Roman"/>
                <w:color w:val="auto"/>
                <w:sz w:val="24"/>
                <w:u w:val="none"/>
                <w:lang w:val="en-US" w:eastAsia="zh-CN"/>
              </w:rPr>
              <w:t>本项目能源</w:t>
            </w:r>
            <w:r>
              <w:rPr>
                <w:rFonts w:ascii="Times New Roman" w:hAnsi="Times New Roman" w:eastAsia="黑体" w:cs="Times New Roman"/>
                <w:color w:val="auto"/>
                <w:sz w:val="24"/>
                <w:u w:val="none"/>
              </w:rPr>
              <w:t>消耗情况一览表</w:t>
            </w:r>
          </w:p>
          <w:tbl>
            <w:tblPr>
              <w:tblStyle w:val="32"/>
              <w:tblW w:w="7753" w:type="dxa"/>
              <w:jc w:val="center"/>
              <w:tblBorders>
                <w:top w:val="single" w:color="auto" w:sz="4" w:space="0"/>
                <w:left w:val="single" w:color="auto" w:sz="6"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6"/>
              <w:gridCol w:w="1146"/>
              <w:gridCol w:w="2367"/>
              <w:gridCol w:w="2854"/>
            </w:tblGrid>
            <w:tr w14:paraId="1D15AF87">
              <w:tblPrEx>
                <w:tblBorders>
                  <w:top w:val="single" w:color="auto" w:sz="4" w:space="0"/>
                  <w:left w:val="single" w:color="auto" w:sz="6"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2532" w:type="dxa"/>
                  <w:gridSpan w:val="2"/>
                  <w:tcBorders>
                    <w:tl2br w:val="nil"/>
                    <w:tr2bl w:val="nil"/>
                  </w:tcBorders>
                  <w:vAlign w:val="center"/>
                </w:tcPr>
                <w:p w14:paraId="2B3F641A">
                  <w:pPr>
                    <w:adjustRightInd w:val="0"/>
                    <w:snapToGrid w:val="0"/>
                    <w:jc w:val="center"/>
                    <w:rPr>
                      <w:rFonts w:ascii="Times New Roman" w:hAnsi="Times New Roman" w:cs="Times New Roman"/>
                      <w:color w:val="auto"/>
                      <w:szCs w:val="21"/>
                      <w:u w:val="none"/>
                    </w:rPr>
                  </w:pPr>
                  <w:r>
                    <w:rPr>
                      <w:rFonts w:ascii="Times New Roman" w:hAnsi="Times New Roman" w:cs="Times New Roman"/>
                      <w:b/>
                      <w:bCs/>
                      <w:color w:val="auto"/>
                      <w:kern w:val="0"/>
                      <w:szCs w:val="21"/>
                      <w:u w:val="none"/>
                    </w:rPr>
                    <w:t>名称</w:t>
                  </w:r>
                </w:p>
              </w:tc>
              <w:tc>
                <w:tcPr>
                  <w:tcW w:w="2367" w:type="dxa"/>
                  <w:tcBorders>
                    <w:tl2br w:val="nil"/>
                    <w:tr2bl w:val="nil"/>
                  </w:tcBorders>
                  <w:vAlign w:val="center"/>
                </w:tcPr>
                <w:p w14:paraId="65A0BE5B">
                  <w:pPr>
                    <w:adjustRightInd w:val="0"/>
                    <w:snapToGrid w:val="0"/>
                    <w:jc w:val="center"/>
                    <w:rPr>
                      <w:rFonts w:ascii="Times New Roman" w:hAnsi="Times New Roman" w:cs="Times New Roman"/>
                      <w:color w:val="auto"/>
                      <w:szCs w:val="21"/>
                      <w:u w:val="none"/>
                    </w:rPr>
                  </w:pPr>
                  <w:r>
                    <w:rPr>
                      <w:rFonts w:ascii="Times New Roman" w:hAnsi="Times New Roman" w:cs="Times New Roman"/>
                      <w:b/>
                      <w:bCs/>
                      <w:color w:val="auto"/>
                      <w:kern w:val="0"/>
                      <w:szCs w:val="21"/>
                      <w:u w:val="none"/>
                    </w:rPr>
                    <w:t>年用量</w:t>
                  </w:r>
                </w:p>
              </w:tc>
              <w:tc>
                <w:tcPr>
                  <w:tcW w:w="2854" w:type="dxa"/>
                  <w:tcBorders>
                    <w:tl2br w:val="nil"/>
                    <w:tr2bl w:val="nil"/>
                  </w:tcBorders>
                  <w:vAlign w:val="center"/>
                </w:tcPr>
                <w:p w14:paraId="56951BEF">
                  <w:pPr>
                    <w:adjustRightInd w:val="0"/>
                    <w:snapToGrid w:val="0"/>
                    <w:jc w:val="center"/>
                    <w:rPr>
                      <w:rFonts w:ascii="Times New Roman" w:hAnsi="Times New Roman" w:cs="Times New Roman"/>
                      <w:color w:val="auto"/>
                      <w:szCs w:val="21"/>
                      <w:u w:val="none"/>
                    </w:rPr>
                  </w:pPr>
                  <w:r>
                    <w:rPr>
                      <w:rFonts w:hint="eastAsia" w:ascii="Times New Roman" w:hAnsi="Times New Roman" w:cs="Times New Roman"/>
                      <w:b/>
                      <w:bCs/>
                      <w:color w:val="auto"/>
                      <w:kern w:val="0"/>
                      <w:szCs w:val="21"/>
                      <w:u w:val="none"/>
                    </w:rPr>
                    <w:t>备注</w:t>
                  </w:r>
                </w:p>
              </w:tc>
            </w:tr>
            <w:tr w14:paraId="76ACF7D9">
              <w:tblPrEx>
                <w:tblBorders>
                  <w:top w:val="single" w:color="auto" w:sz="4" w:space="0"/>
                  <w:left w:val="single" w:color="auto" w:sz="6"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386" w:type="dxa"/>
                  <w:vMerge w:val="restart"/>
                  <w:tcBorders>
                    <w:tl2br w:val="nil"/>
                    <w:tr2bl w:val="nil"/>
                  </w:tcBorders>
                  <w:vAlign w:val="center"/>
                </w:tcPr>
                <w:p w14:paraId="56F96425">
                  <w:pPr>
                    <w:adjustRightInd w:val="0"/>
                    <w:snapToGrid w:val="0"/>
                    <w:jc w:val="center"/>
                    <w:rPr>
                      <w:rFonts w:hint="eastAsia" w:ascii="Times New Roman" w:hAnsi="Times New Roman" w:cs="Times New Roman"/>
                      <w:color w:val="auto"/>
                      <w:kern w:val="0"/>
                      <w:szCs w:val="21"/>
                      <w:u w:val="none"/>
                    </w:rPr>
                  </w:pPr>
                  <w:r>
                    <w:rPr>
                      <w:rFonts w:ascii="Times New Roman" w:hAnsi="Times New Roman" w:cs="Times New Roman"/>
                      <w:bCs/>
                      <w:color w:val="auto"/>
                      <w:szCs w:val="21"/>
                      <w:u w:val="none"/>
                    </w:rPr>
                    <w:t>资（能）源</w:t>
                  </w:r>
                </w:p>
              </w:tc>
              <w:tc>
                <w:tcPr>
                  <w:tcW w:w="1146" w:type="dxa"/>
                  <w:tcBorders>
                    <w:tl2br w:val="nil"/>
                    <w:tr2bl w:val="nil"/>
                  </w:tcBorders>
                  <w:vAlign w:val="center"/>
                </w:tcPr>
                <w:p w14:paraId="3566B6C9">
                  <w:pPr>
                    <w:adjustRightInd w:val="0"/>
                    <w:snapToGrid w:val="0"/>
                    <w:jc w:val="center"/>
                    <w:rPr>
                      <w:rFonts w:hint="eastAsia" w:ascii="Times New Roman" w:hAnsi="Times New Roman" w:cs="Times New Roman"/>
                      <w:color w:val="auto"/>
                      <w:kern w:val="0"/>
                      <w:szCs w:val="21"/>
                      <w:u w:val="none"/>
                    </w:rPr>
                  </w:pPr>
                  <w:r>
                    <w:rPr>
                      <w:rFonts w:ascii="Times New Roman" w:hAnsi="Times New Roman" w:cs="Times New Roman"/>
                      <w:bCs/>
                      <w:color w:val="auto"/>
                      <w:kern w:val="0"/>
                      <w:szCs w:val="21"/>
                      <w:highlight w:val="none"/>
                      <w:u w:val="none"/>
                    </w:rPr>
                    <w:t>水</w:t>
                  </w:r>
                </w:p>
              </w:tc>
              <w:tc>
                <w:tcPr>
                  <w:tcW w:w="2367" w:type="dxa"/>
                  <w:tcBorders>
                    <w:tl2br w:val="nil"/>
                    <w:tr2bl w:val="nil"/>
                  </w:tcBorders>
                  <w:vAlign w:val="center"/>
                </w:tcPr>
                <w:p w14:paraId="3E87F5EC">
                  <w:pPr>
                    <w:adjustRightInd w:val="0"/>
                    <w:snapToGrid w:val="0"/>
                    <w:jc w:val="center"/>
                    <w:rPr>
                      <w:rFonts w:ascii="Times New Roman" w:hAnsi="Times New Roman" w:cs="Times New Roman"/>
                      <w:color w:val="auto"/>
                      <w:kern w:val="0"/>
                      <w:szCs w:val="21"/>
                      <w:highlight w:val="none"/>
                      <w:u w:val="none"/>
                    </w:rPr>
                  </w:pPr>
                  <w:r>
                    <w:rPr>
                      <w:rFonts w:hint="eastAsia" w:cs="Times New Roman"/>
                      <w:bCs/>
                      <w:color w:val="auto"/>
                      <w:kern w:val="0"/>
                      <w:szCs w:val="21"/>
                      <w:highlight w:val="none"/>
                      <w:u w:val="none"/>
                      <w:lang w:val="en-US" w:eastAsia="zh-CN"/>
                    </w:rPr>
                    <w:t>158.4</w:t>
                  </w:r>
                  <w:r>
                    <w:rPr>
                      <w:rFonts w:ascii="Times New Roman" w:hAnsi="Times New Roman" w:cs="Times New Roman"/>
                      <w:bCs/>
                      <w:color w:val="auto"/>
                      <w:kern w:val="0"/>
                      <w:szCs w:val="21"/>
                      <w:highlight w:val="none"/>
                      <w:u w:val="none"/>
                    </w:rPr>
                    <w:t>m</w:t>
                  </w:r>
                  <w:r>
                    <w:rPr>
                      <w:rFonts w:ascii="Times New Roman" w:hAnsi="Times New Roman" w:cs="Times New Roman"/>
                      <w:bCs/>
                      <w:color w:val="auto"/>
                      <w:kern w:val="0"/>
                      <w:szCs w:val="21"/>
                      <w:highlight w:val="none"/>
                      <w:u w:val="none"/>
                      <w:vertAlign w:val="superscript"/>
                    </w:rPr>
                    <w:t>3</w:t>
                  </w:r>
                  <w:r>
                    <w:rPr>
                      <w:rFonts w:ascii="Times New Roman" w:hAnsi="Times New Roman" w:cs="Times New Roman"/>
                      <w:bCs/>
                      <w:color w:val="auto"/>
                      <w:kern w:val="0"/>
                      <w:szCs w:val="21"/>
                      <w:highlight w:val="none"/>
                      <w:u w:val="none"/>
                    </w:rPr>
                    <w:t>/a</w:t>
                  </w:r>
                </w:p>
              </w:tc>
              <w:tc>
                <w:tcPr>
                  <w:tcW w:w="2854" w:type="dxa"/>
                  <w:tcBorders>
                    <w:tl2br w:val="nil"/>
                    <w:tr2bl w:val="nil"/>
                  </w:tcBorders>
                  <w:vAlign w:val="center"/>
                </w:tcPr>
                <w:p w14:paraId="323CE6D4">
                  <w:pPr>
                    <w:adjustRightInd w:val="0"/>
                    <w:snapToGrid w:val="0"/>
                    <w:jc w:val="center"/>
                    <w:rPr>
                      <w:rFonts w:hint="default" w:ascii="Times New Roman" w:hAnsi="Times New Roman" w:eastAsia="宋体" w:cs="Times New Roman"/>
                      <w:color w:val="auto"/>
                      <w:u w:val="none"/>
                      <w:lang w:val="en-US" w:eastAsia="zh-CN"/>
                    </w:rPr>
                  </w:pPr>
                  <w:r>
                    <w:rPr>
                      <w:rFonts w:hint="eastAsia" w:cs="Times New Roman"/>
                      <w:color w:val="auto"/>
                      <w:kern w:val="0"/>
                      <w:szCs w:val="21"/>
                      <w:u w:val="none"/>
                      <w:lang w:val="en-US" w:eastAsia="zh-CN"/>
                    </w:rPr>
                    <w:t>八</w:t>
                  </w:r>
                  <w:r>
                    <w:rPr>
                      <w:rFonts w:hint="eastAsia" w:ascii="Times New Roman" w:hAnsi="Times New Roman" w:cs="Times New Roman"/>
                      <w:color w:val="auto"/>
                      <w:kern w:val="0"/>
                      <w:szCs w:val="21"/>
                      <w:u w:val="none"/>
                      <w:lang w:val="en-US" w:eastAsia="zh-CN"/>
                    </w:rPr>
                    <w:t>矿供水</w:t>
                  </w:r>
                </w:p>
              </w:tc>
            </w:tr>
            <w:tr w14:paraId="315A5365">
              <w:tblPrEx>
                <w:tblBorders>
                  <w:top w:val="single" w:color="auto" w:sz="4" w:space="0"/>
                  <w:left w:val="single" w:color="auto" w:sz="6"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1386" w:type="dxa"/>
                  <w:vMerge w:val="continue"/>
                  <w:tcBorders>
                    <w:tl2br w:val="nil"/>
                    <w:tr2bl w:val="nil"/>
                  </w:tcBorders>
                  <w:vAlign w:val="center"/>
                </w:tcPr>
                <w:p w14:paraId="35F8FD3E">
                  <w:pPr>
                    <w:adjustRightInd w:val="0"/>
                    <w:snapToGrid w:val="0"/>
                    <w:jc w:val="center"/>
                    <w:rPr>
                      <w:rFonts w:hint="eastAsia" w:ascii="Times New Roman" w:hAnsi="Times New Roman" w:cs="Times New Roman"/>
                      <w:color w:val="auto"/>
                      <w:kern w:val="0"/>
                      <w:szCs w:val="21"/>
                      <w:u w:val="none"/>
                    </w:rPr>
                  </w:pPr>
                </w:p>
              </w:tc>
              <w:tc>
                <w:tcPr>
                  <w:tcW w:w="1146" w:type="dxa"/>
                  <w:tcBorders>
                    <w:tl2br w:val="nil"/>
                    <w:tr2bl w:val="nil"/>
                  </w:tcBorders>
                  <w:vAlign w:val="center"/>
                </w:tcPr>
                <w:p w14:paraId="0F88BA34">
                  <w:pPr>
                    <w:adjustRightInd w:val="0"/>
                    <w:snapToGrid w:val="0"/>
                    <w:jc w:val="center"/>
                    <w:rPr>
                      <w:rFonts w:ascii="Times New Roman" w:hAnsi="Times New Roman" w:cs="Times New Roman"/>
                      <w:color w:val="auto"/>
                      <w:kern w:val="0"/>
                      <w:szCs w:val="21"/>
                      <w:u w:val="none"/>
                    </w:rPr>
                  </w:pPr>
                  <w:r>
                    <w:rPr>
                      <w:rFonts w:ascii="Times New Roman" w:hAnsi="Times New Roman" w:cs="Times New Roman"/>
                      <w:bCs/>
                      <w:color w:val="auto"/>
                      <w:kern w:val="0"/>
                      <w:szCs w:val="21"/>
                      <w:u w:val="none"/>
                    </w:rPr>
                    <w:t>电</w:t>
                  </w:r>
                </w:p>
              </w:tc>
              <w:tc>
                <w:tcPr>
                  <w:tcW w:w="2367" w:type="dxa"/>
                  <w:tcBorders>
                    <w:tl2br w:val="nil"/>
                    <w:tr2bl w:val="nil"/>
                  </w:tcBorders>
                  <w:vAlign w:val="center"/>
                </w:tcPr>
                <w:p w14:paraId="73C0FDC3">
                  <w:pPr>
                    <w:adjustRightInd w:val="0"/>
                    <w:snapToGrid w:val="0"/>
                    <w:jc w:val="center"/>
                    <w:rPr>
                      <w:rFonts w:ascii="Times New Roman" w:hAnsi="Times New Roman" w:cs="Times New Roman"/>
                      <w:color w:val="auto"/>
                      <w:kern w:val="0"/>
                      <w:szCs w:val="21"/>
                      <w:highlight w:val="none"/>
                      <w:u w:val="none"/>
                    </w:rPr>
                  </w:pPr>
                  <w:r>
                    <w:rPr>
                      <w:rFonts w:hint="eastAsia" w:cs="Times New Roman"/>
                      <w:bCs/>
                      <w:color w:val="auto"/>
                      <w:kern w:val="0"/>
                      <w:szCs w:val="21"/>
                      <w:highlight w:val="none"/>
                      <w:u w:val="none"/>
                      <w:lang w:val="en-US" w:eastAsia="zh-CN"/>
                    </w:rPr>
                    <w:t>184.32</w:t>
                  </w:r>
                  <w:r>
                    <w:rPr>
                      <w:rFonts w:hint="eastAsia" w:ascii="Times New Roman" w:hAnsi="Times New Roman" w:cs="Times New Roman"/>
                      <w:bCs/>
                      <w:color w:val="auto"/>
                      <w:kern w:val="0"/>
                      <w:szCs w:val="21"/>
                      <w:highlight w:val="none"/>
                      <w:u w:val="none"/>
                      <w:lang w:val="en-US" w:eastAsia="zh-CN"/>
                    </w:rPr>
                    <w:t>万</w:t>
                  </w:r>
                  <w:r>
                    <w:rPr>
                      <w:rFonts w:ascii="Times New Roman" w:hAnsi="Times New Roman" w:eastAsia="新宋体" w:cs="Times New Roman"/>
                      <w:color w:val="auto"/>
                      <w:szCs w:val="21"/>
                      <w:highlight w:val="none"/>
                      <w:u w:val="none"/>
                    </w:rPr>
                    <w:t>kW·h/a</w:t>
                  </w:r>
                </w:p>
              </w:tc>
              <w:tc>
                <w:tcPr>
                  <w:tcW w:w="2854" w:type="dxa"/>
                  <w:tcBorders>
                    <w:tl2br w:val="nil"/>
                    <w:tr2bl w:val="nil"/>
                  </w:tcBorders>
                  <w:vAlign w:val="center"/>
                </w:tcPr>
                <w:p w14:paraId="6A54E1B5">
                  <w:pPr>
                    <w:adjustRightInd w:val="0"/>
                    <w:snapToGrid w:val="0"/>
                    <w:jc w:val="center"/>
                    <w:rPr>
                      <w:rFonts w:ascii="Times New Roman" w:hAnsi="Times New Roman" w:cs="Times New Roman"/>
                      <w:color w:val="auto"/>
                      <w:u w:val="none"/>
                    </w:rPr>
                  </w:pPr>
                  <w:r>
                    <w:rPr>
                      <w:rFonts w:hint="eastAsia" w:cs="Times New Roman"/>
                      <w:bCs/>
                      <w:color w:val="auto"/>
                      <w:kern w:val="0"/>
                      <w:szCs w:val="21"/>
                      <w:u w:val="none"/>
                      <w:lang w:val="en-US" w:eastAsia="zh-CN"/>
                    </w:rPr>
                    <w:t>八</w:t>
                  </w:r>
                  <w:r>
                    <w:rPr>
                      <w:rFonts w:hint="eastAsia" w:ascii="Times New Roman" w:hAnsi="Times New Roman" w:cs="Times New Roman"/>
                      <w:bCs/>
                      <w:color w:val="auto"/>
                      <w:kern w:val="0"/>
                      <w:szCs w:val="21"/>
                      <w:u w:val="none"/>
                      <w:lang w:val="en-US" w:eastAsia="zh-CN"/>
                    </w:rPr>
                    <w:t>矿</w:t>
                  </w:r>
                  <w:r>
                    <w:rPr>
                      <w:rFonts w:hint="eastAsia" w:ascii="Times New Roman" w:hAnsi="Times New Roman" w:eastAsia="宋体" w:cs="Times New Roman"/>
                      <w:bCs/>
                      <w:color w:val="auto"/>
                      <w:kern w:val="0"/>
                      <w:szCs w:val="21"/>
                      <w:u w:val="none"/>
                    </w:rPr>
                    <w:t>供</w:t>
                  </w:r>
                  <w:r>
                    <w:rPr>
                      <w:rFonts w:hint="eastAsia" w:ascii="Times New Roman" w:hAnsi="Times New Roman" w:cs="Times New Roman"/>
                      <w:bCs/>
                      <w:color w:val="auto"/>
                      <w:kern w:val="0"/>
                      <w:szCs w:val="21"/>
                      <w:u w:val="none"/>
                    </w:rPr>
                    <w:t>电</w:t>
                  </w:r>
                  <w:r>
                    <w:rPr>
                      <w:rFonts w:hint="eastAsia" w:cs="Times New Roman"/>
                      <w:bCs/>
                      <w:color w:val="auto"/>
                      <w:kern w:val="0"/>
                      <w:szCs w:val="21"/>
                      <w:u w:val="none"/>
                      <w:lang w:val="en-US" w:eastAsia="zh-CN"/>
                    </w:rPr>
                    <w:t>电</w:t>
                  </w:r>
                  <w:r>
                    <w:rPr>
                      <w:rFonts w:hint="eastAsia" w:ascii="Times New Roman" w:hAnsi="Times New Roman" w:cs="Times New Roman"/>
                      <w:bCs/>
                      <w:color w:val="auto"/>
                      <w:kern w:val="0"/>
                      <w:szCs w:val="21"/>
                      <w:u w:val="none"/>
                    </w:rPr>
                    <w:t>网</w:t>
                  </w:r>
                </w:p>
              </w:tc>
            </w:tr>
          </w:tbl>
          <w:p w14:paraId="2BDF9AD0">
            <w:pPr>
              <w:keepNext w:val="0"/>
              <w:keepLines w:val="0"/>
              <w:pageBreakBefore w:val="0"/>
              <w:widowControl w:val="0"/>
              <w:kinsoku/>
              <w:wordWrap/>
              <w:overflowPunct/>
              <w:topLinePunct w:val="0"/>
              <w:autoSpaceDE/>
              <w:autoSpaceDN/>
              <w:bidi w:val="0"/>
              <w:adjustRightInd/>
              <w:snapToGrid w:val="0"/>
              <w:spacing w:line="500" w:lineRule="exact"/>
              <w:ind w:firstLine="482" w:firstLineChars="200"/>
              <w:textAlignment w:val="auto"/>
              <w:rPr>
                <w:rFonts w:ascii="Times New Roman" w:hAnsi="Times New Roman" w:cs="Times New Roman"/>
                <w:b/>
                <w:color w:val="auto"/>
                <w:sz w:val="24"/>
                <w:u w:val="none"/>
              </w:rPr>
            </w:pPr>
            <w:r>
              <w:rPr>
                <w:rFonts w:hint="eastAsia" w:cs="Times New Roman"/>
                <w:b/>
                <w:color w:val="auto"/>
                <w:sz w:val="24"/>
                <w:u w:val="none"/>
                <w:lang w:val="en-US" w:eastAsia="zh-CN"/>
              </w:rPr>
              <w:t>8、</w:t>
            </w:r>
            <w:r>
              <w:rPr>
                <w:rFonts w:ascii="Times New Roman" w:hAnsi="Times New Roman" w:cs="Times New Roman"/>
                <w:b/>
                <w:color w:val="auto"/>
                <w:sz w:val="24"/>
                <w:u w:val="none"/>
              </w:rPr>
              <w:t>劳动定员和生产制度</w:t>
            </w:r>
          </w:p>
          <w:p w14:paraId="0201EFF4">
            <w:pPr>
              <w:pageBreakBefore w:val="0"/>
              <w:widowControl w:val="0"/>
              <w:kinsoku/>
              <w:wordWrap/>
              <w:overflowPunct/>
              <w:topLinePunct w:val="0"/>
              <w:autoSpaceDE/>
              <w:autoSpaceDN/>
              <w:bidi w:val="0"/>
              <w:adjustRightInd w:val="0"/>
              <w:snapToGrid w:val="0"/>
              <w:spacing w:line="500" w:lineRule="exact"/>
              <w:ind w:firstLine="588" w:firstLineChars="245"/>
              <w:textAlignment w:val="auto"/>
              <w:rPr>
                <w:rFonts w:hint="eastAsia" w:ascii="Times New Roman" w:hAnsi="Times New Roman" w:cs="Times New Roman"/>
                <w:color w:val="auto"/>
                <w:sz w:val="24"/>
                <w:highlight w:val="none"/>
                <w:u w:val="none"/>
              </w:rPr>
            </w:pPr>
            <w:r>
              <w:rPr>
                <w:rFonts w:ascii="Times New Roman" w:hAnsi="Times New Roman" w:cs="Times New Roman"/>
                <w:color w:val="auto"/>
                <w:sz w:val="24"/>
                <w:highlight w:val="none"/>
                <w:u w:val="none"/>
              </w:rPr>
              <w:t>（1）工作制度：年工作</w:t>
            </w:r>
            <w:r>
              <w:rPr>
                <w:rFonts w:hint="eastAsia" w:ascii="Times New Roman" w:hAnsi="Times New Roman" w:cs="Times New Roman"/>
                <w:color w:val="auto"/>
                <w:sz w:val="24"/>
                <w:highlight w:val="none"/>
                <w:u w:val="none"/>
              </w:rPr>
              <w:t>3</w:t>
            </w:r>
            <w:r>
              <w:rPr>
                <w:rFonts w:hint="eastAsia" w:cs="Times New Roman"/>
                <w:color w:val="auto"/>
                <w:sz w:val="24"/>
                <w:highlight w:val="none"/>
                <w:u w:val="none"/>
                <w:lang w:val="en-US" w:eastAsia="zh-CN"/>
              </w:rPr>
              <w:t>6</w:t>
            </w:r>
            <w:r>
              <w:rPr>
                <w:rFonts w:hint="eastAsia" w:ascii="Times New Roman" w:hAnsi="Times New Roman" w:cs="Times New Roman"/>
                <w:color w:val="auto"/>
                <w:sz w:val="24"/>
                <w:highlight w:val="none"/>
                <w:u w:val="none"/>
              </w:rPr>
              <w:t>0</w:t>
            </w:r>
            <w:r>
              <w:rPr>
                <w:rFonts w:ascii="Times New Roman" w:hAnsi="Times New Roman" w:cs="Times New Roman"/>
                <w:color w:val="auto"/>
                <w:sz w:val="24"/>
                <w:highlight w:val="none"/>
                <w:u w:val="none"/>
              </w:rPr>
              <w:t>天，每天</w:t>
            </w:r>
            <w:r>
              <w:rPr>
                <w:rFonts w:hint="eastAsia" w:ascii="Times New Roman" w:hAnsi="Times New Roman" w:cs="Times New Roman"/>
                <w:color w:val="auto"/>
                <w:sz w:val="24"/>
                <w:highlight w:val="none"/>
                <w:u w:val="none"/>
                <w:lang w:val="en-US" w:eastAsia="zh-CN"/>
              </w:rPr>
              <w:t>3</w:t>
            </w:r>
            <w:r>
              <w:rPr>
                <w:rFonts w:ascii="Times New Roman" w:hAnsi="Times New Roman" w:cs="Times New Roman"/>
                <w:color w:val="auto"/>
                <w:sz w:val="24"/>
                <w:highlight w:val="none"/>
                <w:u w:val="none"/>
              </w:rPr>
              <w:t>班</w:t>
            </w:r>
            <w:r>
              <w:rPr>
                <w:rFonts w:hint="eastAsia" w:ascii="Times New Roman" w:hAnsi="Times New Roman" w:cs="Times New Roman"/>
                <w:color w:val="auto"/>
                <w:sz w:val="24"/>
                <w:highlight w:val="none"/>
                <w:u w:val="none"/>
              </w:rPr>
              <w:t>，每班8</w:t>
            </w:r>
            <w:r>
              <w:rPr>
                <w:rFonts w:ascii="Times New Roman" w:hAnsi="Times New Roman" w:cs="Times New Roman"/>
                <w:color w:val="auto"/>
                <w:sz w:val="24"/>
                <w:highlight w:val="none"/>
                <w:u w:val="none"/>
              </w:rPr>
              <w:t>h</w:t>
            </w:r>
            <w:r>
              <w:rPr>
                <w:rFonts w:hint="eastAsia" w:ascii="Times New Roman" w:hAnsi="Times New Roman" w:cs="Times New Roman"/>
                <w:color w:val="auto"/>
                <w:sz w:val="24"/>
                <w:highlight w:val="none"/>
                <w:u w:val="none"/>
              </w:rPr>
              <w:t>工作制</w:t>
            </w:r>
            <w:r>
              <w:rPr>
                <w:rFonts w:ascii="Times New Roman" w:hAnsi="Times New Roman" w:cs="Times New Roman"/>
                <w:color w:val="auto"/>
                <w:sz w:val="24"/>
                <w:highlight w:val="none"/>
                <w:u w:val="none"/>
              </w:rPr>
              <w:t>。</w:t>
            </w:r>
          </w:p>
          <w:p w14:paraId="131A2433">
            <w:pPr>
              <w:pageBreakBefore w:val="0"/>
              <w:widowControl w:val="0"/>
              <w:kinsoku/>
              <w:wordWrap/>
              <w:overflowPunct/>
              <w:topLinePunct w:val="0"/>
              <w:autoSpaceDE/>
              <w:autoSpaceDN/>
              <w:bidi w:val="0"/>
              <w:adjustRightInd w:val="0"/>
              <w:snapToGrid w:val="0"/>
              <w:spacing w:line="500" w:lineRule="exact"/>
              <w:ind w:firstLine="588" w:firstLineChars="245"/>
              <w:textAlignment w:val="auto"/>
              <w:rPr>
                <w:rFonts w:ascii="Times New Roman" w:hAnsi="Times New Roman" w:cs="Times New Roman"/>
                <w:color w:val="auto"/>
                <w:sz w:val="24"/>
                <w:u w:val="none"/>
              </w:rPr>
            </w:pPr>
            <w:r>
              <w:rPr>
                <w:rFonts w:ascii="Times New Roman" w:hAnsi="Times New Roman" w:cs="Times New Roman"/>
                <w:color w:val="auto"/>
                <w:sz w:val="24"/>
                <w:highlight w:val="none"/>
                <w:u w:val="none"/>
              </w:rPr>
              <w:t>（2）劳动定员：</w:t>
            </w:r>
            <w:r>
              <w:rPr>
                <w:rFonts w:ascii="Times New Roman" w:hAnsi="Times New Roman" w:cs="Times New Roman"/>
                <w:color w:val="auto"/>
                <w:sz w:val="24"/>
                <w:u w:val="none"/>
              </w:rPr>
              <w:t>本项目劳动定员</w:t>
            </w:r>
            <w:r>
              <w:rPr>
                <w:rFonts w:hint="eastAsia" w:ascii="Times New Roman" w:hAnsi="Times New Roman" w:cs="Times New Roman"/>
                <w:color w:val="auto"/>
                <w:sz w:val="24"/>
                <w:u w:val="none"/>
                <w:lang w:val="en-US" w:eastAsia="zh-CN"/>
              </w:rPr>
              <w:t>11</w:t>
            </w:r>
            <w:r>
              <w:rPr>
                <w:rFonts w:ascii="Times New Roman" w:hAnsi="Times New Roman" w:cs="Times New Roman"/>
                <w:color w:val="auto"/>
                <w:sz w:val="24"/>
                <w:u w:val="none"/>
              </w:rPr>
              <w:t>人</w:t>
            </w:r>
            <w:r>
              <w:rPr>
                <w:rFonts w:hint="eastAsia" w:ascii="Times New Roman" w:hAnsi="Times New Roman" w:cs="Times New Roman"/>
                <w:color w:val="auto"/>
                <w:sz w:val="24"/>
                <w:u w:val="none"/>
              </w:rPr>
              <w:t>，不在厂区</w:t>
            </w:r>
            <w:r>
              <w:rPr>
                <w:rFonts w:hint="eastAsia" w:ascii="Times New Roman" w:hAnsi="Times New Roman" w:cs="Times New Roman"/>
                <w:color w:val="auto"/>
                <w:sz w:val="24"/>
                <w:u w:val="none"/>
                <w:lang w:val="en-US" w:eastAsia="zh-CN"/>
              </w:rPr>
              <w:t>食</w:t>
            </w:r>
            <w:r>
              <w:rPr>
                <w:rFonts w:hint="eastAsia" w:ascii="Times New Roman" w:hAnsi="Times New Roman" w:cs="Times New Roman"/>
                <w:color w:val="auto"/>
                <w:sz w:val="24"/>
                <w:u w:val="none"/>
              </w:rPr>
              <w:t>宿</w:t>
            </w:r>
            <w:r>
              <w:rPr>
                <w:rFonts w:ascii="Times New Roman" w:hAnsi="Times New Roman" w:cs="Times New Roman"/>
                <w:color w:val="auto"/>
                <w:sz w:val="24"/>
                <w:u w:val="none"/>
              </w:rPr>
              <w:t>。</w:t>
            </w:r>
          </w:p>
          <w:p w14:paraId="37A3B6F5">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ascii="Times New Roman" w:hAnsi="Times New Roman" w:cs="Times New Roman"/>
                <w:b/>
                <w:color w:val="auto"/>
                <w:sz w:val="24"/>
                <w:highlight w:val="none"/>
                <w:u w:val="none"/>
              </w:rPr>
            </w:pPr>
            <w:r>
              <w:rPr>
                <w:rFonts w:hint="eastAsia" w:cs="Times New Roman"/>
                <w:b/>
                <w:color w:val="auto"/>
                <w:sz w:val="24"/>
                <w:highlight w:val="none"/>
                <w:u w:val="none"/>
                <w:lang w:val="en-US" w:eastAsia="zh-CN"/>
              </w:rPr>
              <w:t>9、</w:t>
            </w:r>
            <w:r>
              <w:rPr>
                <w:rFonts w:ascii="Times New Roman" w:hAnsi="Times New Roman" w:cs="Times New Roman"/>
                <w:b/>
                <w:color w:val="auto"/>
                <w:sz w:val="24"/>
                <w:highlight w:val="none"/>
                <w:u w:val="none"/>
              </w:rPr>
              <w:t>公用设施</w:t>
            </w:r>
          </w:p>
          <w:p w14:paraId="08EA85DD">
            <w:pPr>
              <w:keepNext w:val="0"/>
              <w:keepLines w:val="0"/>
              <w:pageBreakBefore w:val="0"/>
              <w:widowControl w:val="0"/>
              <w:kinsoku/>
              <w:wordWrap/>
              <w:overflowPunct/>
              <w:topLinePunct w:val="0"/>
              <w:autoSpaceDE/>
              <w:autoSpaceDN/>
              <w:bidi w:val="0"/>
              <w:adjustRightInd w:val="0"/>
              <w:snapToGrid w:val="0"/>
              <w:spacing w:line="500" w:lineRule="atLeast"/>
              <w:ind w:firstLine="480" w:firstLineChars="200"/>
              <w:textAlignment w:val="auto"/>
              <w:rPr>
                <w:rFonts w:hint="eastAsia" w:ascii="Times New Roman" w:hAnsi="Times New Roman" w:cs="Times New Roman"/>
                <w:color w:val="auto"/>
                <w:sz w:val="24"/>
                <w:highlight w:val="none"/>
                <w:u w:val="none"/>
                <w:lang w:eastAsia="zh-CN"/>
              </w:rPr>
            </w:pPr>
            <w:r>
              <w:rPr>
                <w:rFonts w:hint="eastAsia" w:cs="Times New Roman"/>
                <w:color w:val="auto"/>
                <w:sz w:val="24"/>
                <w:highlight w:val="none"/>
                <w:u w:val="none"/>
                <w:lang w:val="en-US" w:eastAsia="zh-CN"/>
              </w:rPr>
              <w:t>用水排</w:t>
            </w:r>
            <w:r>
              <w:rPr>
                <w:rFonts w:hint="eastAsia" w:ascii="Times New Roman" w:hAnsi="Times New Roman" w:cs="Times New Roman"/>
                <w:color w:val="auto"/>
                <w:sz w:val="24"/>
                <w:highlight w:val="none"/>
                <w:u w:val="none"/>
                <w:lang w:eastAsia="zh-CN"/>
              </w:rPr>
              <w:t>水：</w:t>
            </w:r>
          </w:p>
          <w:p w14:paraId="6B1E480A">
            <w:pPr>
              <w:keepNext w:val="0"/>
              <w:keepLines w:val="0"/>
              <w:pageBreakBefore w:val="0"/>
              <w:widowControl w:val="0"/>
              <w:kinsoku/>
              <w:wordWrap/>
              <w:overflowPunct/>
              <w:topLinePunct w:val="0"/>
              <w:autoSpaceDE/>
              <w:autoSpaceDN/>
              <w:bidi w:val="0"/>
              <w:spacing w:line="500" w:lineRule="atLeast"/>
              <w:ind w:left="0" w:firstLine="480" w:firstLineChars="200"/>
              <w:jc w:val="left"/>
              <w:textAlignment w:val="auto"/>
              <w:rPr>
                <w:rFonts w:hint="default" w:ascii="Times New Roman" w:hAnsi="Times New Roman" w:eastAsia="宋体" w:cs="Times New Roman"/>
                <w:color w:val="auto"/>
                <w:kern w:val="2"/>
                <w:sz w:val="24"/>
                <w:szCs w:val="24"/>
                <w:highlight w:val="none"/>
                <w:u w:val="none"/>
                <w:lang w:val="en-US" w:eastAsia="zh-CN" w:bidi="ar-SA"/>
              </w:rPr>
            </w:pPr>
            <w:r>
              <w:rPr>
                <w:rFonts w:hint="eastAsia" w:ascii="Times New Roman" w:hAnsi="Times New Roman" w:eastAsia="宋体" w:cs="Times New Roman"/>
                <w:color w:val="auto"/>
                <w:kern w:val="2"/>
                <w:sz w:val="24"/>
                <w:szCs w:val="24"/>
                <w:highlight w:val="none"/>
                <w:u w:val="none"/>
                <w:lang w:val="en-US" w:eastAsia="zh-CN" w:bidi="ar-SA"/>
              </w:rPr>
              <w:t>本项目废水主要为职工生活污水</w:t>
            </w:r>
            <w:r>
              <w:rPr>
                <w:rFonts w:hint="eastAsia" w:cs="Times New Roman"/>
                <w:color w:val="auto"/>
                <w:kern w:val="2"/>
                <w:sz w:val="24"/>
                <w:szCs w:val="24"/>
                <w:highlight w:val="none"/>
                <w:u w:val="none"/>
                <w:lang w:val="en-US" w:eastAsia="zh-CN" w:bidi="ar-SA"/>
              </w:rPr>
              <w:t>和机组发电时产生的冷凝水。</w:t>
            </w:r>
          </w:p>
          <w:p w14:paraId="3E463211">
            <w:pPr>
              <w:keepNext w:val="0"/>
              <w:keepLines w:val="0"/>
              <w:pageBreakBefore w:val="0"/>
              <w:widowControl w:val="0"/>
              <w:kinsoku/>
              <w:wordWrap/>
              <w:overflowPunct/>
              <w:topLinePunct w:val="0"/>
              <w:autoSpaceDE/>
              <w:autoSpaceDN/>
              <w:bidi w:val="0"/>
              <w:adjustRightInd/>
              <w:snapToGrid/>
              <w:spacing w:line="500" w:lineRule="atLeast"/>
              <w:ind w:firstLine="480" w:firstLineChars="200"/>
              <w:jc w:val="left"/>
              <w:textAlignment w:val="auto"/>
              <w:rPr>
                <w:rFonts w:hint="default" w:ascii="Times New Roman" w:hAnsi="Times New Roman" w:cs="Times New Roman"/>
                <w:color w:val="auto"/>
                <w:sz w:val="24"/>
                <w:highlight w:val="none"/>
                <w:u w:val="none"/>
                <w:lang w:val="en-US" w:eastAsia="zh-CN"/>
              </w:rPr>
            </w:pPr>
            <w:r>
              <w:rPr>
                <w:rFonts w:hint="eastAsia" w:cs="Times New Roman"/>
                <w:color w:val="auto"/>
                <w:sz w:val="24"/>
                <w:highlight w:val="none"/>
                <w:u w:val="none"/>
                <w:lang w:val="en-US" w:eastAsia="zh-CN"/>
              </w:rPr>
              <w:t>冷凝水：</w:t>
            </w:r>
            <w:r>
              <w:rPr>
                <w:rFonts w:hint="eastAsia" w:cs="Times New Roman"/>
                <w:color w:val="auto"/>
                <w:sz w:val="24"/>
                <w:szCs w:val="24"/>
                <w:highlight w:val="none"/>
                <w:u w:val="none"/>
                <w:lang w:val="en-US" w:eastAsia="zh-CN"/>
              </w:rPr>
              <w:t>机组发电过程中生的</w:t>
            </w:r>
            <w:r>
              <w:rPr>
                <w:rFonts w:hint="eastAsia" w:ascii="Times New Roman" w:hAnsi="Times New Roman" w:eastAsia="宋体" w:cs="Times New Roman"/>
                <w:color w:val="auto"/>
                <w:sz w:val="24"/>
                <w:szCs w:val="24"/>
                <w:highlight w:val="none"/>
                <w:u w:val="none"/>
                <w:lang w:val="en-US" w:eastAsia="zh-CN"/>
              </w:rPr>
              <w:t>冷凝水</w:t>
            </w:r>
            <w:r>
              <w:rPr>
                <w:rFonts w:hint="eastAsia" w:cs="Times New Roman"/>
                <w:color w:val="auto"/>
                <w:sz w:val="24"/>
                <w:szCs w:val="24"/>
                <w:highlight w:val="none"/>
                <w:u w:val="none"/>
                <w:lang w:val="en-US" w:eastAsia="zh-CN"/>
              </w:rPr>
              <w:t>经过</w:t>
            </w:r>
            <w:r>
              <w:rPr>
                <w:rFonts w:hint="eastAsia" w:ascii="Times New Roman" w:hAnsi="Times New Roman" w:eastAsia="宋体" w:cs="Times New Roman"/>
                <w:color w:val="auto"/>
                <w:sz w:val="24"/>
                <w:szCs w:val="24"/>
                <w:highlight w:val="none"/>
                <w:u w:val="none"/>
                <w:lang w:val="en-US" w:eastAsia="zh-CN"/>
              </w:rPr>
              <w:t>集中收集到</w:t>
            </w:r>
            <w:r>
              <w:rPr>
                <w:rFonts w:hint="eastAsia" w:cs="Times New Roman"/>
                <w:color w:val="auto"/>
                <w:sz w:val="24"/>
                <w:szCs w:val="24"/>
                <w:highlight w:val="none"/>
                <w:u w:val="none"/>
                <w:lang w:val="en-US" w:eastAsia="zh-CN"/>
              </w:rPr>
              <w:t>贮</w:t>
            </w:r>
            <w:r>
              <w:rPr>
                <w:rFonts w:hint="eastAsia" w:ascii="Times New Roman" w:hAnsi="Times New Roman" w:eastAsia="宋体" w:cs="Times New Roman"/>
                <w:color w:val="auto"/>
                <w:sz w:val="24"/>
                <w:szCs w:val="24"/>
                <w:highlight w:val="none"/>
                <w:u w:val="none"/>
                <w:lang w:val="en-US" w:eastAsia="zh-CN"/>
              </w:rPr>
              <w:t>水池</w:t>
            </w:r>
            <w:r>
              <w:rPr>
                <w:rFonts w:hint="eastAsia" w:cs="Times New Roman"/>
                <w:color w:val="auto"/>
                <w:sz w:val="24"/>
                <w:szCs w:val="24"/>
                <w:highlight w:val="none"/>
                <w:u w:val="none"/>
                <w:lang w:val="en-US" w:eastAsia="zh-CN"/>
              </w:rPr>
              <w:t>（体积为20m</w:t>
            </w:r>
            <w:r>
              <w:rPr>
                <w:rFonts w:hint="eastAsia" w:cs="Times New Roman"/>
                <w:color w:val="auto"/>
                <w:sz w:val="24"/>
                <w:szCs w:val="24"/>
                <w:highlight w:val="none"/>
                <w:u w:val="none"/>
                <w:vertAlign w:val="superscript"/>
                <w:lang w:val="en-US" w:eastAsia="zh-CN"/>
              </w:rPr>
              <w:t>3</w:t>
            </w:r>
            <w:r>
              <w:rPr>
                <w:rFonts w:hint="eastAsia" w:cs="Times New Roman"/>
                <w:color w:val="auto"/>
                <w:sz w:val="24"/>
                <w:szCs w:val="24"/>
                <w:highlight w:val="none"/>
                <w:u w:val="none"/>
                <w:lang w:val="en-US" w:eastAsia="zh-CN"/>
              </w:rPr>
              <w:t>）</w:t>
            </w:r>
            <w:r>
              <w:rPr>
                <w:rFonts w:hint="eastAsia" w:ascii="Times New Roman" w:hAnsi="Times New Roman" w:eastAsia="宋体" w:cs="Times New Roman"/>
                <w:color w:val="auto"/>
                <w:sz w:val="24"/>
                <w:szCs w:val="24"/>
                <w:highlight w:val="none"/>
                <w:u w:val="none"/>
                <w:lang w:val="en-US" w:eastAsia="zh-CN"/>
              </w:rPr>
              <w:t>中</w:t>
            </w:r>
            <w:r>
              <w:rPr>
                <w:rFonts w:hint="eastAsia" w:cs="Times New Roman"/>
                <w:color w:val="auto"/>
                <w:sz w:val="24"/>
                <w:szCs w:val="24"/>
                <w:highlight w:val="none"/>
                <w:u w:val="none"/>
                <w:lang w:val="en-US" w:eastAsia="zh-CN"/>
              </w:rPr>
              <w:t>后</w:t>
            </w:r>
            <w:r>
              <w:rPr>
                <w:rFonts w:hint="eastAsia" w:ascii="Times New Roman" w:hAnsi="Times New Roman" w:eastAsia="宋体" w:cs="Times New Roman"/>
                <w:color w:val="auto"/>
                <w:sz w:val="24"/>
                <w:szCs w:val="24"/>
                <w:highlight w:val="none"/>
                <w:u w:val="none"/>
                <w:lang w:val="en-US" w:eastAsia="zh-CN"/>
              </w:rPr>
              <w:t>进行日常场地降尘洒水</w:t>
            </w:r>
            <w:r>
              <w:rPr>
                <w:rFonts w:hint="eastAsia" w:cs="Times New Roman"/>
                <w:color w:val="auto"/>
                <w:sz w:val="24"/>
                <w:szCs w:val="24"/>
                <w:highlight w:val="none"/>
                <w:u w:val="none"/>
                <w:lang w:val="en-US" w:eastAsia="zh-CN"/>
              </w:rPr>
              <w:t>和日常清扫用水，重新利用，不外排</w:t>
            </w:r>
            <w:r>
              <w:rPr>
                <w:rFonts w:hint="eastAsia" w:ascii="Times New Roman" w:hAnsi="Times New Roman" w:eastAsia="宋体" w:cs="Times New Roman"/>
                <w:color w:val="auto"/>
                <w:sz w:val="24"/>
                <w:szCs w:val="24"/>
                <w:highlight w:val="none"/>
                <w:u w:val="none"/>
                <w:lang w:val="en-US" w:eastAsia="zh-CN"/>
              </w:rPr>
              <w:t>。</w:t>
            </w:r>
            <w:r>
              <w:rPr>
                <w:rFonts w:hint="eastAsia" w:cs="Times New Roman"/>
                <w:color w:val="auto"/>
                <w:sz w:val="24"/>
                <w:szCs w:val="24"/>
                <w:highlight w:val="none"/>
                <w:u w:val="none"/>
                <w:lang w:val="en-US" w:eastAsia="zh-CN"/>
              </w:rPr>
              <w:t>根据企业提供的六矿上冷凝水正常工况下的产生量是极少的，按照六矿经验，本项目冷凝水产生量为2t/a。</w:t>
            </w:r>
          </w:p>
          <w:p w14:paraId="1E4481DF">
            <w:pPr>
              <w:keepNext w:val="0"/>
              <w:keepLines w:val="0"/>
              <w:pageBreakBefore w:val="0"/>
              <w:widowControl w:val="0"/>
              <w:kinsoku/>
              <w:wordWrap/>
              <w:overflowPunct/>
              <w:topLinePunct w:val="0"/>
              <w:autoSpaceDE/>
              <w:autoSpaceDN/>
              <w:bidi w:val="0"/>
              <w:spacing w:line="500" w:lineRule="atLeast"/>
              <w:ind w:left="0" w:firstLine="480" w:firstLineChars="200"/>
              <w:jc w:val="left"/>
              <w:textAlignment w:val="auto"/>
              <w:rPr>
                <w:rFonts w:ascii="Times New Roman" w:hAnsi="Times New Roman" w:cs="Times New Roman"/>
                <w:color w:val="auto"/>
                <w:sz w:val="24"/>
                <w:u w:val="none"/>
              </w:rPr>
            </w:pPr>
            <w:r>
              <w:rPr>
                <w:rFonts w:hint="eastAsia" w:ascii="Times New Roman" w:hAnsi="Times New Roman" w:cs="Times New Roman"/>
                <w:color w:val="auto"/>
                <w:sz w:val="24"/>
                <w:u w:val="none"/>
                <w:lang w:val="en-US" w:eastAsia="zh-CN"/>
              </w:rPr>
              <w:t>本项目劳动定员</w:t>
            </w:r>
            <w:r>
              <w:rPr>
                <w:rFonts w:hint="eastAsia" w:ascii="Times New Roman" w:hAnsi="Times New Roman" w:cs="Times New Roman"/>
                <w:color w:val="auto"/>
                <w:sz w:val="24"/>
                <w:highlight w:val="none"/>
                <w:u w:val="none"/>
                <w:lang w:val="en-US" w:eastAsia="zh-CN"/>
              </w:rPr>
              <w:t>11</w:t>
            </w:r>
            <w:r>
              <w:rPr>
                <w:rFonts w:ascii="Times New Roman" w:hAnsi="Times New Roman" w:cs="Times New Roman"/>
                <w:color w:val="auto"/>
                <w:sz w:val="24"/>
                <w:u w:val="none"/>
              </w:rPr>
              <w:t>人，</w:t>
            </w:r>
            <w:r>
              <w:rPr>
                <w:rFonts w:hint="eastAsia" w:ascii="Times New Roman" w:hAnsi="Times New Roman" w:cs="Times New Roman"/>
                <w:color w:val="auto"/>
                <w:sz w:val="24"/>
                <w:u w:val="none"/>
              </w:rPr>
              <w:t>均不在厂区食宿，年工作时间3</w:t>
            </w:r>
            <w:r>
              <w:rPr>
                <w:rFonts w:hint="eastAsia" w:cs="Times New Roman"/>
                <w:color w:val="auto"/>
                <w:sz w:val="24"/>
                <w:u w:val="none"/>
                <w:lang w:val="en-US" w:eastAsia="zh-CN"/>
              </w:rPr>
              <w:t>6</w:t>
            </w:r>
            <w:r>
              <w:rPr>
                <w:rFonts w:hint="eastAsia" w:ascii="Times New Roman" w:hAnsi="Times New Roman" w:cs="Times New Roman"/>
                <w:color w:val="auto"/>
                <w:sz w:val="24"/>
                <w:u w:val="none"/>
              </w:rPr>
              <w:t>0天。</w:t>
            </w:r>
            <w:r>
              <w:rPr>
                <w:rFonts w:ascii="Times New Roman" w:hAnsi="Times New Roman" w:cs="Times New Roman"/>
                <w:color w:val="auto"/>
                <w:sz w:val="24"/>
                <w:u w:val="none"/>
              </w:rPr>
              <w:t>根据河南省地方标准《工业与城镇生活用水定额》（DB41/T385-2020），</w:t>
            </w:r>
            <w:r>
              <w:rPr>
                <w:rFonts w:hint="eastAsia" w:ascii="Times New Roman" w:hAnsi="Times New Roman" w:cs="Times New Roman"/>
                <w:color w:val="auto"/>
                <w:sz w:val="24"/>
                <w:u w:val="none"/>
              </w:rPr>
              <w:t>不住宿人员</w:t>
            </w:r>
            <w:r>
              <w:rPr>
                <w:rFonts w:ascii="Times New Roman" w:hAnsi="Times New Roman" w:cs="Times New Roman"/>
                <w:color w:val="auto"/>
                <w:sz w:val="24"/>
                <w:u w:val="none"/>
              </w:rPr>
              <w:t>用水定额</w:t>
            </w:r>
            <w:r>
              <w:rPr>
                <w:rFonts w:hint="eastAsia" w:ascii="Times New Roman" w:hAnsi="Times New Roman" w:cs="Times New Roman"/>
                <w:color w:val="auto"/>
                <w:sz w:val="24"/>
                <w:u w:val="none"/>
              </w:rPr>
              <w:t>40</w:t>
            </w:r>
            <w:r>
              <w:rPr>
                <w:rFonts w:ascii="Times New Roman" w:hAnsi="Times New Roman" w:cs="Times New Roman"/>
                <w:color w:val="auto"/>
                <w:sz w:val="24"/>
                <w:u w:val="none"/>
              </w:rPr>
              <w:t>L/（人·d），则本项目</w:t>
            </w:r>
            <w:r>
              <w:rPr>
                <w:rFonts w:hint="eastAsia" w:ascii="Times New Roman" w:hAnsi="Times New Roman" w:cs="Times New Roman"/>
                <w:color w:val="auto"/>
                <w:sz w:val="24"/>
                <w:u w:val="none"/>
              </w:rPr>
              <w:t>生活用水量为</w:t>
            </w:r>
            <w:r>
              <w:rPr>
                <w:rFonts w:hint="eastAsia" w:cs="Times New Roman"/>
                <w:color w:val="auto"/>
                <w:sz w:val="24"/>
                <w:u w:val="none"/>
                <w:lang w:val="en-US" w:eastAsia="zh-CN"/>
              </w:rPr>
              <w:t>158.4</w:t>
            </w:r>
            <w:r>
              <w:rPr>
                <w:rFonts w:hint="eastAsia" w:ascii="Times New Roman" w:hAnsi="Times New Roman" w:cs="Times New Roman"/>
                <w:color w:val="auto"/>
                <w:sz w:val="24"/>
                <w:u w:val="none"/>
              </w:rPr>
              <w:t>t/a（</w:t>
            </w:r>
            <w:r>
              <w:rPr>
                <w:rFonts w:hint="eastAsia" w:ascii="Times New Roman" w:hAnsi="Times New Roman" w:cs="Times New Roman"/>
                <w:color w:val="auto"/>
                <w:sz w:val="24"/>
                <w:u w:val="none"/>
                <w:lang w:val="en-US" w:eastAsia="zh-CN"/>
              </w:rPr>
              <w:t>0.44</w:t>
            </w:r>
            <w:r>
              <w:rPr>
                <w:rFonts w:hint="eastAsia" w:ascii="Times New Roman" w:hAnsi="Times New Roman" w:cs="Times New Roman"/>
                <w:color w:val="auto"/>
                <w:sz w:val="24"/>
                <w:u w:val="none"/>
              </w:rPr>
              <w:t>t/d）</w:t>
            </w:r>
            <w:r>
              <w:rPr>
                <w:rFonts w:hint="eastAsia" w:ascii="Times New Roman" w:hAnsi="Times New Roman" w:cs="Times New Roman"/>
                <w:color w:val="auto"/>
                <w:sz w:val="24"/>
                <w:u w:val="none"/>
                <w:lang w:eastAsia="zh-CN"/>
              </w:rPr>
              <w:t>，排污系数按80%计，污水产生量为</w:t>
            </w:r>
            <w:r>
              <w:rPr>
                <w:rFonts w:hint="eastAsia" w:cs="Times New Roman"/>
                <w:color w:val="auto"/>
                <w:sz w:val="24"/>
                <w:u w:val="none"/>
                <w:lang w:val="en-US" w:eastAsia="zh-CN"/>
              </w:rPr>
              <w:t>126.72</w:t>
            </w:r>
            <w:r>
              <w:rPr>
                <w:rFonts w:hint="eastAsia" w:ascii="Times New Roman" w:hAnsi="Times New Roman" w:cs="Times New Roman"/>
                <w:color w:val="auto"/>
                <w:sz w:val="24"/>
                <w:u w:val="none"/>
                <w:lang w:val="en-US" w:eastAsia="zh-CN"/>
              </w:rPr>
              <w:t>t</w:t>
            </w:r>
            <w:r>
              <w:rPr>
                <w:rFonts w:hint="eastAsia" w:ascii="Times New Roman" w:hAnsi="Times New Roman" w:cs="Times New Roman"/>
                <w:color w:val="auto"/>
                <w:sz w:val="24"/>
                <w:u w:val="none"/>
                <w:lang w:eastAsia="zh-CN"/>
              </w:rPr>
              <w:t>/a（</w:t>
            </w:r>
            <w:r>
              <w:rPr>
                <w:rFonts w:hint="eastAsia" w:ascii="Times New Roman" w:hAnsi="Times New Roman" w:cs="Times New Roman"/>
                <w:color w:val="auto"/>
                <w:sz w:val="24"/>
                <w:u w:val="none"/>
                <w:lang w:val="en-US" w:eastAsia="zh-CN"/>
              </w:rPr>
              <w:t>0.352</w:t>
            </w:r>
            <w:r>
              <w:rPr>
                <w:rFonts w:hint="eastAsia" w:ascii="Times New Roman" w:hAnsi="Times New Roman" w:cs="Times New Roman"/>
                <w:color w:val="auto"/>
                <w:sz w:val="24"/>
                <w:u w:val="none"/>
                <w:lang w:eastAsia="zh-CN"/>
              </w:rPr>
              <w:t>t/d）。</w:t>
            </w:r>
            <w:r>
              <w:rPr>
                <w:rFonts w:hint="eastAsia" w:ascii="Times New Roman" w:hAnsi="Times New Roman" w:eastAsia="宋体" w:cs="Times New Roman"/>
                <w:color w:val="auto"/>
                <w:kern w:val="2"/>
                <w:sz w:val="24"/>
                <w:szCs w:val="24"/>
                <w:u w:val="none"/>
                <w:lang w:val="en-US" w:eastAsia="zh-CN" w:bidi="ar-SA"/>
              </w:rPr>
              <w:t>项目</w:t>
            </w:r>
            <w:r>
              <w:rPr>
                <w:rFonts w:hint="eastAsia" w:cs="Times New Roman"/>
                <w:color w:val="auto"/>
                <w:kern w:val="2"/>
                <w:sz w:val="24"/>
                <w:szCs w:val="24"/>
                <w:u w:val="none"/>
                <w:lang w:val="en-US" w:eastAsia="zh-CN" w:bidi="ar-SA"/>
              </w:rPr>
              <w:t>生活污水</w:t>
            </w:r>
            <w:r>
              <w:rPr>
                <w:rFonts w:hint="eastAsia" w:ascii="Times New Roman" w:hAnsi="Times New Roman" w:eastAsia="宋体" w:cs="Times New Roman"/>
                <w:color w:val="auto"/>
                <w:kern w:val="2"/>
                <w:sz w:val="24"/>
                <w:szCs w:val="24"/>
                <w:u w:val="none"/>
                <w:lang w:val="en-US" w:eastAsia="zh-CN" w:bidi="ar-SA"/>
              </w:rPr>
              <w:t>主要污染物产生浓度为COD</w:t>
            </w:r>
            <w:r>
              <w:rPr>
                <w:rFonts w:hint="eastAsia" w:cs="Times New Roman"/>
                <w:color w:val="auto"/>
                <w:kern w:val="2"/>
                <w:sz w:val="24"/>
                <w:szCs w:val="24"/>
                <w:u w:val="none"/>
                <w:lang w:val="en-US" w:eastAsia="zh-CN" w:bidi="ar-SA"/>
              </w:rPr>
              <w:t>：</w:t>
            </w:r>
            <w:r>
              <w:rPr>
                <w:rFonts w:hint="eastAsia" w:ascii="Times New Roman" w:hAnsi="Times New Roman" w:eastAsia="宋体" w:cs="Times New Roman"/>
                <w:color w:val="auto"/>
                <w:kern w:val="2"/>
                <w:sz w:val="24"/>
                <w:szCs w:val="24"/>
                <w:u w:val="none"/>
                <w:lang w:val="en-US" w:eastAsia="zh-CN" w:bidi="ar-SA"/>
              </w:rPr>
              <w:t>350mg/L、SS</w:t>
            </w:r>
            <w:r>
              <w:rPr>
                <w:rFonts w:hint="eastAsia" w:cs="Times New Roman"/>
                <w:color w:val="auto"/>
                <w:kern w:val="2"/>
                <w:sz w:val="24"/>
                <w:szCs w:val="24"/>
                <w:u w:val="none"/>
                <w:lang w:val="en-US" w:eastAsia="zh-CN" w:bidi="ar-SA"/>
              </w:rPr>
              <w:t>：</w:t>
            </w:r>
            <w:r>
              <w:rPr>
                <w:rFonts w:hint="eastAsia" w:ascii="Times New Roman" w:hAnsi="Times New Roman" w:eastAsia="宋体" w:cs="Times New Roman"/>
                <w:color w:val="auto"/>
                <w:kern w:val="2"/>
                <w:sz w:val="24"/>
                <w:szCs w:val="24"/>
                <w:u w:val="none"/>
                <w:lang w:val="en-US" w:eastAsia="zh-CN" w:bidi="ar-SA"/>
              </w:rPr>
              <w:t>200mg/L、NH</w:t>
            </w:r>
            <w:r>
              <w:rPr>
                <w:rFonts w:hint="eastAsia" w:ascii="Times New Roman" w:hAnsi="Times New Roman" w:eastAsia="宋体" w:cs="Times New Roman"/>
                <w:color w:val="auto"/>
                <w:kern w:val="2"/>
                <w:sz w:val="24"/>
                <w:szCs w:val="24"/>
                <w:u w:val="none"/>
                <w:vertAlign w:val="subscript"/>
                <w:lang w:val="en-US" w:eastAsia="zh-CN" w:bidi="ar-SA"/>
              </w:rPr>
              <w:t>3</w:t>
            </w:r>
            <w:r>
              <w:rPr>
                <w:rFonts w:hint="eastAsia" w:ascii="Times New Roman" w:hAnsi="Times New Roman" w:eastAsia="宋体" w:cs="Times New Roman"/>
                <w:color w:val="auto"/>
                <w:kern w:val="2"/>
                <w:sz w:val="24"/>
                <w:szCs w:val="24"/>
                <w:u w:val="none"/>
                <w:lang w:val="en-US" w:eastAsia="zh-CN" w:bidi="ar-SA"/>
              </w:rPr>
              <w:t>-N</w:t>
            </w:r>
            <w:r>
              <w:rPr>
                <w:rFonts w:hint="eastAsia" w:cs="Times New Roman"/>
                <w:color w:val="auto"/>
                <w:kern w:val="2"/>
                <w:sz w:val="24"/>
                <w:szCs w:val="24"/>
                <w:u w:val="none"/>
                <w:lang w:val="en-US" w:eastAsia="zh-CN" w:bidi="ar-SA"/>
              </w:rPr>
              <w:t>：</w:t>
            </w:r>
            <w:r>
              <w:rPr>
                <w:rFonts w:hint="eastAsia" w:ascii="Times New Roman" w:hAnsi="Times New Roman" w:eastAsia="宋体" w:cs="Times New Roman"/>
                <w:color w:val="auto"/>
                <w:kern w:val="2"/>
                <w:sz w:val="24"/>
                <w:szCs w:val="24"/>
                <w:u w:val="none"/>
                <w:lang w:val="en-US" w:eastAsia="zh-CN" w:bidi="ar-SA"/>
              </w:rPr>
              <w:t>30mg/L。</w:t>
            </w:r>
            <w:r>
              <w:rPr>
                <w:rFonts w:hint="eastAsia" w:ascii="Times New Roman" w:hAnsi="Times New Roman" w:cs="Times New Roman"/>
                <w:color w:val="auto"/>
                <w:sz w:val="24"/>
                <w:u w:val="none"/>
                <w:lang w:eastAsia="zh-CN"/>
              </w:rPr>
              <w:t>生活污水</w:t>
            </w:r>
            <w:r>
              <w:rPr>
                <w:rFonts w:hint="eastAsia" w:ascii="Times New Roman" w:hAnsi="Times New Roman" w:cs="Times New Roman"/>
                <w:color w:val="auto"/>
                <w:sz w:val="24"/>
                <w:u w:val="none"/>
                <w:lang w:val="en-US" w:eastAsia="zh-CN"/>
              </w:rPr>
              <w:t>经</w:t>
            </w:r>
            <w:r>
              <w:rPr>
                <w:rFonts w:hint="eastAsia" w:ascii="Times New Roman" w:hAnsi="Times New Roman" w:cs="Times New Roman"/>
                <w:color w:val="auto"/>
                <w:sz w:val="24"/>
                <w:u w:val="none"/>
                <w:lang w:eastAsia="zh-CN"/>
              </w:rPr>
              <w:t>化粪池</w:t>
            </w:r>
            <w:r>
              <w:rPr>
                <w:rFonts w:hint="eastAsia" w:cs="Times New Roman"/>
                <w:color w:val="auto"/>
                <w:sz w:val="24"/>
                <w:szCs w:val="24"/>
                <w:highlight w:val="none"/>
                <w:u w:val="none"/>
                <w:lang w:val="en-US" w:eastAsia="zh-CN"/>
              </w:rPr>
              <w:t>（容积为3m</w:t>
            </w:r>
            <w:r>
              <w:rPr>
                <w:rFonts w:hint="eastAsia" w:cs="Times New Roman"/>
                <w:color w:val="auto"/>
                <w:sz w:val="24"/>
                <w:szCs w:val="24"/>
                <w:highlight w:val="none"/>
                <w:u w:val="none"/>
                <w:vertAlign w:val="superscript"/>
                <w:lang w:val="en-US" w:eastAsia="zh-CN"/>
              </w:rPr>
              <w:t>3</w:t>
            </w:r>
            <w:r>
              <w:rPr>
                <w:rFonts w:hint="eastAsia" w:cs="Times New Roman"/>
                <w:color w:val="auto"/>
                <w:sz w:val="24"/>
                <w:szCs w:val="24"/>
                <w:highlight w:val="none"/>
                <w:u w:val="none"/>
                <w:lang w:val="en-US" w:eastAsia="zh-CN"/>
              </w:rPr>
              <w:t>）</w:t>
            </w:r>
            <w:r>
              <w:rPr>
                <w:rFonts w:hint="eastAsia" w:ascii="Times New Roman" w:hAnsi="Times New Roman" w:cs="Times New Roman"/>
                <w:color w:val="auto"/>
                <w:sz w:val="24"/>
                <w:u w:val="none"/>
                <w:lang w:eastAsia="zh-CN"/>
              </w:rPr>
              <w:t>收集</w:t>
            </w:r>
            <w:r>
              <w:rPr>
                <w:rFonts w:hint="eastAsia" w:ascii="Times New Roman" w:hAnsi="Times New Roman" w:cs="Times New Roman"/>
                <w:i w:val="0"/>
                <w:iCs w:val="0"/>
                <w:color w:val="auto"/>
                <w:kern w:val="24"/>
                <w:sz w:val="24"/>
                <w:szCs w:val="24"/>
                <w:u w:val="none"/>
                <w:lang w:val="en-US" w:eastAsia="zh-CN" w:bidi="ar-SA"/>
              </w:rPr>
              <w:t>预</w:t>
            </w:r>
            <w:r>
              <w:rPr>
                <w:rFonts w:hint="eastAsia" w:ascii="Times New Roman" w:hAnsi="Times New Roman" w:cs="Times New Roman"/>
                <w:color w:val="auto"/>
                <w:sz w:val="24"/>
                <w:u w:val="none"/>
                <w:lang w:eastAsia="zh-CN"/>
              </w:rPr>
              <w:t>处理后，</w:t>
            </w:r>
            <w:r>
              <w:rPr>
                <w:rFonts w:hint="eastAsia" w:ascii="Times New Roman" w:hAnsi="Times New Roman" w:cs="Times New Roman"/>
                <w:color w:val="auto"/>
                <w:sz w:val="24"/>
                <w:u w:val="none"/>
                <w:lang w:val="en-US" w:eastAsia="zh-CN"/>
              </w:rPr>
              <w:t>用于农田施肥</w:t>
            </w:r>
            <w:r>
              <w:rPr>
                <w:rFonts w:hint="eastAsia" w:cs="Times New Roman"/>
                <w:color w:val="auto"/>
                <w:sz w:val="24"/>
                <w:u w:val="none"/>
                <w:lang w:val="en-US" w:eastAsia="zh-CN"/>
              </w:rPr>
              <w:t>，不外排</w:t>
            </w:r>
            <w:r>
              <w:rPr>
                <w:rFonts w:ascii="Times New Roman" w:hAnsi="Times New Roman" w:cs="Times New Roman"/>
                <w:color w:val="auto"/>
                <w:sz w:val="24"/>
                <w:u w:val="none"/>
              </w:rPr>
              <w:t>。</w:t>
            </w:r>
          </w:p>
          <w:p w14:paraId="44D02504">
            <w:pPr>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ascii="Times New Roman" w:hAnsi="Times New Roman" w:eastAsia="宋体" w:cs="Times New Roman"/>
                <w:color w:val="auto"/>
                <w:sz w:val="24"/>
                <w:szCs w:val="24"/>
                <w:u w:val="none"/>
              </w:rPr>
            </w:pPr>
            <w:r>
              <w:rPr>
                <w:rFonts w:ascii="Times New Roman" w:hAnsi="Times New Roman" w:eastAsia="宋体" w:cs="Times New Roman"/>
                <w:color w:val="auto"/>
                <w:sz w:val="24"/>
                <w:szCs w:val="24"/>
                <w:u w:val="none"/>
              </w:rPr>
              <w:t>供电：</w:t>
            </w:r>
          </w:p>
          <w:p w14:paraId="689A3156">
            <w:pPr>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eastAsia" w:ascii="Times New Roman" w:hAnsi="Times New Roman" w:eastAsia="宋体" w:cs="Times New Roman"/>
                <w:color w:val="auto"/>
                <w:sz w:val="24"/>
                <w:szCs w:val="24"/>
                <w:u w:val="none"/>
              </w:rPr>
            </w:pPr>
            <w:r>
              <w:rPr>
                <w:rFonts w:ascii="Times New Roman" w:hAnsi="Times New Roman" w:eastAsia="宋体" w:cs="Times New Roman"/>
                <w:color w:val="auto"/>
                <w:sz w:val="24"/>
                <w:szCs w:val="24"/>
                <w:u w:val="none"/>
              </w:rPr>
              <w:t>本项目</w:t>
            </w:r>
            <w:r>
              <w:rPr>
                <w:rFonts w:hint="eastAsia" w:ascii="Times New Roman" w:hAnsi="Times New Roman" w:eastAsia="宋体" w:cs="Times New Roman"/>
                <w:color w:val="auto"/>
                <w:sz w:val="24"/>
                <w:szCs w:val="24"/>
                <w:u w:val="none"/>
              </w:rPr>
              <w:t>依靠</w:t>
            </w:r>
            <w:r>
              <w:rPr>
                <w:rFonts w:hint="eastAsia" w:cs="Times New Roman"/>
                <w:color w:val="auto"/>
                <w:sz w:val="24"/>
                <w:szCs w:val="24"/>
                <w:u w:val="none"/>
                <w:lang w:val="en-US" w:eastAsia="zh-CN"/>
              </w:rPr>
              <w:t>八矿</w:t>
            </w:r>
            <w:r>
              <w:rPr>
                <w:rFonts w:hint="eastAsia" w:ascii="Times New Roman" w:hAnsi="Times New Roman" w:eastAsia="宋体" w:cs="Times New Roman"/>
                <w:color w:val="auto"/>
                <w:sz w:val="24"/>
                <w:szCs w:val="24"/>
                <w:u w:val="none"/>
              </w:rPr>
              <w:t>供电线路供电</w:t>
            </w:r>
            <w:r>
              <w:rPr>
                <w:rFonts w:ascii="Times New Roman" w:hAnsi="Times New Roman" w:eastAsia="宋体" w:cs="Times New Roman"/>
                <w:color w:val="auto"/>
                <w:sz w:val="24"/>
                <w:szCs w:val="24"/>
                <w:u w:val="none"/>
              </w:rPr>
              <w:t>。</w:t>
            </w:r>
          </w:p>
          <w:p w14:paraId="52D440CD">
            <w:pPr>
              <w:keepNext w:val="0"/>
              <w:keepLines w:val="0"/>
              <w:pageBreakBefore w:val="0"/>
              <w:widowControl w:val="0"/>
              <w:kinsoku/>
              <w:wordWrap/>
              <w:overflowPunct/>
              <w:topLinePunct w:val="0"/>
              <w:autoSpaceDE/>
              <w:autoSpaceDN/>
              <w:bidi w:val="0"/>
              <w:adjustRightInd/>
              <w:snapToGrid w:val="0"/>
              <w:spacing w:line="500" w:lineRule="exact"/>
              <w:ind w:firstLine="482" w:firstLineChars="200"/>
              <w:textAlignment w:val="auto"/>
              <w:rPr>
                <w:rFonts w:ascii="Times New Roman" w:hAnsi="Times New Roman" w:cs="Times New Roman"/>
                <w:b/>
                <w:color w:val="auto"/>
                <w:sz w:val="24"/>
                <w:szCs w:val="22"/>
                <w:highlight w:val="none"/>
                <w:u w:val="none"/>
              </w:rPr>
            </w:pPr>
            <w:r>
              <w:rPr>
                <w:rFonts w:hint="eastAsia" w:cs="Times New Roman"/>
                <w:b/>
                <w:color w:val="auto"/>
                <w:sz w:val="24"/>
                <w:szCs w:val="22"/>
                <w:highlight w:val="none"/>
                <w:u w:val="none"/>
                <w:lang w:val="en-US" w:eastAsia="zh-CN"/>
              </w:rPr>
              <w:t>10、</w:t>
            </w:r>
            <w:r>
              <w:rPr>
                <w:rFonts w:hint="eastAsia" w:ascii="Times New Roman" w:hAnsi="Times New Roman" w:cs="Times New Roman"/>
                <w:b/>
                <w:color w:val="auto"/>
                <w:sz w:val="24"/>
                <w:szCs w:val="22"/>
                <w:highlight w:val="none"/>
                <w:u w:val="none"/>
              </w:rPr>
              <w:t>项目</w:t>
            </w:r>
            <w:r>
              <w:rPr>
                <w:rFonts w:ascii="Times New Roman" w:hAnsi="Times New Roman" w:cs="Times New Roman"/>
                <w:b/>
                <w:color w:val="auto"/>
                <w:sz w:val="24"/>
                <w:szCs w:val="22"/>
                <w:highlight w:val="none"/>
                <w:u w:val="none"/>
              </w:rPr>
              <w:t>水平衡分析</w:t>
            </w:r>
          </w:p>
          <w:p w14:paraId="19B0299E">
            <w:pPr>
              <w:pageBreakBefore w:val="0"/>
              <w:widowControl w:val="0"/>
              <w:kinsoku/>
              <w:wordWrap/>
              <w:overflowPunct/>
              <w:topLinePunct w:val="0"/>
              <w:autoSpaceDE/>
              <w:autoSpaceDN/>
              <w:bidi w:val="0"/>
              <w:snapToGrid w:val="0"/>
              <w:spacing w:line="500" w:lineRule="exact"/>
              <w:ind w:firstLine="480" w:firstLineChars="200"/>
              <w:textAlignment w:val="auto"/>
              <w:rPr>
                <w:rFonts w:ascii="Times New Roman" w:hAnsi="Times New Roman" w:cs="Times New Roman"/>
                <w:color w:val="auto"/>
                <w:sz w:val="24"/>
                <w:u w:val="none"/>
              </w:rPr>
            </w:pPr>
            <w:r>
              <w:rPr>
                <w:rFonts w:ascii="Times New Roman" w:hAnsi="Times New Roman" w:cs="Times New Roman"/>
                <w:color w:val="auto"/>
                <w:sz w:val="24"/>
                <w:u w:val="none"/>
              </w:rPr>
              <w:t>本项目</w:t>
            </w:r>
            <w:r>
              <w:rPr>
                <w:rFonts w:hint="eastAsia" w:ascii="Times New Roman" w:hAnsi="Times New Roman" w:cs="Times New Roman"/>
                <w:color w:val="auto"/>
                <w:sz w:val="24"/>
                <w:u w:val="none"/>
              </w:rPr>
              <w:t>运营期</w:t>
            </w:r>
            <w:r>
              <w:rPr>
                <w:rFonts w:ascii="Times New Roman" w:hAnsi="Times New Roman" w:cs="Times New Roman"/>
                <w:color w:val="auto"/>
                <w:sz w:val="24"/>
                <w:u w:val="none"/>
              </w:rPr>
              <w:t>用</w:t>
            </w:r>
            <w:r>
              <w:rPr>
                <w:rFonts w:hint="eastAsia" w:ascii="Times New Roman" w:hAnsi="Times New Roman" w:cs="Times New Roman"/>
                <w:color w:val="auto"/>
                <w:sz w:val="24"/>
                <w:u w:val="none"/>
              </w:rPr>
              <w:t>排</w:t>
            </w:r>
            <w:r>
              <w:rPr>
                <w:rFonts w:ascii="Times New Roman" w:hAnsi="Times New Roman" w:cs="Times New Roman"/>
                <w:color w:val="auto"/>
                <w:sz w:val="24"/>
                <w:u w:val="none"/>
              </w:rPr>
              <w:t>水量统计情况见</w:t>
            </w:r>
            <w:r>
              <w:rPr>
                <w:rFonts w:hint="eastAsia" w:ascii="Times New Roman" w:hAnsi="Times New Roman" w:cs="Times New Roman"/>
                <w:color w:val="auto"/>
                <w:sz w:val="24"/>
                <w:u w:val="none"/>
              </w:rPr>
              <w:t>下</w:t>
            </w:r>
            <w:r>
              <w:rPr>
                <w:rFonts w:ascii="Times New Roman" w:hAnsi="Times New Roman" w:cs="Times New Roman"/>
                <w:color w:val="auto"/>
                <w:sz w:val="24"/>
                <w:u w:val="none"/>
              </w:rPr>
              <w:t>表</w:t>
            </w:r>
            <w:r>
              <w:rPr>
                <w:rFonts w:hint="eastAsia" w:ascii="Times New Roman" w:hAnsi="Times New Roman" w:cs="Times New Roman"/>
                <w:color w:val="auto"/>
                <w:sz w:val="24"/>
                <w:u w:val="none"/>
              </w:rPr>
              <w:t>。</w:t>
            </w:r>
          </w:p>
          <w:p w14:paraId="59DF7BBE">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ascii="Times New Roman" w:hAnsi="Times New Roman" w:eastAsia="黑体" w:cs="Times New Roman"/>
                <w:color w:val="auto"/>
                <w:sz w:val="24"/>
                <w:u w:val="none"/>
              </w:rPr>
            </w:pPr>
            <w:r>
              <w:rPr>
                <w:rFonts w:ascii="Times New Roman" w:hAnsi="Times New Roman" w:eastAsia="黑体" w:cs="Times New Roman"/>
                <w:color w:val="auto"/>
                <w:sz w:val="24"/>
                <w:u w:val="none"/>
              </w:rPr>
              <w:t>表</w:t>
            </w:r>
            <w:r>
              <w:rPr>
                <w:rFonts w:hint="eastAsia" w:eastAsia="黑体" w:cs="Times New Roman"/>
                <w:color w:val="auto"/>
                <w:sz w:val="24"/>
                <w:u w:val="none"/>
                <w:lang w:val="en-US" w:eastAsia="zh-CN"/>
              </w:rPr>
              <w:t>2-8</w:t>
            </w:r>
            <w:r>
              <w:rPr>
                <w:rFonts w:ascii="Times New Roman" w:hAnsi="Times New Roman" w:eastAsia="黑体" w:cs="Times New Roman"/>
                <w:color w:val="auto"/>
                <w:sz w:val="24"/>
                <w:u w:val="none"/>
              </w:rPr>
              <w:t xml:space="preserve"> 本项目营运期用</w:t>
            </w:r>
            <w:r>
              <w:rPr>
                <w:rFonts w:hint="eastAsia" w:ascii="Times New Roman" w:hAnsi="Times New Roman" w:eastAsia="黑体" w:cs="Times New Roman"/>
                <w:color w:val="auto"/>
                <w:sz w:val="24"/>
                <w:u w:val="none"/>
              </w:rPr>
              <w:t>排</w:t>
            </w:r>
            <w:r>
              <w:rPr>
                <w:rFonts w:ascii="Times New Roman" w:hAnsi="Times New Roman" w:eastAsia="黑体" w:cs="Times New Roman"/>
                <w:color w:val="auto"/>
                <w:sz w:val="24"/>
                <w:u w:val="none"/>
              </w:rPr>
              <w:t>水统计一览表</w:t>
            </w:r>
          </w:p>
          <w:tbl>
            <w:tblPr>
              <w:tblStyle w:val="32"/>
              <w:tblW w:w="8418" w:type="dxa"/>
              <w:tblInd w:w="0" w:type="dxa"/>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330"/>
              <w:gridCol w:w="2450"/>
              <w:gridCol w:w="2379"/>
              <w:gridCol w:w="2259"/>
            </w:tblGrid>
            <w:tr w14:paraId="339A398F">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3780" w:type="dxa"/>
                  <w:gridSpan w:val="2"/>
                  <w:tcBorders>
                    <w:tl2br w:val="nil"/>
                    <w:tr2bl w:val="nil"/>
                  </w:tcBorders>
                  <w:vAlign w:val="center"/>
                </w:tcPr>
                <w:p w14:paraId="66DE58C0">
                  <w:pPr>
                    <w:pStyle w:val="1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ascii="Times New Roman" w:hAnsi="Times New Roman" w:cs="Times New Roman"/>
                      <w:color w:val="auto"/>
                      <w:szCs w:val="21"/>
                      <w:u w:val="none"/>
                    </w:rPr>
                  </w:pPr>
                  <w:r>
                    <w:rPr>
                      <w:rFonts w:ascii="Times New Roman" w:hAnsi="Times New Roman" w:cs="Times New Roman"/>
                      <w:b/>
                      <w:color w:val="auto"/>
                      <w:sz w:val="21"/>
                      <w:szCs w:val="21"/>
                      <w:u w:val="none"/>
                    </w:rPr>
                    <w:t>类别</w:t>
                  </w:r>
                </w:p>
              </w:tc>
              <w:tc>
                <w:tcPr>
                  <w:tcW w:w="2379" w:type="dxa"/>
                  <w:tcBorders>
                    <w:tl2br w:val="nil"/>
                    <w:tr2bl w:val="nil"/>
                  </w:tcBorders>
                  <w:vAlign w:val="center"/>
                </w:tcPr>
                <w:p w14:paraId="12B92D0B">
                  <w:pPr>
                    <w:pStyle w:val="1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ascii="Times New Roman" w:hAnsi="Times New Roman" w:cs="Times New Roman"/>
                      <w:color w:val="auto"/>
                      <w:szCs w:val="21"/>
                      <w:u w:val="none"/>
                    </w:rPr>
                  </w:pPr>
                  <w:r>
                    <w:rPr>
                      <w:rFonts w:ascii="Times New Roman" w:hAnsi="Times New Roman" w:cs="Times New Roman"/>
                      <w:b/>
                      <w:color w:val="auto"/>
                      <w:sz w:val="21"/>
                      <w:szCs w:val="21"/>
                      <w:u w:val="none"/>
                    </w:rPr>
                    <w:t>用排水情况（m</w:t>
                  </w:r>
                  <w:r>
                    <w:rPr>
                      <w:rFonts w:ascii="Times New Roman" w:hAnsi="Times New Roman" w:cs="Times New Roman"/>
                      <w:b/>
                      <w:color w:val="auto"/>
                      <w:sz w:val="21"/>
                      <w:szCs w:val="21"/>
                      <w:u w:val="none"/>
                      <w:vertAlign w:val="superscript"/>
                    </w:rPr>
                    <w:t>3</w:t>
                  </w:r>
                  <w:r>
                    <w:rPr>
                      <w:rFonts w:ascii="Times New Roman" w:hAnsi="Times New Roman" w:cs="Times New Roman"/>
                      <w:b/>
                      <w:color w:val="auto"/>
                      <w:sz w:val="21"/>
                      <w:szCs w:val="21"/>
                      <w:u w:val="none"/>
                    </w:rPr>
                    <w:t>/d）</w:t>
                  </w:r>
                </w:p>
              </w:tc>
              <w:tc>
                <w:tcPr>
                  <w:tcW w:w="2259" w:type="dxa"/>
                  <w:tcBorders>
                    <w:tl2br w:val="nil"/>
                    <w:tr2bl w:val="nil"/>
                  </w:tcBorders>
                  <w:vAlign w:val="center"/>
                </w:tcPr>
                <w:p w14:paraId="3618E2D1">
                  <w:pPr>
                    <w:pStyle w:val="1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ascii="Times New Roman" w:hAnsi="Times New Roman" w:cs="Times New Roman"/>
                      <w:color w:val="auto"/>
                      <w:szCs w:val="21"/>
                      <w:u w:val="none"/>
                    </w:rPr>
                  </w:pPr>
                  <w:r>
                    <w:rPr>
                      <w:rFonts w:ascii="Times New Roman" w:hAnsi="Times New Roman" w:cs="Times New Roman"/>
                      <w:b/>
                      <w:color w:val="auto"/>
                      <w:sz w:val="21"/>
                      <w:szCs w:val="21"/>
                      <w:u w:val="none"/>
                    </w:rPr>
                    <w:t>全年合计（m</w:t>
                  </w:r>
                  <w:r>
                    <w:rPr>
                      <w:rFonts w:ascii="Times New Roman" w:hAnsi="Times New Roman" w:cs="Times New Roman"/>
                      <w:b/>
                      <w:color w:val="auto"/>
                      <w:sz w:val="21"/>
                      <w:szCs w:val="21"/>
                      <w:u w:val="none"/>
                      <w:vertAlign w:val="superscript"/>
                    </w:rPr>
                    <w:t>3</w:t>
                  </w:r>
                  <w:r>
                    <w:rPr>
                      <w:rFonts w:ascii="Times New Roman" w:hAnsi="Times New Roman" w:cs="Times New Roman"/>
                      <w:b/>
                      <w:color w:val="auto"/>
                      <w:sz w:val="21"/>
                      <w:szCs w:val="21"/>
                      <w:u w:val="none"/>
                    </w:rPr>
                    <w:t>/a）</w:t>
                  </w:r>
                </w:p>
              </w:tc>
            </w:tr>
            <w:tr w14:paraId="5A338A75">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1330" w:type="dxa"/>
                  <w:vMerge w:val="restart"/>
                  <w:tcBorders>
                    <w:tl2br w:val="nil"/>
                    <w:tr2bl w:val="nil"/>
                  </w:tcBorders>
                  <w:vAlign w:val="center"/>
                </w:tcPr>
                <w:p w14:paraId="78BCDA79">
                  <w:pPr>
                    <w:pStyle w:val="1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ascii="Times New Roman" w:hAnsi="Times New Roman" w:cs="Times New Roman"/>
                      <w:color w:val="auto"/>
                      <w:szCs w:val="21"/>
                      <w:u w:val="none"/>
                    </w:rPr>
                  </w:pPr>
                  <w:r>
                    <w:rPr>
                      <w:rFonts w:ascii="Times New Roman" w:hAnsi="Times New Roman" w:cs="Times New Roman"/>
                      <w:color w:val="auto"/>
                      <w:sz w:val="21"/>
                      <w:szCs w:val="21"/>
                      <w:u w:val="none"/>
                    </w:rPr>
                    <w:t>用水量</w:t>
                  </w:r>
                </w:p>
              </w:tc>
              <w:tc>
                <w:tcPr>
                  <w:tcW w:w="2450" w:type="dxa"/>
                  <w:tcBorders>
                    <w:tl2br w:val="nil"/>
                    <w:tr2bl w:val="nil"/>
                  </w:tcBorders>
                  <w:vAlign w:val="center"/>
                </w:tcPr>
                <w:p w14:paraId="4E91D5D4">
                  <w:pPr>
                    <w:pStyle w:val="1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ascii="Times New Roman" w:hAnsi="Times New Roman" w:cs="Times New Roman"/>
                      <w:color w:val="auto"/>
                      <w:szCs w:val="21"/>
                      <w:u w:val="none"/>
                    </w:rPr>
                  </w:pPr>
                  <w:r>
                    <w:rPr>
                      <w:rFonts w:ascii="Times New Roman" w:hAnsi="Times New Roman" w:cs="Times New Roman"/>
                      <w:color w:val="auto"/>
                      <w:sz w:val="21"/>
                      <w:szCs w:val="21"/>
                      <w:u w:val="none"/>
                    </w:rPr>
                    <w:t>总用水量</w:t>
                  </w:r>
                </w:p>
              </w:tc>
              <w:tc>
                <w:tcPr>
                  <w:tcW w:w="2379" w:type="dxa"/>
                  <w:tcBorders>
                    <w:tl2br w:val="nil"/>
                    <w:tr2bl w:val="nil"/>
                  </w:tcBorders>
                  <w:vAlign w:val="center"/>
                </w:tcPr>
                <w:p w14:paraId="1EDEBC28">
                  <w:pPr>
                    <w:pStyle w:val="1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cs="Times New Roman"/>
                      <w:color w:val="auto"/>
                      <w:kern w:val="2"/>
                      <w:sz w:val="21"/>
                      <w:szCs w:val="21"/>
                      <w:u w:val="none"/>
                      <w:lang w:val="en-US" w:eastAsia="zh-CN" w:bidi="ar-SA"/>
                    </w:rPr>
                    <w:t>0.44</w:t>
                  </w:r>
                </w:p>
              </w:tc>
              <w:tc>
                <w:tcPr>
                  <w:tcW w:w="2259" w:type="dxa"/>
                  <w:tcBorders>
                    <w:tl2br w:val="nil"/>
                    <w:tr2bl w:val="nil"/>
                  </w:tcBorders>
                  <w:vAlign w:val="center"/>
                </w:tcPr>
                <w:p w14:paraId="103B3FF9">
                  <w:pPr>
                    <w:pStyle w:val="1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158.4</w:t>
                  </w:r>
                </w:p>
              </w:tc>
            </w:tr>
            <w:tr w14:paraId="4B2BAB38">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1330" w:type="dxa"/>
                  <w:vMerge w:val="continue"/>
                  <w:tcBorders>
                    <w:tl2br w:val="nil"/>
                    <w:tr2bl w:val="nil"/>
                  </w:tcBorders>
                  <w:vAlign w:val="center"/>
                </w:tcPr>
                <w:p w14:paraId="37DCDB6B">
                  <w:pPr>
                    <w:pStyle w:val="1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ascii="Times New Roman" w:hAnsi="Times New Roman" w:cs="Times New Roman"/>
                      <w:color w:val="auto"/>
                      <w:szCs w:val="21"/>
                      <w:u w:val="none"/>
                    </w:rPr>
                  </w:pPr>
                </w:p>
              </w:tc>
              <w:tc>
                <w:tcPr>
                  <w:tcW w:w="2450" w:type="dxa"/>
                  <w:tcBorders>
                    <w:tl2br w:val="nil"/>
                    <w:tr2bl w:val="nil"/>
                  </w:tcBorders>
                  <w:vAlign w:val="center"/>
                </w:tcPr>
                <w:p w14:paraId="5F12F5CF">
                  <w:pPr>
                    <w:pStyle w:val="1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cs="Times New Roman"/>
                      <w:color w:val="auto"/>
                      <w:szCs w:val="21"/>
                      <w:u w:val="none"/>
                    </w:rPr>
                  </w:pPr>
                  <w:r>
                    <w:rPr>
                      <w:rFonts w:hint="eastAsia" w:ascii="Times New Roman" w:hAnsi="Times New Roman" w:cs="Times New Roman"/>
                      <w:color w:val="auto"/>
                      <w:sz w:val="21"/>
                      <w:szCs w:val="21"/>
                      <w:u w:val="none"/>
                      <w:lang w:val="en-US" w:eastAsia="zh-CN"/>
                    </w:rPr>
                    <w:t>员工生活用水</w:t>
                  </w:r>
                </w:p>
              </w:tc>
              <w:tc>
                <w:tcPr>
                  <w:tcW w:w="2379" w:type="dxa"/>
                  <w:tcBorders>
                    <w:tl2br w:val="nil"/>
                    <w:tr2bl w:val="nil"/>
                  </w:tcBorders>
                  <w:vAlign w:val="center"/>
                </w:tcPr>
                <w:p w14:paraId="0CEEE2A8">
                  <w:pPr>
                    <w:pStyle w:val="1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eastAsia="宋体" w:cs="Times New Roman"/>
                      <w:color w:val="auto"/>
                      <w:kern w:val="2"/>
                      <w:sz w:val="21"/>
                      <w:szCs w:val="21"/>
                      <w:u w:val="none"/>
                      <w:lang w:val="en-US" w:eastAsia="zh-CN" w:bidi="ar-SA"/>
                    </w:rPr>
                    <w:t>0.44</w:t>
                  </w:r>
                </w:p>
              </w:tc>
              <w:tc>
                <w:tcPr>
                  <w:tcW w:w="2259" w:type="dxa"/>
                  <w:tcBorders>
                    <w:tl2br w:val="nil"/>
                    <w:tr2bl w:val="nil"/>
                  </w:tcBorders>
                  <w:vAlign w:val="center"/>
                </w:tcPr>
                <w:p w14:paraId="447CCDCB">
                  <w:pPr>
                    <w:pStyle w:val="1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158.4</w:t>
                  </w:r>
                </w:p>
              </w:tc>
            </w:tr>
            <w:tr w14:paraId="0BF41B1F">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1330" w:type="dxa"/>
                  <w:tcBorders>
                    <w:tl2br w:val="nil"/>
                    <w:tr2bl w:val="nil"/>
                  </w:tcBorders>
                  <w:shd w:val="clear" w:color="auto" w:fill="auto"/>
                  <w:vAlign w:val="center"/>
                </w:tcPr>
                <w:p w14:paraId="70029D88">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4"/>
                      <w:szCs w:val="21"/>
                      <w:u w:val="none"/>
                      <w:lang w:val="en-US" w:eastAsia="zh-CN" w:bidi="ar-SA"/>
                    </w:rPr>
                  </w:pPr>
                  <w:r>
                    <w:rPr>
                      <w:rFonts w:hint="eastAsia" w:cs="Times New Roman"/>
                      <w:color w:val="auto"/>
                      <w:sz w:val="21"/>
                      <w:szCs w:val="21"/>
                      <w:u w:val="none"/>
                      <w:lang w:val="en-US" w:eastAsia="zh-CN"/>
                    </w:rPr>
                    <w:t>机组</w:t>
                  </w:r>
                </w:p>
              </w:tc>
              <w:tc>
                <w:tcPr>
                  <w:tcW w:w="2450" w:type="dxa"/>
                  <w:tcBorders>
                    <w:tl2br w:val="nil"/>
                    <w:tr2bl w:val="nil"/>
                  </w:tcBorders>
                  <w:shd w:val="clear" w:color="auto" w:fill="auto"/>
                  <w:vAlign w:val="center"/>
                </w:tcPr>
                <w:p w14:paraId="611B0C11">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0"/>
                      <w:sz w:val="21"/>
                      <w:szCs w:val="21"/>
                      <w:u w:val="none"/>
                      <w:lang w:val="en-US" w:eastAsia="zh-CN" w:bidi="ar-SA"/>
                    </w:rPr>
                  </w:pPr>
                  <w:r>
                    <w:rPr>
                      <w:rFonts w:hint="eastAsia" w:cs="Times New Roman"/>
                      <w:color w:val="auto"/>
                      <w:sz w:val="21"/>
                      <w:szCs w:val="21"/>
                      <w:u w:val="none"/>
                      <w:lang w:val="en-US" w:eastAsia="zh-CN"/>
                    </w:rPr>
                    <w:t>冷凝水</w:t>
                  </w:r>
                </w:p>
              </w:tc>
              <w:tc>
                <w:tcPr>
                  <w:tcW w:w="2379" w:type="dxa"/>
                  <w:tcBorders>
                    <w:tl2br w:val="nil"/>
                    <w:tr2bl w:val="nil"/>
                  </w:tcBorders>
                  <w:shd w:val="clear" w:color="auto" w:fill="auto"/>
                  <w:vAlign w:val="center"/>
                </w:tcPr>
                <w:p w14:paraId="304CD985">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w:t>
                  </w:r>
                </w:p>
              </w:tc>
              <w:tc>
                <w:tcPr>
                  <w:tcW w:w="2259" w:type="dxa"/>
                  <w:tcBorders>
                    <w:tl2br w:val="nil"/>
                    <w:tr2bl w:val="nil"/>
                  </w:tcBorders>
                  <w:shd w:val="clear" w:color="auto" w:fill="auto"/>
                  <w:vAlign w:val="center"/>
                </w:tcPr>
                <w:p w14:paraId="58E545B7">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w:t>
                  </w:r>
                </w:p>
              </w:tc>
            </w:tr>
            <w:tr w14:paraId="30685C37">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330" w:type="dxa"/>
                  <w:tcBorders>
                    <w:tl2br w:val="nil"/>
                    <w:tr2bl w:val="nil"/>
                  </w:tcBorders>
                  <w:vAlign w:val="center"/>
                </w:tcPr>
                <w:p w14:paraId="31B413D6">
                  <w:pPr>
                    <w:pStyle w:val="1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ascii="Times New Roman" w:hAnsi="Times New Roman" w:cs="Times New Roman"/>
                      <w:color w:val="auto"/>
                      <w:szCs w:val="21"/>
                      <w:u w:val="none"/>
                    </w:rPr>
                  </w:pPr>
                  <w:r>
                    <w:rPr>
                      <w:rFonts w:ascii="Times New Roman" w:hAnsi="Times New Roman" w:cs="Times New Roman"/>
                      <w:color w:val="auto"/>
                      <w:sz w:val="21"/>
                      <w:szCs w:val="21"/>
                      <w:u w:val="none"/>
                    </w:rPr>
                    <w:t>排水量</w:t>
                  </w:r>
                </w:p>
              </w:tc>
              <w:tc>
                <w:tcPr>
                  <w:tcW w:w="2450" w:type="dxa"/>
                  <w:tcBorders>
                    <w:tl2br w:val="nil"/>
                    <w:tr2bl w:val="nil"/>
                  </w:tcBorders>
                  <w:vAlign w:val="center"/>
                </w:tcPr>
                <w:p w14:paraId="61985A57">
                  <w:pPr>
                    <w:pStyle w:val="1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cs="Times New Roman"/>
                      <w:color w:val="auto"/>
                      <w:szCs w:val="21"/>
                      <w:u w:val="none"/>
                    </w:rPr>
                  </w:pPr>
                  <w:r>
                    <w:rPr>
                      <w:rFonts w:ascii="Times New Roman" w:hAnsi="Times New Roman" w:cs="Times New Roman"/>
                      <w:color w:val="auto"/>
                      <w:sz w:val="21"/>
                      <w:szCs w:val="21"/>
                      <w:u w:val="none"/>
                    </w:rPr>
                    <w:t>排放水量</w:t>
                  </w:r>
                </w:p>
              </w:tc>
              <w:tc>
                <w:tcPr>
                  <w:tcW w:w="2379" w:type="dxa"/>
                  <w:tcBorders>
                    <w:tl2br w:val="nil"/>
                    <w:tr2bl w:val="nil"/>
                  </w:tcBorders>
                  <w:vAlign w:val="center"/>
                </w:tcPr>
                <w:p w14:paraId="582895E6">
                  <w:pPr>
                    <w:pStyle w:val="1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cs="Times New Roman"/>
                      <w:color w:val="auto"/>
                      <w:szCs w:val="21"/>
                      <w:u w:val="none"/>
                    </w:rPr>
                  </w:pPr>
                  <w:r>
                    <w:rPr>
                      <w:rFonts w:ascii="Times New Roman" w:hAnsi="Times New Roman" w:cs="Times New Roman"/>
                      <w:color w:val="auto"/>
                      <w:sz w:val="21"/>
                      <w:szCs w:val="21"/>
                      <w:u w:val="none"/>
                    </w:rPr>
                    <w:t>0</w:t>
                  </w:r>
                </w:p>
              </w:tc>
              <w:tc>
                <w:tcPr>
                  <w:tcW w:w="2259" w:type="dxa"/>
                  <w:tcBorders>
                    <w:tl2br w:val="nil"/>
                    <w:tr2bl w:val="nil"/>
                  </w:tcBorders>
                  <w:vAlign w:val="center"/>
                </w:tcPr>
                <w:p w14:paraId="3FBD306F">
                  <w:pPr>
                    <w:pStyle w:val="1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cs="Times New Roman"/>
                      <w:color w:val="auto"/>
                      <w:szCs w:val="21"/>
                      <w:u w:val="none"/>
                    </w:rPr>
                  </w:pPr>
                  <w:r>
                    <w:rPr>
                      <w:rFonts w:ascii="Times New Roman" w:hAnsi="Times New Roman" w:cs="Times New Roman"/>
                      <w:color w:val="auto"/>
                      <w:sz w:val="21"/>
                      <w:szCs w:val="21"/>
                      <w:u w:val="none"/>
                    </w:rPr>
                    <w:t>0</w:t>
                  </w:r>
                </w:p>
              </w:tc>
            </w:tr>
          </w:tbl>
          <w:p w14:paraId="3C4E2D29">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cs="Times New Roman"/>
                <w:color w:val="auto"/>
                <w:u w:val="none"/>
              </w:rPr>
            </w:pPr>
            <w:r>
              <w:rPr>
                <w:rFonts w:hint="eastAsia" w:ascii="Times New Roman" w:hAnsi="Times New Roman" w:cs="Times New Roman"/>
                <w:color w:val="auto"/>
                <w:sz w:val="24"/>
                <w:highlight w:val="none"/>
                <w:u w:val="none"/>
              </w:rPr>
              <w:t>项目用排水平衡见图</w:t>
            </w:r>
            <w:r>
              <w:rPr>
                <w:rFonts w:hint="eastAsia" w:ascii="Times New Roman" w:hAnsi="Times New Roman" w:cs="Times New Roman"/>
                <w:color w:val="auto"/>
                <w:sz w:val="24"/>
                <w:highlight w:val="none"/>
                <w:u w:val="none"/>
                <w:lang w:val="en-US" w:eastAsia="zh-CN"/>
              </w:rPr>
              <w:t>1</w:t>
            </w:r>
            <w:r>
              <w:rPr>
                <w:rFonts w:hint="eastAsia" w:ascii="Times New Roman" w:hAnsi="Times New Roman" w:cs="Times New Roman"/>
                <w:color w:val="auto"/>
                <w:sz w:val="24"/>
                <w:highlight w:val="none"/>
                <w:u w:val="none"/>
              </w:rPr>
              <w:t>。</w:t>
            </w:r>
          </w:p>
          <w:p w14:paraId="1AAF8C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黑体" w:cs="Times New Roman"/>
                <w:color w:val="auto"/>
                <w:sz w:val="24"/>
                <w:szCs w:val="24"/>
                <w:u w:val="none"/>
              </w:rPr>
            </w:pPr>
            <w:r>
              <w:drawing>
                <wp:inline distT="0" distB="0" distL="114300" distR="114300">
                  <wp:extent cx="5314950" cy="1487170"/>
                  <wp:effectExtent l="0" t="0" r="3810" b="635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18"/>
                          <a:stretch>
                            <a:fillRect/>
                          </a:stretch>
                        </pic:blipFill>
                        <pic:spPr>
                          <a:xfrm>
                            <a:off x="0" y="0"/>
                            <a:ext cx="5314950" cy="1487170"/>
                          </a:xfrm>
                          <a:prstGeom prst="rect">
                            <a:avLst/>
                          </a:prstGeom>
                          <a:noFill/>
                          <a:ln>
                            <a:noFill/>
                          </a:ln>
                        </pic:spPr>
                      </pic:pic>
                    </a:graphicData>
                  </a:graphic>
                </wp:inline>
              </w:drawing>
            </w:r>
          </w:p>
          <w:p w14:paraId="24355A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color w:val="auto"/>
                <w:sz w:val="24"/>
                <w:szCs w:val="24"/>
                <w:u w:val="none"/>
              </w:rPr>
            </w:pPr>
            <w:r>
              <w:rPr>
                <w:rFonts w:ascii="Times New Roman" w:hAnsi="Times New Roman" w:eastAsia="黑体" w:cs="Times New Roman"/>
                <w:color w:val="auto"/>
                <w:sz w:val="24"/>
                <w:szCs w:val="24"/>
                <w:u w:val="none"/>
              </w:rPr>
              <w:t>图</w:t>
            </w:r>
            <w:r>
              <w:rPr>
                <w:rFonts w:hint="eastAsia" w:ascii="Times New Roman" w:hAnsi="Times New Roman" w:eastAsia="黑体" w:cs="Times New Roman"/>
                <w:color w:val="auto"/>
                <w:sz w:val="24"/>
                <w:szCs w:val="24"/>
                <w:u w:val="none"/>
                <w:lang w:val="en-US" w:eastAsia="zh-CN"/>
              </w:rPr>
              <w:t>1</w:t>
            </w:r>
            <w:r>
              <w:rPr>
                <w:rFonts w:ascii="Times New Roman" w:hAnsi="Times New Roman" w:eastAsia="黑体" w:cs="Times New Roman"/>
                <w:color w:val="auto"/>
                <w:sz w:val="24"/>
                <w:szCs w:val="24"/>
                <w:u w:val="none"/>
              </w:rPr>
              <w:t xml:space="preserve"> 项目水平衡图 单位：</w:t>
            </w:r>
            <w:r>
              <w:rPr>
                <w:rFonts w:hint="eastAsia" w:eastAsia="黑体" w:cs="Times New Roman"/>
                <w:color w:val="auto"/>
                <w:sz w:val="24"/>
                <w:szCs w:val="24"/>
                <w:u w:val="none"/>
                <w:lang w:val="en-US" w:eastAsia="zh-CN"/>
              </w:rPr>
              <w:t>t</w:t>
            </w:r>
            <w:r>
              <w:rPr>
                <w:rFonts w:ascii="Times New Roman" w:hAnsi="Times New Roman" w:eastAsia="黑体" w:cs="Times New Roman"/>
                <w:color w:val="auto"/>
                <w:sz w:val="24"/>
                <w:szCs w:val="24"/>
                <w:u w:val="none"/>
              </w:rPr>
              <w:t>/d</w:t>
            </w:r>
          </w:p>
          <w:p w14:paraId="2248C2CE">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ascii="Times New Roman" w:hAnsi="Times New Roman" w:cs="Times New Roman"/>
                <w:b/>
                <w:color w:val="auto"/>
                <w:sz w:val="24"/>
                <w:szCs w:val="24"/>
                <w:u w:val="none"/>
              </w:rPr>
            </w:pPr>
            <w:r>
              <w:rPr>
                <w:rFonts w:hint="eastAsia" w:cs="Times New Roman"/>
                <w:b/>
                <w:color w:val="auto"/>
                <w:sz w:val="24"/>
                <w:szCs w:val="24"/>
                <w:u w:val="none"/>
                <w:lang w:val="en-US" w:eastAsia="zh-CN"/>
              </w:rPr>
              <w:t>11、</w:t>
            </w:r>
            <w:r>
              <w:rPr>
                <w:rFonts w:ascii="Times New Roman" w:hAnsi="Times New Roman" w:cs="Times New Roman"/>
                <w:b/>
                <w:color w:val="auto"/>
                <w:sz w:val="24"/>
                <w:szCs w:val="24"/>
                <w:highlight w:val="none"/>
                <w:u w:val="none"/>
              </w:rPr>
              <w:t>平面布局</w:t>
            </w:r>
            <w:r>
              <w:rPr>
                <w:rFonts w:hint="eastAsia" w:ascii="Times New Roman" w:hAnsi="Times New Roman" w:cs="Times New Roman"/>
                <w:b/>
                <w:color w:val="auto"/>
                <w:sz w:val="24"/>
                <w:szCs w:val="24"/>
                <w:highlight w:val="none"/>
                <w:u w:val="none"/>
                <w:lang w:val="en-US" w:eastAsia="zh-CN"/>
              </w:rPr>
              <w:t>合理性</w:t>
            </w:r>
            <w:r>
              <w:rPr>
                <w:rFonts w:ascii="Times New Roman" w:hAnsi="Times New Roman" w:cs="Times New Roman"/>
                <w:b/>
                <w:color w:val="auto"/>
                <w:sz w:val="24"/>
                <w:szCs w:val="24"/>
                <w:highlight w:val="none"/>
                <w:u w:val="none"/>
              </w:rPr>
              <w:t>分析</w:t>
            </w:r>
          </w:p>
          <w:p w14:paraId="135A3E72">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i w:val="0"/>
                <w:iCs w:val="0"/>
                <w:color w:val="auto"/>
                <w:kern w:val="2"/>
                <w:sz w:val="24"/>
                <w:szCs w:val="24"/>
                <w:u w:val="none"/>
                <w:lang w:val="en-US" w:eastAsia="zh-CN" w:bidi="ar-SA"/>
              </w:rPr>
            </w:pPr>
            <w:r>
              <w:rPr>
                <w:rFonts w:ascii="Times New Roman" w:hAnsi="Times New Roman" w:cs="Times New Roman"/>
                <w:color w:val="auto"/>
                <w:sz w:val="24"/>
                <w:szCs w:val="24"/>
                <w:u w:val="none"/>
              </w:rPr>
              <w:t>本项目是在满足生产工艺流程的前提下</w:t>
            </w:r>
            <w:r>
              <w:rPr>
                <w:rFonts w:hint="eastAsia" w:ascii="Times New Roman" w:hAnsi="Times New Roman" w:cs="Times New Roman"/>
                <w:color w:val="auto"/>
                <w:sz w:val="24"/>
                <w:szCs w:val="24"/>
                <w:u w:val="none"/>
              </w:rPr>
              <w:t>，</w:t>
            </w:r>
            <w:r>
              <w:rPr>
                <w:rFonts w:ascii="Times New Roman" w:hAnsi="Times New Roman" w:cs="Times New Roman"/>
                <w:color w:val="auto"/>
                <w:sz w:val="24"/>
                <w:szCs w:val="24"/>
                <w:u w:val="none"/>
              </w:rPr>
              <w:t>考虑运输、安全、卫生等要求</w:t>
            </w:r>
            <w:r>
              <w:rPr>
                <w:rFonts w:hint="eastAsia" w:ascii="Times New Roman" w:hAnsi="Times New Roman" w:cs="Times New Roman"/>
                <w:color w:val="auto"/>
                <w:sz w:val="24"/>
                <w:szCs w:val="24"/>
                <w:u w:val="none"/>
              </w:rPr>
              <w:t>，</w:t>
            </w:r>
            <w:r>
              <w:rPr>
                <w:rFonts w:ascii="Times New Roman" w:hAnsi="Times New Roman" w:cs="Times New Roman"/>
                <w:color w:val="auto"/>
                <w:sz w:val="24"/>
                <w:szCs w:val="24"/>
                <w:u w:val="none"/>
              </w:rPr>
              <w:t>结合项</w:t>
            </w:r>
            <w:r>
              <w:rPr>
                <w:rFonts w:hint="eastAsia" w:ascii="Times New Roman" w:hAnsi="Times New Roman" w:cs="Times New Roman"/>
                <w:color w:val="auto"/>
                <w:sz w:val="24"/>
                <w:szCs w:val="24"/>
                <w:u w:val="none"/>
              </w:rPr>
              <w:t>目</w:t>
            </w:r>
            <w:r>
              <w:rPr>
                <w:rFonts w:ascii="Times New Roman" w:hAnsi="Times New Roman" w:cs="Times New Roman"/>
                <w:color w:val="auto"/>
                <w:sz w:val="24"/>
                <w:szCs w:val="24"/>
                <w:u w:val="none"/>
              </w:rPr>
              <w:t>用地的自然地形条件</w:t>
            </w:r>
            <w:r>
              <w:rPr>
                <w:rFonts w:hint="eastAsia" w:ascii="Times New Roman" w:hAnsi="Times New Roman" w:cs="Times New Roman"/>
                <w:color w:val="auto"/>
                <w:sz w:val="24"/>
                <w:szCs w:val="24"/>
                <w:u w:val="none"/>
              </w:rPr>
              <w:t>，</w:t>
            </w:r>
            <w:r>
              <w:rPr>
                <w:rFonts w:ascii="Times New Roman" w:hAnsi="Times New Roman" w:cs="Times New Roman"/>
                <w:color w:val="auto"/>
                <w:sz w:val="24"/>
                <w:szCs w:val="24"/>
                <w:u w:val="none"/>
              </w:rPr>
              <w:t>各种设施不同功能进行分区和组</w:t>
            </w:r>
            <w:r>
              <w:rPr>
                <w:rFonts w:hint="eastAsia" w:ascii="Times New Roman" w:hAnsi="Times New Roman" w:cs="Times New Roman"/>
                <w:color w:val="auto"/>
                <w:sz w:val="24"/>
                <w:szCs w:val="24"/>
                <w:u w:val="none"/>
              </w:rPr>
              <w:t>合，</w:t>
            </w:r>
            <w:r>
              <w:rPr>
                <w:rFonts w:hint="eastAsia" w:ascii="Times New Roman" w:hAnsi="Times New Roman" w:eastAsia="宋体" w:cs="Times New Roman"/>
                <w:color w:val="auto"/>
                <w:sz w:val="24"/>
                <w:szCs w:val="24"/>
                <w:u w:val="none"/>
              </w:rPr>
              <w:t>根据总平面布置原则</w:t>
            </w:r>
            <w:r>
              <w:rPr>
                <w:rFonts w:hint="eastAsia" w:ascii="Times New Roman" w:hAnsi="Times New Roman" w:eastAsia="宋体" w:cs="Times New Roman"/>
                <w:color w:val="auto"/>
                <w:sz w:val="24"/>
                <w:szCs w:val="24"/>
                <w:u w:val="none"/>
                <w:lang w:eastAsia="zh-CN"/>
              </w:rPr>
              <w:t>，本项目</w:t>
            </w:r>
            <w:r>
              <w:rPr>
                <w:rFonts w:hint="eastAsia" w:ascii="Times New Roman" w:hAnsi="Times New Roman" w:eastAsia="宋体" w:cs="Times New Roman"/>
                <w:color w:val="auto"/>
                <w:sz w:val="24"/>
                <w:szCs w:val="24"/>
                <w:u w:val="none"/>
              </w:rPr>
              <w:t>具体总平面布置</w:t>
            </w:r>
            <w:r>
              <w:rPr>
                <w:rFonts w:hint="eastAsia" w:ascii="Times New Roman" w:hAnsi="Times New Roman" w:eastAsia="宋体" w:cs="Times New Roman"/>
                <w:color w:val="auto"/>
                <w:sz w:val="24"/>
                <w:szCs w:val="24"/>
                <w:u w:val="none"/>
                <w:lang w:eastAsia="zh-CN"/>
              </w:rPr>
              <w:t>较为简单，</w:t>
            </w:r>
            <w:r>
              <w:rPr>
                <w:rFonts w:hint="eastAsia" w:ascii="Times New Roman" w:hAnsi="Times New Roman" w:eastAsia="宋体" w:cs="Times New Roman"/>
                <w:color w:val="auto"/>
                <w:sz w:val="24"/>
                <w:szCs w:val="24"/>
                <w:u w:val="none"/>
              </w:rPr>
              <w:t>简述如下：</w:t>
            </w:r>
            <w:r>
              <w:rPr>
                <w:rFonts w:hint="eastAsia" w:ascii="Times New Roman" w:hAnsi="Times New Roman" w:eastAsia="宋体" w:cs="Times New Roman"/>
                <w:color w:val="auto"/>
                <w:sz w:val="24"/>
                <w:szCs w:val="24"/>
                <w:highlight w:val="none"/>
                <w:u w:val="none"/>
                <w:lang w:eastAsia="zh-CN"/>
              </w:rPr>
              <w:t>发电机</w:t>
            </w:r>
            <w:r>
              <w:rPr>
                <w:rFonts w:hint="eastAsia" w:ascii="Times New Roman" w:hAnsi="Times New Roman" w:cs="Times New Roman"/>
                <w:color w:val="auto"/>
                <w:sz w:val="24"/>
                <w:szCs w:val="24"/>
                <w:highlight w:val="none"/>
                <w:u w:val="none"/>
                <w:lang w:val="en-US" w:eastAsia="zh-CN"/>
              </w:rPr>
              <w:t>组</w:t>
            </w:r>
            <w:r>
              <w:rPr>
                <w:rFonts w:hint="eastAsia" w:ascii="Times New Roman" w:hAnsi="Times New Roman" w:eastAsia="宋体" w:cs="Times New Roman"/>
                <w:color w:val="auto"/>
                <w:sz w:val="24"/>
                <w:szCs w:val="24"/>
                <w:highlight w:val="none"/>
                <w:u w:val="none"/>
                <w:lang w:eastAsia="zh-CN"/>
              </w:rPr>
              <w:t>设置在</w:t>
            </w:r>
            <w:r>
              <w:rPr>
                <w:rFonts w:hint="eastAsia" w:ascii="Times New Roman" w:hAnsi="Times New Roman" w:cs="Times New Roman"/>
                <w:color w:val="auto"/>
                <w:sz w:val="24"/>
                <w:szCs w:val="24"/>
                <w:highlight w:val="none"/>
                <w:u w:val="none"/>
                <w:lang w:val="en-US" w:eastAsia="zh-CN"/>
              </w:rPr>
              <w:t>站</w:t>
            </w:r>
            <w:r>
              <w:rPr>
                <w:rFonts w:hint="eastAsia" w:ascii="Times New Roman" w:hAnsi="Times New Roman" w:eastAsia="宋体" w:cs="Times New Roman"/>
                <w:color w:val="auto"/>
                <w:sz w:val="24"/>
                <w:szCs w:val="24"/>
                <w:highlight w:val="none"/>
                <w:u w:val="none"/>
                <w:lang w:eastAsia="zh-CN"/>
              </w:rPr>
              <w:t>区</w:t>
            </w:r>
            <w:r>
              <w:rPr>
                <w:rFonts w:hint="eastAsia" w:cs="Times New Roman"/>
                <w:color w:val="auto"/>
                <w:sz w:val="24"/>
                <w:szCs w:val="24"/>
                <w:highlight w:val="none"/>
                <w:u w:val="none"/>
                <w:lang w:val="en-US" w:eastAsia="zh-CN"/>
              </w:rPr>
              <w:t>东</w:t>
            </w:r>
            <w:r>
              <w:rPr>
                <w:rFonts w:hint="eastAsia" w:ascii="Times New Roman" w:hAnsi="Times New Roman" w:cs="Times New Roman"/>
                <w:color w:val="auto"/>
                <w:sz w:val="24"/>
                <w:szCs w:val="24"/>
                <w:highlight w:val="none"/>
                <w:u w:val="none"/>
                <w:lang w:val="en-US" w:eastAsia="zh-CN"/>
              </w:rPr>
              <w:t>侧</w:t>
            </w:r>
            <w:r>
              <w:rPr>
                <w:rFonts w:hint="eastAsia" w:ascii="Times New Roman" w:hAnsi="Times New Roman" w:eastAsia="宋体" w:cs="Times New Roman"/>
                <w:color w:val="auto"/>
                <w:sz w:val="24"/>
                <w:szCs w:val="24"/>
                <w:highlight w:val="none"/>
                <w:u w:val="none"/>
                <w:lang w:eastAsia="zh-CN"/>
              </w:rPr>
              <w:t>，</w:t>
            </w:r>
            <w:r>
              <w:rPr>
                <w:rFonts w:hint="eastAsia" w:cs="Times New Roman"/>
                <w:color w:val="auto"/>
                <w:sz w:val="24"/>
                <w:szCs w:val="24"/>
                <w:highlight w:val="none"/>
                <w:u w:val="none"/>
                <w:lang w:val="en-US" w:eastAsia="zh-CN"/>
              </w:rPr>
              <w:t>瓦斯抽放站位于站区西侧</w:t>
            </w:r>
            <w:r>
              <w:rPr>
                <w:rFonts w:hint="eastAsia" w:ascii="Times New Roman" w:hAnsi="Times New Roman" w:eastAsia="宋体" w:cs="Times New Roman"/>
                <w:color w:val="auto"/>
                <w:sz w:val="24"/>
                <w:szCs w:val="24"/>
                <w:highlight w:val="none"/>
                <w:u w:val="none"/>
                <w:lang w:eastAsia="zh-CN"/>
              </w:rPr>
              <w:t>，</w:t>
            </w:r>
            <w:r>
              <w:rPr>
                <w:rFonts w:hint="eastAsia" w:cs="Times New Roman"/>
                <w:color w:val="auto"/>
                <w:sz w:val="24"/>
                <w:szCs w:val="24"/>
                <w:highlight w:val="none"/>
                <w:u w:val="none"/>
                <w:lang w:val="en-US" w:eastAsia="zh-CN"/>
              </w:rPr>
              <w:t>配电间位于站区中间，</w:t>
            </w:r>
            <w:r>
              <w:rPr>
                <w:rFonts w:hint="eastAsia" w:ascii="Times New Roman" w:hAnsi="Times New Roman" w:eastAsia="宋体" w:cs="Times New Roman"/>
                <w:color w:val="auto"/>
                <w:sz w:val="24"/>
                <w:szCs w:val="24"/>
                <w:highlight w:val="none"/>
                <w:u w:val="none"/>
                <w:lang w:val="en-US" w:eastAsia="zh-CN"/>
              </w:rPr>
              <w:t>便于发电，</w:t>
            </w:r>
            <w:r>
              <w:rPr>
                <w:rFonts w:hint="eastAsia" w:ascii="Times New Roman" w:hAnsi="Times New Roman" w:cs="Times New Roman"/>
                <w:color w:val="auto"/>
                <w:sz w:val="24"/>
                <w:szCs w:val="24"/>
                <w:highlight w:val="none"/>
                <w:u w:val="none"/>
                <w:lang w:val="en-US" w:eastAsia="zh-CN"/>
              </w:rPr>
              <w:t>配电</w:t>
            </w:r>
            <w:r>
              <w:rPr>
                <w:rFonts w:hint="eastAsia" w:ascii="Times New Roman" w:hAnsi="Times New Roman" w:eastAsia="宋体" w:cs="Times New Roman"/>
                <w:color w:val="auto"/>
                <w:sz w:val="24"/>
                <w:szCs w:val="24"/>
                <w:highlight w:val="none"/>
                <w:u w:val="none"/>
                <w:lang w:val="en-US" w:eastAsia="zh-CN"/>
              </w:rPr>
              <w:t>等，</w:t>
            </w:r>
            <w:r>
              <w:rPr>
                <w:rFonts w:hint="eastAsia" w:ascii="Times New Roman" w:hAnsi="Times New Roman" w:eastAsia="宋体" w:cs="Times New Roman"/>
                <w:color w:val="auto"/>
                <w:sz w:val="24"/>
                <w:szCs w:val="24"/>
                <w:highlight w:val="none"/>
                <w:u w:val="none"/>
                <w:lang w:eastAsia="zh-CN"/>
              </w:rPr>
              <w:t>满足发电需要且符合</w:t>
            </w:r>
            <w:r>
              <w:rPr>
                <w:rFonts w:hint="eastAsia" w:ascii="Times New Roman" w:hAnsi="Times New Roman" w:eastAsia="宋体" w:cs="Times New Roman"/>
                <w:color w:val="auto"/>
                <w:sz w:val="24"/>
                <w:szCs w:val="24"/>
                <w:highlight w:val="none"/>
                <w:u w:val="none"/>
              </w:rPr>
              <w:t>平面布置原则</w:t>
            </w:r>
            <w:r>
              <w:rPr>
                <w:rFonts w:hint="eastAsia" w:ascii="Times New Roman" w:hAnsi="Times New Roman" w:eastAsia="宋体" w:cs="Times New Roman"/>
                <w:color w:val="auto"/>
                <w:sz w:val="24"/>
                <w:szCs w:val="24"/>
                <w:highlight w:val="none"/>
                <w:u w:val="none"/>
                <w:lang w:eastAsia="zh-CN"/>
              </w:rPr>
              <w:t>。</w:t>
            </w:r>
          </w:p>
        </w:tc>
      </w:tr>
      <w:tr w14:paraId="4FC3ED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84" w:hRule="atLeast"/>
          <w:jc w:val="center"/>
        </w:trPr>
        <w:tc>
          <w:tcPr>
            <w:tcW w:w="737" w:type="dxa"/>
            <w:vAlign w:val="center"/>
          </w:tcPr>
          <w:p w14:paraId="5DAE8327">
            <w:pPr>
              <w:pStyle w:val="28"/>
              <w:adjustRightInd w:val="0"/>
              <w:snapToGrid w:val="0"/>
              <w:spacing w:before="0" w:beforeAutospacing="0" w:after="0" w:afterAutospacing="0" w:line="400" w:lineRule="exact"/>
              <w:jc w:val="center"/>
              <w:rPr>
                <w:rFonts w:ascii="Times New Roman" w:hAnsi="Times New Roman" w:cs="Times New Roman"/>
                <w:b/>
                <w:bCs/>
                <w:color w:val="auto"/>
                <w:sz w:val="28"/>
                <w:szCs w:val="28"/>
                <w:u w:val="none"/>
              </w:rPr>
            </w:pPr>
            <w:r>
              <w:rPr>
                <w:rFonts w:hint="eastAsia" w:ascii="Times New Roman" w:hAnsi="Times New Roman" w:cs="Times New Roman"/>
                <w:b/>
                <w:bCs/>
                <w:color w:val="auto"/>
                <w:szCs w:val="24"/>
                <w:u w:val="none"/>
              </w:rPr>
              <w:t>工艺流程和产排污环节</w:t>
            </w:r>
          </w:p>
        </w:tc>
        <w:tc>
          <w:tcPr>
            <w:tcW w:w="8566" w:type="dxa"/>
          </w:tcPr>
          <w:p w14:paraId="2D2EB183">
            <w:pPr>
              <w:keepNext w:val="0"/>
              <w:keepLines w:val="0"/>
              <w:pageBreakBefore w:val="0"/>
              <w:tabs>
                <w:tab w:val="left" w:pos="5460"/>
              </w:tabs>
              <w:kinsoku/>
              <w:wordWrap/>
              <w:overflowPunct/>
              <w:topLinePunct w:val="0"/>
              <w:autoSpaceDE/>
              <w:autoSpaceDN/>
              <w:bidi w:val="0"/>
              <w:adjustRightInd/>
              <w:spacing w:line="500" w:lineRule="exact"/>
              <w:ind w:firstLine="482" w:firstLineChars="200"/>
              <w:textAlignment w:val="auto"/>
              <w:rPr>
                <w:b/>
                <w:color w:val="auto"/>
                <w:sz w:val="24"/>
                <w:szCs w:val="24"/>
                <w:u w:val="none"/>
              </w:rPr>
            </w:pPr>
            <w:r>
              <w:rPr>
                <w:rFonts w:hint="eastAsia"/>
                <w:b/>
                <w:color w:val="auto"/>
                <w:sz w:val="24"/>
                <w:szCs w:val="24"/>
                <w:u w:val="none"/>
                <w:lang w:val="en-US" w:eastAsia="zh-CN"/>
              </w:rPr>
              <w:t>1、</w:t>
            </w:r>
            <w:r>
              <w:rPr>
                <w:b/>
                <w:color w:val="auto"/>
                <w:sz w:val="24"/>
                <w:szCs w:val="24"/>
                <w:u w:val="none"/>
              </w:rPr>
              <w:t>施工期工艺流程</w:t>
            </w:r>
          </w:p>
          <w:p w14:paraId="6FF1175E">
            <w:pPr>
              <w:pStyle w:val="12"/>
              <w:keepNext w:val="0"/>
              <w:keepLines w:val="0"/>
              <w:pageBreakBefore w:val="0"/>
              <w:widowControl/>
              <w:kinsoku/>
              <w:wordWrap/>
              <w:overflowPunct/>
              <w:topLinePunct w:val="0"/>
              <w:autoSpaceDE/>
              <w:autoSpaceDN/>
              <w:bidi w:val="0"/>
              <w:adjustRightInd/>
              <w:snapToGrid w:val="0"/>
              <w:spacing w:before="0" w:after="0" w:line="500" w:lineRule="exact"/>
              <w:ind w:right="113" w:firstLine="470" w:firstLineChars="196"/>
              <w:jc w:val="left"/>
              <w:textAlignment w:val="auto"/>
              <w:rPr>
                <w:color w:val="auto"/>
                <w:sz w:val="24"/>
                <w:szCs w:val="24"/>
                <w:u w:val="none"/>
              </w:rPr>
            </w:pPr>
            <w:r>
              <w:rPr>
                <w:rFonts w:hint="eastAsia"/>
                <w:color w:val="auto"/>
                <w:sz w:val="24"/>
                <w:szCs w:val="24"/>
                <w:u w:val="none"/>
                <w:lang w:eastAsia="zh-CN"/>
              </w:rPr>
              <w:t>本项目施工期主要施工内容为场地平整、</w:t>
            </w:r>
            <w:r>
              <w:rPr>
                <w:rFonts w:hint="eastAsia"/>
                <w:color w:val="auto"/>
                <w:sz w:val="24"/>
                <w:szCs w:val="24"/>
                <w:u w:val="none"/>
                <w:lang w:val="en-US" w:eastAsia="zh-CN"/>
              </w:rPr>
              <w:t>水池开挖，建设</w:t>
            </w:r>
            <w:r>
              <w:rPr>
                <w:rFonts w:hint="eastAsia"/>
                <w:color w:val="auto"/>
                <w:sz w:val="24"/>
                <w:szCs w:val="24"/>
                <w:u w:val="none"/>
                <w:lang w:eastAsia="zh-CN"/>
              </w:rPr>
              <w:t>、设备安装等，</w:t>
            </w:r>
            <w:r>
              <w:rPr>
                <w:color w:val="auto"/>
                <w:sz w:val="24"/>
                <w:szCs w:val="24"/>
                <w:u w:val="none"/>
              </w:rPr>
              <w:t>施工期环境影响主要体现在施工扬尘、废气影响，施工机械、运输物料车辆噪声影响，施工废水影响和施工固体废物堆放影响，同时场地平整过程中将会破坏场地内植被。施工工艺流程及产污工序见图</w:t>
            </w:r>
            <w:r>
              <w:rPr>
                <w:rFonts w:hint="eastAsia"/>
                <w:color w:val="auto"/>
                <w:sz w:val="24"/>
                <w:szCs w:val="24"/>
                <w:u w:val="none"/>
                <w:lang w:val="en-US" w:eastAsia="zh-CN"/>
              </w:rPr>
              <w:t>2</w:t>
            </w:r>
            <w:r>
              <w:rPr>
                <w:color w:val="auto"/>
                <w:sz w:val="24"/>
                <w:szCs w:val="24"/>
                <w:u w:val="none"/>
              </w:rPr>
              <w:t>：</w:t>
            </w:r>
          </w:p>
          <w:p w14:paraId="596C8476">
            <w:pPr>
              <w:pStyle w:val="97"/>
              <w:keepNext w:val="0"/>
              <w:keepLines w:val="0"/>
              <w:pageBreakBefore w:val="0"/>
              <w:widowControl w:val="0"/>
              <w:kinsoku/>
              <w:wordWrap/>
              <w:overflowPunct/>
              <w:topLinePunct w:val="0"/>
              <w:autoSpaceDE/>
              <w:autoSpaceDN/>
              <w:bidi w:val="0"/>
              <w:adjustRightInd/>
              <w:snapToGrid/>
              <w:spacing w:line="240" w:lineRule="auto"/>
              <w:ind w:right="0"/>
              <w:jc w:val="both"/>
              <w:textAlignment w:val="auto"/>
              <w:rPr>
                <w:rFonts w:hAnsi="黑体" w:eastAsia="黑体"/>
                <w:color w:val="auto"/>
                <w:sz w:val="24"/>
              </w:rPr>
            </w:pPr>
            <w:r>
              <w:drawing>
                <wp:inline distT="0" distB="0" distL="114300" distR="114300">
                  <wp:extent cx="5432425" cy="877570"/>
                  <wp:effectExtent l="0" t="0" r="8255" b="6350"/>
                  <wp:docPr id="1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
                          <pic:cNvPicPr>
                            <a:picLocks noChangeAspect="1"/>
                          </pic:cNvPicPr>
                        </pic:nvPicPr>
                        <pic:blipFill>
                          <a:blip r:embed="rId19"/>
                          <a:stretch>
                            <a:fillRect/>
                          </a:stretch>
                        </pic:blipFill>
                        <pic:spPr>
                          <a:xfrm>
                            <a:off x="0" y="0"/>
                            <a:ext cx="5432425" cy="877570"/>
                          </a:xfrm>
                          <a:prstGeom prst="rect">
                            <a:avLst/>
                          </a:prstGeom>
                          <a:noFill/>
                          <a:ln>
                            <a:noFill/>
                          </a:ln>
                        </pic:spPr>
                      </pic:pic>
                    </a:graphicData>
                  </a:graphic>
                </wp:inline>
              </w:drawing>
            </w:r>
          </w:p>
          <w:p w14:paraId="66D3F4B1">
            <w:pPr>
              <w:pStyle w:val="97"/>
              <w:keepNext w:val="0"/>
              <w:keepLines w:val="0"/>
              <w:pageBreakBefore w:val="0"/>
              <w:widowControl w:val="0"/>
              <w:kinsoku/>
              <w:wordWrap/>
              <w:overflowPunct/>
              <w:topLinePunct w:val="0"/>
              <w:autoSpaceDE/>
              <w:autoSpaceDN/>
              <w:bidi w:val="0"/>
              <w:adjustRightInd/>
              <w:snapToGrid/>
              <w:spacing w:line="240" w:lineRule="auto"/>
              <w:ind w:right="255"/>
              <w:jc w:val="center"/>
              <w:textAlignment w:val="auto"/>
              <w:rPr>
                <w:rFonts w:hint="eastAsia" w:ascii="Times New Roman" w:hAnsi="Times New Roman" w:cs="Times New Roman"/>
                <w:b/>
                <w:bCs/>
                <w:color w:val="auto"/>
                <w:sz w:val="24"/>
                <w:szCs w:val="24"/>
                <w:highlight w:val="none"/>
                <w:u w:val="none"/>
                <w:lang w:val="en-US" w:eastAsia="zh-CN"/>
              </w:rPr>
            </w:pPr>
            <w:r>
              <w:rPr>
                <w:rFonts w:hAnsi="黑体" w:eastAsia="黑体"/>
                <w:color w:val="auto"/>
                <w:sz w:val="24"/>
              </w:rPr>
              <w:t>图</w:t>
            </w:r>
            <w:r>
              <w:rPr>
                <w:rFonts w:hint="eastAsia" w:eastAsia="黑体"/>
                <w:color w:val="auto"/>
                <w:sz w:val="24"/>
              </w:rPr>
              <w:t xml:space="preserve">2 </w:t>
            </w:r>
            <w:r>
              <w:rPr>
                <w:rFonts w:hint="eastAsia" w:hAnsi="黑体" w:eastAsia="黑体"/>
                <w:color w:val="auto"/>
                <w:sz w:val="24"/>
              </w:rPr>
              <w:t>项目</w:t>
            </w:r>
            <w:r>
              <w:rPr>
                <w:rFonts w:hint="eastAsia" w:hAnsi="黑体" w:eastAsia="黑体"/>
                <w:color w:val="auto"/>
                <w:sz w:val="24"/>
                <w:lang w:val="en-US" w:eastAsia="zh-CN"/>
              </w:rPr>
              <w:t>施工期</w:t>
            </w:r>
            <w:r>
              <w:rPr>
                <w:rFonts w:hAnsi="黑体" w:eastAsia="黑体"/>
                <w:color w:val="auto"/>
                <w:sz w:val="24"/>
              </w:rPr>
              <w:t>工艺流程及产污环节图</w:t>
            </w:r>
          </w:p>
          <w:p w14:paraId="75B721F1">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left="481" w:leftChars="229" w:firstLine="0" w:firstLineChars="0"/>
              <w:textAlignment w:val="baseline"/>
              <w:rPr>
                <w:rFonts w:hint="eastAsia" w:ascii="Times New Roman" w:hAnsi="Times New Roman" w:eastAsia="宋体" w:cs="Times New Roman"/>
                <w:b/>
                <w:bCs/>
                <w:color w:val="auto"/>
                <w:sz w:val="24"/>
                <w:szCs w:val="24"/>
                <w:highlight w:val="none"/>
                <w:u w:val="none"/>
                <w:lang w:val="en-US" w:eastAsia="zh-CN"/>
              </w:rPr>
            </w:pPr>
            <w:r>
              <w:rPr>
                <w:rFonts w:hint="eastAsia"/>
                <w:b/>
                <w:color w:val="auto"/>
                <w:sz w:val="24"/>
                <w:szCs w:val="24"/>
                <w:highlight w:val="none"/>
                <w:lang w:val="en-US" w:eastAsia="zh-CN"/>
              </w:rPr>
              <w:t>2、</w:t>
            </w:r>
            <w:r>
              <w:rPr>
                <w:rFonts w:hint="eastAsia" w:ascii="Times New Roman" w:hAnsi="Times New Roman" w:eastAsia="宋体" w:cs="Times New Roman"/>
                <w:b/>
                <w:bCs/>
                <w:color w:val="auto"/>
                <w:sz w:val="24"/>
                <w:szCs w:val="24"/>
                <w:highlight w:val="none"/>
                <w:u w:val="none"/>
                <w:lang w:val="en-US" w:eastAsia="zh-CN"/>
              </w:rPr>
              <w:t>本项目运营期生产工艺流程及产污环节图：</w:t>
            </w:r>
          </w:p>
          <w:p w14:paraId="4996FC9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baseline"/>
              <w:rPr>
                <w:rFonts w:hint="eastAsia" w:cs="Times New Roman"/>
                <w:b/>
                <w:color w:val="auto"/>
                <w:sz w:val="24"/>
                <w:highlight w:val="none"/>
                <w:u w:val="none"/>
                <w:lang w:val="en-US" w:eastAsia="zh-CN"/>
              </w:rPr>
            </w:pPr>
            <w:r>
              <w:drawing>
                <wp:inline distT="0" distB="0" distL="114300" distR="114300">
                  <wp:extent cx="3797300" cy="2529205"/>
                  <wp:effectExtent l="0" t="0" r="12700" b="635"/>
                  <wp:docPr id="1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
                          <pic:cNvPicPr>
                            <a:picLocks noChangeAspect="1"/>
                          </pic:cNvPicPr>
                        </pic:nvPicPr>
                        <pic:blipFill>
                          <a:blip r:embed="rId20"/>
                          <a:stretch>
                            <a:fillRect/>
                          </a:stretch>
                        </pic:blipFill>
                        <pic:spPr>
                          <a:xfrm>
                            <a:off x="0" y="0"/>
                            <a:ext cx="3797300" cy="2529205"/>
                          </a:xfrm>
                          <a:prstGeom prst="rect">
                            <a:avLst/>
                          </a:prstGeom>
                          <a:noFill/>
                          <a:ln>
                            <a:noFill/>
                          </a:ln>
                        </pic:spPr>
                      </pic:pic>
                    </a:graphicData>
                  </a:graphic>
                </wp:inline>
              </w:drawing>
            </w:r>
          </w:p>
          <w:p w14:paraId="692B2E7A">
            <w:pPr>
              <w:pStyle w:val="97"/>
              <w:keepNext w:val="0"/>
              <w:keepLines w:val="0"/>
              <w:pageBreakBefore w:val="0"/>
              <w:widowControl w:val="0"/>
              <w:kinsoku/>
              <w:wordWrap/>
              <w:overflowPunct/>
              <w:topLinePunct w:val="0"/>
              <w:autoSpaceDE/>
              <w:autoSpaceDN/>
              <w:bidi w:val="0"/>
              <w:adjustRightInd/>
              <w:snapToGrid w:val="0"/>
              <w:spacing w:line="240" w:lineRule="auto"/>
              <w:ind w:right="0"/>
              <w:jc w:val="center"/>
              <w:textAlignment w:val="auto"/>
              <w:rPr>
                <w:rFonts w:ascii="黑体" w:hAnsi="黑体" w:eastAsia="黑体"/>
                <w:szCs w:val="21"/>
                <w:highlight w:val="none"/>
              </w:rPr>
            </w:pPr>
            <w:r>
              <w:rPr>
                <w:rFonts w:hAnsi="黑体" w:eastAsia="黑体"/>
                <w:color w:val="auto"/>
                <w:sz w:val="24"/>
                <w:highlight w:val="none"/>
              </w:rPr>
              <w:t>图</w:t>
            </w:r>
            <w:r>
              <w:rPr>
                <w:rFonts w:hint="eastAsia" w:eastAsia="黑体"/>
                <w:color w:val="auto"/>
                <w:sz w:val="24"/>
                <w:highlight w:val="none"/>
                <w:lang w:val="en-US" w:eastAsia="zh-CN"/>
              </w:rPr>
              <w:t xml:space="preserve">3 </w:t>
            </w:r>
            <w:r>
              <w:rPr>
                <w:rFonts w:hint="eastAsia" w:hAnsi="黑体" w:eastAsia="黑体"/>
                <w:color w:val="auto"/>
                <w:sz w:val="24"/>
                <w:highlight w:val="none"/>
              </w:rPr>
              <w:t>项目</w:t>
            </w:r>
            <w:r>
              <w:rPr>
                <w:rFonts w:hint="eastAsia" w:hAnsi="黑体" w:eastAsia="黑体"/>
                <w:color w:val="auto"/>
                <w:sz w:val="24"/>
                <w:highlight w:val="none"/>
                <w:lang w:val="en-US" w:eastAsia="zh-CN"/>
              </w:rPr>
              <w:t>瓦斯发电</w:t>
            </w:r>
            <w:r>
              <w:rPr>
                <w:rFonts w:hAnsi="黑体" w:eastAsia="黑体"/>
                <w:color w:val="auto"/>
                <w:sz w:val="24"/>
                <w:highlight w:val="none"/>
              </w:rPr>
              <w:t>工艺流程及产污环节图</w:t>
            </w:r>
          </w:p>
          <w:p w14:paraId="04B4C5BD">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2" w:firstLineChars="200"/>
              <w:textAlignment w:val="baseline"/>
              <w:rPr>
                <w:rFonts w:hint="eastAsia" w:ascii="Times New Roman" w:hAnsi="Times New Roman" w:cs="Times New Roman"/>
                <w:b/>
                <w:color w:val="auto"/>
                <w:sz w:val="24"/>
                <w:highlight w:val="none"/>
                <w:u w:val="none"/>
                <w:lang w:eastAsia="zh-CN"/>
              </w:rPr>
            </w:pPr>
            <w:r>
              <w:rPr>
                <w:rFonts w:hint="eastAsia" w:cs="Times New Roman"/>
                <w:b/>
                <w:color w:val="auto"/>
                <w:sz w:val="24"/>
                <w:highlight w:val="none"/>
                <w:u w:val="none"/>
                <w:lang w:val="en-US" w:eastAsia="zh-CN"/>
              </w:rPr>
              <w:t>3、</w:t>
            </w:r>
            <w:r>
              <w:rPr>
                <w:rFonts w:hint="eastAsia" w:ascii="Times New Roman" w:hAnsi="Times New Roman" w:cs="Times New Roman"/>
                <w:b/>
                <w:color w:val="auto"/>
                <w:sz w:val="24"/>
                <w:highlight w:val="none"/>
                <w:u w:val="none"/>
                <w:lang w:eastAsia="zh-CN"/>
              </w:rPr>
              <w:t>工艺流程简述：</w:t>
            </w:r>
          </w:p>
          <w:p w14:paraId="2C8431BB">
            <w:pPr>
              <w:pStyle w:val="28"/>
              <w:keepNext w:val="0"/>
              <w:keepLines w:val="0"/>
              <w:pageBreakBefore w:val="0"/>
              <w:widowControl/>
              <w:suppressLineNumbers w:val="0"/>
              <w:kinsoku/>
              <w:wordWrap/>
              <w:overflowPunct/>
              <w:topLinePunct w:val="0"/>
              <w:autoSpaceDE/>
              <w:autoSpaceDN/>
              <w:bidi w:val="0"/>
              <w:spacing w:before="0" w:beforeAutospacing="0" w:after="0" w:afterAutospacing="0" w:line="500" w:lineRule="exact"/>
              <w:ind w:right="0" w:firstLine="480" w:firstLineChars="200"/>
              <w:rPr>
                <w:rFonts w:ascii="Times New Roman" w:hAnsi="Times New Roman" w:cs="Times New Roman"/>
                <w:color w:val="auto"/>
                <w:u w:val="none"/>
              </w:rPr>
            </w:pPr>
            <w:r>
              <w:rPr>
                <w:rFonts w:hint="eastAsia" w:ascii="Times New Roman" w:hAnsi="Times New Roman" w:cs="Times New Roman"/>
                <w:color w:val="auto"/>
                <w:u w:val="none"/>
                <w:lang w:eastAsia="zh-CN"/>
              </w:rPr>
              <w:t>（</w:t>
            </w:r>
            <w:r>
              <w:rPr>
                <w:rFonts w:hint="eastAsia" w:ascii="Times New Roman" w:hAnsi="Times New Roman" w:cs="Times New Roman"/>
                <w:color w:val="auto"/>
                <w:u w:val="none"/>
                <w:lang w:val="en-US" w:eastAsia="zh-CN"/>
              </w:rPr>
              <w:t>1</w:t>
            </w:r>
            <w:r>
              <w:rPr>
                <w:rFonts w:hint="eastAsia" w:ascii="Times New Roman" w:hAnsi="Times New Roman" w:cs="Times New Roman"/>
                <w:color w:val="auto"/>
                <w:u w:val="none"/>
                <w:lang w:eastAsia="zh-CN"/>
              </w:rPr>
              <w:t>）</w:t>
            </w:r>
            <w:r>
              <w:rPr>
                <w:rFonts w:ascii="Times New Roman" w:hAnsi="Times New Roman" w:cs="Times New Roman"/>
                <w:color w:val="auto"/>
                <w:u w:val="none"/>
              </w:rPr>
              <w:t>瓦斯输送系统</w:t>
            </w:r>
          </w:p>
          <w:p w14:paraId="7A716B22">
            <w:pPr>
              <w:pStyle w:val="28"/>
              <w:keepNext w:val="0"/>
              <w:keepLines w:val="0"/>
              <w:pageBreakBefore w:val="0"/>
              <w:widowControl/>
              <w:suppressLineNumbers w:val="0"/>
              <w:kinsoku/>
              <w:wordWrap/>
              <w:overflowPunct/>
              <w:topLinePunct w:val="0"/>
              <w:autoSpaceDE/>
              <w:autoSpaceDN/>
              <w:bidi w:val="0"/>
              <w:spacing w:before="0" w:beforeAutospacing="0" w:after="0" w:afterAutospacing="0" w:line="500" w:lineRule="exact"/>
              <w:ind w:left="0" w:right="0" w:firstLine="480" w:firstLineChars="200"/>
              <w:rPr>
                <w:rFonts w:hint="eastAsia" w:ascii="Times New Roman" w:hAnsi="Times New Roman" w:eastAsia="宋体" w:cs="Times New Roman"/>
                <w:color w:val="auto"/>
                <w:kern w:val="2"/>
                <w:sz w:val="24"/>
                <w:szCs w:val="23"/>
                <w:u w:val="none"/>
                <w:lang w:val="en-US" w:eastAsia="zh-CN" w:bidi="ar-SA"/>
              </w:rPr>
            </w:pPr>
            <w:r>
              <w:rPr>
                <w:rFonts w:hint="eastAsia" w:ascii="Times New Roman" w:hAnsi="Times New Roman" w:eastAsia="宋体" w:cs="Times New Roman"/>
                <w:color w:val="auto"/>
                <w:kern w:val="2"/>
                <w:sz w:val="24"/>
                <w:szCs w:val="23"/>
                <w:u w:val="none"/>
                <w:lang w:val="en-US" w:eastAsia="zh-CN" w:bidi="ar-SA"/>
              </w:rPr>
              <w:t>①为了确保发电机组的正常运行，主燃料瓦斯气从煤矿瓦斯抽放站接出，然后经瓦斯输送管道通过溢流水封阻火泄爆器、防回火装置、波纹补偿器和防爆电动蠕阀等设备</w:t>
            </w:r>
            <w:r>
              <w:rPr>
                <w:rFonts w:hint="eastAsia" w:ascii="Times New Roman" w:hAnsi="Times New Roman" w:cs="Times New Roman"/>
                <w:color w:val="auto"/>
                <w:kern w:val="2"/>
                <w:sz w:val="24"/>
                <w:szCs w:val="23"/>
                <w:u w:val="none"/>
                <w:lang w:val="en-US" w:eastAsia="zh-CN" w:bidi="ar-SA"/>
              </w:rPr>
              <w:t>，</w:t>
            </w:r>
            <w:r>
              <w:rPr>
                <w:rFonts w:hint="eastAsia" w:ascii="Times New Roman" w:hAnsi="Times New Roman" w:eastAsia="宋体" w:cs="Times New Roman"/>
                <w:color w:val="auto"/>
                <w:kern w:val="2"/>
                <w:sz w:val="24"/>
                <w:szCs w:val="23"/>
                <w:u w:val="none"/>
                <w:lang w:val="en-US" w:eastAsia="zh-CN" w:bidi="ar-SA"/>
              </w:rPr>
              <w:t>瓦斯气通过管道进入低温湿式安全散装装置排放至大气中。</w:t>
            </w:r>
          </w:p>
          <w:p w14:paraId="153DF520">
            <w:pPr>
              <w:pStyle w:val="28"/>
              <w:keepNext w:val="0"/>
              <w:keepLines w:val="0"/>
              <w:pageBreakBefore w:val="0"/>
              <w:widowControl/>
              <w:suppressLineNumbers w:val="0"/>
              <w:kinsoku/>
              <w:wordWrap/>
              <w:overflowPunct/>
              <w:topLinePunct w:val="0"/>
              <w:autoSpaceDE/>
              <w:autoSpaceDN/>
              <w:bidi w:val="0"/>
              <w:spacing w:before="0" w:beforeAutospacing="0" w:after="0" w:afterAutospacing="0" w:line="500" w:lineRule="exact"/>
              <w:ind w:left="0" w:right="0" w:firstLine="480" w:firstLineChars="200"/>
              <w:rPr>
                <w:rFonts w:ascii="Times New Roman" w:hAnsi="Times New Roman" w:cs="Times New Roman"/>
                <w:color w:val="auto"/>
                <w:u w:val="none"/>
              </w:rPr>
            </w:pPr>
            <w:r>
              <w:rPr>
                <w:rFonts w:hint="eastAsia" w:ascii="Times New Roman" w:hAnsi="Times New Roman" w:eastAsia="宋体" w:cs="Times New Roman"/>
                <w:color w:val="auto"/>
                <w:kern w:val="2"/>
                <w:sz w:val="24"/>
                <w:szCs w:val="23"/>
                <w:u w:val="none"/>
                <w:lang w:val="en-US" w:eastAsia="zh-CN" w:bidi="ar-SA"/>
              </w:rPr>
              <w:t>②瓦斯气经输送管道上丝网过滤器、溢流式水封阻火器等设备后，通过全电子管理系统的甲烷浓度传感器进行实时监控。当检测到低浓度瓦斯管线内的压力、温度及输送系统中的水压、温度、流量及水封阻火器的水位的参数超极限发出警报信号，保护瓦斯输送系统的安全运行。</w:t>
            </w:r>
          </w:p>
          <w:p w14:paraId="634E3F2C">
            <w:pPr>
              <w:pStyle w:val="28"/>
              <w:keepNext w:val="0"/>
              <w:keepLines w:val="0"/>
              <w:pageBreakBefore w:val="0"/>
              <w:widowControl/>
              <w:suppressLineNumbers w:val="0"/>
              <w:kinsoku/>
              <w:wordWrap/>
              <w:overflowPunct/>
              <w:topLinePunct w:val="0"/>
              <w:autoSpaceDE/>
              <w:autoSpaceDN/>
              <w:bidi w:val="0"/>
              <w:spacing w:before="0" w:beforeAutospacing="0" w:after="0" w:afterAutospacing="0" w:line="500" w:lineRule="exact"/>
              <w:ind w:right="0" w:firstLine="480" w:firstLineChars="200"/>
              <w:rPr>
                <w:rFonts w:ascii="Times New Roman" w:hAnsi="Times New Roman" w:cs="Times New Roman"/>
                <w:color w:val="auto"/>
                <w:u w:val="none"/>
              </w:rPr>
            </w:pPr>
            <w:r>
              <w:rPr>
                <w:rFonts w:hint="eastAsia" w:ascii="Times New Roman" w:hAnsi="Times New Roman" w:cs="Times New Roman"/>
                <w:color w:val="auto"/>
                <w:u w:val="none"/>
                <w:lang w:eastAsia="zh-CN"/>
              </w:rPr>
              <w:t>（</w:t>
            </w:r>
            <w:r>
              <w:rPr>
                <w:rFonts w:hint="eastAsia" w:ascii="Times New Roman" w:hAnsi="Times New Roman" w:cs="Times New Roman"/>
                <w:color w:val="auto"/>
                <w:u w:val="none"/>
                <w:lang w:val="en-US" w:eastAsia="zh-CN"/>
              </w:rPr>
              <w:t>2</w:t>
            </w:r>
            <w:r>
              <w:rPr>
                <w:rFonts w:hint="eastAsia" w:ascii="Times New Roman" w:hAnsi="Times New Roman" w:cs="Times New Roman"/>
                <w:color w:val="auto"/>
                <w:u w:val="none"/>
                <w:lang w:eastAsia="zh-CN"/>
              </w:rPr>
              <w:t>）</w:t>
            </w:r>
            <w:r>
              <w:rPr>
                <w:rFonts w:ascii="Times New Roman" w:hAnsi="Times New Roman" w:cs="Times New Roman"/>
                <w:color w:val="auto"/>
                <w:u w:val="none"/>
              </w:rPr>
              <w:t>瓦斯发电机组</w:t>
            </w:r>
          </w:p>
          <w:p w14:paraId="0CF4923F">
            <w:pPr>
              <w:pStyle w:val="28"/>
              <w:keepNext w:val="0"/>
              <w:keepLines w:val="0"/>
              <w:pageBreakBefore w:val="0"/>
              <w:widowControl/>
              <w:suppressLineNumbers w:val="0"/>
              <w:kinsoku/>
              <w:wordWrap/>
              <w:overflowPunct/>
              <w:topLinePunct w:val="0"/>
              <w:autoSpaceDE/>
              <w:autoSpaceDN/>
              <w:bidi w:val="0"/>
              <w:spacing w:before="0" w:beforeAutospacing="0" w:after="0" w:afterAutospacing="0" w:line="500" w:lineRule="exact"/>
              <w:ind w:left="0" w:right="0" w:firstLine="480" w:firstLineChars="200"/>
              <w:rPr>
                <w:rFonts w:hint="eastAsia" w:ascii="Times New Roman" w:hAnsi="Times New Roman" w:eastAsia="宋体" w:cs="Times New Roman"/>
                <w:color w:val="auto"/>
                <w:kern w:val="2"/>
                <w:sz w:val="24"/>
                <w:szCs w:val="23"/>
                <w:u w:val="none"/>
                <w:lang w:val="en-US" w:eastAsia="zh-CN" w:bidi="ar-SA"/>
              </w:rPr>
            </w:pPr>
            <w:r>
              <w:rPr>
                <w:rFonts w:hint="eastAsia" w:ascii="Times New Roman" w:hAnsi="Times New Roman" w:eastAsia="宋体" w:cs="Times New Roman"/>
                <w:color w:val="auto"/>
                <w:kern w:val="2"/>
                <w:sz w:val="24"/>
                <w:szCs w:val="23"/>
                <w:u w:val="none"/>
                <w:lang w:val="en-US" w:eastAsia="zh-CN" w:bidi="ar-SA"/>
              </w:rPr>
              <w:t>瓦斯脱水后进入燃机入口，与经过过滤的空气混合后进入燃烧室，通过内燃机完成做功过程，带动发电机完成发电。做功后的高温烟气通过电动三通切换风门，以通道进入旁通烟道，通过烟囱排入大气。</w:t>
            </w:r>
          </w:p>
          <w:p w14:paraId="3CFB45D9">
            <w:pPr>
              <w:pStyle w:val="28"/>
              <w:keepNext w:val="0"/>
              <w:keepLines w:val="0"/>
              <w:pageBreakBefore w:val="0"/>
              <w:widowControl/>
              <w:suppressLineNumbers w:val="0"/>
              <w:kinsoku/>
              <w:wordWrap/>
              <w:overflowPunct/>
              <w:topLinePunct w:val="0"/>
              <w:autoSpaceDE/>
              <w:autoSpaceDN/>
              <w:bidi w:val="0"/>
              <w:spacing w:before="0" w:beforeAutospacing="0" w:after="0" w:afterAutospacing="0" w:line="500" w:lineRule="exact"/>
              <w:ind w:left="0" w:right="0" w:firstLine="480" w:firstLineChars="200"/>
              <w:rPr>
                <w:rFonts w:hint="eastAsia" w:ascii="Times New Roman" w:hAnsi="Times New Roman" w:cs="Times New Roman"/>
                <w:b/>
                <w:color w:val="auto"/>
                <w:sz w:val="24"/>
                <w:u w:val="none"/>
                <w:lang w:eastAsia="zh-CN"/>
              </w:rPr>
            </w:pPr>
            <w:r>
              <w:rPr>
                <w:rFonts w:hint="eastAsia" w:ascii="Times New Roman" w:hAnsi="Times New Roman" w:eastAsia="宋体" w:cs="Times New Roman"/>
                <w:color w:val="auto"/>
                <w:kern w:val="2"/>
                <w:sz w:val="24"/>
                <w:szCs w:val="23"/>
                <w:u w:val="none"/>
                <w:lang w:val="en-US" w:eastAsia="zh-CN" w:bidi="ar-SA"/>
              </w:rPr>
              <w:t>燃气发电机组发电的工作原理∶空气经过滤清器过滤，进入涡轮增压器增压，导入内燃机汽缸内的混合器，瓦斯经过压力调节阀也进入混合器，二者混合后，通过电子点火爆燃做功后，推动活塞移动和曲轴转动，产生动力，带动发电机，再由发电机将动力转换成电能，经输变电装置输出。</w:t>
            </w:r>
          </w:p>
          <w:p w14:paraId="41550003">
            <w:pPr>
              <w:pStyle w:val="97"/>
              <w:keepNext w:val="0"/>
              <w:keepLines w:val="0"/>
              <w:pageBreakBefore w:val="0"/>
              <w:widowControl w:val="0"/>
              <w:kinsoku/>
              <w:wordWrap/>
              <w:overflowPunct/>
              <w:topLinePunct w:val="0"/>
              <w:autoSpaceDE/>
              <w:autoSpaceDN/>
              <w:bidi w:val="0"/>
              <w:adjustRightInd/>
              <w:snapToGrid/>
              <w:spacing w:line="500" w:lineRule="exact"/>
              <w:ind w:right="0" w:firstLine="482" w:firstLineChars="200"/>
              <w:jc w:val="both"/>
              <w:textAlignment w:val="auto"/>
              <w:rPr>
                <w:rFonts w:hint="eastAsia" w:ascii="Times New Roman" w:hAnsi="Times New Roman" w:cs="Times New Roman"/>
                <w:b/>
                <w:color w:val="auto"/>
                <w:sz w:val="24"/>
                <w:szCs w:val="24"/>
                <w:u w:val="none"/>
              </w:rPr>
            </w:pPr>
            <w:r>
              <w:rPr>
                <w:rFonts w:hint="eastAsia" w:cs="Times New Roman"/>
                <w:b/>
                <w:color w:val="auto"/>
                <w:sz w:val="24"/>
                <w:szCs w:val="24"/>
                <w:u w:val="none"/>
                <w:lang w:val="en-US" w:eastAsia="zh-CN"/>
              </w:rPr>
              <w:t>4、</w:t>
            </w:r>
            <w:r>
              <w:rPr>
                <w:rFonts w:hint="eastAsia" w:ascii="Times New Roman" w:hAnsi="Times New Roman" w:cs="Times New Roman"/>
                <w:b/>
                <w:color w:val="auto"/>
                <w:sz w:val="24"/>
                <w:szCs w:val="24"/>
                <w:u w:val="none"/>
              </w:rPr>
              <w:t>产污环节说明：</w:t>
            </w:r>
          </w:p>
          <w:p w14:paraId="0E00FD7F">
            <w:pPr>
              <w:keepNext w:val="0"/>
              <w:keepLines w:val="0"/>
              <w:pageBreakBefore w:val="0"/>
              <w:kinsoku/>
              <w:wordWrap/>
              <w:overflowPunct/>
              <w:topLinePunct w:val="0"/>
              <w:autoSpaceDE/>
              <w:autoSpaceDN/>
              <w:bidi w:val="0"/>
              <w:adjustRightInd w:val="0"/>
              <w:snapToGrid w:val="0"/>
              <w:spacing w:line="500" w:lineRule="exact"/>
              <w:ind w:firstLine="480" w:firstLineChars="200"/>
              <w:rPr>
                <w:rFonts w:hint="eastAsia" w:ascii="Times New Roman" w:hAnsi="Times New Roman" w:cs="Times New Roman"/>
                <w:color w:val="auto"/>
                <w:sz w:val="24"/>
                <w:szCs w:val="23"/>
                <w:u w:val="none"/>
              </w:rPr>
            </w:pPr>
            <w:r>
              <w:rPr>
                <w:rFonts w:hint="eastAsia" w:ascii="Times New Roman" w:hAnsi="Times New Roman" w:cs="Times New Roman"/>
                <w:color w:val="auto"/>
                <w:sz w:val="24"/>
                <w:szCs w:val="23"/>
                <w:u w:val="none"/>
              </w:rPr>
              <w:t>项目运营期污染物产生环节详见下表。</w:t>
            </w:r>
          </w:p>
          <w:p w14:paraId="1B32D422">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int="eastAsia" w:ascii="Times New Roman" w:hAnsi="Times New Roman" w:eastAsia="黑体" w:cs="Times New Roman"/>
                <w:color w:val="auto"/>
                <w:sz w:val="24"/>
                <w:u w:val="none"/>
              </w:rPr>
            </w:pPr>
            <w:r>
              <w:rPr>
                <w:rFonts w:hint="eastAsia" w:ascii="Times New Roman" w:hAnsi="Times New Roman" w:eastAsia="黑体" w:cs="Times New Roman"/>
                <w:color w:val="auto"/>
                <w:sz w:val="24"/>
                <w:u w:val="none"/>
              </w:rPr>
              <w:t>表</w:t>
            </w:r>
            <w:r>
              <w:rPr>
                <w:rFonts w:hint="eastAsia" w:eastAsia="黑体" w:cs="Times New Roman"/>
                <w:color w:val="auto"/>
                <w:sz w:val="24"/>
                <w:u w:val="none"/>
                <w:lang w:val="en-US" w:eastAsia="zh-CN"/>
              </w:rPr>
              <w:t>2-9</w:t>
            </w:r>
            <w:r>
              <w:rPr>
                <w:rFonts w:hint="eastAsia" w:ascii="Times New Roman" w:hAnsi="Times New Roman" w:eastAsia="黑体" w:cs="Times New Roman"/>
                <w:color w:val="auto"/>
                <w:sz w:val="24"/>
                <w:u w:val="none"/>
              </w:rPr>
              <w:t xml:space="preserve"> 运营期污染物产生情况一览表</w:t>
            </w:r>
          </w:p>
          <w:tbl>
            <w:tblPr>
              <w:tblStyle w:val="32"/>
              <w:tblW w:w="7817"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119"/>
              <w:gridCol w:w="1259"/>
              <w:gridCol w:w="1948"/>
              <w:gridCol w:w="3491"/>
            </w:tblGrid>
            <w:tr w14:paraId="5E2869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5" w:hRule="atLeast"/>
                <w:jc w:val="center"/>
              </w:trPr>
              <w:tc>
                <w:tcPr>
                  <w:tcW w:w="1119" w:type="dxa"/>
                  <w:tcBorders>
                    <w:tl2br w:val="nil"/>
                    <w:tr2bl w:val="nil"/>
                  </w:tcBorders>
                  <w:vAlign w:val="center"/>
                </w:tcPr>
                <w:p w14:paraId="5D820F3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cs="Times New Roman"/>
                      <w:b/>
                      <w:bCs/>
                      <w:color w:val="auto"/>
                      <w:szCs w:val="21"/>
                      <w:u w:val="none"/>
                    </w:rPr>
                  </w:pPr>
                  <w:r>
                    <w:rPr>
                      <w:rFonts w:hint="eastAsia" w:ascii="Times New Roman" w:hAnsi="Times New Roman" w:cs="Times New Roman"/>
                      <w:b/>
                      <w:bCs/>
                      <w:color w:val="auto"/>
                      <w:szCs w:val="21"/>
                      <w:u w:val="none"/>
                    </w:rPr>
                    <w:t>污染类型</w:t>
                  </w:r>
                </w:p>
              </w:tc>
              <w:tc>
                <w:tcPr>
                  <w:tcW w:w="3207" w:type="dxa"/>
                  <w:gridSpan w:val="2"/>
                  <w:tcBorders>
                    <w:tl2br w:val="nil"/>
                    <w:tr2bl w:val="nil"/>
                  </w:tcBorders>
                  <w:vAlign w:val="center"/>
                </w:tcPr>
                <w:p w14:paraId="334335A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cs="Times New Roman"/>
                      <w:b/>
                      <w:bCs/>
                      <w:color w:val="auto"/>
                      <w:szCs w:val="21"/>
                      <w:u w:val="none"/>
                    </w:rPr>
                  </w:pPr>
                  <w:r>
                    <w:rPr>
                      <w:rFonts w:hint="eastAsia" w:ascii="Times New Roman" w:hAnsi="Times New Roman" w:cs="Times New Roman"/>
                      <w:b/>
                      <w:bCs/>
                      <w:color w:val="auto"/>
                      <w:szCs w:val="21"/>
                      <w:u w:val="none"/>
                    </w:rPr>
                    <w:t>产污环节</w:t>
                  </w:r>
                </w:p>
              </w:tc>
              <w:tc>
                <w:tcPr>
                  <w:tcW w:w="3491" w:type="dxa"/>
                  <w:tcBorders>
                    <w:tl2br w:val="nil"/>
                    <w:tr2bl w:val="nil"/>
                  </w:tcBorders>
                  <w:vAlign w:val="center"/>
                </w:tcPr>
                <w:p w14:paraId="2BFE3DA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cs="Times New Roman"/>
                      <w:b/>
                      <w:bCs/>
                      <w:color w:val="auto"/>
                      <w:szCs w:val="21"/>
                      <w:u w:val="none"/>
                    </w:rPr>
                  </w:pPr>
                  <w:r>
                    <w:rPr>
                      <w:rFonts w:hint="eastAsia" w:ascii="Times New Roman" w:hAnsi="Times New Roman" w:cs="Times New Roman"/>
                      <w:b/>
                      <w:bCs/>
                      <w:color w:val="auto"/>
                      <w:szCs w:val="21"/>
                      <w:u w:val="none"/>
                    </w:rPr>
                    <w:t>污染因子</w:t>
                  </w:r>
                </w:p>
              </w:tc>
            </w:tr>
            <w:tr w14:paraId="2C2DF05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65" w:hRule="atLeast"/>
                <w:jc w:val="center"/>
              </w:trPr>
              <w:tc>
                <w:tcPr>
                  <w:tcW w:w="1119" w:type="dxa"/>
                  <w:tcBorders>
                    <w:tl2br w:val="nil"/>
                    <w:tr2bl w:val="nil"/>
                  </w:tcBorders>
                  <w:vAlign w:val="center"/>
                </w:tcPr>
                <w:p w14:paraId="5B2EF8F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cs="Times New Roman"/>
                      <w:color w:val="auto"/>
                      <w:szCs w:val="21"/>
                      <w:u w:val="none"/>
                    </w:rPr>
                  </w:pPr>
                  <w:r>
                    <w:rPr>
                      <w:rFonts w:hint="eastAsia" w:ascii="Times New Roman" w:hAnsi="Times New Roman" w:cs="Times New Roman"/>
                      <w:color w:val="auto"/>
                      <w:szCs w:val="21"/>
                      <w:u w:val="none"/>
                    </w:rPr>
                    <w:t>废气</w:t>
                  </w:r>
                </w:p>
              </w:tc>
              <w:tc>
                <w:tcPr>
                  <w:tcW w:w="3207" w:type="dxa"/>
                  <w:gridSpan w:val="2"/>
                  <w:tcBorders>
                    <w:tl2br w:val="nil"/>
                    <w:tr2bl w:val="nil"/>
                  </w:tcBorders>
                  <w:vAlign w:val="center"/>
                </w:tcPr>
                <w:p w14:paraId="6E2130B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发电烟气</w:t>
                  </w:r>
                </w:p>
              </w:tc>
              <w:tc>
                <w:tcPr>
                  <w:tcW w:w="3491" w:type="dxa"/>
                  <w:tcBorders>
                    <w:tl2br w:val="nil"/>
                    <w:tr2bl w:val="nil"/>
                  </w:tcBorders>
                  <w:vAlign w:val="center"/>
                </w:tcPr>
                <w:p w14:paraId="74E21FB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eastAsia="宋体" w:cs="Times New Roman"/>
                      <w:color w:val="auto"/>
                      <w:szCs w:val="21"/>
                      <w:u w:val="none"/>
                      <w:lang w:eastAsia="zh-CN"/>
                    </w:rPr>
                  </w:pPr>
                  <w:r>
                    <w:rPr>
                      <w:rFonts w:hint="eastAsia" w:ascii="Times New Roman" w:hAnsi="Times New Roman" w:eastAsia="宋体" w:cs="Times New Roman"/>
                      <w:color w:val="auto"/>
                      <w:szCs w:val="21"/>
                      <w:u w:val="none"/>
                      <w:lang w:eastAsia="zh-CN"/>
                    </w:rPr>
                    <w:t>颗粒物、氮氧化物、</w:t>
                  </w:r>
                </w:p>
                <w:p w14:paraId="4A02182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eastAsia="宋体" w:cs="Times New Roman"/>
                      <w:color w:val="auto"/>
                      <w:szCs w:val="21"/>
                      <w:u w:val="none"/>
                      <w:lang w:eastAsia="zh-CN"/>
                    </w:rPr>
                  </w:pPr>
                  <w:r>
                    <w:rPr>
                      <w:rFonts w:hint="eastAsia" w:ascii="Times New Roman" w:hAnsi="Times New Roman" w:eastAsia="宋体" w:cs="Times New Roman"/>
                      <w:color w:val="auto"/>
                      <w:szCs w:val="21"/>
                      <w:u w:val="none"/>
                      <w:lang w:eastAsia="zh-CN"/>
                    </w:rPr>
                    <w:t>非甲烷总烃、一氧化碳</w:t>
                  </w:r>
                </w:p>
              </w:tc>
            </w:tr>
            <w:tr w14:paraId="15A6EA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8" w:hRule="atLeast"/>
                <w:jc w:val="center"/>
              </w:trPr>
              <w:tc>
                <w:tcPr>
                  <w:tcW w:w="1119" w:type="dxa"/>
                  <w:vMerge w:val="restart"/>
                  <w:tcBorders>
                    <w:tl2br w:val="nil"/>
                    <w:tr2bl w:val="nil"/>
                  </w:tcBorders>
                  <w:vAlign w:val="center"/>
                </w:tcPr>
                <w:p w14:paraId="2DBDD2B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cs="Times New Roman"/>
                      <w:color w:val="auto"/>
                      <w:szCs w:val="21"/>
                      <w:u w:val="none"/>
                    </w:rPr>
                  </w:pPr>
                  <w:r>
                    <w:rPr>
                      <w:rFonts w:hint="eastAsia" w:ascii="Times New Roman" w:hAnsi="Times New Roman" w:cs="Times New Roman"/>
                      <w:color w:val="auto"/>
                      <w:szCs w:val="21"/>
                      <w:u w:val="none"/>
                    </w:rPr>
                    <w:t>废水</w:t>
                  </w:r>
                </w:p>
              </w:tc>
              <w:tc>
                <w:tcPr>
                  <w:tcW w:w="3207" w:type="dxa"/>
                  <w:gridSpan w:val="2"/>
                  <w:tcBorders>
                    <w:tl2br w:val="nil"/>
                    <w:tr2bl w:val="nil"/>
                  </w:tcBorders>
                  <w:vAlign w:val="center"/>
                </w:tcPr>
                <w:p w14:paraId="11D25D25">
                  <w:pPr>
                    <w:keepNext w:val="0"/>
                    <w:keepLines w:val="0"/>
                    <w:pageBreakBefore w:val="0"/>
                    <w:widowControl w:val="0"/>
                    <w:tabs>
                      <w:tab w:val="left" w:pos="5760"/>
                    </w:tabs>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eastAsia="宋体" w:cs="Times New Roman"/>
                      <w:color w:val="auto"/>
                      <w:szCs w:val="21"/>
                      <w:u w:val="none"/>
                      <w:lang w:eastAsia="zh-CN"/>
                    </w:rPr>
                  </w:pPr>
                  <w:r>
                    <w:rPr>
                      <w:rFonts w:ascii="Times New Roman" w:hAnsi="Times New Roman" w:cs="Times New Roman"/>
                      <w:color w:val="auto"/>
                      <w:szCs w:val="21"/>
                      <w:u w:val="none"/>
                    </w:rPr>
                    <w:t>生活污水</w:t>
                  </w:r>
                </w:p>
              </w:tc>
              <w:tc>
                <w:tcPr>
                  <w:tcW w:w="3491" w:type="dxa"/>
                  <w:tcBorders>
                    <w:tl2br w:val="nil"/>
                    <w:tr2bl w:val="nil"/>
                  </w:tcBorders>
                  <w:vAlign w:val="center"/>
                </w:tcPr>
                <w:p w14:paraId="29C3BDF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cs="Times New Roman"/>
                      <w:color w:val="auto"/>
                      <w:szCs w:val="21"/>
                      <w:u w:val="none"/>
                    </w:rPr>
                  </w:pPr>
                  <w:r>
                    <w:rPr>
                      <w:rFonts w:hint="eastAsia" w:ascii="Times New Roman" w:hAnsi="Times New Roman" w:cs="Times New Roman"/>
                      <w:color w:val="auto"/>
                      <w:szCs w:val="21"/>
                      <w:u w:val="none"/>
                    </w:rPr>
                    <w:t>COD、BOD</w:t>
                  </w:r>
                  <w:r>
                    <w:rPr>
                      <w:rFonts w:hint="eastAsia" w:ascii="Times New Roman" w:hAnsi="Times New Roman" w:cs="Times New Roman"/>
                      <w:color w:val="auto"/>
                      <w:szCs w:val="21"/>
                      <w:u w:val="none"/>
                      <w:vertAlign w:val="subscript"/>
                    </w:rPr>
                    <w:t>5</w:t>
                  </w:r>
                  <w:r>
                    <w:rPr>
                      <w:rFonts w:hint="eastAsia" w:ascii="Times New Roman" w:hAnsi="Times New Roman" w:cs="Times New Roman"/>
                      <w:color w:val="auto"/>
                      <w:szCs w:val="21"/>
                      <w:u w:val="none"/>
                    </w:rPr>
                    <w:t>、氨氮、悬浮物</w:t>
                  </w:r>
                </w:p>
              </w:tc>
            </w:tr>
            <w:tr w14:paraId="66C39B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8" w:hRule="atLeast"/>
                <w:jc w:val="center"/>
              </w:trPr>
              <w:tc>
                <w:tcPr>
                  <w:tcW w:w="1119" w:type="dxa"/>
                  <w:vMerge w:val="continue"/>
                  <w:tcBorders>
                    <w:tl2br w:val="nil"/>
                    <w:tr2bl w:val="nil"/>
                  </w:tcBorders>
                  <w:vAlign w:val="center"/>
                </w:tcPr>
                <w:p w14:paraId="6F3B0AC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cs="Times New Roman"/>
                      <w:color w:val="auto"/>
                      <w:szCs w:val="21"/>
                      <w:u w:val="none"/>
                    </w:rPr>
                  </w:pPr>
                </w:p>
              </w:tc>
              <w:tc>
                <w:tcPr>
                  <w:tcW w:w="3207" w:type="dxa"/>
                  <w:gridSpan w:val="2"/>
                  <w:tcBorders>
                    <w:tl2br w:val="nil"/>
                    <w:tr2bl w:val="nil"/>
                  </w:tcBorders>
                  <w:shd w:val="clear" w:color="auto" w:fill="auto"/>
                  <w:vAlign w:val="center"/>
                </w:tcPr>
                <w:p w14:paraId="21992B48">
                  <w:pPr>
                    <w:keepNext w:val="0"/>
                    <w:keepLines w:val="0"/>
                    <w:pageBreakBefore w:val="0"/>
                    <w:widowControl w:val="0"/>
                    <w:tabs>
                      <w:tab w:val="left" w:pos="576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szCs w:val="21"/>
                      <w:u w:val="none"/>
                      <w:lang w:val="en-US" w:eastAsia="zh-CN"/>
                    </w:rPr>
                    <w:t>机组冷凝水</w:t>
                  </w:r>
                </w:p>
              </w:tc>
              <w:tc>
                <w:tcPr>
                  <w:tcW w:w="3491" w:type="dxa"/>
                  <w:tcBorders>
                    <w:tl2br w:val="nil"/>
                    <w:tr2bl w:val="nil"/>
                  </w:tcBorders>
                  <w:shd w:val="clear" w:color="auto" w:fill="auto"/>
                  <w:vAlign w:val="center"/>
                </w:tcPr>
                <w:p w14:paraId="03507E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u w:val="none"/>
                      <w:lang w:val="en-US" w:eastAsia="zh-CN" w:bidi="ar-SA"/>
                    </w:rPr>
                  </w:pPr>
                  <w:r>
                    <w:rPr>
                      <w:rFonts w:hint="eastAsia" w:cs="Times New Roman"/>
                      <w:color w:val="auto"/>
                      <w:szCs w:val="21"/>
                      <w:u w:val="none"/>
                      <w:lang w:val="en-US" w:eastAsia="zh-CN"/>
                    </w:rPr>
                    <w:t>/</w:t>
                  </w:r>
                </w:p>
              </w:tc>
            </w:tr>
            <w:tr w14:paraId="294992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9" w:hRule="atLeast"/>
                <w:jc w:val="center"/>
              </w:trPr>
              <w:tc>
                <w:tcPr>
                  <w:tcW w:w="1119" w:type="dxa"/>
                  <w:tcBorders>
                    <w:tl2br w:val="nil"/>
                    <w:tr2bl w:val="nil"/>
                  </w:tcBorders>
                  <w:vAlign w:val="center"/>
                </w:tcPr>
                <w:p w14:paraId="0D2E2E0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cs="Times New Roman"/>
                      <w:color w:val="auto"/>
                      <w:szCs w:val="21"/>
                      <w:u w:val="none"/>
                    </w:rPr>
                  </w:pPr>
                  <w:r>
                    <w:rPr>
                      <w:rFonts w:hint="eastAsia" w:ascii="Times New Roman" w:hAnsi="Times New Roman" w:cs="Times New Roman"/>
                      <w:color w:val="auto"/>
                      <w:szCs w:val="21"/>
                      <w:u w:val="none"/>
                    </w:rPr>
                    <w:t>噪声</w:t>
                  </w:r>
                </w:p>
              </w:tc>
              <w:tc>
                <w:tcPr>
                  <w:tcW w:w="3207" w:type="dxa"/>
                  <w:gridSpan w:val="2"/>
                  <w:tcBorders>
                    <w:tl2br w:val="nil"/>
                    <w:tr2bl w:val="nil"/>
                  </w:tcBorders>
                  <w:vAlign w:val="center"/>
                </w:tcPr>
                <w:p w14:paraId="4C749E1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cs="Times New Roman"/>
                      <w:color w:val="auto"/>
                      <w:szCs w:val="21"/>
                      <w:u w:val="none"/>
                    </w:rPr>
                  </w:pPr>
                  <w:r>
                    <w:rPr>
                      <w:rFonts w:hint="eastAsia" w:ascii="Times New Roman" w:hAnsi="Times New Roman" w:cs="Times New Roman"/>
                      <w:color w:val="auto"/>
                      <w:szCs w:val="21"/>
                      <w:u w:val="none"/>
                    </w:rPr>
                    <w:t>设备运行</w:t>
                  </w:r>
                </w:p>
              </w:tc>
              <w:tc>
                <w:tcPr>
                  <w:tcW w:w="3491" w:type="dxa"/>
                  <w:tcBorders>
                    <w:tl2br w:val="nil"/>
                    <w:tr2bl w:val="nil"/>
                  </w:tcBorders>
                  <w:vAlign w:val="center"/>
                </w:tcPr>
                <w:p w14:paraId="46F17A1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cs="Times New Roman"/>
                      <w:color w:val="auto"/>
                      <w:szCs w:val="21"/>
                      <w:u w:val="none"/>
                    </w:rPr>
                  </w:pPr>
                  <w:r>
                    <w:rPr>
                      <w:rFonts w:hint="eastAsia" w:ascii="Times New Roman" w:hAnsi="Times New Roman" w:eastAsia="宋体" w:cs="Times New Roman"/>
                      <w:color w:val="auto"/>
                      <w:szCs w:val="21"/>
                      <w:u w:val="none"/>
                      <w:lang w:val="en-US" w:eastAsia="zh-CN"/>
                    </w:rPr>
                    <w:t>设备</w:t>
                  </w:r>
                  <w:r>
                    <w:rPr>
                      <w:rFonts w:hint="eastAsia" w:ascii="Times New Roman" w:hAnsi="Times New Roman" w:cs="Times New Roman"/>
                      <w:color w:val="auto"/>
                      <w:szCs w:val="21"/>
                      <w:u w:val="none"/>
                    </w:rPr>
                    <w:t>噪声</w:t>
                  </w:r>
                </w:p>
              </w:tc>
            </w:tr>
            <w:tr w14:paraId="346C86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6" w:hRule="atLeast"/>
                <w:jc w:val="center"/>
              </w:trPr>
              <w:tc>
                <w:tcPr>
                  <w:tcW w:w="1119" w:type="dxa"/>
                  <w:vMerge w:val="restart"/>
                  <w:tcBorders>
                    <w:tl2br w:val="nil"/>
                    <w:tr2bl w:val="nil"/>
                  </w:tcBorders>
                  <w:vAlign w:val="center"/>
                </w:tcPr>
                <w:p w14:paraId="5B3F8D1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cs="Times New Roman"/>
                      <w:color w:val="auto"/>
                      <w:szCs w:val="21"/>
                      <w:u w:val="none"/>
                    </w:rPr>
                  </w:pPr>
                  <w:r>
                    <w:rPr>
                      <w:rFonts w:hint="eastAsia" w:ascii="Times New Roman" w:hAnsi="Times New Roman" w:cs="Times New Roman"/>
                      <w:color w:val="auto"/>
                      <w:szCs w:val="21"/>
                      <w:u w:val="none"/>
                    </w:rPr>
                    <w:t>固废</w:t>
                  </w:r>
                </w:p>
              </w:tc>
              <w:tc>
                <w:tcPr>
                  <w:tcW w:w="1259" w:type="dxa"/>
                  <w:tcBorders>
                    <w:tl2br w:val="nil"/>
                    <w:tr2bl w:val="nil"/>
                  </w:tcBorders>
                  <w:vAlign w:val="center"/>
                </w:tcPr>
                <w:p w14:paraId="078FADA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cs="Times New Roman"/>
                      <w:color w:val="auto"/>
                      <w:szCs w:val="21"/>
                      <w:u w:val="none"/>
                    </w:rPr>
                  </w:pPr>
                  <w:r>
                    <w:rPr>
                      <w:rFonts w:hint="eastAsia" w:ascii="Times New Roman" w:hAnsi="Times New Roman" w:cs="Times New Roman"/>
                      <w:color w:val="auto"/>
                      <w:szCs w:val="21"/>
                      <w:u w:val="none"/>
                    </w:rPr>
                    <w:t>一般固废</w:t>
                  </w:r>
                </w:p>
              </w:tc>
              <w:tc>
                <w:tcPr>
                  <w:tcW w:w="1948" w:type="dxa"/>
                  <w:tcBorders>
                    <w:tl2br w:val="nil"/>
                    <w:tr2bl w:val="nil"/>
                  </w:tcBorders>
                  <w:vAlign w:val="center"/>
                </w:tcPr>
                <w:p w14:paraId="6C416160">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 w:val="21"/>
                      <w:szCs w:val="21"/>
                      <w:u w:val="none"/>
                      <w:lang w:val="en-US" w:eastAsia="zh-CN"/>
                    </w:rPr>
                    <w:t>生活垃圾</w:t>
                  </w:r>
                </w:p>
              </w:tc>
              <w:tc>
                <w:tcPr>
                  <w:tcW w:w="3491" w:type="dxa"/>
                  <w:tcBorders>
                    <w:tl2br w:val="nil"/>
                    <w:tr2bl w:val="nil"/>
                  </w:tcBorders>
                  <w:vAlign w:val="center"/>
                </w:tcPr>
                <w:p w14:paraId="71FA684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rPr>
                    <w:t>生活垃圾</w:t>
                  </w:r>
                </w:p>
              </w:tc>
            </w:tr>
            <w:tr w14:paraId="4B730A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11" w:hRule="atLeast"/>
                <w:jc w:val="center"/>
              </w:trPr>
              <w:tc>
                <w:tcPr>
                  <w:tcW w:w="1119" w:type="dxa"/>
                  <w:vMerge w:val="continue"/>
                  <w:tcBorders>
                    <w:tl2br w:val="nil"/>
                    <w:tr2bl w:val="nil"/>
                  </w:tcBorders>
                  <w:vAlign w:val="center"/>
                </w:tcPr>
                <w:p w14:paraId="00DFAF1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cs="Times New Roman"/>
                      <w:color w:val="auto"/>
                      <w:szCs w:val="21"/>
                      <w:u w:val="none"/>
                    </w:rPr>
                  </w:pPr>
                </w:p>
              </w:tc>
              <w:tc>
                <w:tcPr>
                  <w:tcW w:w="1259" w:type="dxa"/>
                  <w:vMerge w:val="restart"/>
                  <w:tcBorders>
                    <w:tl2br w:val="nil"/>
                    <w:tr2bl w:val="nil"/>
                  </w:tcBorders>
                  <w:vAlign w:val="center"/>
                </w:tcPr>
                <w:p w14:paraId="4D10D8A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eastAsia="宋体" w:cs="Times New Roman"/>
                      <w:color w:val="auto"/>
                      <w:szCs w:val="21"/>
                      <w:u w:val="none"/>
                      <w:lang w:eastAsia="zh-CN"/>
                    </w:rPr>
                  </w:pPr>
                  <w:r>
                    <w:rPr>
                      <w:rFonts w:hint="eastAsia" w:ascii="Times New Roman" w:hAnsi="Times New Roman" w:cs="Times New Roman"/>
                      <w:color w:val="auto"/>
                      <w:szCs w:val="21"/>
                      <w:u w:val="none"/>
                      <w:lang w:eastAsia="zh-CN"/>
                    </w:rPr>
                    <w:t>危险废物</w:t>
                  </w:r>
                </w:p>
              </w:tc>
              <w:tc>
                <w:tcPr>
                  <w:tcW w:w="1948" w:type="dxa"/>
                  <w:tcBorders>
                    <w:tl2br w:val="nil"/>
                    <w:tr2bl w:val="nil"/>
                  </w:tcBorders>
                  <w:vAlign w:val="center"/>
                </w:tcPr>
                <w:p w14:paraId="087E483E">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 w:val="21"/>
                      <w:szCs w:val="21"/>
                      <w:u w:val="none"/>
                      <w:lang w:eastAsia="zh-CN"/>
                    </w:rPr>
                    <w:t>废机油</w:t>
                  </w:r>
                </w:p>
              </w:tc>
              <w:tc>
                <w:tcPr>
                  <w:tcW w:w="3491" w:type="dxa"/>
                  <w:tcBorders>
                    <w:tl2br w:val="nil"/>
                    <w:tr2bl w:val="nil"/>
                  </w:tcBorders>
                  <w:vAlign w:val="center"/>
                </w:tcPr>
                <w:p w14:paraId="6B4A1DD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eastAsia="zh-CN"/>
                    </w:rPr>
                    <w:t>机油</w:t>
                  </w:r>
                </w:p>
              </w:tc>
            </w:tr>
            <w:tr w14:paraId="6F33DF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6" w:hRule="atLeast"/>
                <w:jc w:val="center"/>
              </w:trPr>
              <w:tc>
                <w:tcPr>
                  <w:tcW w:w="1119" w:type="dxa"/>
                  <w:vMerge w:val="continue"/>
                  <w:tcBorders>
                    <w:tl2br w:val="nil"/>
                    <w:tr2bl w:val="nil"/>
                  </w:tcBorders>
                  <w:vAlign w:val="center"/>
                </w:tcPr>
                <w:p w14:paraId="5574514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cs="Times New Roman"/>
                      <w:color w:val="auto"/>
                      <w:szCs w:val="21"/>
                      <w:u w:val="none"/>
                    </w:rPr>
                  </w:pPr>
                </w:p>
              </w:tc>
              <w:tc>
                <w:tcPr>
                  <w:tcW w:w="1259" w:type="dxa"/>
                  <w:vMerge w:val="continue"/>
                  <w:tcBorders>
                    <w:tl2br w:val="nil"/>
                    <w:tr2bl w:val="nil"/>
                  </w:tcBorders>
                  <w:vAlign w:val="center"/>
                </w:tcPr>
                <w:p w14:paraId="5FC7BD4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cs="Times New Roman"/>
                      <w:color w:val="auto"/>
                      <w:szCs w:val="21"/>
                      <w:u w:val="none"/>
                      <w:lang w:eastAsia="zh-CN"/>
                    </w:rPr>
                  </w:pPr>
                </w:p>
              </w:tc>
              <w:tc>
                <w:tcPr>
                  <w:tcW w:w="1948" w:type="dxa"/>
                  <w:tcBorders>
                    <w:tl2br w:val="nil"/>
                    <w:tr2bl w:val="nil"/>
                  </w:tcBorders>
                  <w:vAlign w:val="center"/>
                </w:tcPr>
                <w:p w14:paraId="03C2E2ED">
                  <w:pPr>
                    <w:pStyle w:val="13"/>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废油桶</w:t>
                  </w:r>
                </w:p>
              </w:tc>
              <w:tc>
                <w:tcPr>
                  <w:tcW w:w="3491" w:type="dxa"/>
                  <w:tcBorders>
                    <w:tl2br w:val="nil"/>
                    <w:tr2bl w:val="nil"/>
                  </w:tcBorders>
                  <w:vAlign w:val="center"/>
                </w:tcPr>
                <w:p w14:paraId="5A3911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u w:val="none"/>
                      <w:lang w:val="en-US" w:eastAsia="zh-CN"/>
                    </w:rPr>
                  </w:pPr>
                  <w:r>
                    <w:rPr>
                      <w:rFonts w:hint="eastAsia" w:cs="Times New Roman"/>
                      <w:color w:val="auto"/>
                      <w:szCs w:val="21"/>
                      <w:u w:val="none"/>
                      <w:lang w:val="en-US" w:eastAsia="zh-CN"/>
                    </w:rPr>
                    <w:t>废机油桶、废润滑油桶、</w:t>
                  </w:r>
                </w:p>
              </w:tc>
            </w:tr>
          </w:tbl>
          <w:p w14:paraId="2A9476EC">
            <w:pPr>
              <w:adjustRightInd w:val="0"/>
              <w:snapToGrid w:val="0"/>
              <w:spacing w:line="520" w:lineRule="exact"/>
              <w:ind w:firstLine="480" w:firstLineChars="200"/>
              <w:rPr>
                <w:rFonts w:ascii="Times New Roman" w:hAnsi="Times New Roman" w:cs="Times New Roman"/>
                <w:bCs/>
                <w:color w:val="auto"/>
                <w:sz w:val="24"/>
                <w:u w:val="none"/>
              </w:rPr>
            </w:pPr>
          </w:p>
        </w:tc>
      </w:tr>
      <w:tr w14:paraId="750ED2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42" w:hRule="atLeast"/>
          <w:jc w:val="center"/>
        </w:trPr>
        <w:tc>
          <w:tcPr>
            <w:tcW w:w="737" w:type="dxa"/>
            <w:vAlign w:val="center"/>
          </w:tcPr>
          <w:p w14:paraId="363CC9E6">
            <w:pPr>
              <w:spacing w:line="400" w:lineRule="exact"/>
              <w:jc w:val="center"/>
              <w:rPr>
                <w:rFonts w:ascii="Times New Roman" w:hAnsi="Times New Roman" w:cs="Times New Roman"/>
                <w:b/>
                <w:bCs/>
                <w:color w:val="auto"/>
                <w:sz w:val="28"/>
                <w:szCs w:val="28"/>
                <w:u w:val="none"/>
              </w:rPr>
            </w:pPr>
            <w:r>
              <w:rPr>
                <w:rFonts w:hint="eastAsia" w:ascii="Times New Roman" w:hAnsi="Times New Roman" w:cs="Times New Roman"/>
                <w:b/>
                <w:bCs/>
                <w:color w:val="auto"/>
                <w:sz w:val="24"/>
                <w:highlight w:val="none"/>
                <w:u w:val="none"/>
              </w:rPr>
              <w:t>与项目有关的原有环境污染问题</w:t>
            </w:r>
          </w:p>
        </w:tc>
        <w:tc>
          <w:tcPr>
            <w:tcW w:w="8566" w:type="dxa"/>
          </w:tcPr>
          <w:p w14:paraId="3CF4029E">
            <w:pPr>
              <w:pStyle w:val="61"/>
              <w:bidi w:val="0"/>
              <w:ind w:left="0" w:leftChars="0" w:firstLine="480" w:firstLineChars="200"/>
              <w:rPr>
                <w:rFonts w:hint="eastAsia" w:ascii="Times New Roman" w:hAnsi="Times New Roman" w:eastAsia="宋体" w:cs="Times New Roman"/>
                <w:color w:val="auto"/>
                <w:kern w:val="2"/>
                <w:sz w:val="24"/>
                <w:szCs w:val="23"/>
                <w:u w:val="none"/>
                <w:lang w:val="en-US" w:eastAsia="zh-CN" w:bidi="ar-SA"/>
              </w:rPr>
            </w:pPr>
          </w:p>
          <w:p w14:paraId="7CF8DA5F">
            <w:pPr>
              <w:pStyle w:val="61"/>
              <w:bidi w:val="0"/>
              <w:ind w:left="0" w:leftChars="0" w:firstLine="480" w:firstLineChars="200"/>
              <w:rPr>
                <w:rFonts w:hint="eastAsia" w:ascii="Times New Roman" w:hAnsi="Times New Roman" w:eastAsia="宋体" w:cs="Times New Roman"/>
                <w:color w:val="auto"/>
                <w:kern w:val="2"/>
                <w:sz w:val="24"/>
                <w:szCs w:val="23"/>
                <w:u w:val="none"/>
                <w:lang w:val="en-US" w:eastAsia="zh-CN" w:bidi="ar-SA"/>
              </w:rPr>
            </w:pPr>
          </w:p>
          <w:p w14:paraId="17FF3A26">
            <w:pPr>
              <w:pStyle w:val="61"/>
              <w:bidi w:val="0"/>
              <w:ind w:left="0" w:leftChars="0" w:firstLine="480" w:firstLineChars="200"/>
              <w:rPr>
                <w:rFonts w:hint="eastAsia" w:ascii="Times New Roman" w:hAnsi="Times New Roman" w:cs="Times New Roman"/>
                <w:color w:val="auto"/>
                <w:u w:val="none"/>
                <w:lang w:val="en-US" w:eastAsia="zh-CN"/>
              </w:rPr>
            </w:pPr>
            <w:r>
              <w:rPr>
                <w:rFonts w:hint="eastAsia" w:ascii="Times New Roman" w:hAnsi="Times New Roman" w:eastAsia="宋体" w:cs="Times New Roman"/>
                <w:color w:val="auto"/>
                <w:kern w:val="2"/>
                <w:sz w:val="24"/>
                <w:szCs w:val="23"/>
                <w:u w:val="none"/>
                <w:lang w:val="en-US" w:eastAsia="zh-CN" w:bidi="ar-SA"/>
              </w:rPr>
              <w:t>本项目现状为空地，拟建地址原有杂物已被清理完毕，</w:t>
            </w:r>
            <w:r>
              <w:rPr>
                <w:rFonts w:hint="eastAsia" w:ascii="Times New Roman" w:hAnsi="Times New Roman" w:cs="Times New Roman"/>
                <w:color w:val="auto"/>
                <w:kern w:val="2"/>
                <w:sz w:val="24"/>
                <w:szCs w:val="23"/>
                <w:u w:val="none"/>
                <w:lang w:val="en-US" w:eastAsia="zh-CN" w:bidi="ar-SA"/>
              </w:rPr>
              <w:t>因此</w:t>
            </w:r>
            <w:r>
              <w:rPr>
                <w:rFonts w:hint="eastAsia" w:ascii="Times New Roman" w:hAnsi="Times New Roman" w:eastAsia="宋体" w:cs="Times New Roman"/>
                <w:color w:val="auto"/>
                <w:kern w:val="2"/>
                <w:sz w:val="24"/>
                <w:szCs w:val="23"/>
                <w:u w:val="none"/>
                <w:lang w:val="en-US" w:eastAsia="zh-CN" w:bidi="ar-SA"/>
              </w:rPr>
              <w:t>不存在与本项目有关原有项目污染问题。</w:t>
            </w:r>
          </w:p>
        </w:tc>
      </w:tr>
    </w:tbl>
    <w:p w14:paraId="2A0A53C2">
      <w:pPr>
        <w:pStyle w:val="28"/>
        <w:jc w:val="center"/>
        <w:rPr>
          <w:rFonts w:ascii="Times New Roman" w:hAnsi="Times New Roman" w:eastAsia="黑体" w:cs="Times New Roman"/>
          <w:snapToGrid w:val="0"/>
          <w:color w:val="auto"/>
          <w:sz w:val="36"/>
          <w:szCs w:val="36"/>
          <w:u w:val="none"/>
        </w:rPr>
        <w:sectPr>
          <w:pgSz w:w="11906" w:h="16838"/>
          <w:pgMar w:top="1440" w:right="1531" w:bottom="1440" w:left="1531" w:header="851" w:footer="851" w:gutter="0"/>
          <w:pgBorders>
            <w:top w:val="none" w:sz="0" w:space="0"/>
            <w:left w:val="none" w:sz="0" w:space="0"/>
            <w:bottom w:val="none" w:sz="0" w:space="0"/>
            <w:right w:val="none" w:sz="0" w:space="0"/>
          </w:pgBorders>
          <w:lnNumType w:countBy="0" w:restart="continuous"/>
          <w:pgNumType w:fmt="decimal"/>
          <w:cols w:space="720" w:num="1"/>
          <w:docGrid w:linePitch="312" w:charSpace="0"/>
        </w:sectPr>
      </w:pPr>
    </w:p>
    <w:p w14:paraId="6983E9D7">
      <w:pPr>
        <w:pStyle w:val="28"/>
        <w:adjustRightInd w:val="0"/>
        <w:snapToGrid w:val="0"/>
        <w:spacing w:before="0" w:beforeAutospacing="0" w:after="0" w:afterAutospacing="0" w:line="14" w:lineRule="auto"/>
        <w:jc w:val="center"/>
        <w:rPr>
          <w:rFonts w:ascii="Times New Roman" w:hAnsi="Times New Roman" w:eastAsia="黑体" w:cs="Times New Roman"/>
          <w:snapToGrid w:val="0"/>
          <w:color w:val="auto"/>
          <w:sz w:val="30"/>
          <w:szCs w:val="30"/>
          <w:u w:val="none"/>
        </w:rPr>
      </w:pPr>
    </w:p>
    <w:p w14:paraId="528D4FEB">
      <w:pPr>
        <w:spacing w:beforeLines="50" w:afterLines="50"/>
        <w:jc w:val="center"/>
        <w:outlineLvl w:val="0"/>
        <w:rPr>
          <w:rFonts w:ascii="Times New Roman" w:hAnsi="Times New Roman" w:eastAsia="黑体" w:cs="Times New Roman"/>
          <w:b/>
          <w:bCs/>
          <w:color w:val="auto"/>
          <w:sz w:val="30"/>
          <w:szCs w:val="30"/>
          <w:u w:val="none"/>
        </w:rPr>
      </w:pPr>
      <w:r>
        <w:rPr>
          <w:rFonts w:ascii="Times New Roman" w:hAnsi="Times New Roman" w:eastAsia="黑体" w:cs="Times New Roman"/>
          <w:b/>
          <w:bCs/>
          <w:color w:val="auto"/>
          <w:sz w:val="30"/>
          <w:szCs w:val="30"/>
          <w:u w:val="none"/>
        </w:rPr>
        <w:t>三、区域环境质量现状、环境保护目标及评价标准</w:t>
      </w:r>
    </w:p>
    <w:tbl>
      <w:tblPr>
        <w:tblStyle w:val="32"/>
        <w:tblW w:w="921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28"/>
        <w:gridCol w:w="8691"/>
      </w:tblGrid>
      <w:tr w14:paraId="133D5E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18" w:hRule="atLeast"/>
          <w:jc w:val="center"/>
        </w:trPr>
        <w:tc>
          <w:tcPr>
            <w:tcW w:w="528" w:type="dxa"/>
            <w:vAlign w:val="center"/>
          </w:tcPr>
          <w:p w14:paraId="6FFC3C5A">
            <w:pPr>
              <w:spacing w:line="400" w:lineRule="exact"/>
              <w:jc w:val="center"/>
              <w:rPr>
                <w:rFonts w:ascii="Times New Roman" w:hAnsi="Times New Roman" w:cs="Times New Roman"/>
                <w:b/>
                <w:bCs/>
                <w:color w:val="auto"/>
                <w:sz w:val="24"/>
                <w:u w:val="none"/>
              </w:rPr>
            </w:pPr>
            <w:r>
              <w:rPr>
                <w:rFonts w:ascii="Times New Roman" w:hAnsi="Times New Roman" w:cs="Times New Roman"/>
                <w:b/>
                <w:bCs/>
                <w:color w:val="auto"/>
                <w:sz w:val="24"/>
                <w:u w:val="none"/>
              </w:rPr>
              <w:t>区域</w:t>
            </w:r>
          </w:p>
          <w:p w14:paraId="4FA29217">
            <w:pPr>
              <w:spacing w:line="400" w:lineRule="exact"/>
              <w:jc w:val="center"/>
              <w:rPr>
                <w:rFonts w:ascii="Times New Roman" w:hAnsi="Times New Roman" w:cs="Times New Roman"/>
                <w:b/>
                <w:bCs/>
                <w:color w:val="auto"/>
                <w:sz w:val="24"/>
                <w:u w:val="none"/>
              </w:rPr>
            </w:pPr>
            <w:r>
              <w:rPr>
                <w:rFonts w:ascii="Times New Roman" w:hAnsi="Times New Roman" w:cs="Times New Roman"/>
                <w:b/>
                <w:bCs/>
                <w:color w:val="auto"/>
                <w:sz w:val="24"/>
                <w:u w:val="none"/>
              </w:rPr>
              <w:t>环境</w:t>
            </w:r>
          </w:p>
          <w:p w14:paraId="30A0F576">
            <w:pPr>
              <w:spacing w:line="400" w:lineRule="exact"/>
              <w:jc w:val="center"/>
              <w:rPr>
                <w:rFonts w:ascii="Times New Roman" w:hAnsi="Times New Roman" w:cs="Times New Roman"/>
                <w:b/>
                <w:bCs/>
                <w:color w:val="auto"/>
                <w:sz w:val="24"/>
                <w:u w:val="none"/>
              </w:rPr>
            </w:pPr>
            <w:r>
              <w:rPr>
                <w:rFonts w:ascii="Times New Roman" w:hAnsi="Times New Roman" w:cs="Times New Roman"/>
                <w:b/>
                <w:bCs/>
                <w:color w:val="auto"/>
                <w:sz w:val="24"/>
                <w:u w:val="none"/>
              </w:rPr>
              <w:t>质量</w:t>
            </w:r>
          </w:p>
          <w:p w14:paraId="004195B4">
            <w:pPr>
              <w:spacing w:line="400" w:lineRule="exact"/>
              <w:jc w:val="center"/>
              <w:rPr>
                <w:rFonts w:ascii="Times New Roman" w:hAnsi="Times New Roman" w:cs="Times New Roman"/>
                <w:b/>
                <w:bCs/>
                <w:color w:val="auto"/>
                <w:sz w:val="28"/>
                <w:szCs w:val="28"/>
                <w:u w:val="none"/>
              </w:rPr>
            </w:pPr>
            <w:r>
              <w:rPr>
                <w:rFonts w:ascii="Times New Roman" w:hAnsi="Times New Roman" w:cs="Times New Roman"/>
                <w:b/>
                <w:bCs/>
                <w:color w:val="auto"/>
                <w:sz w:val="24"/>
                <w:u w:val="none"/>
              </w:rPr>
              <w:t>现状</w:t>
            </w:r>
          </w:p>
        </w:tc>
        <w:tc>
          <w:tcPr>
            <w:tcW w:w="8691" w:type="dxa"/>
            <w:vAlign w:val="center"/>
          </w:tcPr>
          <w:p w14:paraId="2D07CA25">
            <w:pPr>
              <w:pStyle w:val="48"/>
              <w:keepNext w:val="0"/>
              <w:keepLines w:val="0"/>
              <w:pageBreakBefore w:val="0"/>
              <w:widowControl w:val="0"/>
              <w:kinsoku/>
              <w:wordWrap/>
              <w:overflowPunct/>
              <w:topLinePunct w:val="0"/>
              <w:autoSpaceDE/>
              <w:autoSpaceDN/>
              <w:bidi w:val="0"/>
              <w:adjustRightInd/>
              <w:snapToGrid/>
              <w:spacing w:line="500" w:lineRule="exact"/>
              <w:ind w:left="0" w:leftChars="0" w:firstLine="498" w:firstLineChars="200"/>
              <w:textAlignment w:val="auto"/>
              <w:rPr>
                <w:rFonts w:ascii="Times New Roman" w:hAnsi="Times New Roman" w:cs="Times New Roman"/>
                <w:b/>
                <w:bCs/>
                <w:color w:val="auto"/>
                <w:sz w:val="24"/>
                <w:u w:val="none"/>
              </w:rPr>
            </w:pPr>
            <w:r>
              <w:rPr>
                <w:rFonts w:hint="eastAsia" w:ascii="Times New Roman" w:hAnsi="Times New Roman" w:cs="Times New Roman"/>
                <w:b/>
                <w:bCs/>
                <w:color w:val="auto"/>
                <w:sz w:val="24"/>
                <w:u w:val="none"/>
                <w:lang w:val="en-US" w:eastAsia="zh-CN"/>
              </w:rPr>
              <w:t>1、</w:t>
            </w:r>
            <w:r>
              <w:rPr>
                <w:rFonts w:ascii="Times New Roman" w:hAnsi="Times New Roman" w:cs="Times New Roman"/>
                <w:b/>
                <w:bCs/>
                <w:color w:val="auto"/>
                <w:sz w:val="24"/>
                <w:u w:val="none"/>
              </w:rPr>
              <w:t>环境空气质量现状</w:t>
            </w:r>
          </w:p>
          <w:p w14:paraId="222E4580">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cs="Times New Roman"/>
                <w:sz w:val="24"/>
                <w:szCs w:val="24"/>
                <w:highlight w:val="none"/>
                <w:u w:val="none"/>
              </w:rPr>
            </w:pPr>
            <w:r>
              <w:rPr>
                <w:rFonts w:hint="default" w:ascii="Times New Roman" w:hAnsi="Times New Roman" w:cs="Times New Roman"/>
                <w:sz w:val="24"/>
                <w:szCs w:val="24"/>
                <w:highlight w:val="none"/>
                <w:u w:val="none"/>
              </w:rPr>
              <w:t>本项目选址位于</w:t>
            </w:r>
            <w:r>
              <w:rPr>
                <w:rFonts w:hint="eastAsia" w:cs="Times New Roman"/>
                <w:color w:val="auto"/>
                <w:sz w:val="24"/>
                <w:highlight w:val="none"/>
                <w:u w:val="none"/>
                <w:lang w:val="en-US" w:eastAsia="zh-CN"/>
              </w:rPr>
              <w:t>平顶山市叶县洪庄杨乡张集村、贾庄村</w:t>
            </w:r>
            <w:r>
              <w:rPr>
                <w:rFonts w:hint="default" w:ascii="Times New Roman" w:hAnsi="Times New Roman" w:cs="Times New Roman"/>
                <w:bCs/>
                <w:sz w:val="24"/>
                <w:szCs w:val="24"/>
                <w:highlight w:val="none"/>
                <w:u w:val="none"/>
                <w:lang w:val="en-US" w:eastAsia="zh-CN"/>
              </w:rPr>
              <w:t>，根据当地环境功能区划，该区域执行《环境空气质量标准》（GB3095-2012）二级标准。根据202</w:t>
            </w:r>
            <w:r>
              <w:rPr>
                <w:rFonts w:hint="eastAsia" w:cs="Times New Roman"/>
                <w:bCs/>
                <w:sz w:val="24"/>
                <w:szCs w:val="24"/>
                <w:highlight w:val="none"/>
                <w:u w:val="none"/>
                <w:lang w:val="en-US" w:eastAsia="zh-CN"/>
              </w:rPr>
              <w:t>3</w:t>
            </w:r>
            <w:r>
              <w:rPr>
                <w:rFonts w:hint="default" w:ascii="Times New Roman" w:hAnsi="Times New Roman" w:cs="Times New Roman"/>
                <w:bCs/>
                <w:sz w:val="24"/>
                <w:szCs w:val="24"/>
                <w:highlight w:val="none"/>
                <w:u w:val="none"/>
                <w:lang w:val="en-US" w:eastAsia="zh-CN"/>
              </w:rPr>
              <w:t>年度叶县环境空气质量监测网中评价基准年的监测数据，分析区域环境空气质量达标情况，</w:t>
            </w:r>
            <w:r>
              <w:rPr>
                <w:rFonts w:hint="default" w:ascii="Times New Roman" w:hAnsi="Times New Roman" w:cs="Times New Roman"/>
                <w:sz w:val="24"/>
                <w:szCs w:val="24"/>
                <w:highlight w:val="none"/>
                <w:u w:val="none"/>
              </w:rPr>
              <w:t>监测因子为SO</w:t>
            </w:r>
            <w:r>
              <w:rPr>
                <w:rFonts w:hint="default" w:ascii="Times New Roman" w:hAnsi="Times New Roman" w:cs="Times New Roman"/>
                <w:sz w:val="24"/>
                <w:szCs w:val="24"/>
                <w:highlight w:val="none"/>
                <w:u w:val="none"/>
                <w:vertAlign w:val="subscript"/>
              </w:rPr>
              <w:t>2</w:t>
            </w:r>
            <w:r>
              <w:rPr>
                <w:rFonts w:hint="default" w:ascii="Times New Roman" w:hAnsi="Times New Roman" w:cs="Times New Roman"/>
                <w:sz w:val="24"/>
                <w:szCs w:val="24"/>
                <w:highlight w:val="none"/>
                <w:u w:val="none"/>
              </w:rPr>
              <w:t>、NO</w:t>
            </w:r>
            <w:r>
              <w:rPr>
                <w:rFonts w:hint="default" w:ascii="Times New Roman" w:hAnsi="Times New Roman" w:cs="Times New Roman"/>
                <w:sz w:val="24"/>
                <w:szCs w:val="24"/>
                <w:highlight w:val="none"/>
                <w:u w:val="none"/>
                <w:vertAlign w:val="subscript"/>
              </w:rPr>
              <w:t>2</w:t>
            </w:r>
            <w:r>
              <w:rPr>
                <w:rFonts w:hint="default" w:ascii="Times New Roman" w:hAnsi="Times New Roman" w:cs="Times New Roman"/>
                <w:sz w:val="24"/>
                <w:szCs w:val="24"/>
                <w:highlight w:val="none"/>
                <w:u w:val="none"/>
              </w:rPr>
              <w:t>、PM</w:t>
            </w:r>
            <w:r>
              <w:rPr>
                <w:rFonts w:hint="default" w:ascii="Times New Roman" w:hAnsi="Times New Roman" w:cs="Times New Roman"/>
                <w:sz w:val="24"/>
                <w:szCs w:val="24"/>
                <w:highlight w:val="none"/>
                <w:u w:val="none"/>
                <w:vertAlign w:val="subscript"/>
              </w:rPr>
              <w:t>10</w:t>
            </w:r>
            <w:r>
              <w:rPr>
                <w:rFonts w:hint="default" w:ascii="Times New Roman" w:hAnsi="Times New Roman" w:cs="Times New Roman"/>
                <w:sz w:val="24"/>
                <w:szCs w:val="24"/>
                <w:highlight w:val="none"/>
                <w:u w:val="none"/>
              </w:rPr>
              <w:t>、PM</w:t>
            </w:r>
            <w:r>
              <w:rPr>
                <w:rFonts w:hint="default" w:ascii="Times New Roman" w:hAnsi="Times New Roman" w:cs="Times New Roman"/>
                <w:sz w:val="24"/>
                <w:szCs w:val="24"/>
                <w:highlight w:val="none"/>
                <w:u w:val="none"/>
                <w:vertAlign w:val="subscript"/>
              </w:rPr>
              <w:t>2.5</w:t>
            </w:r>
            <w:r>
              <w:rPr>
                <w:rFonts w:hint="default" w:ascii="Times New Roman" w:hAnsi="Times New Roman" w:cs="Times New Roman"/>
                <w:sz w:val="24"/>
                <w:szCs w:val="24"/>
                <w:highlight w:val="none"/>
                <w:u w:val="none"/>
              </w:rPr>
              <w:t>、CO、O</w:t>
            </w:r>
            <w:r>
              <w:rPr>
                <w:rFonts w:hint="default" w:ascii="Times New Roman" w:hAnsi="Times New Roman" w:cs="Times New Roman"/>
                <w:sz w:val="24"/>
                <w:szCs w:val="24"/>
                <w:highlight w:val="none"/>
                <w:u w:val="none"/>
                <w:vertAlign w:val="subscript"/>
              </w:rPr>
              <w:t>3</w:t>
            </w:r>
            <w:r>
              <w:rPr>
                <w:rFonts w:hint="default" w:ascii="Times New Roman" w:hAnsi="Times New Roman" w:cs="Times New Roman"/>
                <w:sz w:val="24"/>
                <w:szCs w:val="24"/>
                <w:highlight w:val="none"/>
                <w:u w:val="none"/>
              </w:rPr>
              <w:t>共6项，监测结果见下表。</w:t>
            </w:r>
          </w:p>
          <w:p w14:paraId="47BD2B23">
            <w:pPr>
              <w:keepNext w:val="0"/>
              <w:keepLines w:val="0"/>
              <w:pageBreakBefore w:val="0"/>
              <w:widowControl w:val="0"/>
              <w:kinsoku/>
              <w:wordWrap/>
              <w:overflowPunct/>
              <w:topLinePunct w:val="0"/>
              <w:autoSpaceDE/>
              <w:autoSpaceDN/>
              <w:bidi w:val="0"/>
              <w:spacing w:line="500" w:lineRule="exact"/>
              <w:jc w:val="center"/>
              <w:textAlignment w:val="auto"/>
              <w:rPr>
                <w:rFonts w:ascii="Calibri" w:hAnsi="Calibri" w:eastAsia="黑体" w:cs="Calibri"/>
                <w:bCs/>
                <w:sz w:val="24"/>
              </w:rPr>
            </w:pPr>
            <w:r>
              <w:rPr>
                <w:rFonts w:hint="default" w:ascii="Times New Roman" w:hAnsi="Times New Roman" w:eastAsia="黑体" w:cs="Times New Roman"/>
                <w:sz w:val="24"/>
              </w:rPr>
              <w:t>表</w:t>
            </w:r>
            <w:r>
              <w:rPr>
                <w:rFonts w:hint="default" w:ascii="Times New Roman" w:hAnsi="Times New Roman" w:eastAsia="黑体" w:cs="Times New Roman"/>
                <w:sz w:val="24"/>
                <w:lang w:val="en-US" w:eastAsia="zh-CN"/>
              </w:rPr>
              <w:t>3-1</w:t>
            </w:r>
            <w:r>
              <w:rPr>
                <w:rFonts w:hint="default" w:ascii="Times New Roman" w:hAnsi="Times New Roman" w:eastAsia="黑体" w:cs="Times New Roman"/>
                <w:sz w:val="24"/>
              </w:rPr>
              <w:t xml:space="preserve"> </w:t>
            </w:r>
            <w:r>
              <w:rPr>
                <w:rFonts w:hint="default" w:ascii="Times New Roman" w:hAnsi="Times New Roman" w:eastAsia="黑体" w:cs="Times New Roman"/>
                <w:bCs/>
                <w:sz w:val="24"/>
              </w:rPr>
              <w:t>叶县环境</w:t>
            </w:r>
            <w:r>
              <w:rPr>
                <w:rFonts w:ascii="Calibri" w:eastAsia="黑体" w:cs="Calibri"/>
                <w:bCs/>
                <w:sz w:val="24"/>
              </w:rPr>
              <w:t>空气质量达标情况一览表</w:t>
            </w:r>
          </w:p>
          <w:tbl>
            <w:tblPr>
              <w:tblStyle w:val="32"/>
              <w:tblW w:w="8174"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839"/>
              <w:gridCol w:w="854"/>
              <w:gridCol w:w="1536"/>
              <w:gridCol w:w="839"/>
              <w:gridCol w:w="792"/>
              <w:gridCol w:w="828"/>
              <w:gridCol w:w="742"/>
              <w:gridCol w:w="744"/>
            </w:tblGrid>
            <w:tr w14:paraId="14977A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9" w:hRule="atLeast"/>
                <w:jc w:val="center"/>
              </w:trPr>
              <w:tc>
                <w:tcPr>
                  <w:tcW w:w="1124" w:type="pct"/>
                  <w:tcBorders>
                    <w:tl2br w:val="nil"/>
                    <w:tr2bl w:val="nil"/>
                  </w:tcBorders>
                  <w:noWrap w:val="0"/>
                  <w:vAlign w:val="center"/>
                </w:tcPr>
                <w:p w14:paraId="792C5511">
                  <w:pPr>
                    <w:jc w:val="center"/>
                    <w:rPr>
                      <w:rFonts w:hint="default" w:ascii="Times New Roman" w:hAnsi="Times New Roman" w:cs="Times New Roman"/>
                    </w:rPr>
                  </w:pPr>
                  <w:r>
                    <w:rPr>
                      <w:rFonts w:hint="default" w:ascii="Times New Roman" w:hAnsi="Times New Roman" w:cs="Times New Roman"/>
                    </w:rPr>
                    <w:t>监测点位</w:t>
                  </w:r>
                </w:p>
              </w:tc>
              <w:tc>
                <w:tcPr>
                  <w:tcW w:w="522" w:type="pct"/>
                  <w:tcBorders>
                    <w:tl2br w:val="nil"/>
                    <w:tr2bl w:val="nil"/>
                  </w:tcBorders>
                  <w:noWrap w:val="0"/>
                  <w:vAlign w:val="center"/>
                </w:tcPr>
                <w:p w14:paraId="03F19D45">
                  <w:pPr>
                    <w:jc w:val="center"/>
                    <w:rPr>
                      <w:rFonts w:hint="default" w:ascii="Times New Roman" w:hAnsi="Times New Roman" w:cs="Times New Roman"/>
                    </w:rPr>
                  </w:pPr>
                  <w:r>
                    <w:rPr>
                      <w:rFonts w:hint="default" w:ascii="Times New Roman" w:hAnsi="Times New Roman" w:cs="Times New Roman"/>
                    </w:rPr>
                    <w:t>污染物</w:t>
                  </w:r>
                </w:p>
              </w:tc>
              <w:tc>
                <w:tcPr>
                  <w:tcW w:w="939" w:type="pct"/>
                  <w:tcBorders>
                    <w:tl2br w:val="nil"/>
                    <w:tr2bl w:val="nil"/>
                  </w:tcBorders>
                  <w:noWrap w:val="0"/>
                  <w:vAlign w:val="center"/>
                </w:tcPr>
                <w:p w14:paraId="53D0D224">
                  <w:pPr>
                    <w:jc w:val="center"/>
                    <w:rPr>
                      <w:rFonts w:hint="default" w:ascii="Times New Roman" w:hAnsi="Times New Roman" w:cs="Times New Roman"/>
                    </w:rPr>
                  </w:pPr>
                  <w:r>
                    <w:rPr>
                      <w:rFonts w:hint="default" w:ascii="Times New Roman" w:hAnsi="Times New Roman" w:cs="Times New Roman"/>
                    </w:rPr>
                    <w:t>年评价指标</w:t>
                  </w:r>
                </w:p>
              </w:tc>
              <w:tc>
                <w:tcPr>
                  <w:tcW w:w="513" w:type="pct"/>
                  <w:tcBorders>
                    <w:tl2br w:val="nil"/>
                    <w:tr2bl w:val="nil"/>
                  </w:tcBorders>
                  <w:noWrap w:val="0"/>
                  <w:vAlign w:val="center"/>
                </w:tcPr>
                <w:p w14:paraId="616775AF">
                  <w:pPr>
                    <w:jc w:val="center"/>
                    <w:rPr>
                      <w:rFonts w:hint="default" w:ascii="Times New Roman" w:hAnsi="Times New Roman" w:cs="Times New Roman"/>
                    </w:rPr>
                  </w:pPr>
                  <w:r>
                    <w:rPr>
                      <w:rFonts w:hint="default" w:ascii="Times New Roman" w:hAnsi="Times New Roman" w:cs="Times New Roman"/>
                    </w:rPr>
                    <w:t>现状浓度</w:t>
                  </w:r>
                </w:p>
              </w:tc>
              <w:tc>
                <w:tcPr>
                  <w:tcW w:w="484" w:type="pct"/>
                  <w:tcBorders>
                    <w:tl2br w:val="nil"/>
                    <w:tr2bl w:val="nil"/>
                  </w:tcBorders>
                  <w:noWrap w:val="0"/>
                  <w:vAlign w:val="center"/>
                </w:tcPr>
                <w:p w14:paraId="22BD25C8">
                  <w:pPr>
                    <w:jc w:val="center"/>
                    <w:rPr>
                      <w:rFonts w:hint="default" w:ascii="Times New Roman" w:hAnsi="Times New Roman" w:cs="Times New Roman"/>
                    </w:rPr>
                  </w:pPr>
                  <w:r>
                    <w:rPr>
                      <w:rFonts w:hint="default" w:ascii="Times New Roman" w:hAnsi="Times New Roman" w:cs="Times New Roman"/>
                    </w:rPr>
                    <w:t>标准值</w:t>
                  </w:r>
                </w:p>
              </w:tc>
              <w:tc>
                <w:tcPr>
                  <w:tcW w:w="506" w:type="pct"/>
                  <w:tcBorders>
                    <w:tl2br w:val="nil"/>
                    <w:tr2bl w:val="nil"/>
                  </w:tcBorders>
                  <w:noWrap w:val="0"/>
                  <w:vAlign w:val="center"/>
                </w:tcPr>
                <w:p w14:paraId="1A66E2C3">
                  <w:pPr>
                    <w:jc w:val="center"/>
                    <w:rPr>
                      <w:rFonts w:hint="default" w:ascii="Times New Roman" w:hAnsi="Times New Roman" w:cs="Times New Roman"/>
                    </w:rPr>
                  </w:pPr>
                  <w:r>
                    <w:rPr>
                      <w:rFonts w:hint="default" w:ascii="Times New Roman" w:hAnsi="Times New Roman" w:cs="Times New Roman"/>
                    </w:rPr>
                    <w:t>单位</w:t>
                  </w:r>
                </w:p>
              </w:tc>
              <w:tc>
                <w:tcPr>
                  <w:tcW w:w="453" w:type="pct"/>
                  <w:tcBorders>
                    <w:tl2br w:val="nil"/>
                    <w:tr2bl w:val="nil"/>
                  </w:tcBorders>
                  <w:noWrap w:val="0"/>
                  <w:vAlign w:val="center"/>
                </w:tcPr>
                <w:p w14:paraId="6985AEE6">
                  <w:pPr>
                    <w:jc w:val="center"/>
                    <w:rPr>
                      <w:rFonts w:hint="default" w:ascii="Times New Roman" w:hAnsi="Times New Roman" w:eastAsia="宋体" w:cs="Times New Roman"/>
                      <w:lang w:eastAsia="zh-CN"/>
                    </w:rPr>
                  </w:pPr>
                  <w:r>
                    <w:rPr>
                      <w:rFonts w:hint="default" w:ascii="Times New Roman" w:hAnsi="Times New Roman" w:cs="Times New Roman"/>
                      <w:lang w:eastAsia="zh-CN"/>
                    </w:rPr>
                    <w:t>占标率</w:t>
                  </w:r>
                </w:p>
              </w:tc>
              <w:tc>
                <w:tcPr>
                  <w:tcW w:w="455" w:type="pct"/>
                  <w:tcBorders>
                    <w:tl2br w:val="nil"/>
                    <w:tr2bl w:val="nil"/>
                  </w:tcBorders>
                  <w:noWrap w:val="0"/>
                  <w:vAlign w:val="center"/>
                </w:tcPr>
                <w:p w14:paraId="338C3199">
                  <w:pPr>
                    <w:jc w:val="center"/>
                    <w:rPr>
                      <w:rFonts w:hint="default" w:ascii="Times New Roman" w:hAnsi="Times New Roman" w:cs="Times New Roman"/>
                    </w:rPr>
                  </w:pPr>
                  <w:r>
                    <w:rPr>
                      <w:rFonts w:hint="default" w:ascii="Times New Roman" w:hAnsi="Times New Roman" w:cs="Times New Roman"/>
                    </w:rPr>
                    <w:t>达标</w:t>
                  </w:r>
                </w:p>
                <w:p w14:paraId="2B397D7C">
                  <w:pPr>
                    <w:jc w:val="center"/>
                    <w:rPr>
                      <w:rFonts w:hint="default" w:ascii="Times New Roman" w:hAnsi="Times New Roman" w:cs="Times New Roman"/>
                    </w:rPr>
                  </w:pPr>
                  <w:r>
                    <w:rPr>
                      <w:rFonts w:hint="default" w:ascii="Times New Roman" w:hAnsi="Times New Roman" w:cs="Times New Roman"/>
                    </w:rPr>
                    <w:t>情况</w:t>
                  </w:r>
                </w:p>
              </w:tc>
            </w:tr>
            <w:tr w14:paraId="335A6C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9" w:hRule="atLeast"/>
                <w:jc w:val="center"/>
              </w:trPr>
              <w:tc>
                <w:tcPr>
                  <w:tcW w:w="1124" w:type="pct"/>
                  <w:vMerge w:val="restart"/>
                  <w:tcBorders>
                    <w:tl2br w:val="nil"/>
                    <w:tr2bl w:val="nil"/>
                  </w:tcBorders>
                  <w:noWrap w:val="0"/>
                  <w:vAlign w:val="center"/>
                </w:tcPr>
                <w:p w14:paraId="666EE362">
                  <w:pPr>
                    <w:jc w:val="center"/>
                    <w:rPr>
                      <w:rFonts w:hint="default" w:ascii="Times New Roman" w:hAnsi="Times New Roman" w:cs="Times New Roman"/>
                    </w:rPr>
                  </w:pPr>
                  <w:r>
                    <w:rPr>
                      <w:rFonts w:hint="default" w:ascii="Times New Roman" w:hAnsi="Times New Roman" w:cs="Times New Roman"/>
                    </w:rPr>
                    <w:t>叶县（E113.</w:t>
                  </w:r>
                  <w:r>
                    <w:rPr>
                      <w:rFonts w:hint="default" w:ascii="Times New Roman" w:hAnsi="Times New Roman" w:cs="Times New Roman"/>
                      <w:lang w:val="en-US" w:eastAsia="zh-CN"/>
                    </w:rPr>
                    <w:t>373201°</w:t>
                  </w:r>
                  <w:r>
                    <w:rPr>
                      <w:rFonts w:hint="default" w:ascii="Times New Roman" w:hAnsi="Times New Roman" w:cs="Times New Roman"/>
                    </w:rPr>
                    <w:t>，N33.</w:t>
                  </w:r>
                  <w:r>
                    <w:rPr>
                      <w:rFonts w:hint="default" w:ascii="Times New Roman" w:hAnsi="Times New Roman" w:cs="Times New Roman"/>
                      <w:lang w:val="en-US" w:eastAsia="zh-CN"/>
                    </w:rPr>
                    <w:t>624001°</w:t>
                  </w:r>
                  <w:r>
                    <w:rPr>
                      <w:rFonts w:hint="default" w:ascii="Times New Roman" w:hAnsi="Times New Roman" w:cs="Times New Roman"/>
                    </w:rPr>
                    <w:t>）</w:t>
                  </w:r>
                </w:p>
              </w:tc>
              <w:tc>
                <w:tcPr>
                  <w:tcW w:w="522" w:type="pct"/>
                  <w:tcBorders>
                    <w:tl2br w:val="nil"/>
                    <w:tr2bl w:val="nil"/>
                  </w:tcBorders>
                  <w:noWrap w:val="0"/>
                  <w:vAlign w:val="center"/>
                </w:tcPr>
                <w:p w14:paraId="18B45030">
                  <w:pPr>
                    <w:jc w:val="center"/>
                    <w:rPr>
                      <w:rFonts w:hint="default" w:ascii="Times New Roman" w:hAnsi="Times New Roman" w:cs="Times New Roman"/>
                    </w:rPr>
                  </w:pPr>
                  <w:r>
                    <w:rPr>
                      <w:rFonts w:hint="default" w:ascii="Times New Roman" w:hAnsi="Times New Roman" w:cs="Times New Roman"/>
                    </w:rPr>
                    <w:t>PM</w:t>
                  </w:r>
                  <w:r>
                    <w:rPr>
                      <w:rFonts w:hint="default" w:ascii="Times New Roman" w:hAnsi="Times New Roman" w:cs="Times New Roman"/>
                      <w:vertAlign w:val="subscript"/>
                    </w:rPr>
                    <w:t>2.5</w:t>
                  </w:r>
                </w:p>
              </w:tc>
              <w:tc>
                <w:tcPr>
                  <w:tcW w:w="939" w:type="pct"/>
                  <w:tcBorders>
                    <w:tl2br w:val="nil"/>
                    <w:tr2bl w:val="nil"/>
                  </w:tcBorders>
                  <w:noWrap w:val="0"/>
                  <w:vAlign w:val="center"/>
                </w:tcPr>
                <w:p w14:paraId="48E201E6">
                  <w:pPr>
                    <w:jc w:val="center"/>
                    <w:rPr>
                      <w:rFonts w:hint="default" w:ascii="Times New Roman" w:hAnsi="Times New Roman" w:cs="Times New Roman"/>
                    </w:rPr>
                  </w:pPr>
                  <w:r>
                    <w:rPr>
                      <w:rFonts w:hint="default" w:ascii="Times New Roman" w:hAnsi="Times New Roman" w:cs="Times New Roman"/>
                    </w:rPr>
                    <w:t>年均值</w:t>
                  </w:r>
                </w:p>
              </w:tc>
              <w:tc>
                <w:tcPr>
                  <w:tcW w:w="513" w:type="pct"/>
                  <w:tcBorders>
                    <w:tl2br w:val="nil"/>
                    <w:tr2bl w:val="nil"/>
                  </w:tcBorders>
                  <w:noWrap w:val="0"/>
                  <w:vAlign w:val="center"/>
                </w:tcPr>
                <w:p w14:paraId="1A86426E">
                  <w:pPr>
                    <w:jc w:val="center"/>
                    <w:rPr>
                      <w:rFonts w:hint="default" w:ascii="Times New Roman" w:hAnsi="Times New Roman" w:eastAsia="宋体" w:cs="Times New Roman"/>
                      <w:lang w:val="en-US" w:eastAsia="zh-CN"/>
                    </w:rPr>
                  </w:pPr>
                  <w:r>
                    <w:rPr>
                      <w:rFonts w:hint="eastAsia" w:cs="Times New Roman"/>
                      <w:lang w:val="en-US" w:eastAsia="zh-CN"/>
                    </w:rPr>
                    <w:t>35</w:t>
                  </w:r>
                </w:p>
              </w:tc>
              <w:tc>
                <w:tcPr>
                  <w:tcW w:w="484" w:type="pct"/>
                  <w:tcBorders>
                    <w:tl2br w:val="nil"/>
                    <w:tr2bl w:val="nil"/>
                  </w:tcBorders>
                  <w:noWrap w:val="0"/>
                  <w:vAlign w:val="center"/>
                </w:tcPr>
                <w:p w14:paraId="68C57D45">
                  <w:pPr>
                    <w:jc w:val="center"/>
                    <w:rPr>
                      <w:rFonts w:hint="default" w:ascii="Times New Roman" w:hAnsi="Times New Roman" w:cs="Times New Roman"/>
                    </w:rPr>
                  </w:pPr>
                  <w:r>
                    <w:rPr>
                      <w:rFonts w:hint="default" w:ascii="Times New Roman" w:hAnsi="Times New Roman" w:cs="Times New Roman"/>
                    </w:rPr>
                    <w:t>35</w:t>
                  </w:r>
                </w:p>
              </w:tc>
              <w:tc>
                <w:tcPr>
                  <w:tcW w:w="506" w:type="pct"/>
                  <w:tcBorders>
                    <w:tl2br w:val="nil"/>
                    <w:tr2bl w:val="nil"/>
                  </w:tcBorders>
                  <w:noWrap w:val="0"/>
                  <w:vAlign w:val="center"/>
                </w:tcPr>
                <w:p w14:paraId="3CA71882">
                  <w:pPr>
                    <w:jc w:val="center"/>
                    <w:rPr>
                      <w:rFonts w:hint="default" w:ascii="Times New Roman" w:hAnsi="Times New Roman" w:cs="Times New Roman"/>
                    </w:rPr>
                  </w:pPr>
                  <w:r>
                    <w:rPr>
                      <w:rFonts w:hint="default" w:ascii="Times New Roman" w:hAnsi="Times New Roman" w:cs="Times New Roman"/>
                    </w:rPr>
                    <w:t>μg/m³</w:t>
                  </w:r>
                </w:p>
              </w:tc>
              <w:tc>
                <w:tcPr>
                  <w:tcW w:w="453" w:type="pct"/>
                  <w:tcBorders>
                    <w:tl2br w:val="nil"/>
                    <w:tr2bl w:val="nil"/>
                  </w:tcBorders>
                  <w:noWrap w:val="0"/>
                  <w:vAlign w:val="center"/>
                </w:tcPr>
                <w:p w14:paraId="160B8CD7">
                  <w:pPr>
                    <w:jc w:val="center"/>
                    <w:rPr>
                      <w:rFonts w:hint="default" w:ascii="Times New Roman" w:hAnsi="Times New Roman" w:eastAsia="宋体" w:cs="Times New Roman"/>
                      <w:lang w:val="en-US" w:eastAsia="zh-CN"/>
                    </w:rPr>
                  </w:pPr>
                  <w:r>
                    <w:rPr>
                      <w:rFonts w:hint="eastAsia" w:cs="Times New Roman"/>
                      <w:color w:val="auto"/>
                      <w:szCs w:val="21"/>
                      <w:lang w:val="en-US" w:eastAsia="zh-CN"/>
                    </w:rPr>
                    <w:t>100%</w:t>
                  </w:r>
                </w:p>
              </w:tc>
              <w:tc>
                <w:tcPr>
                  <w:tcW w:w="455" w:type="pct"/>
                  <w:tcBorders>
                    <w:tl2br w:val="nil"/>
                    <w:tr2bl w:val="nil"/>
                  </w:tcBorders>
                  <w:noWrap w:val="0"/>
                  <w:vAlign w:val="center"/>
                </w:tcPr>
                <w:p w14:paraId="398CF16A">
                  <w:pPr>
                    <w:jc w:val="center"/>
                    <w:rPr>
                      <w:rFonts w:hint="default" w:ascii="Times New Roman" w:hAnsi="Times New Roman" w:cs="Times New Roman"/>
                    </w:rPr>
                  </w:pPr>
                  <w:r>
                    <w:rPr>
                      <w:rFonts w:hint="eastAsia" w:cs="Times New Roman"/>
                      <w:lang w:val="en-US" w:eastAsia="zh-CN"/>
                    </w:rPr>
                    <w:t>达</w:t>
                  </w:r>
                  <w:r>
                    <w:rPr>
                      <w:rFonts w:hint="default" w:ascii="Times New Roman" w:hAnsi="Times New Roman" w:cs="Times New Roman"/>
                    </w:rPr>
                    <w:t>标</w:t>
                  </w:r>
                </w:p>
              </w:tc>
            </w:tr>
            <w:tr w14:paraId="0797D4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9" w:hRule="atLeast"/>
                <w:jc w:val="center"/>
              </w:trPr>
              <w:tc>
                <w:tcPr>
                  <w:tcW w:w="1124" w:type="pct"/>
                  <w:vMerge w:val="continue"/>
                  <w:tcBorders>
                    <w:tl2br w:val="nil"/>
                    <w:tr2bl w:val="nil"/>
                  </w:tcBorders>
                  <w:noWrap w:val="0"/>
                  <w:vAlign w:val="center"/>
                </w:tcPr>
                <w:p w14:paraId="5F090D27">
                  <w:pPr>
                    <w:jc w:val="center"/>
                    <w:rPr>
                      <w:rFonts w:hint="default" w:ascii="Times New Roman" w:hAnsi="Times New Roman" w:cs="Times New Roman"/>
                    </w:rPr>
                  </w:pPr>
                </w:p>
              </w:tc>
              <w:tc>
                <w:tcPr>
                  <w:tcW w:w="522" w:type="pct"/>
                  <w:tcBorders>
                    <w:tl2br w:val="nil"/>
                    <w:tr2bl w:val="nil"/>
                  </w:tcBorders>
                  <w:noWrap w:val="0"/>
                  <w:vAlign w:val="center"/>
                </w:tcPr>
                <w:p w14:paraId="1B309EE9">
                  <w:pPr>
                    <w:jc w:val="center"/>
                    <w:rPr>
                      <w:rFonts w:hint="default" w:ascii="Times New Roman" w:hAnsi="Times New Roman" w:cs="Times New Roman"/>
                    </w:rPr>
                  </w:pPr>
                  <w:r>
                    <w:rPr>
                      <w:rFonts w:hint="default" w:ascii="Times New Roman" w:hAnsi="Times New Roman" w:cs="Times New Roman"/>
                    </w:rPr>
                    <w:t>PM</w:t>
                  </w:r>
                  <w:r>
                    <w:rPr>
                      <w:rFonts w:hint="default" w:ascii="Times New Roman" w:hAnsi="Times New Roman" w:cs="Times New Roman"/>
                      <w:vertAlign w:val="subscript"/>
                    </w:rPr>
                    <w:t>10</w:t>
                  </w:r>
                </w:p>
              </w:tc>
              <w:tc>
                <w:tcPr>
                  <w:tcW w:w="939" w:type="pct"/>
                  <w:tcBorders>
                    <w:tl2br w:val="nil"/>
                    <w:tr2bl w:val="nil"/>
                  </w:tcBorders>
                  <w:noWrap w:val="0"/>
                  <w:vAlign w:val="center"/>
                </w:tcPr>
                <w:p w14:paraId="10D0D096">
                  <w:pPr>
                    <w:jc w:val="center"/>
                    <w:rPr>
                      <w:rFonts w:hint="default" w:ascii="Times New Roman" w:hAnsi="Times New Roman" w:cs="Times New Roman"/>
                    </w:rPr>
                  </w:pPr>
                  <w:r>
                    <w:rPr>
                      <w:rFonts w:hint="default" w:ascii="Times New Roman" w:hAnsi="Times New Roman" w:cs="Times New Roman"/>
                    </w:rPr>
                    <w:t>年均值</w:t>
                  </w:r>
                </w:p>
              </w:tc>
              <w:tc>
                <w:tcPr>
                  <w:tcW w:w="513" w:type="pct"/>
                  <w:tcBorders>
                    <w:tl2br w:val="nil"/>
                    <w:tr2bl w:val="nil"/>
                  </w:tcBorders>
                  <w:noWrap w:val="0"/>
                  <w:vAlign w:val="center"/>
                </w:tcPr>
                <w:p w14:paraId="4F792148">
                  <w:pPr>
                    <w:jc w:val="center"/>
                    <w:rPr>
                      <w:rFonts w:hint="default" w:ascii="Times New Roman" w:hAnsi="Times New Roman" w:eastAsia="宋体" w:cs="Times New Roman"/>
                      <w:lang w:val="en-US" w:eastAsia="zh-CN"/>
                    </w:rPr>
                  </w:pPr>
                  <w:r>
                    <w:rPr>
                      <w:rFonts w:hint="eastAsia" w:cs="Times New Roman"/>
                      <w:lang w:val="en-US" w:eastAsia="zh-CN"/>
                    </w:rPr>
                    <w:t>70</w:t>
                  </w:r>
                </w:p>
              </w:tc>
              <w:tc>
                <w:tcPr>
                  <w:tcW w:w="484" w:type="pct"/>
                  <w:tcBorders>
                    <w:tl2br w:val="nil"/>
                    <w:tr2bl w:val="nil"/>
                  </w:tcBorders>
                  <w:noWrap w:val="0"/>
                  <w:vAlign w:val="center"/>
                </w:tcPr>
                <w:p w14:paraId="2878D1EE">
                  <w:pPr>
                    <w:jc w:val="center"/>
                    <w:rPr>
                      <w:rFonts w:hint="default" w:ascii="Times New Roman" w:hAnsi="Times New Roman" w:cs="Times New Roman"/>
                    </w:rPr>
                  </w:pPr>
                  <w:r>
                    <w:rPr>
                      <w:rFonts w:hint="default" w:ascii="Times New Roman" w:hAnsi="Times New Roman" w:cs="Times New Roman"/>
                    </w:rPr>
                    <w:t>70</w:t>
                  </w:r>
                </w:p>
              </w:tc>
              <w:tc>
                <w:tcPr>
                  <w:tcW w:w="506" w:type="pct"/>
                  <w:tcBorders>
                    <w:tl2br w:val="nil"/>
                    <w:tr2bl w:val="nil"/>
                  </w:tcBorders>
                  <w:noWrap w:val="0"/>
                  <w:vAlign w:val="center"/>
                </w:tcPr>
                <w:p w14:paraId="2B3F84B2">
                  <w:pPr>
                    <w:jc w:val="center"/>
                    <w:rPr>
                      <w:rFonts w:hint="default" w:ascii="Times New Roman" w:hAnsi="Times New Roman" w:cs="Times New Roman"/>
                    </w:rPr>
                  </w:pPr>
                  <w:r>
                    <w:rPr>
                      <w:rFonts w:hint="default" w:ascii="Times New Roman" w:hAnsi="Times New Roman" w:cs="Times New Roman"/>
                    </w:rPr>
                    <w:t>μg/m³</w:t>
                  </w:r>
                </w:p>
              </w:tc>
              <w:tc>
                <w:tcPr>
                  <w:tcW w:w="453" w:type="pct"/>
                  <w:tcBorders>
                    <w:tl2br w:val="nil"/>
                    <w:tr2bl w:val="nil"/>
                  </w:tcBorders>
                  <w:noWrap w:val="0"/>
                  <w:vAlign w:val="center"/>
                </w:tcPr>
                <w:p w14:paraId="0A6E28D1">
                  <w:pPr>
                    <w:jc w:val="center"/>
                    <w:rPr>
                      <w:rFonts w:hint="default" w:ascii="Times New Roman" w:hAnsi="Times New Roman" w:eastAsia="宋体" w:cs="Times New Roman"/>
                      <w:lang w:val="en-US" w:eastAsia="zh-CN"/>
                    </w:rPr>
                  </w:pPr>
                  <w:r>
                    <w:rPr>
                      <w:rFonts w:hint="eastAsia" w:cs="Times New Roman"/>
                      <w:color w:val="auto"/>
                      <w:szCs w:val="21"/>
                      <w:lang w:val="en-US" w:eastAsia="zh-CN"/>
                    </w:rPr>
                    <w:t>100%</w:t>
                  </w:r>
                </w:p>
              </w:tc>
              <w:tc>
                <w:tcPr>
                  <w:tcW w:w="455" w:type="pct"/>
                  <w:tcBorders>
                    <w:tl2br w:val="nil"/>
                    <w:tr2bl w:val="nil"/>
                  </w:tcBorders>
                  <w:noWrap w:val="0"/>
                  <w:vAlign w:val="center"/>
                </w:tcPr>
                <w:p w14:paraId="7BEBD56D">
                  <w:pPr>
                    <w:jc w:val="center"/>
                    <w:rPr>
                      <w:rFonts w:hint="default" w:ascii="Times New Roman" w:hAnsi="Times New Roman" w:cs="Times New Roman"/>
                    </w:rPr>
                  </w:pPr>
                  <w:r>
                    <w:rPr>
                      <w:rFonts w:hint="eastAsia" w:cs="Times New Roman"/>
                      <w:lang w:val="en-US" w:eastAsia="zh-CN"/>
                    </w:rPr>
                    <w:t>达</w:t>
                  </w:r>
                  <w:r>
                    <w:rPr>
                      <w:rFonts w:hint="default" w:ascii="Times New Roman" w:hAnsi="Times New Roman" w:cs="Times New Roman"/>
                    </w:rPr>
                    <w:t>标</w:t>
                  </w:r>
                </w:p>
              </w:tc>
            </w:tr>
            <w:tr w14:paraId="6C552C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9" w:hRule="atLeast"/>
                <w:jc w:val="center"/>
              </w:trPr>
              <w:tc>
                <w:tcPr>
                  <w:tcW w:w="1124" w:type="pct"/>
                  <w:vMerge w:val="continue"/>
                  <w:tcBorders>
                    <w:tl2br w:val="nil"/>
                    <w:tr2bl w:val="nil"/>
                  </w:tcBorders>
                  <w:noWrap w:val="0"/>
                  <w:vAlign w:val="center"/>
                </w:tcPr>
                <w:p w14:paraId="39CA43D6">
                  <w:pPr>
                    <w:jc w:val="center"/>
                    <w:rPr>
                      <w:rFonts w:hint="default" w:ascii="Times New Roman" w:hAnsi="Times New Roman" w:cs="Times New Roman"/>
                    </w:rPr>
                  </w:pPr>
                </w:p>
              </w:tc>
              <w:tc>
                <w:tcPr>
                  <w:tcW w:w="522" w:type="pct"/>
                  <w:tcBorders>
                    <w:tl2br w:val="nil"/>
                    <w:tr2bl w:val="nil"/>
                  </w:tcBorders>
                  <w:noWrap w:val="0"/>
                  <w:vAlign w:val="center"/>
                </w:tcPr>
                <w:p w14:paraId="76D42D3B">
                  <w:pPr>
                    <w:jc w:val="center"/>
                    <w:rPr>
                      <w:rFonts w:hint="default" w:ascii="Times New Roman" w:hAnsi="Times New Roman" w:cs="Times New Roman"/>
                    </w:rPr>
                  </w:pPr>
                  <w:r>
                    <w:rPr>
                      <w:rFonts w:hint="default" w:ascii="Times New Roman" w:hAnsi="Times New Roman" w:cs="Times New Roman"/>
                    </w:rPr>
                    <w:t>SO</w:t>
                  </w:r>
                  <w:r>
                    <w:rPr>
                      <w:rFonts w:hint="default" w:ascii="Times New Roman" w:hAnsi="Times New Roman" w:cs="Times New Roman"/>
                      <w:vertAlign w:val="subscript"/>
                    </w:rPr>
                    <w:t>2</w:t>
                  </w:r>
                </w:p>
              </w:tc>
              <w:tc>
                <w:tcPr>
                  <w:tcW w:w="939" w:type="pct"/>
                  <w:tcBorders>
                    <w:tl2br w:val="nil"/>
                    <w:tr2bl w:val="nil"/>
                  </w:tcBorders>
                  <w:noWrap w:val="0"/>
                  <w:vAlign w:val="center"/>
                </w:tcPr>
                <w:p w14:paraId="6A888DA0">
                  <w:pPr>
                    <w:jc w:val="center"/>
                    <w:rPr>
                      <w:rFonts w:hint="default" w:ascii="Times New Roman" w:hAnsi="Times New Roman" w:cs="Times New Roman"/>
                    </w:rPr>
                  </w:pPr>
                  <w:r>
                    <w:rPr>
                      <w:rFonts w:hint="default" w:ascii="Times New Roman" w:hAnsi="Times New Roman" w:cs="Times New Roman"/>
                    </w:rPr>
                    <w:t>年均值</w:t>
                  </w:r>
                </w:p>
              </w:tc>
              <w:tc>
                <w:tcPr>
                  <w:tcW w:w="513" w:type="pct"/>
                  <w:tcBorders>
                    <w:tl2br w:val="nil"/>
                    <w:tr2bl w:val="nil"/>
                  </w:tcBorders>
                  <w:noWrap w:val="0"/>
                  <w:vAlign w:val="center"/>
                </w:tcPr>
                <w:p w14:paraId="6148D0FD">
                  <w:pPr>
                    <w:jc w:val="center"/>
                    <w:rPr>
                      <w:rFonts w:hint="default" w:ascii="Times New Roman" w:hAnsi="Times New Roman" w:eastAsia="宋体" w:cs="Times New Roman"/>
                      <w:lang w:val="en-US" w:eastAsia="zh-CN"/>
                    </w:rPr>
                  </w:pPr>
                  <w:r>
                    <w:rPr>
                      <w:rFonts w:hint="default" w:ascii="Times New Roman" w:hAnsi="Times New Roman" w:cs="Times New Roman"/>
                      <w:lang w:val="en-US" w:eastAsia="zh-CN"/>
                    </w:rPr>
                    <w:t>10</w:t>
                  </w:r>
                </w:p>
              </w:tc>
              <w:tc>
                <w:tcPr>
                  <w:tcW w:w="484" w:type="pct"/>
                  <w:tcBorders>
                    <w:tl2br w:val="nil"/>
                    <w:tr2bl w:val="nil"/>
                  </w:tcBorders>
                  <w:noWrap w:val="0"/>
                  <w:vAlign w:val="center"/>
                </w:tcPr>
                <w:p w14:paraId="05A4A310">
                  <w:pPr>
                    <w:jc w:val="center"/>
                    <w:rPr>
                      <w:rFonts w:hint="default" w:ascii="Times New Roman" w:hAnsi="Times New Roman" w:cs="Times New Roman"/>
                    </w:rPr>
                  </w:pPr>
                  <w:r>
                    <w:rPr>
                      <w:rFonts w:hint="default" w:ascii="Times New Roman" w:hAnsi="Times New Roman" w:cs="Times New Roman"/>
                    </w:rPr>
                    <w:t>60</w:t>
                  </w:r>
                </w:p>
              </w:tc>
              <w:tc>
                <w:tcPr>
                  <w:tcW w:w="506" w:type="pct"/>
                  <w:tcBorders>
                    <w:tl2br w:val="nil"/>
                    <w:tr2bl w:val="nil"/>
                  </w:tcBorders>
                  <w:noWrap w:val="0"/>
                  <w:vAlign w:val="center"/>
                </w:tcPr>
                <w:p w14:paraId="07192C0F">
                  <w:pPr>
                    <w:jc w:val="center"/>
                    <w:rPr>
                      <w:rFonts w:hint="default" w:ascii="Times New Roman" w:hAnsi="Times New Roman" w:cs="Times New Roman"/>
                    </w:rPr>
                  </w:pPr>
                  <w:r>
                    <w:rPr>
                      <w:rFonts w:hint="default" w:ascii="Times New Roman" w:hAnsi="Times New Roman" w:cs="Times New Roman"/>
                    </w:rPr>
                    <w:t>μg/m³</w:t>
                  </w:r>
                </w:p>
              </w:tc>
              <w:tc>
                <w:tcPr>
                  <w:tcW w:w="453" w:type="pct"/>
                  <w:tcBorders>
                    <w:tl2br w:val="nil"/>
                    <w:tr2bl w:val="nil"/>
                  </w:tcBorders>
                  <w:noWrap w:val="0"/>
                  <w:vAlign w:val="center"/>
                </w:tcPr>
                <w:p w14:paraId="6157A379">
                  <w:pPr>
                    <w:jc w:val="center"/>
                    <w:rPr>
                      <w:rFonts w:hint="default" w:ascii="Times New Roman" w:hAnsi="Times New Roman" w:cs="Times New Roman"/>
                    </w:rPr>
                  </w:pPr>
                  <w:r>
                    <w:rPr>
                      <w:rFonts w:hint="eastAsia" w:cs="Times New Roman"/>
                      <w:color w:val="auto"/>
                      <w:szCs w:val="21"/>
                      <w:lang w:val="en-US" w:eastAsia="zh-CN"/>
                    </w:rPr>
                    <w:t>17%</w:t>
                  </w:r>
                </w:p>
              </w:tc>
              <w:tc>
                <w:tcPr>
                  <w:tcW w:w="455" w:type="pct"/>
                  <w:tcBorders>
                    <w:tl2br w:val="nil"/>
                    <w:tr2bl w:val="nil"/>
                  </w:tcBorders>
                  <w:noWrap w:val="0"/>
                  <w:vAlign w:val="center"/>
                </w:tcPr>
                <w:p w14:paraId="61F59630">
                  <w:pPr>
                    <w:jc w:val="center"/>
                    <w:rPr>
                      <w:rFonts w:hint="default" w:ascii="Times New Roman" w:hAnsi="Times New Roman" w:cs="Times New Roman"/>
                    </w:rPr>
                  </w:pPr>
                  <w:r>
                    <w:rPr>
                      <w:rFonts w:hint="default" w:ascii="Times New Roman" w:hAnsi="Times New Roman" w:cs="Times New Roman"/>
                    </w:rPr>
                    <w:t>达标</w:t>
                  </w:r>
                </w:p>
              </w:tc>
            </w:tr>
            <w:tr w14:paraId="36FEED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9" w:hRule="atLeast"/>
                <w:jc w:val="center"/>
              </w:trPr>
              <w:tc>
                <w:tcPr>
                  <w:tcW w:w="1124" w:type="pct"/>
                  <w:vMerge w:val="continue"/>
                  <w:tcBorders>
                    <w:tl2br w:val="nil"/>
                    <w:tr2bl w:val="nil"/>
                  </w:tcBorders>
                  <w:noWrap w:val="0"/>
                  <w:vAlign w:val="center"/>
                </w:tcPr>
                <w:p w14:paraId="2573BAA7">
                  <w:pPr>
                    <w:jc w:val="center"/>
                    <w:rPr>
                      <w:rFonts w:hint="default" w:ascii="Times New Roman" w:hAnsi="Times New Roman" w:cs="Times New Roman"/>
                    </w:rPr>
                  </w:pPr>
                </w:p>
              </w:tc>
              <w:tc>
                <w:tcPr>
                  <w:tcW w:w="522" w:type="pct"/>
                  <w:tcBorders>
                    <w:tl2br w:val="nil"/>
                    <w:tr2bl w:val="nil"/>
                  </w:tcBorders>
                  <w:noWrap w:val="0"/>
                  <w:vAlign w:val="center"/>
                </w:tcPr>
                <w:p w14:paraId="462AD7B5">
                  <w:pPr>
                    <w:jc w:val="center"/>
                    <w:rPr>
                      <w:rFonts w:hint="default" w:ascii="Times New Roman" w:hAnsi="Times New Roman" w:cs="Times New Roman"/>
                    </w:rPr>
                  </w:pPr>
                  <w:r>
                    <w:rPr>
                      <w:rFonts w:hint="default" w:ascii="Times New Roman" w:hAnsi="Times New Roman" w:cs="Times New Roman"/>
                    </w:rPr>
                    <w:t>NO</w:t>
                  </w:r>
                  <w:r>
                    <w:rPr>
                      <w:rFonts w:hint="default" w:ascii="Times New Roman" w:hAnsi="Times New Roman" w:cs="Times New Roman"/>
                      <w:vertAlign w:val="subscript"/>
                    </w:rPr>
                    <w:t>2</w:t>
                  </w:r>
                </w:p>
              </w:tc>
              <w:tc>
                <w:tcPr>
                  <w:tcW w:w="939" w:type="pct"/>
                  <w:tcBorders>
                    <w:tl2br w:val="nil"/>
                    <w:tr2bl w:val="nil"/>
                  </w:tcBorders>
                  <w:noWrap w:val="0"/>
                  <w:vAlign w:val="center"/>
                </w:tcPr>
                <w:p w14:paraId="3CF8126F">
                  <w:pPr>
                    <w:jc w:val="center"/>
                    <w:rPr>
                      <w:rFonts w:hint="default" w:ascii="Times New Roman" w:hAnsi="Times New Roman" w:cs="Times New Roman"/>
                    </w:rPr>
                  </w:pPr>
                  <w:r>
                    <w:rPr>
                      <w:rFonts w:hint="default" w:ascii="Times New Roman" w:hAnsi="Times New Roman" w:cs="Times New Roman"/>
                    </w:rPr>
                    <w:t>年均值</w:t>
                  </w:r>
                </w:p>
              </w:tc>
              <w:tc>
                <w:tcPr>
                  <w:tcW w:w="513" w:type="pct"/>
                  <w:tcBorders>
                    <w:tl2br w:val="nil"/>
                    <w:tr2bl w:val="nil"/>
                  </w:tcBorders>
                  <w:noWrap w:val="0"/>
                  <w:vAlign w:val="center"/>
                </w:tcPr>
                <w:p w14:paraId="0E817C51">
                  <w:pPr>
                    <w:jc w:val="center"/>
                    <w:rPr>
                      <w:rFonts w:hint="default" w:ascii="Times New Roman" w:hAnsi="Times New Roman" w:eastAsia="宋体" w:cs="Times New Roman"/>
                      <w:lang w:val="en-US" w:eastAsia="zh-CN"/>
                    </w:rPr>
                  </w:pPr>
                  <w:r>
                    <w:rPr>
                      <w:rFonts w:hint="default" w:ascii="Times New Roman" w:hAnsi="Times New Roman" w:cs="Times New Roman"/>
                      <w:lang w:val="en-US" w:eastAsia="zh-CN"/>
                    </w:rPr>
                    <w:t>24</w:t>
                  </w:r>
                </w:p>
              </w:tc>
              <w:tc>
                <w:tcPr>
                  <w:tcW w:w="484" w:type="pct"/>
                  <w:tcBorders>
                    <w:tl2br w:val="nil"/>
                    <w:tr2bl w:val="nil"/>
                  </w:tcBorders>
                  <w:noWrap w:val="0"/>
                  <w:vAlign w:val="center"/>
                </w:tcPr>
                <w:p w14:paraId="23E2D045">
                  <w:pPr>
                    <w:jc w:val="center"/>
                    <w:rPr>
                      <w:rFonts w:hint="default" w:ascii="Times New Roman" w:hAnsi="Times New Roman" w:cs="Times New Roman"/>
                    </w:rPr>
                  </w:pPr>
                  <w:r>
                    <w:rPr>
                      <w:rFonts w:hint="default" w:ascii="Times New Roman" w:hAnsi="Times New Roman" w:cs="Times New Roman"/>
                    </w:rPr>
                    <w:t>4</w:t>
                  </w:r>
                </w:p>
              </w:tc>
              <w:tc>
                <w:tcPr>
                  <w:tcW w:w="506" w:type="pct"/>
                  <w:tcBorders>
                    <w:tl2br w:val="nil"/>
                    <w:tr2bl w:val="nil"/>
                  </w:tcBorders>
                  <w:noWrap w:val="0"/>
                  <w:vAlign w:val="center"/>
                </w:tcPr>
                <w:p w14:paraId="28F82372">
                  <w:pPr>
                    <w:jc w:val="center"/>
                    <w:rPr>
                      <w:rFonts w:hint="default" w:ascii="Times New Roman" w:hAnsi="Times New Roman" w:cs="Times New Roman"/>
                    </w:rPr>
                  </w:pPr>
                  <w:r>
                    <w:rPr>
                      <w:rFonts w:hint="default" w:ascii="Times New Roman" w:hAnsi="Times New Roman" w:cs="Times New Roman"/>
                    </w:rPr>
                    <w:t>μg/m³</w:t>
                  </w:r>
                </w:p>
              </w:tc>
              <w:tc>
                <w:tcPr>
                  <w:tcW w:w="453" w:type="pct"/>
                  <w:tcBorders>
                    <w:tl2br w:val="nil"/>
                    <w:tr2bl w:val="nil"/>
                  </w:tcBorders>
                  <w:noWrap w:val="0"/>
                  <w:vAlign w:val="center"/>
                </w:tcPr>
                <w:p w14:paraId="20C1878D">
                  <w:pPr>
                    <w:jc w:val="center"/>
                    <w:rPr>
                      <w:rFonts w:hint="default" w:ascii="Times New Roman" w:hAnsi="Times New Roman" w:eastAsia="宋体" w:cs="Times New Roman"/>
                      <w:lang w:eastAsia="zh-CN"/>
                    </w:rPr>
                  </w:pPr>
                  <w:r>
                    <w:rPr>
                      <w:rFonts w:hint="eastAsia" w:cs="Times New Roman"/>
                      <w:color w:val="auto"/>
                      <w:szCs w:val="21"/>
                      <w:lang w:val="en-US" w:eastAsia="zh-CN"/>
                    </w:rPr>
                    <w:t>60%</w:t>
                  </w:r>
                </w:p>
              </w:tc>
              <w:tc>
                <w:tcPr>
                  <w:tcW w:w="455" w:type="pct"/>
                  <w:tcBorders>
                    <w:tl2br w:val="nil"/>
                    <w:tr2bl w:val="nil"/>
                  </w:tcBorders>
                  <w:noWrap w:val="0"/>
                  <w:vAlign w:val="center"/>
                </w:tcPr>
                <w:p w14:paraId="3E78ADED">
                  <w:pPr>
                    <w:jc w:val="center"/>
                    <w:rPr>
                      <w:rFonts w:hint="default" w:ascii="Times New Roman" w:hAnsi="Times New Roman" w:cs="Times New Roman"/>
                    </w:rPr>
                  </w:pPr>
                  <w:r>
                    <w:rPr>
                      <w:rFonts w:hint="default" w:ascii="Times New Roman" w:hAnsi="Times New Roman" w:cs="Times New Roman"/>
                    </w:rPr>
                    <w:t>达标</w:t>
                  </w:r>
                </w:p>
              </w:tc>
            </w:tr>
            <w:tr w14:paraId="499228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9" w:hRule="atLeast"/>
                <w:jc w:val="center"/>
              </w:trPr>
              <w:tc>
                <w:tcPr>
                  <w:tcW w:w="1124" w:type="pct"/>
                  <w:vMerge w:val="continue"/>
                  <w:tcBorders>
                    <w:tl2br w:val="nil"/>
                    <w:tr2bl w:val="nil"/>
                  </w:tcBorders>
                  <w:noWrap w:val="0"/>
                  <w:vAlign w:val="center"/>
                </w:tcPr>
                <w:p w14:paraId="54ABFB93">
                  <w:pPr>
                    <w:jc w:val="center"/>
                    <w:rPr>
                      <w:rFonts w:hint="default" w:ascii="Times New Roman" w:hAnsi="Times New Roman" w:cs="Times New Roman"/>
                    </w:rPr>
                  </w:pPr>
                </w:p>
              </w:tc>
              <w:tc>
                <w:tcPr>
                  <w:tcW w:w="522" w:type="pct"/>
                  <w:tcBorders>
                    <w:tl2br w:val="nil"/>
                    <w:tr2bl w:val="nil"/>
                  </w:tcBorders>
                  <w:noWrap w:val="0"/>
                  <w:vAlign w:val="center"/>
                </w:tcPr>
                <w:p w14:paraId="13183BB3">
                  <w:pPr>
                    <w:jc w:val="center"/>
                    <w:rPr>
                      <w:rFonts w:hint="default" w:ascii="Times New Roman" w:hAnsi="Times New Roman" w:cs="Times New Roman"/>
                    </w:rPr>
                  </w:pPr>
                  <w:r>
                    <w:rPr>
                      <w:rFonts w:hint="default" w:ascii="Times New Roman" w:hAnsi="Times New Roman" w:cs="Times New Roman"/>
                    </w:rPr>
                    <w:t>CO</w:t>
                  </w:r>
                </w:p>
              </w:tc>
              <w:tc>
                <w:tcPr>
                  <w:tcW w:w="939" w:type="pct"/>
                  <w:tcBorders>
                    <w:tl2br w:val="nil"/>
                    <w:tr2bl w:val="nil"/>
                  </w:tcBorders>
                  <w:noWrap w:val="0"/>
                  <w:vAlign w:val="center"/>
                </w:tcPr>
                <w:p w14:paraId="4C812009">
                  <w:pPr>
                    <w:jc w:val="center"/>
                    <w:rPr>
                      <w:rFonts w:hint="default" w:ascii="Times New Roman" w:hAnsi="Times New Roman" w:cs="Times New Roman"/>
                    </w:rPr>
                  </w:pPr>
                  <w:r>
                    <w:rPr>
                      <w:rFonts w:hint="default" w:ascii="Times New Roman" w:hAnsi="Times New Roman" w:cs="Times New Roman"/>
                    </w:rPr>
                    <w:t>24小时平均第95%百分位数</w:t>
                  </w:r>
                </w:p>
              </w:tc>
              <w:tc>
                <w:tcPr>
                  <w:tcW w:w="513" w:type="pct"/>
                  <w:tcBorders>
                    <w:tl2br w:val="nil"/>
                    <w:tr2bl w:val="nil"/>
                  </w:tcBorders>
                  <w:noWrap w:val="0"/>
                  <w:vAlign w:val="center"/>
                </w:tcPr>
                <w:p w14:paraId="3364A197">
                  <w:pPr>
                    <w:jc w:val="center"/>
                    <w:rPr>
                      <w:rFonts w:hint="default" w:ascii="Times New Roman" w:hAnsi="Times New Roman" w:eastAsia="宋体" w:cs="Times New Roman"/>
                      <w:lang w:val="en-US" w:eastAsia="zh-CN"/>
                    </w:rPr>
                  </w:pPr>
                  <w:r>
                    <w:rPr>
                      <w:rFonts w:hint="default" w:ascii="Times New Roman" w:hAnsi="Times New Roman" w:cs="Times New Roman"/>
                      <w:lang w:val="en-US" w:eastAsia="zh-CN"/>
                    </w:rPr>
                    <w:t>1</w:t>
                  </w:r>
                </w:p>
              </w:tc>
              <w:tc>
                <w:tcPr>
                  <w:tcW w:w="484" w:type="pct"/>
                  <w:tcBorders>
                    <w:tl2br w:val="nil"/>
                    <w:tr2bl w:val="nil"/>
                  </w:tcBorders>
                  <w:noWrap w:val="0"/>
                  <w:vAlign w:val="center"/>
                </w:tcPr>
                <w:p w14:paraId="6918706B">
                  <w:pPr>
                    <w:jc w:val="center"/>
                    <w:rPr>
                      <w:rFonts w:hint="default" w:ascii="Times New Roman" w:hAnsi="Times New Roman" w:cs="Times New Roman"/>
                    </w:rPr>
                  </w:pPr>
                  <w:r>
                    <w:rPr>
                      <w:rFonts w:hint="default" w:ascii="Times New Roman" w:hAnsi="Times New Roman" w:cs="Times New Roman"/>
                    </w:rPr>
                    <w:t>4</w:t>
                  </w:r>
                </w:p>
              </w:tc>
              <w:tc>
                <w:tcPr>
                  <w:tcW w:w="506" w:type="pct"/>
                  <w:tcBorders>
                    <w:tl2br w:val="nil"/>
                    <w:tr2bl w:val="nil"/>
                  </w:tcBorders>
                  <w:noWrap w:val="0"/>
                  <w:vAlign w:val="center"/>
                </w:tcPr>
                <w:p w14:paraId="373326EB">
                  <w:pPr>
                    <w:jc w:val="center"/>
                    <w:rPr>
                      <w:rFonts w:hint="default" w:ascii="Times New Roman" w:hAnsi="Times New Roman" w:cs="Times New Roman"/>
                    </w:rPr>
                  </w:pPr>
                  <w:r>
                    <w:rPr>
                      <w:rFonts w:hint="default" w:ascii="Times New Roman" w:hAnsi="Times New Roman" w:cs="Times New Roman"/>
                    </w:rPr>
                    <w:t>mg/m³</w:t>
                  </w:r>
                </w:p>
              </w:tc>
              <w:tc>
                <w:tcPr>
                  <w:tcW w:w="453" w:type="pct"/>
                  <w:tcBorders>
                    <w:tl2br w:val="nil"/>
                    <w:tr2bl w:val="nil"/>
                  </w:tcBorders>
                  <w:noWrap w:val="0"/>
                  <w:vAlign w:val="center"/>
                </w:tcPr>
                <w:p w14:paraId="6ED6EAA6">
                  <w:pPr>
                    <w:jc w:val="center"/>
                    <w:rPr>
                      <w:rFonts w:hint="default" w:ascii="Times New Roman" w:hAnsi="Times New Roman" w:cs="Times New Roman"/>
                    </w:rPr>
                  </w:pPr>
                  <w:r>
                    <w:rPr>
                      <w:rFonts w:hint="eastAsia" w:cs="Times New Roman"/>
                      <w:color w:val="auto"/>
                      <w:szCs w:val="21"/>
                      <w:lang w:val="en-US" w:eastAsia="zh-CN"/>
                    </w:rPr>
                    <w:t>25%</w:t>
                  </w:r>
                </w:p>
              </w:tc>
              <w:tc>
                <w:tcPr>
                  <w:tcW w:w="455" w:type="pct"/>
                  <w:tcBorders>
                    <w:tl2br w:val="nil"/>
                    <w:tr2bl w:val="nil"/>
                  </w:tcBorders>
                  <w:noWrap w:val="0"/>
                  <w:vAlign w:val="center"/>
                </w:tcPr>
                <w:p w14:paraId="01511F2D">
                  <w:pPr>
                    <w:jc w:val="center"/>
                    <w:rPr>
                      <w:rFonts w:hint="default" w:ascii="Times New Roman" w:hAnsi="Times New Roman" w:cs="Times New Roman"/>
                    </w:rPr>
                  </w:pPr>
                  <w:r>
                    <w:rPr>
                      <w:rFonts w:hint="default" w:ascii="Times New Roman" w:hAnsi="Times New Roman" w:cs="Times New Roman"/>
                    </w:rPr>
                    <w:t>达标</w:t>
                  </w:r>
                </w:p>
              </w:tc>
            </w:tr>
            <w:tr w14:paraId="23C6C4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68" w:hRule="atLeast"/>
                <w:jc w:val="center"/>
              </w:trPr>
              <w:tc>
                <w:tcPr>
                  <w:tcW w:w="1124" w:type="pct"/>
                  <w:vMerge w:val="continue"/>
                  <w:tcBorders>
                    <w:tl2br w:val="nil"/>
                    <w:tr2bl w:val="nil"/>
                  </w:tcBorders>
                  <w:noWrap w:val="0"/>
                  <w:vAlign w:val="center"/>
                </w:tcPr>
                <w:p w14:paraId="0DCABBF2">
                  <w:pPr>
                    <w:jc w:val="center"/>
                    <w:rPr>
                      <w:rFonts w:hint="default" w:ascii="Times New Roman" w:hAnsi="Times New Roman" w:cs="Times New Roman"/>
                    </w:rPr>
                  </w:pPr>
                </w:p>
              </w:tc>
              <w:tc>
                <w:tcPr>
                  <w:tcW w:w="522" w:type="pct"/>
                  <w:tcBorders>
                    <w:tl2br w:val="nil"/>
                    <w:tr2bl w:val="nil"/>
                  </w:tcBorders>
                  <w:noWrap w:val="0"/>
                  <w:vAlign w:val="center"/>
                </w:tcPr>
                <w:p w14:paraId="4D24E298">
                  <w:pPr>
                    <w:jc w:val="center"/>
                    <w:rPr>
                      <w:rFonts w:hint="default" w:ascii="Times New Roman" w:hAnsi="Times New Roman" w:cs="Times New Roman"/>
                    </w:rPr>
                  </w:pPr>
                  <w:r>
                    <w:rPr>
                      <w:rFonts w:hint="default" w:ascii="Times New Roman" w:hAnsi="Times New Roman" w:cs="Times New Roman"/>
                    </w:rPr>
                    <w:t>O</w:t>
                  </w:r>
                  <w:r>
                    <w:rPr>
                      <w:rFonts w:hint="default" w:ascii="Times New Roman" w:hAnsi="Times New Roman" w:cs="Times New Roman"/>
                      <w:vertAlign w:val="subscript"/>
                    </w:rPr>
                    <w:t>3</w:t>
                  </w:r>
                </w:p>
              </w:tc>
              <w:tc>
                <w:tcPr>
                  <w:tcW w:w="939" w:type="pct"/>
                  <w:tcBorders>
                    <w:tl2br w:val="nil"/>
                    <w:tr2bl w:val="nil"/>
                  </w:tcBorders>
                  <w:noWrap w:val="0"/>
                  <w:vAlign w:val="center"/>
                </w:tcPr>
                <w:p w14:paraId="419FFDB1">
                  <w:pPr>
                    <w:jc w:val="center"/>
                    <w:rPr>
                      <w:rFonts w:hint="default" w:ascii="Times New Roman" w:hAnsi="Times New Roman" w:cs="Times New Roman"/>
                    </w:rPr>
                  </w:pPr>
                  <w:r>
                    <w:rPr>
                      <w:rFonts w:hint="default" w:ascii="Times New Roman" w:hAnsi="Times New Roman" w:cs="Times New Roman"/>
                    </w:rPr>
                    <w:t>8小时平均第90%百分位数</w:t>
                  </w:r>
                </w:p>
              </w:tc>
              <w:tc>
                <w:tcPr>
                  <w:tcW w:w="513" w:type="pct"/>
                  <w:tcBorders>
                    <w:tl2br w:val="nil"/>
                    <w:tr2bl w:val="nil"/>
                  </w:tcBorders>
                  <w:noWrap w:val="0"/>
                  <w:vAlign w:val="center"/>
                </w:tcPr>
                <w:p w14:paraId="734047D4">
                  <w:pPr>
                    <w:jc w:val="center"/>
                    <w:rPr>
                      <w:rFonts w:hint="default" w:ascii="Times New Roman" w:hAnsi="Times New Roman" w:eastAsia="宋体" w:cs="Times New Roman"/>
                      <w:lang w:val="en-US" w:eastAsia="zh-CN"/>
                    </w:rPr>
                  </w:pPr>
                  <w:r>
                    <w:rPr>
                      <w:rFonts w:hint="default" w:ascii="Times New Roman" w:hAnsi="Times New Roman" w:cs="Times New Roman"/>
                      <w:lang w:val="en-US" w:eastAsia="zh-CN"/>
                    </w:rPr>
                    <w:t>1</w:t>
                  </w:r>
                  <w:r>
                    <w:rPr>
                      <w:rFonts w:hint="eastAsia" w:cs="Times New Roman"/>
                      <w:lang w:val="en-US" w:eastAsia="zh-CN"/>
                    </w:rPr>
                    <w:t>56</w:t>
                  </w:r>
                </w:p>
              </w:tc>
              <w:tc>
                <w:tcPr>
                  <w:tcW w:w="484" w:type="pct"/>
                  <w:tcBorders>
                    <w:tl2br w:val="nil"/>
                    <w:tr2bl w:val="nil"/>
                  </w:tcBorders>
                  <w:noWrap w:val="0"/>
                  <w:vAlign w:val="center"/>
                </w:tcPr>
                <w:p w14:paraId="0E2D1738">
                  <w:pPr>
                    <w:jc w:val="center"/>
                    <w:rPr>
                      <w:rFonts w:hint="default" w:ascii="Times New Roman" w:hAnsi="Times New Roman" w:cs="Times New Roman"/>
                    </w:rPr>
                  </w:pPr>
                  <w:r>
                    <w:rPr>
                      <w:rFonts w:hint="default" w:ascii="Times New Roman" w:hAnsi="Times New Roman" w:cs="Times New Roman"/>
                    </w:rPr>
                    <w:t>160</w:t>
                  </w:r>
                </w:p>
              </w:tc>
              <w:tc>
                <w:tcPr>
                  <w:tcW w:w="506" w:type="pct"/>
                  <w:tcBorders>
                    <w:tl2br w:val="nil"/>
                    <w:tr2bl w:val="nil"/>
                  </w:tcBorders>
                  <w:noWrap w:val="0"/>
                  <w:vAlign w:val="center"/>
                </w:tcPr>
                <w:p w14:paraId="1400CB53">
                  <w:pPr>
                    <w:jc w:val="center"/>
                    <w:rPr>
                      <w:rFonts w:hint="default" w:ascii="Times New Roman" w:hAnsi="Times New Roman" w:cs="Times New Roman"/>
                    </w:rPr>
                  </w:pPr>
                  <w:r>
                    <w:rPr>
                      <w:rFonts w:hint="default" w:ascii="Times New Roman" w:hAnsi="Times New Roman" w:cs="Times New Roman"/>
                    </w:rPr>
                    <w:t>μg/m³</w:t>
                  </w:r>
                </w:p>
              </w:tc>
              <w:tc>
                <w:tcPr>
                  <w:tcW w:w="453" w:type="pct"/>
                  <w:tcBorders>
                    <w:tl2br w:val="nil"/>
                    <w:tr2bl w:val="nil"/>
                  </w:tcBorders>
                  <w:noWrap w:val="0"/>
                  <w:vAlign w:val="center"/>
                </w:tcPr>
                <w:p w14:paraId="5D3AFEC3">
                  <w:pPr>
                    <w:jc w:val="center"/>
                    <w:rPr>
                      <w:rFonts w:hint="default" w:ascii="Times New Roman" w:hAnsi="Times New Roman" w:eastAsia="宋体" w:cs="Times New Roman"/>
                      <w:lang w:val="en-US" w:eastAsia="zh-CN"/>
                    </w:rPr>
                  </w:pPr>
                  <w:r>
                    <w:rPr>
                      <w:rFonts w:hint="eastAsia" w:cs="Times New Roman"/>
                      <w:color w:val="auto"/>
                      <w:szCs w:val="21"/>
                      <w:lang w:val="en-US" w:eastAsia="zh-CN"/>
                    </w:rPr>
                    <w:t>98%</w:t>
                  </w:r>
                </w:p>
              </w:tc>
              <w:tc>
                <w:tcPr>
                  <w:tcW w:w="455" w:type="pct"/>
                  <w:tcBorders>
                    <w:tl2br w:val="nil"/>
                    <w:tr2bl w:val="nil"/>
                  </w:tcBorders>
                  <w:noWrap w:val="0"/>
                  <w:vAlign w:val="center"/>
                </w:tcPr>
                <w:p w14:paraId="57F219E2">
                  <w:pPr>
                    <w:jc w:val="center"/>
                    <w:rPr>
                      <w:rFonts w:hint="default" w:ascii="Times New Roman" w:hAnsi="Times New Roman" w:cs="Times New Roman"/>
                    </w:rPr>
                  </w:pPr>
                  <w:r>
                    <w:rPr>
                      <w:rFonts w:hint="eastAsia" w:cs="Times New Roman"/>
                      <w:lang w:val="en-US" w:eastAsia="zh-CN"/>
                    </w:rPr>
                    <w:t>达</w:t>
                  </w:r>
                  <w:r>
                    <w:rPr>
                      <w:rFonts w:hint="eastAsia" w:ascii="Times New Roman" w:hAnsi="Times New Roman" w:cs="Times New Roman"/>
                      <w:lang w:val="en-US" w:eastAsia="zh-CN"/>
                    </w:rPr>
                    <w:t>标</w:t>
                  </w:r>
                </w:p>
              </w:tc>
            </w:tr>
          </w:tbl>
          <w:p w14:paraId="69B24362">
            <w:pPr>
              <w:pStyle w:val="98"/>
              <w:keepNext w:val="0"/>
              <w:keepLines w:val="0"/>
              <w:pageBreakBefore w:val="0"/>
              <w:widowControl w:val="0"/>
              <w:kinsoku/>
              <w:wordWrap/>
              <w:overflowPunct/>
              <w:topLinePunct w:val="0"/>
              <w:autoSpaceDE/>
              <w:autoSpaceDN/>
              <w:bidi w:val="0"/>
              <w:adjustRightInd/>
              <w:snapToGrid/>
              <w:spacing w:line="500" w:lineRule="exact"/>
              <w:ind w:firstLine="482"/>
              <w:textAlignment w:val="auto"/>
              <w:rPr>
                <w:rFonts w:hint="default" w:ascii="Times New Roman" w:hAnsi="Times New Roman" w:cs="Times New Roman"/>
              </w:rPr>
            </w:pPr>
            <w:r>
              <w:rPr>
                <w:rFonts w:hint="default" w:ascii="Times New Roman" w:hAnsi="Times New Roman" w:cs="Times New Roman"/>
                <w:u w:val="none"/>
              </w:rPr>
              <w:t>由上表可知，项目区域环境空气质量SO</w:t>
            </w:r>
            <w:r>
              <w:rPr>
                <w:rFonts w:hint="default" w:ascii="Times New Roman" w:hAnsi="Times New Roman" w:cs="Times New Roman"/>
                <w:u w:val="none"/>
                <w:vertAlign w:val="subscript"/>
              </w:rPr>
              <w:t>2</w:t>
            </w:r>
            <w:r>
              <w:rPr>
                <w:rFonts w:hint="default" w:ascii="Times New Roman" w:hAnsi="Times New Roman" w:cs="Times New Roman"/>
                <w:u w:val="none"/>
              </w:rPr>
              <w:t>、NO</w:t>
            </w:r>
            <w:r>
              <w:rPr>
                <w:rFonts w:hint="default" w:ascii="Times New Roman" w:hAnsi="Times New Roman" w:cs="Times New Roman"/>
                <w:u w:val="none"/>
                <w:vertAlign w:val="subscript"/>
              </w:rPr>
              <w:t>2</w:t>
            </w:r>
            <w:r>
              <w:rPr>
                <w:rFonts w:hint="default" w:ascii="Times New Roman" w:hAnsi="Times New Roman" w:cs="Times New Roman"/>
                <w:u w:val="none"/>
              </w:rPr>
              <w:t>、PM</w:t>
            </w:r>
            <w:r>
              <w:rPr>
                <w:rFonts w:hint="default" w:ascii="Times New Roman" w:hAnsi="Times New Roman" w:cs="Times New Roman"/>
                <w:u w:val="none"/>
                <w:vertAlign w:val="subscript"/>
              </w:rPr>
              <w:t>10</w:t>
            </w:r>
            <w:r>
              <w:rPr>
                <w:rFonts w:hint="default" w:ascii="Times New Roman" w:hAnsi="Times New Roman" w:cs="Times New Roman"/>
                <w:u w:val="none"/>
              </w:rPr>
              <w:t>、PM</w:t>
            </w:r>
            <w:r>
              <w:rPr>
                <w:rFonts w:hint="default" w:ascii="Times New Roman" w:hAnsi="Times New Roman" w:cs="Times New Roman"/>
                <w:u w:val="none"/>
                <w:vertAlign w:val="subscript"/>
              </w:rPr>
              <w:t>2.5</w:t>
            </w:r>
            <w:r>
              <w:rPr>
                <w:rFonts w:hint="default" w:ascii="Times New Roman" w:hAnsi="Times New Roman" w:cs="Times New Roman"/>
                <w:u w:val="none"/>
              </w:rPr>
              <w:t>、CO和O</w:t>
            </w:r>
            <w:r>
              <w:rPr>
                <w:rFonts w:hint="default" w:ascii="Times New Roman" w:hAnsi="Times New Roman" w:cs="Times New Roman"/>
                <w:u w:val="none"/>
                <w:vertAlign w:val="subscript"/>
              </w:rPr>
              <w:t>3</w:t>
            </w:r>
            <w:r>
              <w:rPr>
                <w:rFonts w:hint="default" w:ascii="Times New Roman" w:hAnsi="Times New Roman" w:cs="Times New Roman"/>
                <w:u w:val="none"/>
              </w:rPr>
              <w:t>各监测因子均满足《环境空气质量标准》（GB3095-2012）二级标准</w:t>
            </w:r>
            <w:r>
              <w:rPr>
                <w:rFonts w:hint="eastAsia" w:hAnsi="Times New Roman" w:cs="Times New Roman"/>
                <w:u w:val="none"/>
                <w:lang w:val="en-US" w:eastAsia="zh-CN"/>
              </w:rPr>
              <w:t>的</w:t>
            </w:r>
            <w:r>
              <w:rPr>
                <w:rFonts w:hint="default" w:ascii="Times New Roman" w:hAnsi="Times New Roman" w:cs="Times New Roman"/>
                <w:u w:val="none"/>
                <w:lang w:val="en-US" w:eastAsia="zh-CN"/>
              </w:rPr>
              <w:t>要求。</w:t>
            </w:r>
            <w:r>
              <w:rPr>
                <w:rFonts w:hint="default" w:ascii="Times New Roman" w:hAnsi="Times New Roman" w:cs="Times New Roman"/>
                <w:u w:val="none"/>
              </w:rPr>
              <w:t>根据《环境影响评价技术导则 大气环境》（HJ2.2-2018），城市环境空气质量达标情况评价指标为SO</w:t>
            </w:r>
            <w:r>
              <w:rPr>
                <w:rFonts w:hint="default" w:ascii="Times New Roman" w:hAnsi="Times New Roman" w:cs="Times New Roman"/>
                <w:u w:val="none"/>
                <w:vertAlign w:val="subscript"/>
              </w:rPr>
              <w:t>2</w:t>
            </w:r>
            <w:r>
              <w:rPr>
                <w:rFonts w:hint="default" w:ascii="Times New Roman" w:hAnsi="Times New Roman" w:cs="Times New Roman"/>
                <w:u w:val="none"/>
              </w:rPr>
              <w:t>、NO</w:t>
            </w:r>
            <w:r>
              <w:rPr>
                <w:rFonts w:hint="default" w:ascii="Times New Roman" w:hAnsi="Times New Roman" w:cs="Times New Roman"/>
                <w:u w:val="none"/>
                <w:vertAlign w:val="subscript"/>
              </w:rPr>
              <w:t>2</w:t>
            </w:r>
            <w:r>
              <w:rPr>
                <w:rFonts w:hint="default" w:ascii="Times New Roman" w:hAnsi="Times New Roman" w:cs="Times New Roman"/>
                <w:u w:val="none"/>
              </w:rPr>
              <w:t>、PM</w:t>
            </w:r>
            <w:r>
              <w:rPr>
                <w:rFonts w:hint="default" w:ascii="Times New Roman" w:hAnsi="Times New Roman" w:cs="Times New Roman"/>
                <w:u w:val="none"/>
                <w:vertAlign w:val="subscript"/>
              </w:rPr>
              <w:t>10</w:t>
            </w:r>
            <w:r>
              <w:rPr>
                <w:rFonts w:hint="default" w:ascii="Times New Roman" w:hAnsi="Times New Roman" w:cs="Times New Roman"/>
                <w:u w:val="none"/>
              </w:rPr>
              <w:t>、PM</w:t>
            </w:r>
            <w:r>
              <w:rPr>
                <w:rFonts w:hint="default" w:ascii="Times New Roman" w:hAnsi="Times New Roman" w:cs="Times New Roman"/>
                <w:u w:val="none"/>
                <w:vertAlign w:val="subscript"/>
              </w:rPr>
              <w:t>2.5</w:t>
            </w:r>
            <w:r>
              <w:rPr>
                <w:rFonts w:hint="default" w:ascii="Times New Roman" w:hAnsi="Times New Roman" w:cs="Times New Roman"/>
                <w:u w:val="none"/>
              </w:rPr>
              <w:t>、CO和O</w:t>
            </w:r>
            <w:r>
              <w:rPr>
                <w:rFonts w:hint="default" w:ascii="Times New Roman" w:hAnsi="Times New Roman" w:cs="Times New Roman"/>
                <w:u w:val="none"/>
                <w:vertAlign w:val="subscript"/>
              </w:rPr>
              <w:t>3</w:t>
            </w:r>
            <w:r>
              <w:rPr>
                <w:rFonts w:hint="default" w:ascii="Times New Roman" w:hAnsi="Times New Roman" w:cs="Times New Roman"/>
                <w:u w:val="none"/>
              </w:rPr>
              <w:t>，六项污染物全部达标</w:t>
            </w:r>
            <w:r>
              <w:rPr>
                <w:rFonts w:hint="default" w:ascii="Times New Roman" w:hAnsi="Times New Roman" w:cs="Times New Roman"/>
              </w:rPr>
              <w:t>即为城市环境空气质量达标。由此可知，项目所本项目大气环境质量属于达标区域。</w:t>
            </w:r>
          </w:p>
          <w:p w14:paraId="00894764">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snapToGrid w:val="0"/>
                <w:color w:val="auto"/>
                <w:kern w:val="0"/>
                <w:sz w:val="24"/>
              </w:rPr>
            </w:pPr>
            <w:r>
              <w:rPr>
                <w:rFonts w:hint="eastAsia" w:ascii="Times New Roman" w:hAnsi="Times New Roman" w:cs="Times New Roman"/>
                <w:color w:val="auto"/>
                <w:sz w:val="24"/>
                <w:highlight w:val="none"/>
              </w:rPr>
              <w:t>为了深入推进大气污染防治工作，有效降低污染物浓度，持续改善空气质量，</w:t>
            </w:r>
            <w:r>
              <w:rPr>
                <w:rFonts w:hint="eastAsia" w:ascii="Times New Roman" w:hAnsi="Times New Roman" w:cs="Times New Roman"/>
                <w:color w:val="auto"/>
                <w:sz w:val="24"/>
                <w:highlight w:val="none"/>
                <w:lang w:val="en-US" w:eastAsia="zh-CN"/>
              </w:rPr>
              <w:t>202</w:t>
            </w:r>
            <w:r>
              <w:rPr>
                <w:rFonts w:hint="eastAsia" w:cs="Times New Roman"/>
                <w:color w:val="auto"/>
                <w:sz w:val="24"/>
                <w:highlight w:val="none"/>
                <w:lang w:val="en-US" w:eastAsia="zh-CN"/>
              </w:rPr>
              <w:t>4</w:t>
            </w:r>
            <w:r>
              <w:rPr>
                <w:rFonts w:hint="eastAsia" w:ascii="Times New Roman" w:hAnsi="Times New Roman" w:cs="Times New Roman"/>
                <w:color w:val="auto"/>
                <w:sz w:val="24"/>
                <w:highlight w:val="none"/>
                <w:lang w:val="en-US" w:eastAsia="zh-CN"/>
              </w:rPr>
              <w:t>年</w:t>
            </w:r>
            <w:r>
              <w:rPr>
                <w:rFonts w:hint="eastAsia" w:ascii="Times New Roman" w:hAnsi="Times New Roman" w:cs="Times New Roman"/>
                <w:color w:val="auto"/>
                <w:sz w:val="24"/>
                <w:highlight w:val="none"/>
              </w:rPr>
              <w:t>平顶山市生态环境保护委员会办公室关于印发《平顶山市202</w:t>
            </w:r>
            <w:r>
              <w:rPr>
                <w:rFonts w:hint="eastAsia" w:cs="Times New Roman"/>
                <w:color w:val="auto"/>
                <w:sz w:val="24"/>
                <w:highlight w:val="none"/>
                <w:lang w:val="en-US" w:eastAsia="zh-CN"/>
              </w:rPr>
              <w:t>4</w:t>
            </w:r>
            <w:r>
              <w:rPr>
                <w:rFonts w:hint="eastAsia" w:ascii="Times New Roman" w:hAnsi="Times New Roman" w:cs="Times New Roman"/>
                <w:color w:val="auto"/>
                <w:sz w:val="24"/>
                <w:highlight w:val="none"/>
              </w:rPr>
              <w:t>年蓝天保卫战实施方案》，以习近平新时代中国特色社会主义思想为指导，深入贯彻党的二十大精神，全面落实习近平生态文明思想，统筹生态环境保护与经济社会发展，突出精准治污、科学治污、依法治污，聚焦重污染天气消除、臭氧污染防治、柴油货车污染治理攻坚战，加快推进产业、能源、交通运输结构优化调整，强化重点区域、重点领域、重点行业和重点污染源治理，着力推进大气多污染物协同减排，精准有效应对重污染天气，完成上级下达我市的年度空气质量改善和主要大气污染物总量减排目标任务，助力经济高质量发展。</w:t>
            </w:r>
          </w:p>
          <w:p w14:paraId="29D2F8EF">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ascii="Times New Roman" w:hAnsi="Times New Roman" w:cs="Times New Roman"/>
                <w:b/>
                <w:bCs/>
                <w:color w:val="auto"/>
                <w:sz w:val="24"/>
                <w:szCs w:val="20"/>
                <w:highlight w:val="none"/>
                <w:u w:val="none"/>
              </w:rPr>
            </w:pPr>
            <w:r>
              <w:rPr>
                <w:rFonts w:hint="eastAsia" w:ascii="Times New Roman" w:hAnsi="Times New Roman" w:cs="Times New Roman"/>
                <w:b/>
                <w:bCs/>
                <w:color w:val="auto"/>
                <w:sz w:val="24"/>
                <w:szCs w:val="20"/>
                <w:highlight w:val="none"/>
                <w:u w:val="none"/>
                <w:lang w:val="en-US" w:eastAsia="zh-CN"/>
              </w:rPr>
              <w:t>2</w:t>
            </w:r>
            <w:r>
              <w:rPr>
                <w:rFonts w:hint="eastAsia" w:cs="Times New Roman"/>
                <w:b/>
                <w:bCs/>
                <w:color w:val="auto"/>
                <w:sz w:val="24"/>
                <w:szCs w:val="20"/>
                <w:highlight w:val="none"/>
                <w:u w:val="none"/>
                <w:lang w:val="en-US" w:eastAsia="zh-CN"/>
              </w:rPr>
              <w:t>、</w:t>
            </w:r>
            <w:r>
              <w:rPr>
                <w:rFonts w:ascii="Times New Roman" w:hAnsi="Times New Roman" w:cs="Times New Roman"/>
                <w:b/>
                <w:bCs/>
                <w:color w:val="auto"/>
                <w:sz w:val="24"/>
                <w:szCs w:val="20"/>
                <w:highlight w:val="none"/>
                <w:u w:val="none"/>
              </w:rPr>
              <w:t>地表水</w:t>
            </w:r>
            <w:r>
              <w:rPr>
                <w:rFonts w:hint="eastAsia" w:cs="Times New Roman"/>
                <w:b/>
                <w:bCs/>
                <w:color w:val="auto"/>
                <w:sz w:val="24"/>
                <w:szCs w:val="20"/>
                <w:highlight w:val="none"/>
                <w:u w:val="none"/>
                <w:lang w:val="en-US" w:eastAsia="zh-CN"/>
              </w:rPr>
              <w:t>环境</w:t>
            </w:r>
            <w:r>
              <w:rPr>
                <w:rFonts w:ascii="Times New Roman" w:hAnsi="Times New Roman" w:cs="Times New Roman"/>
                <w:b/>
                <w:bCs/>
                <w:color w:val="auto"/>
                <w:sz w:val="24"/>
                <w:szCs w:val="20"/>
                <w:highlight w:val="none"/>
                <w:u w:val="none"/>
              </w:rPr>
              <w:t>质量现状</w:t>
            </w:r>
          </w:p>
          <w:p w14:paraId="3AFA38FF">
            <w:pPr>
              <w:widowControl/>
              <w:spacing w:line="480" w:lineRule="exact"/>
              <w:ind w:firstLine="480" w:firstLineChars="200"/>
              <w:jc w:val="left"/>
              <w:rPr>
                <w:rFonts w:ascii="Times New Roman" w:hAnsi="Times New Roman" w:cs="Times New Roman"/>
                <w:color w:val="auto"/>
                <w:sz w:val="24"/>
                <w:u w:val="none"/>
              </w:rPr>
            </w:pPr>
            <w:r>
              <w:rPr>
                <w:rFonts w:hint="eastAsia" w:ascii="Times New Roman" w:hAnsi="宋体" w:eastAsia="宋体" w:cs="Times New Roman"/>
                <w:color w:val="auto"/>
                <w:sz w:val="24"/>
                <w:lang w:val="en-US" w:eastAsia="zh-CN"/>
              </w:rPr>
              <w:t>本项目位于</w:t>
            </w:r>
            <w:r>
              <w:rPr>
                <w:rFonts w:hint="eastAsia" w:cs="Times New Roman"/>
                <w:color w:val="auto"/>
                <w:sz w:val="24"/>
                <w:u w:val="none"/>
                <w:lang w:val="en-US" w:eastAsia="zh-CN"/>
              </w:rPr>
              <w:t>平顶山市叶县洪庄杨乡张集村、贾庄村</w:t>
            </w:r>
            <w:r>
              <w:rPr>
                <w:rFonts w:hint="eastAsia" w:ascii="Times New Roman" w:hAnsi="宋体" w:eastAsia="宋体" w:cs="Times New Roman"/>
                <w:color w:val="auto"/>
                <w:sz w:val="24"/>
                <w:lang w:val="en-US" w:eastAsia="zh-CN"/>
              </w:rPr>
              <w:t>，</w:t>
            </w:r>
            <w:r>
              <w:rPr>
                <w:rFonts w:ascii="Times New Roman" w:hAnsi="宋体" w:eastAsia="宋体" w:cs="Times New Roman"/>
                <w:color w:val="auto"/>
                <w:sz w:val="24"/>
              </w:rPr>
              <w:t>本项目运营期无废水外排</w:t>
            </w:r>
            <w:r>
              <w:rPr>
                <w:rFonts w:hint="eastAsia" w:hAnsi="宋体" w:cs="Times New Roman"/>
                <w:color w:val="auto"/>
                <w:sz w:val="24"/>
                <w:lang w:eastAsia="zh-CN"/>
              </w:rPr>
              <w:t>，</w:t>
            </w:r>
            <w:r>
              <w:rPr>
                <w:rFonts w:ascii="Times New Roman" w:hAnsi="Times New Roman" w:cs="Times New Roman"/>
                <w:color w:val="auto"/>
                <w:sz w:val="24"/>
                <w:u w:val="none"/>
              </w:rPr>
              <w:t>结合项目所处的地理位置，离本项目最近的地表水体为</w:t>
            </w:r>
            <w:r>
              <w:rPr>
                <w:rFonts w:hint="eastAsia" w:cs="Times New Roman"/>
                <w:color w:val="auto"/>
                <w:sz w:val="24"/>
                <w:u w:val="none"/>
                <w:lang w:val="en-US" w:eastAsia="zh-CN"/>
              </w:rPr>
              <w:t>沙</w:t>
            </w:r>
            <w:r>
              <w:rPr>
                <w:rFonts w:ascii="Times New Roman" w:hAnsi="Times New Roman" w:cs="Times New Roman"/>
                <w:color w:val="auto"/>
                <w:sz w:val="24"/>
                <w:u w:val="none"/>
              </w:rPr>
              <w:t>河（位于项目</w:t>
            </w:r>
            <w:r>
              <w:rPr>
                <w:rFonts w:hint="eastAsia" w:cs="Times New Roman"/>
                <w:color w:val="auto"/>
                <w:sz w:val="24"/>
                <w:u w:val="none"/>
                <w:lang w:val="en-US" w:eastAsia="zh-CN"/>
              </w:rPr>
              <w:t>南</w:t>
            </w:r>
            <w:r>
              <w:rPr>
                <w:rFonts w:ascii="Times New Roman" w:hAnsi="Times New Roman" w:cs="Times New Roman"/>
                <w:color w:val="auto"/>
                <w:sz w:val="24"/>
                <w:u w:val="none"/>
              </w:rPr>
              <w:t>侧约</w:t>
            </w:r>
            <w:r>
              <w:rPr>
                <w:rFonts w:hint="eastAsia" w:cs="Times New Roman"/>
                <w:color w:val="auto"/>
                <w:sz w:val="24"/>
                <w:highlight w:val="none"/>
                <w:u w:val="none"/>
                <w:lang w:val="en-US" w:eastAsia="zh-CN"/>
              </w:rPr>
              <w:t>19</w:t>
            </w:r>
            <w:r>
              <w:rPr>
                <w:rFonts w:hint="eastAsia" w:ascii="Times New Roman" w:hAnsi="Times New Roman" w:cs="Times New Roman"/>
                <w:color w:val="auto"/>
                <w:sz w:val="24"/>
                <w:highlight w:val="none"/>
                <w:u w:val="none"/>
                <w:lang w:val="en-US" w:eastAsia="zh-CN"/>
              </w:rPr>
              <w:t>00</w:t>
            </w:r>
            <w:r>
              <w:rPr>
                <w:rFonts w:ascii="Times New Roman" w:hAnsi="Times New Roman" w:cs="Times New Roman"/>
                <w:color w:val="auto"/>
                <w:sz w:val="24"/>
                <w:highlight w:val="none"/>
                <w:u w:val="none"/>
              </w:rPr>
              <w:t>m）</w:t>
            </w:r>
            <w:r>
              <w:rPr>
                <w:rFonts w:ascii="Times New Roman" w:hAnsi="Times New Roman" w:cs="Times New Roman"/>
                <w:color w:val="auto"/>
                <w:sz w:val="24"/>
                <w:u w:val="none"/>
              </w:rPr>
              <w:t>。根据地表水质量功能区划分，项目所在地的水环境</w:t>
            </w:r>
            <w:r>
              <w:rPr>
                <w:rFonts w:hint="eastAsia" w:ascii="Times New Roman" w:hAnsi="Times New Roman" w:cs="Times New Roman"/>
                <w:color w:val="auto"/>
                <w:sz w:val="24"/>
                <w:u w:val="none"/>
                <w:lang w:val="en-US" w:eastAsia="zh-CN"/>
              </w:rPr>
              <w:t>沙河舞阳马湾断面</w:t>
            </w:r>
            <w:r>
              <w:rPr>
                <w:rFonts w:ascii="Times New Roman" w:hAnsi="Times New Roman" w:cs="Times New Roman"/>
                <w:color w:val="auto"/>
                <w:sz w:val="24"/>
                <w:u w:val="none"/>
              </w:rPr>
              <w:t>执行《地表水环境质量标准》（GB3838-2002）Ⅲ类标准。</w:t>
            </w:r>
            <w:r>
              <w:rPr>
                <w:rFonts w:hint="eastAsia" w:ascii="Times New Roman" w:hAnsi="Times New Roman" w:cs="Times New Roman"/>
                <w:color w:val="auto"/>
                <w:sz w:val="24"/>
                <w:u w:val="none"/>
              </w:rPr>
              <w:t>本次地表水现状评价采用</w:t>
            </w:r>
            <w:r>
              <w:rPr>
                <w:rFonts w:hint="eastAsia" w:cs="Times New Roman"/>
                <w:color w:val="auto"/>
                <w:sz w:val="24"/>
                <w:u w:val="none"/>
                <w:lang w:val="en-US" w:eastAsia="zh-CN"/>
              </w:rPr>
              <w:t>平</w:t>
            </w:r>
            <w:r>
              <w:rPr>
                <w:rFonts w:hint="eastAsia" w:cs="Times New Roman"/>
                <w:color w:val="auto"/>
                <w:sz w:val="24"/>
                <w:highlight w:val="none"/>
                <w:u w:val="none"/>
                <w:lang w:val="en-US" w:eastAsia="zh-CN"/>
              </w:rPr>
              <w:t>顶山市</w:t>
            </w:r>
            <w:r>
              <w:rPr>
                <w:rFonts w:hint="eastAsia" w:ascii="Times New Roman" w:hAnsi="Times New Roman" w:cs="Times New Roman"/>
                <w:color w:val="auto"/>
                <w:sz w:val="24"/>
                <w:highlight w:val="none"/>
                <w:u w:val="none"/>
              </w:rPr>
              <w:t>2022年</w:t>
            </w:r>
            <w:r>
              <w:rPr>
                <w:rFonts w:hint="eastAsia" w:cs="Times New Roman"/>
                <w:color w:val="auto"/>
                <w:sz w:val="24"/>
                <w:highlight w:val="none"/>
                <w:u w:val="none"/>
                <w:lang w:val="en-US" w:eastAsia="zh-CN"/>
              </w:rPr>
              <w:t>城市河流水质监测</w:t>
            </w:r>
            <w:r>
              <w:rPr>
                <w:rFonts w:hint="eastAsia" w:ascii="Times New Roman" w:hAnsi="Times New Roman" w:eastAsia="宋体" w:cs="Times New Roman"/>
                <w:color w:val="auto"/>
                <w:sz w:val="24"/>
                <w:u w:val="none"/>
                <w:lang w:val="en-US" w:eastAsia="zh-CN"/>
              </w:rPr>
              <w:t>沙河舞阳马湾断面</w:t>
            </w:r>
            <w:r>
              <w:rPr>
                <w:rFonts w:hint="eastAsia" w:ascii="Times New Roman" w:hAnsi="Times New Roman" w:eastAsia="宋体" w:cs="Times New Roman"/>
                <w:color w:val="auto"/>
                <w:sz w:val="24"/>
                <w:u w:val="none"/>
              </w:rPr>
              <w:t>监测</w:t>
            </w:r>
            <w:r>
              <w:rPr>
                <w:rFonts w:hint="eastAsia" w:ascii="Times New Roman" w:hAnsi="Times New Roman" w:eastAsia="宋体" w:cs="Times New Roman"/>
                <w:color w:val="auto"/>
                <w:sz w:val="24"/>
                <w:u w:val="none"/>
                <w:lang w:val="en-US" w:eastAsia="zh-CN"/>
              </w:rPr>
              <w:t>数据</w:t>
            </w:r>
            <w:r>
              <w:rPr>
                <w:rFonts w:hint="eastAsia" w:ascii="Times New Roman" w:hAnsi="Times New Roman" w:eastAsia="宋体" w:cs="Times New Roman"/>
                <w:color w:val="auto"/>
                <w:sz w:val="24"/>
                <w:u w:val="none"/>
              </w:rPr>
              <w:t>，</w:t>
            </w:r>
            <w:r>
              <w:rPr>
                <w:rFonts w:hint="eastAsia" w:ascii="Times New Roman" w:hAnsi="Times New Roman" w:cs="Times New Roman"/>
                <w:color w:val="auto"/>
                <w:sz w:val="24"/>
                <w:u w:val="none"/>
              </w:rPr>
              <w:t>具体如下表：</w:t>
            </w:r>
          </w:p>
          <w:p w14:paraId="47B633D8">
            <w:pPr>
              <w:spacing w:line="500" w:lineRule="exact"/>
              <w:jc w:val="center"/>
              <w:rPr>
                <w:rFonts w:hint="eastAsia" w:ascii="Times New Roman" w:hAnsi="Times New Roman" w:eastAsia="黑体" w:cs="Times New Roman"/>
                <w:color w:val="auto"/>
                <w:sz w:val="24"/>
                <w:u w:val="none"/>
                <w:lang w:val="zh-CN" w:eastAsia="zh-CN"/>
              </w:rPr>
            </w:pPr>
            <w:r>
              <w:rPr>
                <w:rFonts w:hint="eastAsia" w:ascii="Times New Roman" w:hAnsi="Times New Roman" w:eastAsia="黑体" w:cs="Times New Roman"/>
                <w:color w:val="auto"/>
                <w:sz w:val="24"/>
                <w:u w:val="none"/>
              </w:rPr>
              <w:t>表</w:t>
            </w:r>
            <w:r>
              <w:rPr>
                <w:rFonts w:hint="eastAsia" w:eastAsia="黑体" w:cs="Times New Roman"/>
                <w:color w:val="auto"/>
                <w:sz w:val="24"/>
                <w:u w:val="none"/>
                <w:lang w:val="en-US" w:eastAsia="zh-CN"/>
              </w:rPr>
              <w:t xml:space="preserve">3-2 </w:t>
            </w:r>
            <w:r>
              <w:rPr>
                <w:rFonts w:hint="eastAsia" w:ascii="Times New Roman" w:hAnsi="Times New Roman" w:eastAsia="黑体" w:cs="Times New Roman"/>
                <w:bCs/>
                <w:color w:val="auto"/>
                <w:kern w:val="2"/>
                <w:sz w:val="24"/>
                <w:szCs w:val="24"/>
                <w:u w:val="none"/>
                <w:lang w:val="en-US" w:eastAsia="zh-CN" w:bidi="ar-SA"/>
              </w:rPr>
              <w:t>沙河舞阳马湾现状监测结果统计与评价  单位：</w:t>
            </w:r>
            <w:r>
              <w:rPr>
                <w:rFonts w:hint="default" w:ascii="Times New Roman" w:hAnsi="Times New Roman" w:eastAsia="黑体" w:cs="Times New Roman"/>
                <w:bCs/>
                <w:color w:val="auto"/>
                <w:kern w:val="2"/>
                <w:sz w:val="24"/>
                <w:szCs w:val="24"/>
                <w:u w:val="none"/>
                <w:lang w:val="en-US" w:eastAsia="zh-CN" w:bidi="ar-SA"/>
              </w:rPr>
              <w:t>mg/L</w:t>
            </w:r>
            <w:r>
              <w:rPr>
                <w:rFonts w:hint="eastAsia" w:ascii="Times New Roman" w:hAnsi="Times New Roman" w:eastAsia="黑体" w:cs="Times New Roman"/>
                <w:bCs/>
                <w:color w:val="auto"/>
                <w:kern w:val="2"/>
                <w:sz w:val="24"/>
                <w:szCs w:val="24"/>
                <w:u w:val="none"/>
                <w:lang w:val="en-US" w:eastAsia="zh-CN" w:bidi="ar-SA"/>
              </w:rPr>
              <w:t>（除</w:t>
            </w:r>
            <w:r>
              <w:rPr>
                <w:rFonts w:hint="default" w:ascii="Times New Roman" w:hAnsi="Times New Roman" w:eastAsia="黑体" w:cs="Times New Roman"/>
                <w:bCs/>
                <w:color w:val="auto"/>
                <w:kern w:val="2"/>
                <w:sz w:val="24"/>
                <w:szCs w:val="24"/>
                <w:u w:val="none"/>
                <w:lang w:val="en-US" w:eastAsia="zh-CN" w:bidi="ar-SA"/>
              </w:rPr>
              <w:t>pH</w:t>
            </w:r>
            <w:r>
              <w:rPr>
                <w:rFonts w:hint="eastAsia" w:ascii="Times New Roman" w:hAnsi="Times New Roman" w:eastAsia="黑体" w:cs="Times New Roman"/>
                <w:bCs/>
                <w:color w:val="auto"/>
                <w:kern w:val="2"/>
                <w:sz w:val="24"/>
                <w:szCs w:val="24"/>
                <w:u w:val="none"/>
                <w:lang w:val="en-US" w:eastAsia="zh-CN" w:bidi="ar-SA"/>
              </w:rPr>
              <w:t>外）</w:t>
            </w:r>
          </w:p>
          <w:tbl>
            <w:tblPr>
              <w:tblStyle w:val="32"/>
              <w:tblW w:w="8531"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Layout w:type="fixed"/>
              <w:tblCellMar>
                <w:top w:w="0" w:type="dxa"/>
                <w:left w:w="108" w:type="dxa"/>
                <w:bottom w:w="0" w:type="dxa"/>
                <w:right w:w="108" w:type="dxa"/>
              </w:tblCellMar>
            </w:tblPr>
            <w:tblGrid>
              <w:gridCol w:w="545"/>
              <w:gridCol w:w="834"/>
              <w:gridCol w:w="647"/>
              <w:gridCol w:w="630"/>
              <w:gridCol w:w="620"/>
              <w:gridCol w:w="625"/>
              <w:gridCol w:w="645"/>
              <w:gridCol w:w="615"/>
              <w:gridCol w:w="645"/>
              <w:gridCol w:w="735"/>
              <w:gridCol w:w="705"/>
              <w:gridCol w:w="757"/>
              <w:gridCol w:w="528"/>
            </w:tblGrid>
            <w:tr w14:paraId="7BE2FCE7">
              <w:tblPrEx>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CellMar>
                  <w:top w:w="0" w:type="dxa"/>
                  <w:left w:w="108" w:type="dxa"/>
                  <w:bottom w:w="0" w:type="dxa"/>
                  <w:right w:w="108" w:type="dxa"/>
                </w:tblCellMar>
              </w:tblPrEx>
              <w:trPr>
                <w:trHeight w:val="1541" w:hRule="atLeast"/>
                <w:jc w:val="center"/>
              </w:trPr>
              <w:tc>
                <w:tcPr>
                  <w:tcW w:w="545" w:type="dxa"/>
                  <w:tcBorders>
                    <w:tl2br w:val="nil"/>
                    <w:tr2bl w:val="nil"/>
                  </w:tcBorders>
                  <w:vAlign w:val="center"/>
                </w:tcPr>
                <w:p w14:paraId="4DA79114">
                  <w:pPr>
                    <w:adjustRightInd w:val="0"/>
                    <w:snapToGrid w:val="0"/>
                    <w:spacing w:line="240" w:lineRule="auto"/>
                    <w:jc w:val="center"/>
                    <w:rPr>
                      <w:rFonts w:hint="eastAsia" w:ascii="Times New Roman" w:hAnsi="Times New Roman" w:eastAsia="宋体" w:cs="Times New Roman"/>
                      <w:b/>
                      <w:bCs/>
                      <w:color w:val="auto"/>
                      <w:sz w:val="21"/>
                      <w:szCs w:val="21"/>
                      <w:u w:val="none"/>
                      <w:lang w:val="zh-CN" w:eastAsia="zh-CN"/>
                    </w:rPr>
                  </w:pPr>
                  <w:r>
                    <w:rPr>
                      <w:rFonts w:hint="eastAsia" w:ascii="Times New Roman" w:hAnsi="Times New Roman" w:eastAsia="宋体" w:cs="Times New Roman"/>
                      <w:b/>
                      <w:bCs/>
                      <w:color w:val="auto"/>
                      <w:sz w:val="21"/>
                      <w:szCs w:val="21"/>
                      <w:u w:val="none"/>
                      <w:lang w:val="zh-CN" w:eastAsia="zh-CN"/>
                    </w:rPr>
                    <w:t>河流断面</w:t>
                  </w:r>
                </w:p>
              </w:tc>
              <w:tc>
                <w:tcPr>
                  <w:tcW w:w="834" w:type="dxa"/>
                  <w:tcBorders>
                    <w:tl2br w:val="nil"/>
                    <w:tr2bl w:val="nil"/>
                  </w:tcBorders>
                  <w:vAlign w:val="center"/>
                </w:tcPr>
                <w:p w14:paraId="00FCDEE8">
                  <w:pPr>
                    <w:adjustRightInd w:val="0"/>
                    <w:snapToGrid w:val="0"/>
                    <w:spacing w:line="240" w:lineRule="auto"/>
                    <w:jc w:val="center"/>
                    <w:rPr>
                      <w:rFonts w:hint="eastAsia" w:ascii="Times New Roman" w:hAnsi="Times New Roman" w:eastAsia="宋体" w:cs="Times New Roman"/>
                      <w:b/>
                      <w:bCs/>
                      <w:color w:val="auto"/>
                      <w:sz w:val="21"/>
                      <w:szCs w:val="21"/>
                      <w:u w:val="none"/>
                      <w:lang w:val="zh-CN" w:eastAsia="zh-CN"/>
                    </w:rPr>
                  </w:pPr>
                  <w:r>
                    <w:rPr>
                      <w:rFonts w:hint="eastAsia" w:ascii="Times New Roman" w:hAnsi="Times New Roman" w:eastAsia="宋体" w:cs="Times New Roman"/>
                      <w:b/>
                      <w:bCs/>
                      <w:color w:val="auto"/>
                      <w:sz w:val="21"/>
                      <w:szCs w:val="21"/>
                      <w:u w:val="none"/>
                      <w:lang w:val="en-US" w:eastAsia="zh-CN"/>
                    </w:rPr>
                    <w:t>类别</w:t>
                  </w:r>
                  <w:r>
                    <w:rPr>
                      <w:rFonts w:hint="eastAsia" w:ascii="Times New Roman" w:hAnsi="Times New Roman" w:eastAsia="宋体" w:cs="Times New Roman"/>
                      <w:b/>
                      <w:bCs/>
                      <w:color w:val="auto"/>
                      <w:sz w:val="21"/>
                      <w:szCs w:val="21"/>
                      <w:u w:val="none"/>
                      <w:lang w:val="zh-CN" w:eastAsia="zh-CN"/>
                    </w:rPr>
                    <w:t xml:space="preserve">        </w:t>
                  </w:r>
                </w:p>
              </w:tc>
              <w:tc>
                <w:tcPr>
                  <w:tcW w:w="647" w:type="dxa"/>
                  <w:tcBorders>
                    <w:tl2br w:val="nil"/>
                    <w:tr2bl w:val="nil"/>
                  </w:tcBorders>
                  <w:vAlign w:val="center"/>
                </w:tcPr>
                <w:p w14:paraId="32895052">
                  <w:pPr>
                    <w:adjustRightInd w:val="0"/>
                    <w:snapToGrid w:val="0"/>
                    <w:spacing w:line="240" w:lineRule="auto"/>
                    <w:jc w:val="center"/>
                    <w:rPr>
                      <w:rFonts w:hint="eastAsia" w:ascii="Times New Roman" w:hAnsi="Times New Roman" w:eastAsia="宋体" w:cs="Times New Roman"/>
                      <w:b/>
                      <w:bCs/>
                      <w:color w:val="auto"/>
                      <w:sz w:val="21"/>
                      <w:szCs w:val="21"/>
                      <w:u w:val="none"/>
                      <w:lang w:val="zh-CN" w:eastAsia="zh-CN"/>
                    </w:rPr>
                  </w:pPr>
                  <w:r>
                    <w:rPr>
                      <w:rFonts w:hint="eastAsia" w:ascii="Times New Roman" w:hAnsi="Times New Roman" w:eastAsia="宋体" w:cs="Times New Roman"/>
                      <w:b/>
                      <w:bCs/>
                      <w:color w:val="auto"/>
                      <w:sz w:val="21"/>
                      <w:szCs w:val="21"/>
                      <w:u w:val="none"/>
                      <w:lang w:val="en-US" w:eastAsia="zh-CN"/>
                    </w:rPr>
                    <w:t>pH值</w:t>
                  </w:r>
                </w:p>
              </w:tc>
              <w:tc>
                <w:tcPr>
                  <w:tcW w:w="630" w:type="dxa"/>
                  <w:tcBorders>
                    <w:tl2br w:val="nil"/>
                    <w:tr2bl w:val="nil"/>
                  </w:tcBorders>
                  <w:vAlign w:val="center"/>
                </w:tcPr>
                <w:p w14:paraId="4230E262">
                  <w:pPr>
                    <w:adjustRightInd w:val="0"/>
                    <w:snapToGrid w:val="0"/>
                    <w:spacing w:line="240" w:lineRule="auto"/>
                    <w:jc w:val="center"/>
                    <w:rPr>
                      <w:rFonts w:hint="eastAsia" w:ascii="Times New Roman" w:hAnsi="Times New Roman" w:eastAsia="宋体" w:cs="Times New Roman"/>
                      <w:b/>
                      <w:bCs/>
                      <w:color w:val="auto"/>
                      <w:sz w:val="21"/>
                      <w:szCs w:val="21"/>
                      <w:u w:val="none"/>
                      <w:lang w:val="zh-CN" w:eastAsia="zh-CN"/>
                    </w:rPr>
                  </w:pPr>
                  <w:r>
                    <w:rPr>
                      <w:rFonts w:hint="eastAsia" w:ascii="Times New Roman" w:hAnsi="Times New Roman" w:eastAsia="宋体" w:cs="Times New Roman"/>
                      <w:b/>
                      <w:bCs/>
                      <w:color w:val="auto"/>
                      <w:sz w:val="21"/>
                      <w:szCs w:val="21"/>
                      <w:u w:val="none"/>
                      <w:lang w:val="en-US" w:eastAsia="zh-CN"/>
                    </w:rPr>
                    <w:t>溶解氧</w:t>
                  </w:r>
                </w:p>
              </w:tc>
              <w:tc>
                <w:tcPr>
                  <w:tcW w:w="620" w:type="dxa"/>
                  <w:tcBorders>
                    <w:tl2br w:val="nil"/>
                    <w:tr2bl w:val="nil"/>
                  </w:tcBorders>
                  <w:vAlign w:val="center"/>
                </w:tcPr>
                <w:p w14:paraId="60F33A45">
                  <w:pPr>
                    <w:adjustRightInd w:val="0"/>
                    <w:snapToGrid w:val="0"/>
                    <w:spacing w:line="240" w:lineRule="auto"/>
                    <w:jc w:val="center"/>
                    <w:rPr>
                      <w:rFonts w:hint="eastAsia" w:ascii="Times New Roman" w:hAnsi="Times New Roman" w:eastAsia="宋体" w:cs="Times New Roman"/>
                      <w:b/>
                      <w:bCs/>
                      <w:color w:val="auto"/>
                      <w:sz w:val="21"/>
                      <w:szCs w:val="21"/>
                      <w:u w:val="none"/>
                      <w:lang w:val="en-US" w:eastAsia="zh-CN"/>
                    </w:rPr>
                  </w:pPr>
                  <w:r>
                    <w:rPr>
                      <w:rFonts w:hint="eastAsia" w:ascii="Times New Roman" w:hAnsi="Times New Roman" w:eastAsia="宋体" w:cs="Times New Roman"/>
                      <w:b/>
                      <w:bCs/>
                      <w:color w:val="auto"/>
                      <w:sz w:val="21"/>
                      <w:szCs w:val="21"/>
                      <w:u w:val="none"/>
                      <w:lang w:val="en-US" w:eastAsia="zh-CN"/>
                    </w:rPr>
                    <w:t>高锰酸盐</w:t>
                  </w:r>
                </w:p>
                <w:p w14:paraId="3C6AC7B7">
                  <w:pPr>
                    <w:adjustRightInd w:val="0"/>
                    <w:snapToGrid w:val="0"/>
                    <w:spacing w:line="240" w:lineRule="auto"/>
                    <w:jc w:val="center"/>
                    <w:rPr>
                      <w:rFonts w:hint="eastAsia" w:ascii="Times New Roman" w:hAnsi="Times New Roman" w:eastAsia="宋体" w:cs="Times New Roman"/>
                      <w:b/>
                      <w:bCs/>
                      <w:color w:val="auto"/>
                      <w:sz w:val="21"/>
                      <w:szCs w:val="21"/>
                      <w:u w:val="none"/>
                      <w:lang w:val="zh-CN" w:eastAsia="zh-CN"/>
                    </w:rPr>
                  </w:pPr>
                  <w:r>
                    <w:rPr>
                      <w:rFonts w:hint="eastAsia" w:ascii="Times New Roman" w:hAnsi="Times New Roman" w:eastAsia="宋体" w:cs="Times New Roman"/>
                      <w:b/>
                      <w:bCs/>
                      <w:color w:val="auto"/>
                      <w:sz w:val="21"/>
                      <w:szCs w:val="21"/>
                      <w:u w:val="none"/>
                      <w:lang w:val="en-US" w:eastAsia="zh-CN"/>
                    </w:rPr>
                    <w:t>指数</w:t>
                  </w:r>
                </w:p>
              </w:tc>
              <w:tc>
                <w:tcPr>
                  <w:tcW w:w="625" w:type="dxa"/>
                  <w:tcBorders>
                    <w:tl2br w:val="nil"/>
                    <w:tr2bl w:val="nil"/>
                  </w:tcBorders>
                  <w:vAlign w:val="center"/>
                </w:tcPr>
                <w:p w14:paraId="602D73BB">
                  <w:pPr>
                    <w:adjustRightInd w:val="0"/>
                    <w:snapToGrid w:val="0"/>
                    <w:spacing w:line="240" w:lineRule="auto"/>
                    <w:jc w:val="center"/>
                    <w:rPr>
                      <w:rFonts w:hint="eastAsia" w:ascii="Times New Roman" w:hAnsi="Times New Roman" w:eastAsia="宋体" w:cs="Times New Roman"/>
                      <w:b/>
                      <w:bCs/>
                      <w:color w:val="auto"/>
                      <w:sz w:val="21"/>
                      <w:szCs w:val="21"/>
                      <w:u w:val="none"/>
                      <w:lang w:val="en-US" w:eastAsia="zh-CN"/>
                    </w:rPr>
                  </w:pPr>
                  <w:r>
                    <w:rPr>
                      <w:rFonts w:hint="eastAsia" w:ascii="Times New Roman" w:hAnsi="Times New Roman" w:eastAsia="宋体" w:cs="Times New Roman"/>
                      <w:b/>
                      <w:bCs/>
                      <w:color w:val="auto"/>
                      <w:sz w:val="21"/>
                      <w:szCs w:val="21"/>
                      <w:u w:val="none"/>
                      <w:lang w:val="en-US" w:eastAsia="zh-CN"/>
                    </w:rPr>
                    <w:t>生化</w:t>
                  </w:r>
                </w:p>
                <w:p w14:paraId="499691C5">
                  <w:pPr>
                    <w:adjustRightInd w:val="0"/>
                    <w:snapToGrid w:val="0"/>
                    <w:spacing w:line="240" w:lineRule="auto"/>
                    <w:jc w:val="center"/>
                    <w:rPr>
                      <w:rFonts w:hint="eastAsia" w:ascii="Times New Roman" w:hAnsi="Times New Roman" w:eastAsia="宋体" w:cs="Times New Roman"/>
                      <w:b/>
                      <w:bCs/>
                      <w:color w:val="auto"/>
                      <w:sz w:val="21"/>
                      <w:szCs w:val="21"/>
                      <w:u w:val="none"/>
                      <w:lang w:val="zh-CN" w:eastAsia="zh-CN"/>
                    </w:rPr>
                  </w:pPr>
                  <w:r>
                    <w:rPr>
                      <w:rFonts w:hint="eastAsia" w:ascii="Times New Roman" w:hAnsi="Times New Roman" w:eastAsia="宋体" w:cs="Times New Roman"/>
                      <w:b/>
                      <w:bCs/>
                      <w:color w:val="auto"/>
                      <w:sz w:val="21"/>
                      <w:szCs w:val="21"/>
                      <w:u w:val="none"/>
                      <w:lang w:val="en-US" w:eastAsia="zh-CN"/>
                    </w:rPr>
                    <w:t>需氧量</w:t>
                  </w:r>
                </w:p>
              </w:tc>
              <w:tc>
                <w:tcPr>
                  <w:tcW w:w="645" w:type="dxa"/>
                  <w:tcBorders>
                    <w:tl2br w:val="nil"/>
                    <w:tr2bl w:val="nil"/>
                  </w:tcBorders>
                  <w:vAlign w:val="center"/>
                </w:tcPr>
                <w:p w14:paraId="36A1AEE8">
                  <w:pPr>
                    <w:adjustRightInd w:val="0"/>
                    <w:snapToGrid w:val="0"/>
                    <w:spacing w:line="240" w:lineRule="auto"/>
                    <w:jc w:val="center"/>
                    <w:rPr>
                      <w:rFonts w:hint="eastAsia" w:ascii="Times New Roman" w:hAnsi="Times New Roman" w:eastAsia="宋体" w:cs="Times New Roman"/>
                      <w:b/>
                      <w:bCs/>
                      <w:color w:val="auto"/>
                      <w:sz w:val="21"/>
                      <w:szCs w:val="21"/>
                      <w:u w:val="none"/>
                      <w:lang w:val="zh-CN" w:eastAsia="zh-CN"/>
                    </w:rPr>
                  </w:pPr>
                  <w:r>
                    <w:rPr>
                      <w:rFonts w:hint="eastAsia" w:ascii="Times New Roman" w:hAnsi="Times New Roman" w:eastAsia="宋体" w:cs="Times New Roman"/>
                      <w:b/>
                      <w:bCs/>
                      <w:color w:val="auto"/>
                      <w:sz w:val="21"/>
                      <w:szCs w:val="21"/>
                      <w:u w:val="none"/>
                      <w:lang w:val="en-US" w:eastAsia="zh-CN"/>
                    </w:rPr>
                    <w:t>氨氮</w:t>
                  </w:r>
                </w:p>
              </w:tc>
              <w:tc>
                <w:tcPr>
                  <w:tcW w:w="615" w:type="dxa"/>
                  <w:tcBorders>
                    <w:tl2br w:val="nil"/>
                    <w:tr2bl w:val="nil"/>
                  </w:tcBorders>
                  <w:vAlign w:val="center"/>
                </w:tcPr>
                <w:p w14:paraId="720FEDFE">
                  <w:pPr>
                    <w:adjustRightInd w:val="0"/>
                    <w:snapToGrid w:val="0"/>
                    <w:spacing w:line="240" w:lineRule="auto"/>
                    <w:jc w:val="center"/>
                    <w:rPr>
                      <w:rFonts w:hint="eastAsia" w:ascii="Times New Roman" w:hAnsi="Times New Roman" w:eastAsia="宋体" w:cs="Times New Roman"/>
                      <w:b/>
                      <w:bCs/>
                      <w:color w:val="auto"/>
                      <w:sz w:val="21"/>
                      <w:szCs w:val="21"/>
                      <w:u w:val="none"/>
                      <w:lang w:val="zh-CN" w:eastAsia="zh-CN"/>
                    </w:rPr>
                  </w:pPr>
                  <w:r>
                    <w:rPr>
                      <w:rFonts w:hint="eastAsia" w:ascii="Times New Roman" w:hAnsi="Times New Roman" w:eastAsia="宋体" w:cs="Times New Roman"/>
                      <w:b/>
                      <w:bCs/>
                      <w:color w:val="auto"/>
                      <w:sz w:val="21"/>
                      <w:szCs w:val="21"/>
                      <w:u w:val="none"/>
                      <w:lang w:val="en-US" w:eastAsia="zh-CN"/>
                    </w:rPr>
                    <w:t>石油类</w:t>
                  </w:r>
                </w:p>
              </w:tc>
              <w:tc>
                <w:tcPr>
                  <w:tcW w:w="645" w:type="dxa"/>
                  <w:tcBorders>
                    <w:tl2br w:val="nil"/>
                    <w:tr2bl w:val="nil"/>
                  </w:tcBorders>
                  <w:vAlign w:val="center"/>
                </w:tcPr>
                <w:p w14:paraId="047766D8">
                  <w:pPr>
                    <w:adjustRightInd w:val="0"/>
                    <w:snapToGrid w:val="0"/>
                    <w:spacing w:line="240" w:lineRule="auto"/>
                    <w:jc w:val="center"/>
                    <w:rPr>
                      <w:rFonts w:hint="eastAsia" w:ascii="Times New Roman" w:hAnsi="Times New Roman" w:eastAsia="宋体" w:cs="Times New Roman"/>
                      <w:b/>
                      <w:bCs/>
                      <w:color w:val="auto"/>
                      <w:sz w:val="21"/>
                      <w:szCs w:val="21"/>
                      <w:u w:val="none"/>
                      <w:lang w:val="zh-CN" w:eastAsia="zh-CN"/>
                    </w:rPr>
                  </w:pPr>
                  <w:r>
                    <w:rPr>
                      <w:rFonts w:hint="eastAsia" w:ascii="Times New Roman" w:hAnsi="Times New Roman" w:eastAsia="宋体" w:cs="Times New Roman"/>
                      <w:b/>
                      <w:bCs/>
                      <w:color w:val="auto"/>
                      <w:sz w:val="21"/>
                      <w:szCs w:val="21"/>
                      <w:u w:val="none"/>
                      <w:lang w:val="en-US" w:eastAsia="zh-CN"/>
                    </w:rPr>
                    <w:t>挥发酚</w:t>
                  </w:r>
                </w:p>
              </w:tc>
              <w:tc>
                <w:tcPr>
                  <w:tcW w:w="735" w:type="dxa"/>
                  <w:tcBorders>
                    <w:tl2br w:val="nil"/>
                    <w:tr2bl w:val="nil"/>
                  </w:tcBorders>
                  <w:vAlign w:val="center"/>
                </w:tcPr>
                <w:p w14:paraId="12B2B645">
                  <w:pPr>
                    <w:adjustRightInd w:val="0"/>
                    <w:snapToGrid w:val="0"/>
                    <w:spacing w:line="240" w:lineRule="auto"/>
                    <w:jc w:val="center"/>
                    <w:rPr>
                      <w:rFonts w:hint="eastAsia" w:ascii="Times New Roman" w:hAnsi="Times New Roman" w:eastAsia="宋体" w:cs="Times New Roman"/>
                      <w:b/>
                      <w:bCs/>
                      <w:color w:val="auto"/>
                      <w:sz w:val="21"/>
                      <w:szCs w:val="21"/>
                      <w:u w:val="none"/>
                      <w:lang w:val="zh-CN" w:eastAsia="zh-CN"/>
                    </w:rPr>
                  </w:pPr>
                  <w:r>
                    <w:rPr>
                      <w:rFonts w:hint="eastAsia" w:ascii="Times New Roman" w:hAnsi="Times New Roman" w:eastAsia="宋体" w:cs="Times New Roman"/>
                      <w:b/>
                      <w:bCs/>
                      <w:color w:val="auto"/>
                      <w:sz w:val="21"/>
                      <w:szCs w:val="21"/>
                      <w:u w:val="none"/>
                      <w:lang w:val="en-US" w:eastAsia="zh-CN"/>
                    </w:rPr>
                    <w:t>汞</w:t>
                  </w:r>
                </w:p>
              </w:tc>
              <w:tc>
                <w:tcPr>
                  <w:tcW w:w="705" w:type="dxa"/>
                  <w:tcBorders>
                    <w:tl2br w:val="nil"/>
                    <w:tr2bl w:val="nil"/>
                  </w:tcBorders>
                  <w:vAlign w:val="center"/>
                </w:tcPr>
                <w:p w14:paraId="6AC21E00">
                  <w:pPr>
                    <w:adjustRightInd w:val="0"/>
                    <w:snapToGrid w:val="0"/>
                    <w:spacing w:line="240" w:lineRule="auto"/>
                    <w:jc w:val="center"/>
                    <w:rPr>
                      <w:rFonts w:hint="eastAsia" w:ascii="Times New Roman" w:hAnsi="Times New Roman" w:eastAsia="宋体" w:cs="Times New Roman"/>
                      <w:b/>
                      <w:bCs/>
                      <w:color w:val="auto"/>
                      <w:sz w:val="21"/>
                      <w:szCs w:val="21"/>
                      <w:u w:val="none"/>
                      <w:lang w:val="zh-CN" w:eastAsia="zh-CN"/>
                    </w:rPr>
                  </w:pPr>
                  <w:r>
                    <w:rPr>
                      <w:rFonts w:hint="eastAsia" w:ascii="Times New Roman" w:hAnsi="Times New Roman" w:eastAsia="宋体" w:cs="Times New Roman"/>
                      <w:b/>
                      <w:bCs/>
                      <w:color w:val="auto"/>
                      <w:sz w:val="21"/>
                      <w:szCs w:val="21"/>
                      <w:u w:val="none"/>
                      <w:lang w:val="en-US" w:eastAsia="zh-CN"/>
                    </w:rPr>
                    <w:t>铅</w:t>
                  </w:r>
                </w:p>
              </w:tc>
              <w:tc>
                <w:tcPr>
                  <w:tcW w:w="757" w:type="dxa"/>
                  <w:tcBorders>
                    <w:tl2br w:val="nil"/>
                    <w:tr2bl w:val="nil"/>
                  </w:tcBorders>
                  <w:vAlign w:val="center"/>
                </w:tcPr>
                <w:p w14:paraId="36103E95">
                  <w:pPr>
                    <w:adjustRightInd w:val="0"/>
                    <w:snapToGrid w:val="0"/>
                    <w:spacing w:line="240" w:lineRule="auto"/>
                    <w:jc w:val="center"/>
                    <w:rPr>
                      <w:rFonts w:hint="eastAsia" w:ascii="Times New Roman" w:hAnsi="Times New Roman" w:eastAsia="宋体" w:cs="Times New Roman"/>
                      <w:b/>
                      <w:bCs/>
                      <w:color w:val="auto"/>
                      <w:sz w:val="21"/>
                      <w:szCs w:val="21"/>
                      <w:u w:val="none"/>
                      <w:lang w:val="en-US" w:eastAsia="zh-CN"/>
                    </w:rPr>
                  </w:pPr>
                  <w:r>
                    <w:rPr>
                      <w:rFonts w:hint="eastAsia" w:ascii="Times New Roman" w:hAnsi="Times New Roman" w:eastAsia="宋体" w:cs="Times New Roman"/>
                      <w:b/>
                      <w:bCs/>
                      <w:color w:val="auto"/>
                      <w:sz w:val="21"/>
                      <w:szCs w:val="21"/>
                      <w:u w:val="none"/>
                      <w:lang w:val="en-US" w:eastAsia="zh-CN"/>
                    </w:rPr>
                    <w:t>化学</w:t>
                  </w:r>
                </w:p>
                <w:p w14:paraId="201AFA59">
                  <w:pPr>
                    <w:adjustRightInd w:val="0"/>
                    <w:snapToGrid w:val="0"/>
                    <w:spacing w:line="240" w:lineRule="auto"/>
                    <w:jc w:val="center"/>
                    <w:rPr>
                      <w:rFonts w:hint="eastAsia" w:ascii="Times New Roman" w:hAnsi="Times New Roman" w:eastAsia="宋体" w:cs="Times New Roman"/>
                      <w:b/>
                      <w:bCs/>
                      <w:color w:val="auto"/>
                      <w:sz w:val="21"/>
                      <w:szCs w:val="21"/>
                      <w:u w:val="none"/>
                      <w:lang w:val="zh-CN" w:eastAsia="zh-CN"/>
                    </w:rPr>
                  </w:pPr>
                  <w:r>
                    <w:rPr>
                      <w:rFonts w:hint="eastAsia" w:ascii="Times New Roman" w:hAnsi="Times New Roman" w:eastAsia="宋体" w:cs="Times New Roman"/>
                      <w:b/>
                      <w:bCs/>
                      <w:color w:val="auto"/>
                      <w:sz w:val="21"/>
                      <w:szCs w:val="21"/>
                      <w:u w:val="none"/>
                      <w:lang w:val="en-US" w:eastAsia="zh-CN"/>
                    </w:rPr>
                    <w:t>需氧量</w:t>
                  </w:r>
                </w:p>
              </w:tc>
              <w:tc>
                <w:tcPr>
                  <w:tcW w:w="528" w:type="dxa"/>
                  <w:tcBorders>
                    <w:tl2br w:val="nil"/>
                    <w:tr2bl w:val="nil"/>
                  </w:tcBorders>
                  <w:vAlign w:val="center"/>
                </w:tcPr>
                <w:p w14:paraId="6F9C810F">
                  <w:pPr>
                    <w:adjustRightInd w:val="0"/>
                    <w:snapToGrid w:val="0"/>
                    <w:spacing w:line="240" w:lineRule="auto"/>
                    <w:jc w:val="center"/>
                    <w:rPr>
                      <w:rFonts w:hint="eastAsia" w:ascii="Times New Roman" w:hAnsi="Times New Roman" w:eastAsia="宋体" w:cs="Times New Roman"/>
                      <w:b/>
                      <w:bCs/>
                      <w:color w:val="auto"/>
                      <w:sz w:val="21"/>
                      <w:szCs w:val="21"/>
                      <w:u w:val="none"/>
                      <w:lang w:val="zh-CN" w:eastAsia="zh-CN"/>
                    </w:rPr>
                  </w:pPr>
                  <w:r>
                    <w:rPr>
                      <w:rFonts w:hint="eastAsia" w:ascii="Times New Roman" w:hAnsi="Times New Roman" w:eastAsia="宋体" w:cs="Times New Roman"/>
                      <w:b/>
                      <w:bCs/>
                      <w:color w:val="auto"/>
                      <w:sz w:val="21"/>
                      <w:szCs w:val="21"/>
                      <w:u w:val="none"/>
                      <w:lang w:val="en-US" w:eastAsia="zh-CN"/>
                    </w:rPr>
                    <w:t>总磷</w:t>
                  </w:r>
                </w:p>
              </w:tc>
            </w:tr>
            <w:tr w14:paraId="4B450BB8">
              <w:tblPrEx>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CellMar>
                  <w:top w:w="0" w:type="dxa"/>
                  <w:left w:w="108" w:type="dxa"/>
                  <w:bottom w:w="0" w:type="dxa"/>
                  <w:right w:w="108" w:type="dxa"/>
                </w:tblCellMar>
              </w:tblPrEx>
              <w:trPr>
                <w:trHeight w:val="801" w:hRule="atLeast"/>
                <w:jc w:val="center"/>
              </w:trPr>
              <w:tc>
                <w:tcPr>
                  <w:tcW w:w="545" w:type="dxa"/>
                  <w:vMerge w:val="restart"/>
                  <w:tcBorders>
                    <w:tl2br w:val="nil"/>
                    <w:tr2bl w:val="nil"/>
                  </w:tcBorders>
                  <w:vAlign w:val="center"/>
                </w:tcPr>
                <w:p w14:paraId="4DA43755">
                  <w:pPr>
                    <w:adjustRightInd w:val="0"/>
                    <w:snapToGrid w:val="0"/>
                    <w:spacing w:line="240" w:lineRule="auto"/>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bCs/>
                      <w:color w:val="auto"/>
                      <w:kern w:val="2"/>
                      <w:sz w:val="21"/>
                      <w:szCs w:val="21"/>
                      <w:u w:val="none"/>
                      <w:lang w:val="en-US" w:eastAsia="zh-CN" w:bidi="ar-SA"/>
                    </w:rPr>
                    <w:t>沙河舞阳马湾断面</w:t>
                  </w:r>
                </w:p>
              </w:tc>
              <w:tc>
                <w:tcPr>
                  <w:tcW w:w="834" w:type="dxa"/>
                  <w:tcBorders>
                    <w:tl2br w:val="nil"/>
                    <w:tr2bl w:val="nil"/>
                  </w:tcBorders>
                  <w:vAlign w:val="center"/>
                </w:tcPr>
                <w:p w14:paraId="0FEF4DC9">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最小值</w:t>
                  </w:r>
                </w:p>
              </w:tc>
              <w:tc>
                <w:tcPr>
                  <w:tcW w:w="647" w:type="dxa"/>
                  <w:tcBorders>
                    <w:tl2br w:val="nil"/>
                    <w:tr2bl w:val="nil"/>
                  </w:tcBorders>
                  <w:vAlign w:val="center"/>
                </w:tcPr>
                <w:p w14:paraId="0520F8DA">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8</w:t>
                  </w:r>
                </w:p>
              </w:tc>
              <w:tc>
                <w:tcPr>
                  <w:tcW w:w="630" w:type="dxa"/>
                  <w:tcBorders>
                    <w:tl2br w:val="nil"/>
                    <w:tr2bl w:val="nil"/>
                  </w:tcBorders>
                  <w:vAlign w:val="center"/>
                </w:tcPr>
                <w:p w14:paraId="663A8CC6">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8.3</w:t>
                  </w:r>
                </w:p>
              </w:tc>
              <w:tc>
                <w:tcPr>
                  <w:tcW w:w="620" w:type="dxa"/>
                  <w:tcBorders>
                    <w:tl2br w:val="nil"/>
                    <w:tr2bl w:val="nil"/>
                  </w:tcBorders>
                  <w:vAlign w:val="center"/>
                </w:tcPr>
                <w:p w14:paraId="7CFFC17F">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3.3</w:t>
                  </w:r>
                </w:p>
              </w:tc>
              <w:tc>
                <w:tcPr>
                  <w:tcW w:w="625" w:type="dxa"/>
                  <w:tcBorders>
                    <w:tl2br w:val="nil"/>
                    <w:tr2bl w:val="nil"/>
                  </w:tcBorders>
                  <w:vAlign w:val="center"/>
                </w:tcPr>
                <w:p w14:paraId="46DE8CB2">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1.5</w:t>
                  </w:r>
                </w:p>
              </w:tc>
              <w:tc>
                <w:tcPr>
                  <w:tcW w:w="645" w:type="dxa"/>
                  <w:tcBorders>
                    <w:tl2br w:val="nil"/>
                    <w:tr2bl w:val="nil"/>
                  </w:tcBorders>
                  <w:vAlign w:val="center"/>
                </w:tcPr>
                <w:p w14:paraId="1A40D0F8">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0.08</w:t>
                  </w:r>
                </w:p>
              </w:tc>
              <w:tc>
                <w:tcPr>
                  <w:tcW w:w="615" w:type="dxa"/>
                  <w:tcBorders>
                    <w:tl2br w:val="nil"/>
                    <w:tr2bl w:val="nil"/>
                  </w:tcBorders>
                  <w:vAlign w:val="center"/>
                </w:tcPr>
                <w:p w14:paraId="7C76DE94">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0.005</w:t>
                  </w:r>
                </w:p>
              </w:tc>
              <w:tc>
                <w:tcPr>
                  <w:tcW w:w="645" w:type="dxa"/>
                  <w:tcBorders>
                    <w:tl2br w:val="nil"/>
                    <w:tr2bl w:val="nil"/>
                  </w:tcBorders>
                  <w:vAlign w:val="center"/>
                </w:tcPr>
                <w:p w14:paraId="4471C579">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0.0002</w:t>
                  </w:r>
                </w:p>
              </w:tc>
              <w:tc>
                <w:tcPr>
                  <w:tcW w:w="735" w:type="dxa"/>
                  <w:tcBorders>
                    <w:tl2br w:val="nil"/>
                    <w:tr2bl w:val="nil"/>
                  </w:tcBorders>
                  <w:vAlign w:val="center"/>
                </w:tcPr>
                <w:p w14:paraId="3F5CEEC3">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0.00002</w:t>
                  </w:r>
                </w:p>
              </w:tc>
              <w:tc>
                <w:tcPr>
                  <w:tcW w:w="705" w:type="dxa"/>
                  <w:tcBorders>
                    <w:tl2br w:val="nil"/>
                    <w:tr2bl w:val="nil"/>
                  </w:tcBorders>
                  <w:vAlign w:val="center"/>
                </w:tcPr>
                <w:p w14:paraId="2D87D873">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0.00004</w:t>
                  </w:r>
                </w:p>
              </w:tc>
              <w:tc>
                <w:tcPr>
                  <w:tcW w:w="757" w:type="dxa"/>
                  <w:tcBorders>
                    <w:tl2br w:val="nil"/>
                    <w:tr2bl w:val="nil"/>
                  </w:tcBorders>
                  <w:vAlign w:val="center"/>
                </w:tcPr>
                <w:p w14:paraId="6103D8B7">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en-US" w:eastAsia="zh-CN"/>
                    </w:rPr>
                    <w:t>12</w:t>
                  </w:r>
                </w:p>
              </w:tc>
              <w:tc>
                <w:tcPr>
                  <w:tcW w:w="528" w:type="dxa"/>
                  <w:tcBorders>
                    <w:tl2br w:val="nil"/>
                    <w:tr2bl w:val="nil"/>
                  </w:tcBorders>
                  <w:vAlign w:val="center"/>
                </w:tcPr>
                <w:p w14:paraId="72ECD29A">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0.023</w:t>
                  </w:r>
                </w:p>
              </w:tc>
            </w:tr>
            <w:tr w14:paraId="03D0F43E">
              <w:tblPrEx>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CellMar>
                  <w:top w:w="0" w:type="dxa"/>
                  <w:left w:w="108" w:type="dxa"/>
                  <w:bottom w:w="0" w:type="dxa"/>
                  <w:right w:w="108" w:type="dxa"/>
                </w:tblCellMar>
              </w:tblPrEx>
              <w:trPr>
                <w:trHeight w:val="616" w:hRule="atLeast"/>
                <w:jc w:val="center"/>
              </w:trPr>
              <w:tc>
                <w:tcPr>
                  <w:tcW w:w="545" w:type="dxa"/>
                  <w:vMerge w:val="continue"/>
                  <w:tcBorders>
                    <w:tl2br w:val="nil"/>
                    <w:tr2bl w:val="nil"/>
                  </w:tcBorders>
                  <w:vAlign w:val="center"/>
                </w:tcPr>
                <w:p w14:paraId="62B1D8B6">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p>
              </w:tc>
              <w:tc>
                <w:tcPr>
                  <w:tcW w:w="834" w:type="dxa"/>
                  <w:tcBorders>
                    <w:tl2br w:val="nil"/>
                    <w:tr2bl w:val="nil"/>
                  </w:tcBorders>
                  <w:vAlign w:val="center"/>
                </w:tcPr>
                <w:p w14:paraId="0528373F">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最大值</w:t>
                  </w:r>
                </w:p>
              </w:tc>
              <w:tc>
                <w:tcPr>
                  <w:tcW w:w="647" w:type="dxa"/>
                  <w:tcBorders>
                    <w:tl2br w:val="nil"/>
                    <w:tr2bl w:val="nil"/>
                  </w:tcBorders>
                  <w:vAlign w:val="center"/>
                </w:tcPr>
                <w:p w14:paraId="5E30C989">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8</w:t>
                  </w:r>
                </w:p>
              </w:tc>
              <w:tc>
                <w:tcPr>
                  <w:tcW w:w="630" w:type="dxa"/>
                  <w:tcBorders>
                    <w:tl2br w:val="nil"/>
                    <w:tr2bl w:val="nil"/>
                  </w:tcBorders>
                  <w:vAlign w:val="center"/>
                </w:tcPr>
                <w:p w14:paraId="4FA371D3">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16.1</w:t>
                  </w:r>
                </w:p>
              </w:tc>
              <w:tc>
                <w:tcPr>
                  <w:tcW w:w="620" w:type="dxa"/>
                  <w:tcBorders>
                    <w:tl2br w:val="nil"/>
                    <w:tr2bl w:val="nil"/>
                  </w:tcBorders>
                  <w:vAlign w:val="center"/>
                </w:tcPr>
                <w:p w14:paraId="4E64C9EB">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5.1</w:t>
                  </w:r>
                </w:p>
              </w:tc>
              <w:tc>
                <w:tcPr>
                  <w:tcW w:w="625" w:type="dxa"/>
                  <w:tcBorders>
                    <w:tl2br w:val="nil"/>
                    <w:tr2bl w:val="nil"/>
                  </w:tcBorders>
                  <w:vAlign w:val="center"/>
                </w:tcPr>
                <w:p w14:paraId="4AED86F2">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2.9</w:t>
                  </w:r>
                </w:p>
              </w:tc>
              <w:tc>
                <w:tcPr>
                  <w:tcW w:w="645" w:type="dxa"/>
                  <w:tcBorders>
                    <w:tl2br w:val="nil"/>
                    <w:tr2bl w:val="nil"/>
                  </w:tcBorders>
                  <w:vAlign w:val="center"/>
                </w:tcPr>
                <w:p w14:paraId="0A96C03D">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0.38</w:t>
                  </w:r>
                </w:p>
              </w:tc>
              <w:tc>
                <w:tcPr>
                  <w:tcW w:w="615" w:type="dxa"/>
                  <w:tcBorders>
                    <w:tl2br w:val="nil"/>
                    <w:tr2bl w:val="nil"/>
                  </w:tcBorders>
                  <w:vAlign w:val="center"/>
                </w:tcPr>
                <w:p w14:paraId="247778FB">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0.005</w:t>
                  </w:r>
                </w:p>
              </w:tc>
              <w:tc>
                <w:tcPr>
                  <w:tcW w:w="645" w:type="dxa"/>
                  <w:tcBorders>
                    <w:tl2br w:val="nil"/>
                    <w:tr2bl w:val="nil"/>
                  </w:tcBorders>
                  <w:vAlign w:val="center"/>
                </w:tcPr>
                <w:p w14:paraId="467F5F38">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0.0002</w:t>
                  </w:r>
                </w:p>
              </w:tc>
              <w:tc>
                <w:tcPr>
                  <w:tcW w:w="735" w:type="dxa"/>
                  <w:tcBorders>
                    <w:tl2br w:val="nil"/>
                    <w:tr2bl w:val="nil"/>
                  </w:tcBorders>
                  <w:vAlign w:val="center"/>
                </w:tcPr>
                <w:p w14:paraId="61A2FCCA">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0.00005</w:t>
                  </w:r>
                </w:p>
              </w:tc>
              <w:tc>
                <w:tcPr>
                  <w:tcW w:w="705" w:type="dxa"/>
                  <w:tcBorders>
                    <w:tl2br w:val="nil"/>
                    <w:tr2bl w:val="nil"/>
                  </w:tcBorders>
                  <w:vAlign w:val="center"/>
                </w:tcPr>
                <w:p w14:paraId="3A4878E3">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0.001</w:t>
                  </w:r>
                </w:p>
              </w:tc>
              <w:tc>
                <w:tcPr>
                  <w:tcW w:w="757" w:type="dxa"/>
                  <w:tcBorders>
                    <w:tl2br w:val="nil"/>
                    <w:tr2bl w:val="nil"/>
                  </w:tcBorders>
                  <w:vAlign w:val="center"/>
                </w:tcPr>
                <w:p w14:paraId="319B63F9">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14</w:t>
                  </w:r>
                </w:p>
              </w:tc>
              <w:tc>
                <w:tcPr>
                  <w:tcW w:w="528" w:type="dxa"/>
                  <w:tcBorders>
                    <w:tl2br w:val="nil"/>
                    <w:tr2bl w:val="nil"/>
                  </w:tcBorders>
                  <w:vAlign w:val="center"/>
                </w:tcPr>
                <w:p w14:paraId="3FE6A856">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0.097</w:t>
                  </w:r>
                </w:p>
              </w:tc>
            </w:tr>
            <w:tr w14:paraId="35541381">
              <w:tblPrEx>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CellMar>
                  <w:top w:w="0" w:type="dxa"/>
                  <w:left w:w="108" w:type="dxa"/>
                  <w:bottom w:w="0" w:type="dxa"/>
                  <w:right w:w="108" w:type="dxa"/>
                </w:tblCellMar>
              </w:tblPrEx>
              <w:trPr>
                <w:trHeight w:val="676" w:hRule="atLeast"/>
                <w:jc w:val="center"/>
              </w:trPr>
              <w:tc>
                <w:tcPr>
                  <w:tcW w:w="545" w:type="dxa"/>
                  <w:vMerge w:val="continue"/>
                  <w:tcBorders>
                    <w:tl2br w:val="nil"/>
                    <w:tr2bl w:val="nil"/>
                  </w:tcBorders>
                  <w:vAlign w:val="center"/>
                </w:tcPr>
                <w:p w14:paraId="07356F33">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p>
              </w:tc>
              <w:tc>
                <w:tcPr>
                  <w:tcW w:w="834" w:type="dxa"/>
                  <w:tcBorders>
                    <w:tl2br w:val="nil"/>
                    <w:tr2bl w:val="nil"/>
                  </w:tcBorders>
                  <w:vAlign w:val="center"/>
                </w:tcPr>
                <w:p w14:paraId="4EC307F6">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平均值</w:t>
                  </w:r>
                </w:p>
              </w:tc>
              <w:tc>
                <w:tcPr>
                  <w:tcW w:w="647" w:type="dxa"/>
                  <w:tcBorders>
                    <w:tl2br w:val="nil"/>
                    <w:tr2bl w:val="nil"/>
                  </w:tcBorders>
                  <w:vAlign w:val="center"/>
                </w:tcPr>
                <w:p w14:paraId="49BA7A90">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8</w:t>
                  </w:r>
                </w:p>
              </w:tc>
              <w:tc>
                <w:tcPr>
                  <w:tcW w:w="630" w:type="dxa"/>
                  <w:tcBorders>
                    <w:tl2br w:val="nil"/>
                    <w:tr2bl w:val="nil"/>
                  </w:tcBorders>
                  <w:vAlign w:val="center"/>
                </w:tcPr>
                <w:p w14:paraId="7882B6A4">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 xml:space="preserve">11.7 </w:t>
                  </w:r>
                </w:p>
              </w:tc>
              <w:tc>
                <w:tcPr>
                  <w:tcW w:w="620" w:type="dxa"/>
                  <w:tcBorders>
                    <w:tl2br w:val="nil"/>
                    <w:tr2bl w:val="nil"/>
                  </w:tcBorders>
                  <w:vAlign w:val="center"/>
                </w:tcPr>
                <w:p w14:paraId="7763F3A8">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 xml:space="preserve">4.2 </w:t>
                  </w:r>
                </w:p>
              </w:tc>
              <w:tc>
                <w:tcPr>
                  <w:tcW w:w="625" w:type="dxa"/>
                  <w:tcBorders>
                    <w:tl2br w:val="nil"/>
                    <w:tr2bl w:val="nil"/>
                  </w:tcBorders>
                  <w:vAlign w:val="center"/>
                </w:tcPr>
                <w:p w14:paraId="61BE7D3D">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2.3</w:t>
                  </w:r>
                </w:p>
              </w:tc>
              <w:tc>
                <w:tcPr>
                  <w:tcW w:w="645" w:type="dxa"/>
                  <w:tcBorders>
                    <w:tl2br w:val="nil"/>
                    <w:tr2bl w:val="nil"/>
                  </w:tcBorders>
                  <w:vAlign w:val="center"/>
                </w:tcPr>
                <w:p w14:paraId="5C668F41">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 xml:space="preserve">0.18 </w:t>
                  </w:r>
                </w:p>
              </w:tc>
              <w:tc>
                <w:tcPr>
                  <w:tcW w:w="615" w:type="dxa"/>
                  <w:tcBorders>
                    <w:tl2br w:val="nil"/>
                    <w:tr2bl w:val="nil"/>
                  </w:tcBorders>
                  <w:vAlign w:val="center"/>
                </w:tcPr>
                <w:p w14:paraId="0192B725">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0.005</w:t>
                  </w:r>
                </w:p>
              </w:tc>
              <w:tc>
                <w:tcPr>
                  <w:tcW w:w="645" w:type="dxa"/>
                  <w:tcBorders>
                    <w:tl2br w:val="nil"/>
                    <w:tr2bl w:val="nil"/>
                  </w:tcBorders>
                  <w:vAlign w:val="center"/>
                </w:tcPr>
                <w:p w14:paraId="16B15327">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0.0002</w:t>
                  </w:r>
                </w:p>
              </w:tc>
              <w:tc>
                <w:tcPr>
                  <w:tcW w:w="735" w:type="dxa"/>
                  <w:tcBorders>
                    <w:tl2br w:val="nil"/>
                    <w:tr2bl w:val="nil"/>
                  </w:tcBorders>
                  <w:vAlign w:val="center"/>
                </w:tcPr>
                <w:p w14:paraId="060DBD86">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 xml:space="preserve">0.00003 </w:t>
                  </w:r>
                </w:p>
              </w:tc>
              <w:tc>
                <w:tcPr>
                  <w:tcW w:w="705" w:type="dxa"/>
                  <w:tcBorders>
                    <w:tl2br w:val="nil"/>
                    <w:tr2bl w:val="nil"/>
                  </w:tcBorders>
                  <w:vAlign w:val="center"/>
                </w:tcPr>
                <w:p w14:paraId="560352DB">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 xml:space="preserve">0.0004 </w:t>
                  </w:r>
                </w:p>
              </w:tc>
              <w:tc>
                <w:tcPr>
                  <w:tcW w:w="757" w:type="dxa"/>
                  <w:tcBorders>
                    <w:tl2br w:val="nil"/>
                    <w:tr2bl w:val="nil"/>
                  </w:tcBorders>
                  <w:vAlign w:val="center"/>
                </w:tcPr>
                <w:p w14:paraId="13C30618">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1</w:t>
                  </w:r>
                  <w:r>
                    <w:rPr>
                      <w:rFonts w:hint="eastAsia" w:ascii="Times New Roman" w:hAnsi="Times New Roman" w:eastAsia="宋体" w:cs="Times New Roman"/>
                      <w:color w:val="auto"/>
                      <w:sz w:val="21"/>
                      <w:szCs w:val="21"/>
                      <w:u w:val="none"/>
                      <w:lang w:val="en-US" w:eastAsia="zh-CN"/>
                    </w:rPr>
                    <w:t>3</w:t>
                  </w:r>
                </w:p>
              </w:tc>
              <w:tc>
                <w:tcPr>
                  <w:tcW w:w="528" w:type="dxa"/>
                  <w:tcBorders>
                    <w:tl2br w:val="nil"/>
                    <w:tr2bl w:val="nil"/>
                  </w:tcBorders>
                  <w:vAlign w:val="center"/>
                </w:tcPr>
                <w:p w14:paraId="2FA9926C">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r>
                    <w:rPr>
                      <w:rFonts w:hint="eastAsia" w:ascii="Times New Roman" w:hAnsi="Times New Roman" w:eastAsia="宋体" w:cs="Times New Roman"/>
                      <w:color w:val="auto"/>
                      <w:sz w:val="21"/>
                      <w:szCs w:val="21"/>
                      <w:u w:val="none"/>
                      <w:lang w:val="zh-CN" w:eastAsia="zh-CN"/>
                    </w:rPr>
                    <w:t xml:space="preserve">0.049 </w:t>
                  </w:r>
                </w:p>
              </w:tc>
            </w:tr>
            <w:tr w14:paraId="0765A274">
              <w:tblPrEx>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CellMar>
                  <w:top w:w="0" w:type="dxa"/>
                  <w:left w:w="108" w:type="dxa"/>
                  <w:bottom w:w="0" w:type="dxa"/>
                  <w:right w:w="108" w:type="dxa"/>
                </w:tblCellMar>
              </w:tblPrEx>
              <w:trPr>
                <w:trHeight w:val="1069" w:hRule="atLeast"/>
                <w:jc w:val="center"/>
              </w:trPr>
              <w:tc>
                <w:tcPr>
                  <w:tcW w:w="545" w:type="dxa"/>
                  <w:vMerge w:val="continue"/>
                  <w:tcBorders>
                    <w:tl2br w:val="nil"/>
                    <w:tr2bl w:val="nil"/>
                  </w:tcBorders>
                  <w:vAlign w:val="center"/>
                </w:tcPr>
                <w:p w14:paraId="72EF2996">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p>
              </w:tc>
              <w:tc>
                <w:tcPr>
                  <w:tcW w:w="834" w:type="dxa"/>
                  <w:tcBorders>
                    <w:tl2br w:val="nil"/>
                    <w:tr2bl w:val="nil"/>
                  </w:tcBorders>
                  <w:vAlign w:val="center"/>
                </w:tcPr>
                <w:p w14:paraId="5539FEF1">
                  <w:pPr>
                    <w:adjustRightInd w:val="0"/>
                    <w:snapToGrid w:val="0"/>
                    <w:spacing w:line="240" w:lineRule="auto"/>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标准限值（</w:t>
                  </w:r>
                  <w:r>
                    <w:rPr>
                      <w:rFonts w:hint="eastAsia" w:ascii="Times New Roman" w:hAnsi="Times New Roman" w:eastAsia="宋体" w:cs="Times New Roman"/>
                      <w:color w:val="auto"/>
                      <w:szCs w:val="21"/>
                      <w:u w:val="none"/>
                      <w:lang w:val="en-US" w:eastAsia="zh-CN"/>
                    </w:rPr>
                    <w:fldChar w:fldCharType="begin"/>
                  </w:r>
                  <w:r>
                    <w:rPr>
                      <w:rFonts w:hint="eastAsia" w:ascii="Times New Roman" w:hAnsi="Times New Roman" w:eastAsia="宋体" w:cs="Times New Roman"/>
                      <w:color w:val="auto"/>
                      <w:szCs w:val="21"/>
                      <w:u w:val="none"/>
                      <w:lang w:val="en-US" w:eastAsia="zh-CN"/>
                    </w:rPr>
                    <w:instrText xml:space="preserve"> = 3 \* ROMAN \* MERGEFORMAT </w:instrText>
                  </w:r>
                  <w:r>
                    <w:rPr>
                      <w:rFonts w:hint="eastAsia" w:ascii="Times New Roman" w:hAnsi="Times New Roman" w:eastAsia="宋体" w:cs="Times New Roman"/>
                      <w:color w:val="auto"/>
                      <w:szCs w:val="21"/>
                      <w:u w:val="none"/>
                      <w:lang w:val="en-US" w:eastAsia="zh-CN"/>
                    </w:rPr>
                    <w:fldChar w:fldCharType="separate"/>
                  </w:r>
                  <w:r>
                    <w:rPr>
                      <w:rFonts w:hint="eastAsia" w:ascii="Times New Roman" w:hAnsi="Times New Roman" w:eastAsia="宋体" w:cs="Times New Roman"/>
                      <w:color w:val="auto"/>
                      <w:szCs w:val="21"/>
                      <w:u w:val="none"/>
                      <w:lang w:val="en-US" w:eastAsia="zh-CN"/>
                    </w:rPr>
                    <w:t>Ⅲ</w:t>
                  </w:r>
                  <w:r>
                    <w:rPr>
                      <w:rFonts w:hint="eastAsia" w:ascii="Times New Roman" w:hAnsi="Times New Roman" w:eastAsia="宋体" w:cs="Times New Roman"/>
                      <w:color w:val="auto"/>
                      <w:szCs w:val="21"/>
                      <w:u w:val="none"/>
                      <w:lang w:val="en-US" w:eastAsia="zh-CN"/>
                    </w:rPr>
                    <w:fldChar w:fldCharType="end"/>
                  </w:r>
                  <w:r>
                    <w:rPr>
                      <w:rFonts w:hint="eastAsia" w:ascii="Times New Roman" w:hAnsi="Times New Roman" w:eastAsia="宋体" w:cs="Times New Roman"/>
                      <w:color w:val="auto"/>
                      <w:szCs w:val="21"/>
                      <w:u w:val="none"/>
                      <w:lang w:val="en-US" w:eastAsia="zh-CN"/>
                    </w:rPr>
                    <w:t>类）</w:t>
                  </w:r>
                </w:p>
              </w:tc>
              <w:tc>
                <w:tcPr>
                  <w:tcW w:w="647" w:type="dxa"/>
                  <w:tcBorders>
                    <w:tl2br w:val="nil"/>
                    <w:tr2bl w:val="nil"/>
                  </w:tcBorders>
                  <w:vAlign w:val="center"/>
                </w:tcPr>
                <w:p w14:paraId="288D6813">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7-9</w:t>
                  </w:r>
                </w:p>
              </w:tc>
              <w:tc>
                <w:tcPr>
                  <w:tcW w:w="630" w:type="dxa"/>
                  <w:tcBorders>
                    <w:tl2br w:val="nil"/>
                    <w:tr2bl w:val="nil"/>
                  </w:tcBorders>
                  <w:vAlign w:val="center"/>
                </w:tcPr>
                <w:p w14:paraId="5B9BE867">
                  <w:pPr>
                    <w:adjustRightInd w:val="0"/>
                    <w:snapToGrid w:val="0"/>
                    <w:spacing w:line="240" w:lineRule="auto"/>
                    <w:jc w:val="center"/>
                    <w:rPr>
                      <w:rFonts w:hint="default" w:ascii="Times New Roman" w:hAnsi="Times New Roman" w:eastAsia="宋体" w:cs="Times New Roman"/>
                      <w:color w:val="auto"/>
                      <w:szCs w:val="21"/>
                      <w:u w:val="none"/>
                      <w:lang w:val="en-US" w:eastAsia="zh-CN"/>
                    </w:rPr>
                  </w:pPr>
                  <w:r>
                    <w:rPr>
                      <w:rFonts w:hint="default" w:ascii="Arial" w:hAnsi="Arial" w:eastAsia="宋体" w:cs="Arial"/>
                      <w:color w:val="auto"/>
                      <w:szCs w:val="21"/>
                      <w:u w:val="none"/>
                    </w:rPr>
                    <w:t>≥</w:t>
                  </w:r>
                  <w:r>
                    <w:rPr>
                      <w:rFonts w:hint="eastAsia" w:ascii="Times New Roman" w:hAnsi="Times New Roman" w:eastAsia="宋体" w:cs="Times New Roman"/>
                      <w:color w:val="auto"/>
                      <w:szCs w:val="21"/>
                      <w:u w:val="none"/>
                      <w:lang w:val="en-US" w:eastAsia="zh-CN"/>
                    </w:rPr>
                    <w:t>6</w:t>
                  </w:r>
                </w:p>
              </w:tc>
              <w:tc>
                <w:tcPr>
                  <w:tcW w:w="620" w:type="dxa"/>
                  <w:tcBorders>
                    <w:tl2br w:val="nil"/>
                    <w:tr2bl w:val="nil"/>
                  </w:tcBorders>
                  <w:vAlign w:val="center"/>
                </w:tcPr>
                <w:p w14:paraId="31C4A802">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6</w:t>
                  </w:r>
                </w:p>
              </w:tc>
              <w:tc>
                <w:tcPr>
                  <w:tcW w:w="625" w:type="dxa"/>
                  <w:tcBorders>
                    <w:tl2br w:val="nil"/>
                    <w:tr2bl w:val="nil"/>
                  </w:tcBorders>
                  <w:vAlign w:val="center"/>
                </w:tcPr>
                <w:p w14:paraId="16CE6175">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4</w:t>
                  </w:r>
                </w:p>
              </w:tc>
              <w:tc>
                <w:tcPr>
                  <w:tcW w:w="645" w:type="dxa"/>
                  <w:tcBorders>
                    <w:tl2br w:val="nil"/>
                    <w:tr2bl w:val="nil"/>
                  </w:tcBorders>
                  <w:vAlign w:val="center"/>
                </w:tcPr>
                <w:p w14:paraId="5F58B3AE">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1.0</w:t>
                  </w:r>
                </w:p>
              </w:tc>
              <w:tc>
                <w:tcPr>
                  <w:tcW w:w="615" w:type="dxa"/>
                  <w:tcBorders>
                    <w:tl2br w:val="nil"/>
                    <w:tr2bl w:val="nil"/>
                  </w:tcBorders>
                  <w:vAlign w:val="center"/>
                </w:tcPr>
                <w:p w14:paraId="7C784BE7">
                  <w:pPr>
                    <w:adjustRightInd w:val="0"/>
                    <w:snapToGrid w:val="0"/>
                    <w:spacing w:line="240" w:lineRule="auto"/>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0.05</w:t>
                  </w:r>
                </w:p>
              </w:tc>
              <w:tc>
                <w:tcPr>
                  <w:tcW w:w="645" w:type="dxa"/>
                  <w:tcBorders>
                    <w:tl2br w:val="nil"/>
                    <w:tr2bl w:val="nil"/>
                  </w:tcBorders>
                  <w:vAlign w:val="center"/>
                </w:tcPr>
                <w:p w14:paraId="5DED3AA6">
                  <w:pPr>
                    <w:adjustRightInd w:val="0"/>
                    <w:snapToGrid w:val="0"/>
                    <w:spacing w:line="240" w:lineRule="auto"/>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0.005</w:t>
                  </w:r>
                </w:p>
              </w:tc>
              <w:tc>
                <w:tcPr>
                  <w:tcW w:w="735" w:type="dxa"/>
                  <w:tcBorders>
                    <w:tl2br w:val="nil"/>
                    <w:tr2bl w:val="nil"/>
                  </w:tcBorders>
                  <w:vAlign w:val="center"/>
                </w:tcPr>
                <w:p w14:paraId="5CB562E2">
                  <w:pPr>
                    <w:adjustRightInd w:val="0"/>
                    <w:snapToGrid w:val="0"/>
                    <w:spacing w:line="240" w:lineRule="auto"/>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0.0001</w:t>
                  </w:r>
                </w:p>
              </w:tc>
              <w:tc>
                <w:tcPr>
                  <w:tcW w:w="705" w:type="dxa"/>
                  <w:tcBorders>
                    <w:tl2br w:val="nil"/>
                    <w:tr2bl w:val="nil"/>
                  </w:tcBorders>
                  <w:vAlign w:val="center"/>
                </w:tcPr>
                <w:p w14:paraId="3631403B">
                  <w:pPr>
                    <w:adjustRightInd w:val="0"/>
                    <w:snapToGrid w:val="0"/>
                    <w:spacing w:line="240" w:lineRule="auto"/>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0.05</w:t>
                  </w:r>
                </w:p>
              </w:tc>
              <w:tc>
                <w:tcPr>
                  <w:tcW w:w="757" w:type="dxa"/>
                  <w:tcBorders>
                    <w:tl2br w:val="nil"/>
                    <w:tr2bl w:val="nil"/>
                  </w:tcBorders>
                  <w:vAlign w:val="center"/>
                </w:tcPr>
                <w:p w14:paraId="7B169434">
                  <w:pPr>
                    <w:adjustRightInd w:val="0"/>
                    <w:snapToGrid w:val="0"/>
                    <w:spacing w:line="240" w:lineRule="auto"/>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20</w:t>
                  </w:r>
                </w:p>
              </w:tc>
              <w:tc>
                <w:tcPr>
                  <w:tcW w:w="528" w:type="dxa"/>
                  <w:tcBorders>
                    <w:tl2br w:val="nil"/>
                    <w:tr2bl w:val="nil"/>
                  </w:tcBorders>
                  <w:vAlign w:val="center"/>
                </w:tcPr>
                <w:p w14:paraId="1F72D295">
                  <w:pPr>
                    <w:adjustRightInd w:val="0"/>
                    <w:snapToGrid w:val="0"/>
                    <w:spacing w:line="240" w:lineRule="auto"/>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0.2</w:t>
                  </w:r>
                </w:p>
              </w:tc>
            </w:tr>
            <w:tr w14:paraId="07D4BDA7">
              <w:tblPrEx>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CellMar>
                  <w:top w:w="0" w:type="dxa"/>
                  <w:left w:w="108" w:type="dxa"/>
                  <w:bottom w:w="0" w:type="dxa"/>
                  <w:right w:w="108" w:type="dxa"/>
                </w:tblCellMar>
              </w:tblPrEx>
              <w:trPr>
                <w:trHeight w:val="696" w:hRule="atLeast"/>
                <w:jc w:val="center"/>
              </w:trPr>
              <w:tc>
                <w:tcPr>
                  <w:tcW w:w="545" w:type="dxa"/>
                  <w:vMerge w:val="continue"/>
                  <w:tcBorders>
                    <w:tl2br w:val="nil"/>
                    <w:tr2bl w:val="nil"/>
                  </w:tcBorders>
                  <w:vAlign w:val="center"/>
                </w:tcPr>
                <w:p w14:paraId="0C9D8A92">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p>
              </w:tc>
              <w:tc>
                <w:tcPr>
                  <w:tcW w:w="834" w:type="dxa"/>
                  <w:tcBorders>
                    <w:tl2br w:val="nil"/>
                    <w:tr2bl w:val="nil"/>
                  </w:tcBorders>
                  <w:vAlign w:val="center"/>
                </w:tcPr>
                <w:p w14:paraId="079CDF3B">
                  <w:pPr>
                    <w:adjustRightInd w:val="0"/>
                    <w:snapToGrid w:val="0"/>
                    <w:spacing w:line="240" w:lineRule="auto"/>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评价情况</w:t>
                  </w:r>
                </w:p>
              </w:tc>
              <w:tc>
                <w:tcPr>
                  <w:tcW w:w="647" w:type="dxa"/>
                  <w:tcBorders>
                    <w:tl2br w:val="nil"/>
                    <w:tr2bl w:val="nil"/>
                  </w:tcBorders>
                  <w:vAlign w:val="center"/>
                </w:tcPr>
                <w:p w14:paraId="2BC26492">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w:t>
                  </w:r>
                </w:p>
              </w:tc>
              <w:tc>
                <w:tcPr>
                  <w:tcW w:w="630" w:type="dxa"/>
                  <w:tcBorders>
                    <w:tl2br w:val="nil"/>
                    <w:tr2bl w:val="nil"/>
                  </w:tcBorders>
                  <w:vAlign w:val="center"/>
                </w:tcPr>
                <w:p w14:paraId="2630CCAC">
                  <w:pPr>
                    <w:adjustRightInd w:val="0"/>
                    <w:snapToGrid w:val="0"/>
                    <w:spacing w:line="240" w:lineRule="auto"/>
                    <w:jc w:val="both"/>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达标</w:t>
                  </w:r>
                </w:p>
              </w:tc>
              <w:tc>
                <w:tcPr>
                  <w:tcW w:w="620" w:type="dxa"/>
                  <w:tcBorders>
                    <w:tl2br w:val="nil"/>
                    <w:tr2bl w:val="nil"/>
                  </w:tcBorders>
                  <w:vAlign w:val="center"/>
                </w:tcPr>
                <w:p w14:paraId="190AD02E">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达标</w:t>
                  </w:r>
                </w:p>
              </w:tc>
              <w:tc>
                <w:tcPr>
                  <w:tcW w:w="625" w:type="dxa"/>
                  <w:tcBorders>
                    <w:tl2br w:val="nil"/>
                    <w:tr2bl w:val="nil"/>
                  </w:tcBorders>
                  <w:vAlign w:val="center"/>
                </w:tcPr>
                <w:p w14:paraId="5E8A5F3E">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达标</w:t>
                  </w:r>
                </w:p>
              </w:tc>
              <w:tc>
                <w:tcPr>
                  <w:tcW w:w="645" w:type="dxa"/>
                  <w:tcBorders>
                    <w:tl2br w:val="nil"/>
                    <w:tr2bl w:val="nil"/>
                  </w:tcBorders>
                  <w:vAlign w:val="center"/>
                </w:tcPr>
                <w:p w14:paraId="23C2345E">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达标</w:t>
                  </w:r>
                </w:p>
              </w:tc>
              <w:tc>
                <w:tcPr>
                  <w:tcW w:w="615" w:type="dxa"/>
                  <w:tcBorders>
                    <w:tl2br w:val="nil"/>
                    <w:tr2bl w:val="nil"/>
                  </w:tcBorders>
                  <w:vAlign w:val="center"/>
                </w:tcPr>
                <w:p w14:paraId="3716DD39">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达标</w:t>
                  </w:r>
                </w:p>
              </w:tc>
              <w:tc>
                <w:tcPr>
                  <w:tcW w:w="645" w:type="dxa"/>
                  <w:tcBorders>
                    <w:tl2br w:val="nil"/>
                    <w:tr2bl w:val="nil"/>
                  </w:tcBorders>
                  <w:vAlign w:val="center"/>
                </w:tcPr>
                <w:p w14:paraId="50EE67BA">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达标</w:t>
                  </w:r>
                </w:p>
              </w:tc>
              <w:tc>
                <w:tcPr>
                  <w:tcW w:w="735" w:type="dxa"/>
                  <w:tcBorders>
                    <w:tl2br w:val="nil"/>
                    <w:tr2bl w:val="nil"/>
                  </w:tcBorders>
                  <w:vAlign w:val="center"/>
                </w:tcPr>
                <w:p w14:paraId="6C4FD888">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达标</w:t>
                  </w:r>
                </w:p>
              </w:tc>
              <w:tc>
                <w:tcPr>
                  <w:tcW w:w="705" w:type="dxa"/>
                  <w:tcBorders>
                    <w:tl2br w:val="nil"/>
                    <w:tr2bl w:val="nil"/>
                  </w:tcBorders>
                  <w:vAlign w:val="center"/>
                </w:tcPr>
                <w:p w14:paraId="097AC90F">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达标</w:t>
                  </w:r>
                </w:p>
              </w:tc>
              <w:tc>
                <w:tcPr>
                  <w:tcW w:w="757" w:type="dxa"/>
                  <w:tcBorders>
                    <w:tl2br w:val="nil"/>
                    <w:tr2bl w:val="nil"/>
                  </w:tcBorders>
                  <w:vAlign w:val="center"/>
                </w:tcPr>
                <w:p w14:paraId="2E4DD9FA">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达标</w:t>
                  </w:r>
                </w:p>
              </w:tc>
              <w:tc>
                <w:tcPr>
                  <w:tcW w:w="528" w:type="dxa"/>
                  <w:tcBorders>
                    <w:tl2br w:val="nil"/>
                    <w:tr2bl w:val="nil"/>
                  </w:tcBorders>
                  <w:vAlign w:val="center"/>
                </w:tcPr>
                <w:p w14:paraId="48643EA9">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达标</w:t>
                  </w:r>
                </w:p>
              </w:tc>
            </w:tr>
            <w:tr w14:paraId="5430E821">
              <w:tblPrEx>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CellMar>
                  <w:top w:w="0" w:type="dxa"/>
                  <w:left w:w="108" w:type="dxa"/>
                  <w:bottom w:w="0" w:type="dxa"/>
                  <w:right w:w="108" w:type="dxa"/>
                </w:tblCellMar>
              </w:tblPrEx>
              <w:trPr>
                <w:trHeight w:val="895" w:hRule="atLeast"/>
                <w:jc w:val="center"/>
              </w:trPr>
              <w:tc>
                <w:tcPr>
                  <w:tcW w:w="545" w:type="dxa"/>
                  <w:vMerge w:val="continue"/>
                  <w:tcBorders>
                    <w:tl2br w:val="nil"/>
                    <w:tr2bl w:val="nil"/>
                  </w:tcBorders>
                  <w:vAlign w:val="center"/>
                </w:tcPr>
                <w:p w14:paraId="37DE1C37">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p>
              </w:tc>
              <w:tc>
                <w:tcPr>
                  <w:tcW w:w="834" w:type="dxa"/>
                  <w:tcBorders>
                    <w:tl2br w:val="nil"/>
                    <w:tr2bl w:val="nil"/>
                  </w:tcBorders>
                  <w:vAlign w:val="center"/>
                </w:tcPr>
                <w:p w14:paraId="27748A0D">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b/>
                      <w:bCs/>
                      <w:color w:val="auto"/>
                      <w:sz w:val="21"/>
                      <w:szCs w:val="21"/>
                      <w:u w:val="none"/>
                      <w:lang w:val="en-US" w:eastAsia="zh-CN"/>
                    </w:rPr>
                    <w:t>类别</w:t>
                  </w:r>
                  <w:r>
                    <w:rPr>
                      <w:rFonts w:hint="eastAsia" w:ascii="Times New Roman" w:hAnsi="Times New Roman" w:eastAsia="宋体" w:cs="Times New Roman"/>
                      <w:b/>
                      <w:bCs/>
                      <w:color w:val="auto"/>
                      <w:sz w:val="21"/>
                      <w:szCs w:val="21"/>
                      <w:u w:val="none"/>
                      <w:lang w:val="zh-CN" w:eastAsia="zh-CN"/>
                    </w:rPr>
                    <w:t xml:space="preserve"> </w:t>
                  </w:r>
                </w:p>
              </w:tc>
              <w:tc>
                <w:tcPr>
                  <w:tcW w:w="647" w:type="dxa"/>
                  <w:tcBorders>
                    <w:tl2br w:val="nil"/>
                    <w:tr2bl w:val="nil"/>
                  </w:tcBorders>
                  <w:vAlign w:val="center"/>
                </w:tcPr>
                <w:p w14:paraId="1B84F6B8">
                  <w:pPr>
                    <w:adjustRightInd w:val="0"/>
                    <w:snapToGrid w:val="0"/>
                    <w:spacing w:line="240" w:lineRule="auto"/>
                    <w:jc w:val="center"/>
                    <w:rPr>
                      <w:rFonts w:hint="eastAsia" w:ascii="Times New Roman" w:hAnsi="Times New Roman" w:eastAsia="宋体" w:cs="Times New Roman"/>
                      <w:b/>
                      <w:bCs/>
                      <w:color w:val="auto"/>
                      <w:sz w:val="21"/>
                      <w:szCs w:val="21"/>
                      <w:u w:val="none"/>
                      <w:lang w:val="en-US" w:eastAsia="zh-CN"/>
                    </w:rPr>
                  </w:pPr>
                  <w:r>
                    <w:rPr>
                      <w:rFonts w:hint="eastAsia" w:ascii="Times New Roman" w:hAnsi="Times New Roman" w:eastAsia="宋体" w:cs="Times New Roman"/>
                      <w:b/>
                      <w:bCs/>
                      <w:color w:val="auto"/>
                      <w:sz w:val="21"/>
                      <w:szCs w:val="21"/>
                      <w:u w:val="none"/>
                      <w:lang w:val="en-US" w:eastAsia="zh-CN"/>
                    </w:rPr>
                    <w:t>铜</w:t>
                  </w:r>
                </w:p>
              </w:tc>
              <w:tc>
                <w:tcPr>
                  <w:tcW w:w="630" w:type="dxa"/>
                  <w:tcBorders>
                    <w:tl2br w:val="nil"/>
                    <w:tr2bl w:val="nil"/>
                  </w:tcBorders>
                  <w:vAlign w:val="center"/>
                </w:tcPr>
                <w:p w14:paraId="23512F76">
                  <w:pPr>
                    <w:adjustRightInd w:val="0"/>
                    <w:snapToGrid w:val="0"/>
                    <w:spacing w:line="240" w:lineRule="auto"/>
                    <w:jc w:val="center"/>
                    <w:rPr>
                      <w:rFonts w:hint="eastAsia" w:ascii="Times New Roman" w:hAnsi="Times New Roman" w:eastAsia="宋体" w:cs="Times New Roman"/>
                      <w:b/>
                      <w:bCs/>
                      <w:color w:val="auto"/>
                      <w:sz w:val="21"/>
                      <w:szCs w:val="21"/>
                      <w:u w:val="none"/>
                      <w:lang w:val="en-US" w:eastAsia="zh-CN"/>
                    </w:rPr>
                  </w:pPr>
                  <w:r>
                    <w:rPr>
                      <w:rFonts w:hint="eastAsia" w:ascii="Times New Roman" w:hAnsi="Times New Roman" w:eastAsia="宋体" w:cs="Times New Roman"/>
                      <w:b/>
                      <w:bCs/>
                      <w:color w:val="auto"/>
                      <w:sz w:val="21"/>
                      <w:szCs w:val="21"/>
                      <w:u w:val="none"/>
                      <w:lang w:val="en-US" w:eastAsia="zh-CN"/>
                    </w:rPr>
                    <w:t>锌</w:t>
                  </w:r>
                </w:p>
              </w:tc>
              <w:tc>
                <w:tcPr>
                  <w:tcW w:w="620" w:type="dxa"/>
                  <w:tcBorders>
                    <w:tl2br w:val="nil"/>
                    <w:tr2bl w:val="nil"/>
                  </w:tcBorders>
                  <w:vAlign w:val="center"/>
                </w:tcPr>
                <w:p w14:paraId="7106B737">
                  <w:pPr>
                    <w:adjustRightInd w:val="0"/>
                    <w:snapToGrid w:val="0"/>
                    <w:spacing w:line="240" w:lineRule="auto"/>
                    <w:jc w:val="center"/>
                    <w:rPr>
                      <w:rFonts w:hint="eastAsia" w:ascii="Times New Roman" w:hAnsi="Times New Roman" w:eastAsia="宋体" w:cs="Times New Roman"/>
                      <w:b/>
                      <w:bCs/>
                      <w:color w:val="auto"/>
                      <w:sz w:val="21"/>
                      <w:szCs w:val="21"/>
                      <w:u w:val="none"/>
                      <w:lang w:val="en-US" w:eastAsia="zh-CN"/>
                    </w:rPr>
                  </w:pPr>
                  <w:r>
                    <w:rPr>
                      <w:rFonts w:hint="eastAsia" w:ascii="Times New Roman" w:hAnsi="Times New Roman" w:eastAsia="宋体" w:cs="Times New Roman"/>
                      <w:b/>
                      <w:bCs/>
                      <w:color w:val="auto"/>
                      <w:sz w:val="21"/>
                      <w:szCs w:val="21"/>
                      <w:u w:val="none"/>
                      <w:lang w:val="en-US" w:eastAsia="zh-CN"/>
                    </w:rPr>
                    <w:t>氟化物</w:t>
                  </w:r>
                </w:p>
              </w:tc>
              <w:tc>
                <w:tcPr>
                  <w:tcW w:w="625" w:type="dxa"/>
                  <w:tcBorders>
                    <w:tl2br w:val="nil"/>
                    <w:tr2bl w:val="nil"/>
                  </w:tcBorders>
                  <w:vAlign w:val="center"/>
                </w:tcPr>
                <w:p w14:paraId="4DC47B01">
                  <w:pPr>
                    <w:adjustRightInd w:val="0"/>
                    <w:snapToGrid w:val="0"/>
                    <w:spacing w:line="240" w:lineRule="auto"/>
                    <w:jc w:val="center"/>
                    <w:rPr>
                      <w:rFonts w:hint="eastAsia" w:ascii="Times New Roman" w:hAnsi="Times New Roman" w:eastAsia="宋体" w:cs="Times New Roman"/>
                      <w:b/>
                      <w:bCs/>
                      <w:color w:val="auto"/>
                      <w:sz w:val="21"/>
                      <w:szCs w:val="21"/>
                      <w:u w:val="none"/>
                      <w:lang w:val="en-US" w:eastAsia="zh-CN"/>
                    </w:rPr>
                  </w:pPr>
                  <w:r>
                    <w:rPr>
                      <w:rFonts w:hint="eastAsia" w:ascii="Times New Roman" w:hAnsi="Times New Roman" w:eastAsia="宋体" w:cs="Times New Roman"/>
                      <w:b/>
                      <w:bCs/>
                      <w:color w:val="auto"/>
                      <w:sz w:val="21"/>
                      <w:szCs w:val="21"/>
                      <w:u w:val="none"/>
                      <w:lang w:val="en-US" w:eastAsia="zh-CN"/>
                    </w:rPr>
                    <w:t>硒</w:t>
                  </w:r>
                </w:p>
              </w:tc>
              <w:tc>
                <w:tcPr>
                  <w:tcW w:w="645" w:type="dxa"/>
                  <w:tcBorders>
                    <w:tl2br w:val="nil"/>
                    <w:tr2bl w:val="nil"/>
                  </w:tcBorders>
                  <w:vAlign w:val="center"/>
                </w:tcPr>
                <w:p w14:paraId="519FF0B1">
                  <w:pPr>
                    <w:adjustRightInd w:val="0"/>
                    <w:snapToGrid w:val="0"/>
                    <w:spacing w:line="240" w:lineRule="auto"/>
                    <w:jc w:val="center"/>
                    <w:rPr>
                      <w:rFonts w:hint="eastAsia" w:ascii="Times New Roman" w:hAnsi="Times New Roman" w:eastAsia="宋体" w:cs="Times New Roman"/>
                      <w:b/>
                      <w:bCs/>
                      <w:color w:val="auto"/>
                      <w:sz w:val="21"/>
                      <w:szCs w:val="21"/>
                      <w:u w:val="none"/>
                      <w:lang w:val="en-US" w:eastAsia="zh-CN"/>
                    </w:rPr>
                  </w:pPr>
                  <w:r>
                    <w:rPr>
                      <w:rFonts w:hint="eastAsia" w:ascii="Times New Roman" w:hAnsi="Times New Roman" w:eastAsia="宋体" w:cs="Times New Roman"/>
                      <w:b/>
                      <w:bCs/>
                      <w:color w:val="auto"/>
                      <w:sz w:val="21"/>
                      <w:szCs w:val="21"/>
                      <w:u w:val="none"/>
                      <w:lang w:val="en-US" w:eastAsia="zh-CN"/>
                    </w:rPr>
                    <w:t>砷</w:t>
                  </w:r>
                </w:p>
              </w:tc>
              <w:tc>
                <w:tcPr>
                  <w:tcW w:w="615" w:type="dxa"/>
                  <w:tcBorders>
                    <w:tl2br w:val="nil"/>
                    <w:tr2bl w:val="nil"/>
                  </w:tcBorders>
                  <w:vAlign w:val="center"/>
                </w:tcPr>
                <w:p w14:paraId="22DAAD9F">
                  <w:pPr>
                    <w:adjustRightInd w:val="0"/>
                    <w:snapToGrid w:val="0"/>
                    <w:spacing w:line="240" w:lineRule="auto"/>
                    <w:jc w:val="center"/>
                    <w:rPr>
                      <w:rFonts w:hint="eastAsia" w:ascii="Times New Roman" w:hAnsi="Times New Roman" w:eastAsia="宋体" w:cs="Times New Roman"/>
                      <w:b/>
                      <w:bCs/>
                      <w:color w:val="auto"/>
                      <w:sz w:val="21"/>
                      <w:szCs w:val="21"/>
                      <w:u w:val="none"/>
                      <w:lang w:val="en-US" w:eastAsia="zh-CN"/>
                    </w:rPr>
                  </w:pPr>
                  <w:r>
                    <w:rPr>
                      <w:rFonts w:hint="eastAsia" w:ascii="Times New Roman" w:hAnsi="Times New Roman" w:eastAsia="宋体" w:cs="Times New Roman"/>
                      <w:b/>
                      <w:bCs/>
                      <w:color w:val="auto"/>
                      <w:sz w:val="21"/>
                      <w:szCs w:val="21"/>
                      <w:u w:val="none"/>
                      <w:lang w:val="en-US" w:eastAsia="zh-CN"/>
                    </w:rPr>
                    <w:t>镉</w:t>
                  </w:r>
                </w:p>
              </w:tc>
              <w:tc>
                <w:tcPr>
                  <w:tcW w:w="645" w:type="dxa"/>
                  <w:tcBorders>
                    <w:tl2br w:val="nil"/>
                    <w:tr2bl w:val="nil"/>
                  </w:tcBorders>
                  <w:vAlign w:val="center"/>
                </w:tcPr>
                <w:p w14:paraId="5E38650C">
                  <w:pPr>
                    <w:adjustRightInd w:val="0"/>
                    <w:snapToGrid w:val="0"/>
                    <w:spacing w:line="240" w:lineRule="auto"/>
                    <w:jc w:val="center"/>
                    <w:rPr>
                      <w:rFonts w:hint="eastAsia" w:ascii="Times New Roman" w:hAnsi="Times New Roman" w:eastAsia="宋体" w:cs="Times New Roman"/>
                      <w:b/>
                      <w:bCs/>
                      <w:color w:val="auto"/>
                      <w:sz w:val="21"/>
                      <w:szCs w:val="21"/>
                      <w:u w:val="none"/>
                      <w:lang w:val="en-US" w:eastAsia="zh-CN"/>
                    </w:rPr>
                  </w:pPr>
                  <w:r>
                    <w:rPr>
                      <w:rFonts w:hint="eastAsia" w:ascii="Times New Roman" w:hAnsi="Times New Roman" w:eastAsia="宋体" w:cs="Times New Roman"/>
                      <w:b/>
                      <w:bCs/>
                      <w:color w:val="auto"/>
                      <w:sz w:val="21"/>
                      <w:szCs w:val="21"/>
                      <w:u w:val="none"/>
                      <w:lang w:val="en-US" w:eastAsia="zh-CN"/>
                    </w:rPr>
                    <w:t>铬</w:t>
                  </w:r>
                </w:p>
                <w:p w14:paraId="7FE004E1">
                  <w:pPr>
                    <w:adjustRightInd w:val="0"/>
                    <w:snapToGrid w:val="0"/>
                    <w:spacing w:line="240" w:lineRule="auto"/>
                    <w:jc w:val="center"/>
                    <w:rPr>
                      <w:rFonts w:hint="eastAsia" w:ascii="Times New Roman" w:hAnsi="Times New Roman" w:eastAsia="宋体" w:cs="Times New Roman"/>
                      <w:b/>
                      <w:bCs/>
                      <w:color w:val="auto"/>
                      <w:sz w:val="21"/>
                      <w:szCs w:val="21"/>
                      <w:u w:val="none"/>
                      <w:lang w:val="en-US" w:eastAsia="zh-CN"/>
                    </w:rPr>
                  </w:pPr>
                  <w:r>
                    <w:rPr>
                      <w:rFonts w:hint="eastAsia" w:ascii="Times New Roman" w:hAnsi="Times New Roman" w:eastAsia="宋体" w:cs="Times New Roman"/>
                      <w:b/>
                      <w:bCs/>
                      <w:color w:val="auto"/>
                      <w:sz w:val="21"/>
                      <w:szCs w:val="21"/>
                      <w:u w:val="none"/>
                      <w:lang w:val="en-US" w:eastAsia="zh-CN"/>
                    </w:rPr>
                    <w:t>(六价)</w:t>
                  </w:r>
                </w:p>
              </w:tc>
              <w:tc>
                <w:tcPr>
                  <w:tcW w:w="735" w:type="dxa"/>
                  <w:tcBorders>
                    <w:tl2br w:val="nil"/>
                    <w:tr2bl w:val="nil"/>
                  </w:tcBorders>
                  <w:vAlign w:val="center"/>
                </w:tcPr>
                <w:p w14:paraId="058B5A2F">
                  <w:pPr>
                    <w:adjustRightInd w:val="0"/>
                    <w:snapToGrid w:val="0"/>
                    <w:spacing w:line="240" w:lineRule="auto"/>
                    <w:jc w:val="center"/>
                    <w:rPr>
                      <w:rFonts w:hint="eastAsia" w:ascii="Times New Roman" w:hAnsi="Times New Roman" w:eastAsia="宋体" w:cs="Times New Roman"/>
                      <w:b/>
                      <w:bCs/>
                      <w:color w:val="auto"/>
                      <w:sz w:val="21"/>
                      <w:szCs w:val="21"/>
                      <w:u w:val="none"/>
                      <w:lang w:val="en-US" w:eastAsia="zh-CN"/>
                    </w:rPr>
                  </w:pPr>
                  <w:r>
                    <w:rPr>
                      <w:rFonts w:hint="eastAsia" w:ascii="Times New Roman" w:hAnsi="Times New Roman" w:eastAsia="宋体" w:cs="Times New Roman"/>
                      <w:b/>
                      <w:bCs/>
                      <w:color w:val="auto"/>
                      <w:sz w:val="21"/>
                      <w:szCs w:val="21"/>
                      <w:u w:val="none"/>
                      <w:lang w:val="en-US" w:eastAsia="zh-CN"/>
                    </w:rPr>
                    <w:t>氰化物</w:t>
                  </w:r>
                </w:p>
              </w:tc>
              <w:tc>
                <w:tcPr>
                  <w:tcW w:w="705" w:type="dxa"/>
                  <w:tcBorders>
                    <w:tl2br w:val="nil"/>
                    <w:tr2bl w:val="nil"/>
                  </w:tcBorders>
                  <w:vAlign w:val="center"/>
                </w:tcPr>
                <w:p w14:paraId="64D93EDC">
                  <w:pPr>
                    <w:adjustRightInd w:val="0"/>
                    <w:snapToGrid w:val="0"/>
                    <w:spacing w:line="240" w:lineRule="auto"/>
                    <w:jc w:val="center"/>
                    <w:rPr>
                      <w:rFonts w:hint="eastAsia" w:ascii="Times New Roman" w:hAnsi="Times New Roman" w:eastAsia="宋体" w:cs="Times New Roman"/>
                      <w:b/>
                      <w:bCs/>
                      <w:color w:val="auto"/>
                      <w:sz w:val="21"/>
                      <w:szCs w:val="21"/>
                      <w:u w:val="none"/>
                      <w:lang w:val="en-US" w:eastAsia="zh-CN"/>
                    </w:rPr>
                  </w:pPr>
                  <w:r>
                    <w:rPr>
                      <w:rFonts w:hint="eastAsia" w:ascii="Times New Roman" w:hAnsi="Times New Roman" w:eastAsia="宋体" w:cs="Times New Roman"/>
                      <w:b/>
                      <w:bCs/>
                      <w:color w:val="auto"/>
                      <w:sz w:val="21"/>
                      <w:szCs w:val="21"/>
                      <w:u w:val="none"/>
                      <w:lang w:val="en-US" w:eastAsia="zh-CN"/>
                    </w:rPr>
                    <w:t>阴离子表面活性剂</w:t>
                  </w:r>
                </w:p>
              </w:tc>
              <w:tc>
                <w:tcPr>
                  <w:tcW w:w="757" w:type="dxa"/>
                  <w:tcBorders>
                    <w:tl2br w:val="nil"/>
                    <w:tr2bl w:val="nil"/>
                  </w:tcBorders>
                  <w:vAlign w:val="center"/>
                </w:tcPr>
                <w:p w14:paraId="6E3B9D44">
                  <w:pPr>
                    <w:adjustRightInd w:val="0"/>
                    <w:snapToGrid w:val="0"/>
                    <w:spacing w:line="240" w:lineRule="auto"/>
                    <w:jc w:val="center"/>
                    <w:rPr>
                      <w:rFonts w:hint="eastAsia" w:ascii="Times New Roman" w:hAnsi="Times New Roman" w:eastAsia="宋体" w:cs="Times New Roman"/>
                      <w:b/>
                      <w:bCs/>
                      <w:color w:val="auto"/>
                      <w:sz w:val="21"/>
                      <w:szCs w:val="21"/>
                      <w:u w:val="none"/>
                      <w:lang w:val="en-US" w:eastAsia="zh-CN"/>
                    </w:rPr>
                  </w:pPr>
                  <w:r>
                    <w:rPr>
                      <w:rFonts w:hint="eastAsia" w:ascii="Times New Roman" w:hAnsi="Times New Roman" w:eastAsia="宋体" w:cs="Times New Roman"/>
                      <w:b/>
                      <w:bCs/>
                      <w:color w:val="auto"/>
                      <w:sz w:val="21"/>
                      <w:szCs w:val="21"/>
                      <w:u w:val="none"/>
                      <w:lang w:val="en-US" w:eastAsia="zh-CN"/>
                    </w:rPr>
                    <w:t>硫化物</w:t>
                  </w:r>
                </w:p>
              </w:tc>
              <w:tc>
                <w:tcPr>
                  <w:tcW w:w="528" w:type="dxa"/>
                  <w:tcBorders>
                    <w:tl2br w:val="nil"/>
                    <w:tr2bl w:val="nil"/>
                  </w:tcBorders>
                  <w:vAlign w:val="center"/>
                </w:tcPr>
                <w:p w14:paraId="32101B79">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w:t>
                  </w:r>
                </w:p>
              </w:tc>
            </w:tr>
            <w:tr w14:paraId="7836709B">
              <w:tblPrEx>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CellMar>
                  <w:top w:w="0" w:type="dxa"/>
                  <w:left w:w="108" w:type="dxa"/>
                  <w:bottom w:w="0" w:type="dxa"/>
                  <w:right w:w="108" w:type="dxa"/>
                </w:tblCellMar>
              </w:tblPrEx>
              <w:trPr>
                <w:trHeight w:val="660" w:hRule="atLeast"/>
                <w:jc w:val="center"/>
              </w:trPr>
              <w:tc>
                <w:tcPr>
                  <w:tcW w:w="545" w:type="dxa"/>
                  <w:vMerge w:val="continue"/>
                  <w:tcBorders>
                    <w:tl2br w:val="nil"/>
                    <w:tr2bl w:val="nil"/>
                  </w:tcBorders>
                  <w:vAlign w:val="center"/>
                </w:tcPr>
                <w:p w14:paraId="5D7470F0">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p>
              </w:tc>
              <w:tc>
                <w:tcPr>
                  <w:tcW w:w="834" w:type="dxa"/>
                  <w:tcBorders>
                    <w:tl2br w:val="nil"/>
                    <w:tr2bl w:val="nil"/>
                  </w:tcBorders>
                  <w:vAlign w:val="center"/>
                </w:tcPr>
                <w:p w14:paraId="47C30BBD">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最小值</w:t>
                  </w:r>
                </w:p>
              </w:tc>
              <w:tc>
                <w:tcPr>
                  <w:tcW w:w="647" w:type="dxa"/>
                  <w:tcBorders>
                    <w:tl2br w:val="nil"/>
                    <w:tr2bl w:val="nil"/>
                  </w:tcBorders>
                  <w:vAlign w:val="center"/>
                </w:tcPr>
                <w:p w14:paraId="566803F2">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0.0005</w:t>
                  </w:r>
                </w:p>
              </w:tc>
              <w:tc>
                <w:tcPr>
                  <w:tcW w:w="630" w:type="dxa"/>
                  <w:tcBorders>
                    <w:tl2br w:val="nil"/>
                    <w:tr2bl w:val="nil"/>
                  </w:tcBorders>
                  <w:vAlign w:val="center"/>
                </w:tcPr>
                <w:p w14:paraId="6F484B32">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0.0004</w:t>
                  </w:r>
                </w:p>
              </w:tc>
              <w:tc>
                <w:tcPr>
                  <w:tcW w:w="620" w:type="dxa"/>
                  <w:tcBorders>
                    <w:tl2br w:val="nil"/>
                    <w:tr2bl w:val="nil"/>
                  </w:tcBorders>
                  <w:vAlign w:val="center"/>
                </w:tcPr>
                <w:p w14:paraId="6492B04E">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0.47</w:t>
                  </w:r>
                </w:p>
              </w:tc>
              <w:tc>
                <w:tcPr>
                  <w:tcW w:w="625" w:type="dxa"/>
                  <w:tcBorders>
                    <w:tl2br w:val="nil"/>
                    <w:tr2bl w:val="nil"/>
                  </w:tcBorders>
                  <w:vAlign w:val="center"/>
                </w:tcPr>
                <w:p w14:paraId="4044D8DA">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0.0002</w:t>
                  </w:r>
                </w:p>
              </w:tc>
              <w:tc>
                <w:tcPr>
                  <w:tcW w:w="645" w:type="dxa"/>
                  <w:tcBorders>
                    <w:tl2br w:val="nil"/>
                    <w:tr2bl w:val="nil"/>
                  </w:tcBorders>
                  <w:vAlign w:val="center"/>
                </w:tcPr>
                <w:p w14:paraId="7042005C">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0.0002</w:t>
                  </w:r>
                </w:p>
              </w:tc>
              <w:tc>
                <w:tcPr>
                  <w:tcW w:w="615" w:type="dxa"/>
                  <w:tcBorders>
                    <w:tl2br w:val="nil"/>
                    <w:tr2bl w:val="nil"/>
                  </w:tcBorders>
                  <w:vAlign w:val="center"/>
                </w:tcPr>
                <w:p w14:paraId="45AF14EF">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0.00002</w:t>
                  </w:r>
                </w:p>
              </w:tc>
              <w:tc>
                <w:tcPr>
                  <w:tcW w:w="645" w:type="dxa"/>
                  <w:tcBorders>
                    <w:tl2br w:val="nil"/>
                    <w:tr2bl w:val="nil"/>
                  </w:tcBorders>
                  <w:vAlign w:val="center"/>
                </w:tcPr>
                <w:p w14:paraId="42C07996">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0.002</w:t>
                  </w:r>
                </w:p>
              </w:tc>
              <w:tc>
                <w:tcPr>
                  <w:tcW w:w="735" w:type="dxa"/>
                  <w:tcBorders>
                    <w:tl2br w:val="nil"/>
                    <w:tr2bl w:val="nil"/>
                  </w:tcBorders>
                  <w:vAlign w:val="center"/>
                </w:tcPr>
                <w:p w14:paraId="74C9C33A">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0.002</w:t>
                  </w:r>
                </w:p>
              </w:tc>
              <w:tc>
                <w:tcPr>
                  <w:tcW w:w="705" w:type="dxa"/>
                  <w:tcBorders>
                    <w:tl2br w:val="nil"/>
                    <w:tr2bl w:val="nil"/>
                  </w:tcBorders>
                  <w:vAlign w:val="center"/>
                </w:tcPr>
                <w:p w14:paraId="4C723668">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0.02</w:t>
                  </w:r>
                </w:p>
              </w:tc>
              <w:tc>
                <w:tcPr>
                  <w:tcW w:w="757" w:type="dxa"/>
                  <w:tcBorders>
                    <w:tl2br w:val="nil"/>
                    <w:tr2bl w:val="nil"/>
                  </w:tcBorders>
                  <w:vAlign w:val="center"/>
                </w:tcPr>
                <w:p w14:paraId="4F91BC8D">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0.002</w:t>
                  </w:r>
                </w:p>
              </w:tc>
              <w:tc>
                <w:tcPr>
                  <w:tcW w:w="528" w:type="dxa"/>
                  <w:tcBorders>
                    <w:tl2br w:val="nil"/>
                    <w:tr2bl w:val="nil"/>
                  </w:tcBorders>
                  <w:vAlign w:val="center"/>
                </w:tcPr>
                <w:p w14:paraId="3C16EF21">
                  <w:pPr>
                    <w:adjustRightInd w:val="0"/>
                    <w:snapToGrid w:val="0"/>
                    <w:spacing w:line="240" w:lineRule="auto"/>
                    <w:jc w:val="center"/>
                    <w:rPr>
                      <w:rFonts w:hint="eastAsia" w:ascii="Times New Roman" w:hAnsi="Times New Roman" w:eastAsia="宋体" w:cs="Times New Roman"/>
                      <w:color w:val="auto"/>
                      <w:szCs w:val="21"/>
                      <w:u w:val="none"/>
                    </w:rPr>
                  </w:pPr>
                  <w:r>
                    <w:rPr>
                      <w:rFonts w:hint="eastAsia" w:ascii="Times New Roman" w:hAnsi="Times New Roman" w:eastAsia="宋体" w:cs="Times New Roman"/>
                      <w:color w:val="auto"/>
                      <w:szCs w:val="21"/>
                      <w:u w:val="none"/>
                      <w:lang w:val="en-US" w:eastAsia="zh-CN"/>
                    </w:rPr>
                    <w:t>/</w:t>
                  </w:r>
                </w:p>
              </w:tc>
            </w:tr>
            <w:tr w14:paraId="3A2530FC">
              <w:tblPrEx>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CellMar>
                  <w:top w:w="0" w:type="dxa"/>
                  <w:left w:w="108" w:type="dxa"/>
                  <w:bottom w:w="0" w:type="dxa"/>
                  <w:right w:w="108" w:type="dxa"/>
                </w:tblCellMar>
              </w:tblPrEx>
              <w:trPr>
                <w:trHeight w:val="605" w:hRule="atLeast"/>
                <w:jc w:val="center"/>
              </w:trPr>
              <w:tc>
                <w:tcPr>
                  <w:tcW w:w="545" w:type="dxa"/>
                  <w:vMerge w:val="continue"/>
                  <w:tcBorders>
                    <w:tl2br w:val="nil"/>
                    <w:tr2bl w:val="nil"/>
                  </w:tcBorders>
                  <w:vAlign w:val="center"/>
                </w:tcPr>
                <w:p w14:paraId="07FCF852">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p>
              </w:tc>
              <w:tc>
                <w:tcPr>
                  <w:tcW w:w="834" w:type="dxa"/>
                  <w:tcBorders>
                    <w:tl2br w:val="nil"/>
                    <w:tr2bl w:val="nil"/>
                  </w:tcBorders>
                  <w:vAlign w:val="center"/>
                </w:tcPr>
                <w:p w14:paraId="24CAA5EF">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最大值</w:t>
                  </w:r>
                </w:p>
              </w:tc>
              <w:tc>
                <w:tcPr>
                  <w:tcW w:w="647" w:type="dxa"/>
                  <w:tcBorders>
                    <w:tl2br w:val="nil"/>
                    <w:tr2bl w:val="nil"/>
                  </w:tcBorders>
                  <w:vAlign w:val="center"/>
                </w:tcPr>
                <w:p w14:paraId="4D2BCC96">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0.001</w:t>
                  </w:r>
                </w:p>
              </w:tc>
              <w:tc>
                <w:tcPr>
                  <w:tcW w:w="630" w:type="dxa"/>
                  <w:tcBorders>
                    <w:tl2br w:val="nil"/>
                    <w:tr2bl w:val="nil"/>
                  </w:tcBorders>
                  <w:vAlign w:val="center"/>
                </w:tcPr>
                <w:p w14:paraId="1B651C98">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0.025</w:t>
                  </w:r>
                </w:p>
              </w:tc>
              <w:tc>
                <w:tcPr>
                  <w:tcW w:w="620" w:type="dxa"/>
                  <w:tcBorders>
                    <w:tl2br w:val="nil"/>
                    <w:tr2bl w:val="nil"/>
                  </w:tcBorders>
                  <w:vAlign w:val="center"/>
                </w:tcPr>
                <w:p w14:paraId="39D80667">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0.671</w:t>
                  </w:r>
                </w:p>
              </w:tc>
              <w:tc>
                <w:tcPr>
                  <w:tcW w:w="625" w:type="dxa"/>
                  <w:tcBorders>
                    <w:tl2br w:val="nil"/>
                    <w:tr2bl w:val="nil"/>
                  </w:tcBorders>
                  <w:vAlign w:val="center"/>
                </w:tcPr>
                <w:p w14:paraId="1C20C68D">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0.0009</w:t>
                  </w:r>
                </w:p>
              </w:tc>
              <w:tc>
                <w:tcPr>
                  <w:tcW w:w="645" w:type="dxa"/>
                  <w:tcBorders>
                    <w:tl2br w:val="nil"/>
                    <w:tr2bl w:val="nil"/>
                  </w:tcBorders>
                  <w:vAlign w:val="center"/>
                </w:tcPr>
                <w:p w14:paraId="62D320E3">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0.0019</w:t>
                  </w:r>
                </w:p>
              </w:tc>
              <w:tc>
                <w:tcPr>
                  <w:tcW w:w="615" w:type="dxa"/>
                  <w:tcBorders>
                    <w:tl2br w:val="nil"/>
                    <w:tr2bl w:val="nil"/>
                  </w:tcBorders>
                  <w:vAlign w:val="center"/>
                </w:tcPr>
                <w:p w14:paraId="2F1F692F">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0.00005</w:t>
                  </w:r>
                </w:p>
              </w:tc>
              <w:tc>
                <w:tcPr>
                  <w:tcW w:w="645" w:type="dxa"/>
                  <w:tcBorders>
                    <w:tl2br w:val="nil"/>
                    <w:tr2bl w:val="nil"/>
                  </w:tcBorders>
                  <w:vAlign w:val="center"/>
                </w:tcPr>
                <w:p w14:paraId="7C911EAC">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0.002</w:t>
                  </w:r>
                </w:p>
              </w:tc>
              <w:tc>
                <w:tcPr>
                  <w:tcW w:w="735" w:type="dxa"/>
                  <w:tcBorders>
                    <w:tl2br w:val="nil"/>
                    <w:tr2bl w:val="nil"/>
                  </w:tcBorders>
                  <w:vAlign w:val="center"/>
                </w:tcPr>
                <w:p w14:paraId="6B3C14BE">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0.002</w:t>
                  </w:r>
                </w:p>
              </w:tc>
              <w:tc>
                <w:tcPr>
                  <w:tcW w:w="705" w:type="dxa"/>
                  <w:tcBorders>
                    <w:tl2br w:val="nil"/>
                    <w:tr2bl w:val="nil"/>
                  </w:tcBorders>
                  <w:vAlign w:val="center"/>
                </w:tcPr>
                <w:p w14:paraId="1248CD4F">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0.02</w:t>
                  </w:r>
                </w:p>
              </w:tc>
              <w:tc>
                <w:tcPr>
                  <w:tcW w:w="757" w:type="dxa"/>
                  <w:tcBorders>
                    <w:tl2br w:val="nil"/>
                    <w:tr2bl w:val="nil"/>
                  </w:tcBorders>
                  <w:vAlign w:val="center"/>
                </w:tcPr>
                <w:p w14:paraId="7F1D8745">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0.005</w:t>
                  </w:r>
                </w:p>
              </w:tc>
              <w:tc>
                <w:tcPr>
                  <w:tcW w:w="528" w:type="dxa"/>
                  <w:tcBorders>
                    <w:tl2br w:val="nil"/>
                    <w:tr2bl w:val="nil"/>
                  </w:tcBorders>
                  <w:vAlign w:val="center"/>
                </w:tcPr>
                <w:p w14:paraId="06B2BEFC">
                  <w:pPr>
                    <w:adjustRightInd w:val="0"/>
                    <w:snapToGrid w:val="0"/>
                    <w:spacing w:line="240" w:lineRule="auto"/>
                    <w:jc w:val="center"/>
                    <w:rPr>
                      <w:rFonts w:hint="eastAsia" w:ascii="Times New Roman" w:hAnsi="Times New Roman" w:eastAsia="宋体" w:cs="Times New Roman"/>
                      <w:color w:val="auto"/>
                      <w:szCs w:val="21"/>
                      <w:u w:val="none"/>
                    </w:rPr>
                  </w:pPr>
                  <w:r>
                    <w:rPr>
                      <w:rFonts w:hint="eastAsia" w:ascii="Times New Roman" w:hAnsi="Times New Roman" w:eastAsia="宋体" w:cs="Times New Roman"/>
                      <w:color w:val="auto"/>
                      <w:szCs w:val="21"/>
                      <w:u w:val="none"/>
                      <w:lang w:val="en-US" w:eastAsia="zh-CN"/>
                    </w:rPr>
                    <w:t>/</w:t>
                  </w:r>
                </w:p>
              </w:tc>
            </w:tr>
            <w:tr w14:paraId="6B870E28">
              <w:tblPrEx>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CellMar>
                  <w:top w:w="0" w:type="dxa"/>
                  <w:left w:w="108" w:type="dxa"/>
                  <w:bottom w:w="0" w:type="dxa"/>
                  <w:right w:w="108" w:type="dxa"/>
                </w:tblCellMar>
              </w:tblPrEx>
              <w:trPr>
                <w:trHeight w:val="557" w:hRule="atLeast"/>
                <w:jc w:val="center"/>
              </w:trPr>
              <w:tc>
                <w:tcPr>
                  <w:tcW w:w="545" w:type="dxa"/>
                  <w:vMerge w:val="continue"/>
                  <w:tcBorders>
                    <w:tl2br w:val="nil"/>
                    <w:tr2bl w:val="nil"/>
                  </w:tcBorders>
                  <w:vAlign w:val="center"/>
                </w:tcPr>
                <w:p w14:paraId="413AB5F4">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p>
              </w:tc>
              <w:tc>
                <w:tcPr>
                  <w:tcW w:w="834" w:type="dxa"/>
                  <w:tcBorders>
                    <w:tl2br w:val="nil"/>
                    <w:tr2bl w:val="nil"/>
                  </w:tcBorders>
                  <w:vAlign w:val="center"/>
                </w:tcPr>
                <w:p w14:paraId="0D185208">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平均值</w:t>
                  </w:r>
                </w:p>
              </w:tc>
              <w:tc>
                <w:tcPr>
                  <w:tcW w:w="647" w:type="dxa"/>
                  <w:tcBorders>
                    <w:tl2br w:val="nil"/>
                    <w:tr2bl w:val="nil"/>
                  </w:tcBorders>
                  <w:vAlign w:val="center"/>
                </w:tcPr>
                <w:p w14:paraId="2931DF57">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 xml:space="preserve">0.0009 </w:t>
                  </w:r>
                </w:p>
              </w:tc>
              <w:tc>
                <w:tcPr>
                  <w:tcW w:w="630" w:type="dxa"/>
                  <w:tcBorders>
                    <w:tl2br w:val="nil"/>
                    <w:tr2bl w:val="nil"/>
                  </w:tcBorders>
                  <w:vAlign w:val="center"/>
                </w:tcPr>
                <w:p w14:paraId="45FBA1AE">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 xml:space="preserve">0.007 </w:t>
                  </w:r>
                </w:p>
              </w:tc>
              <w:tc>
                <w:tcPr>
                  <w:tcW w:w="620" w:type="dxa"/>
                  <w:tcBorders>
                    <w:tl2br w:val="nil"/>
                    <w:tr2bl w:val="nil"/>
                  </w:tcBorders>
                  <w:vAlign w:val="center"/>
                </w:tcPr>
                <w:p w14:paraId="16681093">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 xml:space="preserve">0.574 </w:t>
                  </w:r>
                </w:p>
              </w:tc>
              <w:tc>
                <w:tcPr>
                  <w:tcW w:w="625" w:type="dxa"/>
                  <w:tcBorders>
                    <w:tl2br w:val="nil"/>
                    <w:tr2bl w:val="nil"/>
                  </w:tcBorders>
                  <w:vAlign w:val="center"/>
                </w:tcPr>
                <w:p w14:paraId="3BAB8254">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 xml:space="preserve">0.0004 </w:t>
                  </w:r>
                </w:p>
              </w:tc>
              <w:tc>
                <w:tcPr>
                  <w:tcW w:w="645" w:type="dxa"/>
                  <w:tcBorders>
                    <w:tl2br w:val="nil"/>
                    <w:tr2bl w:val="nil"/>
                  </w:tcBorders>
                  <w:vAlign w:val="center"/>
                </w:tcPr>
                <w:p w14:paraId="36539C3C">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0.0009</w:t>
                  </w:r>
                </w:p>
              </w:tc>
              <w:tc>
                <w:tcPr>
                  <w:tcW w:w="615" w:type="dxa"/>
                  <w:tcBorders>
                    <w:tl2br w:val="nil"/>
                    <w:tr2bl w:val="nil"/>
                  </w:tcBorders>
                  <w:vAlign w:val="center"/>
                </w:tcPr>
                <w:p w14:paraId="1ECFDE71">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 xml:space="preserve">0.00003 </w:t>
                  </w:r>
                </w:p>
              </w:tc>
              <w:tc>
                <w:tcPr>
                  <w:tcW w:w="645" w:type="dxa"/>
                  <w:tcBorders>
                    <w:tl2br w:val="nil"/>
                    <w:tr2bl w:val="nil"/>
                  </w:tcBorders>
                  <w:vAlign w:val="center"/>
                </w:tcPr>
                <w:p w14:paraId="3C4DD9F4">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0.002</w:t>
                  </w:r>
                </w:p>
              </w:tc>
              <w:tc>
                <w:tcPr>
                  <w:tcW w:w="735" w:type="dxa"/>
                  <w:tcBorders>
                    <w:tl2br w:val="nil"/>
                    <w:tr2bl w:val="nil"/>
                  </w:tcBorders>
                  <w:vAlign w:val="center"/>
                </w:tcPr>
                <w:p w14:paraId="622BBDC3">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0.002</w:t>
                  </w:r>
                </w:p>
              </w:tc>
              <w:tc>
                <w:tcPr>
                  <w:tcW w:w="705" w:type="dxa"/>
                  <w:tcBorders>
                    <w:tl2br w:val="nil"/>
                    <w:tr2bl w:val="nil"/>
                  </w:tcBorders>
                  <w:vAlign w:val="center"/>
                </w:tcPr>
                <w:p w14:paraId="733DF0E9">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0.02</w:t>
                  </w:r>
                </w:p>
              </w:tc>
              <w:tc>
                <w:tcPr>
                  <w:tcW w:w="757" w:type="dxa"/>
                  <w:tcBorders>
                    <w:tl2br w:val="nil"/>
                    <w:tr2bl w:val="nil"/>
                  </w:tcBorders>
                  <w:vAlign w:val="center"/>
                </w:tcPr>
                <w:p w14:paraId="6B487571">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 xml:space="preserve">0.004 </w:t>
                  </w:r>
                </w:p>
              </w:tc>
              <w:tc>
                <w:tcPr>
                  <w:tcW w:w="528" w:type="dxa"/>
                  <w:tcBorders>
                    <w:tl2br w:val="nil"/>
                    <w:tr2bl w:val="nil"/>
                  </w:tcBorders>
                  <w:vAlign w:val="center"/>
                </w:tcPr>
                <w:p w14:paraId="6BBAF949">
                  <w:pPr>
                    <w:adjustRightInd w:val="0"/>
                    <w:snapToGrid w:val="0"/>
                    <w:spacing w:line="240" w:lineRule="auto"/>
                    <w:jc w:val="center"/>
                    <w:rPr>
                      <w:rFonts w:hint="eastAsia" w:ascii="Times New Roman" w:hAnsi="Times New Roman" w:eastAsia="宋体" w:cs="Times New Roman"/>
                      <w:color w:val="auto"/>
                      <w:szCs w:val="21"/>
                      <w:u w:val="none"/>
                    </w:rPr>
                  </w:pPr>
                  <w:r>
                    <w:rPr>
                      <w:rFonts w:hint="eastAsia" w:ascii="Times New Roman" w:hAnsi="Times New Roman" w:eastAsia="宋体" w:cs="Times New Roman"/>
                      <w:color w:val="auto"/>
                      <w:szCs w:val="21"/>
                      <w:u w:val="none"/>
                      <w:lang w:val="en-US" w:eastAsia="zh-CN"/>
                    </w:rPr>
                    <w:t>/</w:t>
                  </w:r>
                </w:p>
              </w:tc>
            </w:tr>
            <w:tr w14:paraId="5C72FD90">
              <w:tblPrEx>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CellMar>
                  <w:top w:w="0" w:type="dxa"/>
                  <w:left w:w="108" w:type="dxa"/>
                  <w:bottom w:w="0" w:type="dxa"/>
                  <w:right w:w="108" w:type="dxa"/>
                </w:tblCellMar>
              </w:tblPrEx>
              <w:trPr>
                <w:trHeight w:val="806" w:hRule="atLeast"/>
                <w:jc w:val="center"/>
              </w:trPr>
              <w:tc>
                <w:tcPr>
                  <w:tcW w:w="545" w:type="dxa"/>
                  <w:vMerge w:val="continue"/>
                  <w:tcBorders>
                    <w:tl2br w:val="nil"/>
                    <w:tr2bl w:val="nil"/>
                  </w:tcBorders>
                  <w:vAlign w:val="center"/>
                </w:tcPr>
                <w:p w14:paraId="247B4906">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p>
              </w:tc>
              <w:tc>
                <w:tcPr>
                  <w:tcW w:w="834" w:type="dxa"/>
                  <w:tcBorders>
                    <w:tl2br w:val="nil"/>
                    <w:tr2bl w:val="nil"/>
                  </w:tcBorders>
                  <w:vAlign w:val="center"/>
                </w:tcPr>
                <w:p w14:paraId="098B2FE3">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标准限值（</w:t>
                  </w:r>
                  <w:r>
                    <w:rPr>
                      <w:rFonts w:hint="eastAsia" w:ascii="Times New Roman" w:hAnsi="Times New Roman" w:eastAsia="宋体" w:cs="Times New Roman"/>
                      <w:color w:val="auto"/>
                      <w:szCs w:val="21"/>
                      <w:u w:val="none"/>
                      <w:lang w:val="en-US" w:eastAsia="zh-CN"/>
                    </w:rPr>
                    <w:fldChar w:fldCharType="begin"/>
                  </w:r>
                  <w:r>
                    <w:rPr>
                      <w:rFonts w:hint="eastAsia" w:ascii="Times New Roman" w:hAnsi="Times New Roman" w:eastAsia="宋体" w:cs="Times New Roman"/>
                      <w:color w:val="auto"/>
                      <w:szCs w:val="21"/>
                      <w:u w:val="none"/>
                      <w:lang w:val="en-US" w:eastAsia="zh-CN"/>
                    </w:rPr>
                    <w:instrText xml:space="preserve"> = 3 \* ROMAN \* MERGEFORMAT </w:instrText>
                  </w:r>
                  <w:r>
                    <w:rPr>
                      <w:rFonts w:hint="eastAsia" w:ascii="Times New Roman" w:hAnsi="Times New Roman" w:eastAsia="宋体" w:cs="Times New Roman"/>
                      <w:color w:val="auto"/>
                      <w:szCs w:val="21"/>
                      <w:u w:val="none"/>
                      <w:lang w:val="en-US" w:eastAsia="zh-CN"/>
                    </w:rPr>
                    <w:fldChar w:fldCharType="separate"/>
                  </w:r>
                  <w:r>
                    <w:rPr>
                      <w:rFonts w:hint="eastAsia" w:ascii="Times New Roman" w:hAnsi="Times New Roman" w:eastAsia="宋体" w:cs="Times New Roman"/>
                      <w:color w:val="auto"/>
                      <w:szCs w:val="21"/>
                      <w:u w:val="none"/>
                      <w:lang w:val="en-US" w:eastAsia="zh-CN"/>
                    </w:rPr>
                    <w:t>Ⅲ</w:t>
                  </w:r>
                  <w:r>
                    <w:rPr>
                      <w:rFonts w:hint="eastAsia" w:ascii="Times New Roman" w:hAnsi="Times New Roman" w:eastAsia="宋体" w:cs="Times New Roman"/>
                      <w:color w:val="auto"/>
                      <w:szCs w:val="21"/>
                      <w:u w:val="none"/>
                      <w:lang w:val="en-US" w:eastAsia="zh-CN"/>
                    </w:rPr>
                    <w:fldChar w:fldCharType="end"/>
                  </w:r>
                  <w:r>
                    <w:rPr>
                      <w:rFonts w:hint="eastAsia" w:ascii="Times New Roman" w:hAnsi="Times New Roman" w:eastAsia="宋体" w:cs="Times New Roman"/>
                      <w:color w:val="auto"/>
                      <w:szCs w:val="21"/>
                      <w:u w:val="none"/>
                      <w:lang w:val="en-US" w:eastAsia="zh-CN"/>
                    </w:rPr>
                    <w:t>类）</w:t>
                  </w:r>
                </w:p>
              </w:tc>
              <w:tc>
                <w:tcPr>
                  <w:tcW w:w="647" w:type="dxa"/>
                  <w:tcBorders>
                    <w:tl2br w:val="nil"/>
                    <w:tr2bl w:val="nil"/>
                  </w:tcBorders>
                  <w:vAlign w:val="center"/>
                </w:tcPr>
                <w:p w14:paraId="3B1F861F">
                  <w:pPr>
                    <w:adjustRightInd w:val="0"/>
                    <w:snapToGrid w:val="0"/>
                    <w:spacing w:line="240" w:lineRule="auto"/>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1.0</w:t>
                  </w:r>
                </w:p>
              </w:tc>
              <w:tc>
                <w:tcPr>
                  <w:tcW w:w="630" w:type="dxa"/>
                  <w:tcBorders>
                    <w:tl2br w:val="nil"/>
                    <w:tr2bl w:val="nil"/>
                  </w:tcBorders>
                  <w:vAlign w:val="center"/>
                </w:tcPr>
                <w:p w14:paraId="71C5B652">
                  <w:pPr>
                    <w:adjustRightInd w:val="0"/>
                    <w:snapToGrid w:val="0"/>
                    <w:spacing w:line="240" w:lineRule="auto"/>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1.0</w:t>
                  </w:r>
                </w:p>
              </w:tc>
              <w:tc>
                <w:tcPr>
                  <w:tcW w:w="620" w:type="dxa"/>
                  <w:tcBorders>
                    <w:tl2br w:val="nil"/>
                    <w:tr2bl w:val="nil"/>
                  </w:tcBorders>
                  <w:vAlign w:val="center"/>
                </w:tcPr>
                <w:p w14:paraId="36B1361B">
                  <w:pPr>
                    <w:adjustRightInd w:val="0"/>
                    <w:snapToGrid w:val="0"/>
                    <w:spacing w:line="240" w:lineRule="auto"/>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1.0</w:t>
                  </w:r>
                </w:p>
              </w:tc>
              <w:tc>
                <w:tcPr>
                  <w:tcW w:w="625" w:type="dxa"/>
                  <w:tcBorders>
                    <w:tl2br w:val="nil"/>
                    <w:tr2bl w:val="nil"/>
                  </w:tcBorders>
                  <w:vAlign w:val="center"/>
                </w:tcPr>
                <w:p w14:paraId="7E92C886">
                  <w:pPr>
                    <w:adjustRightInd w:val="0"/>
                    <w:snapToGrid w:val="0"/>
                    <w:spacing w:line="240" w:lineRule="auto"/>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0.01</w:t>
                  </w:r>
                </w:p>
              </w:tc>
              <w:tc>
                <w:tcPr>
                  <w:tcW w:w="645" w:type="dxa"/>
                  <w:tcBorders>
                    <w:tl2br w:val="nil"/>
                    <w:tr2bl w:val="nil"/>
                  </w:tcBorders>
                  <w:vAlign w:val="center"/>
                </w:tcPr>
                <w:p w14:paraId="719C57E5">
                  <w:pPr>
                    <w:adjustRightInd w:val="0"/>
                    <w:snapToGrid w:val="0"/>
                    <w:spacing w:line="240" w:lineRule="auto"/>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0.05</w:t>
                  </w:r>
                </w:p>
              </w:tc>
              <w:tc>
                <w:tcPr>
                  <w:tcW w:w="615" w:type="dxa"/>
                  <w:tcBorders>
                    <w:tl2br w:val="nil"/>
                    <w:tr2bl w:val="nil"/>
                  </w:tcBorders>
                  <w:vAlign w:val="center"/>
                </w:tcPr>
                <w:p w14:paraId="088FC95E">
                  <w:pPr>
                    <w:adjustRightInd w:val="0"/>
                    <w:snapToGrid w:val="0"/>
                    <w:spacing w:line="240" w:lineRule="auto"/>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0.005</w:t>
                  </w:r>
                </w:p>
              </w:tc>
              <w:tc>
                <w:tcPr>
                  <w:tcW w:w="645" w:type="dxa"/>
                  <w:tcBorders>
                    <w:tl2br w:val="nil"/>
                    <w:tr2bl w:val="nil"/>
                  </w:tcBorders>
                  <w:vAlign w:val="center"/>
                </w:tcPr>
                <w:p w14:paraId="3D2A2849">
                  <w:pPr>
                    <w:adjustRightInd w:val="0"/>
                    <w:snapToGrid w:val="0"/>
                    <w:spacing w:line="240" w:lineRule="auto"/>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0.05</w:t>
                  </w:r>
                </w:p>
              </w:tc>
              <w:tc>
                <w:tcPr>
                  <w:tcW w:w="735" w:type="dxa"/>
                  <w:tcBorders>
                    <w:tl2br w:val="nil"/>
                    <w:tr2bl w:val="nil"/>
                  </w:tcBorders>
                  <w:vAlign w:val="center"/>
                </w:tcPr>
                <w:p w14:paraId="03DD7084">
                  <w:pPr>
                    <w:adjustRightInd w:val="0"/>
                    <w:snapToGrid w:val="0"/>
                    <w:spacing w:line="240" w:lineRule="auto"/>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0.2</w:t>
                  </w:r>
                </w:p>
              </w:tc>
              <w:tc>
                <w:tcPr>
                  <w:tcW w:w="705" w:type="dxa"/>
                  <w:tcBorders>
                    <w:tl2br w:val="nil"/>
                    <w:tr2bl w:val="nil"/>
                  </w:tcBorders>
                  <w:vAlign w:val="center"/>
                </w:tcPr>
                <w:p w14:paraId="2151B81A">
                  <w:pPr>
                    <w:adjustRightInd w:val="0"/>
                    <w:snapToGrid w:val="0"/>
                    <w:spacing w:line="240" w:lineRule="auto"/>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0.2</w:t>
                  </w:r>
                </w:p>
              </w:tc>
              <w:tc>
                <w:tcPr>
                  <w:tcW w:w="757" w:type="dxa"/>
                  <w:tcBorders>
                    <w:tl2br w:val="nil"/>
                    <w:tr2bl w:val="nil"/>
                  </w:tcBorders>
                  <w:vAlign w:val="center"/>
                </w:tcPr>
                <w:p w14:paraId="1738048A">
                  <w:pPr>
                    <w:adjustRightInd w:val="0"/>
                    <w:snapToGrid w:val="0"/>
                    <w:spacing w:line="240" w:lineRule="auto"/>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0.2</w:t>
                  </w:r>
                </w:p>
              </w:tc>
              <w:tc>
                <w:tcPr>
                  <w:tcW w:w="528" w:type="dxa"/>
                  <w:tcBorders>
                    <w:tl2br w:val="nil"/>
                    <w:tr2bl w:val="nil"/>
                  </w:tcBorders>
                  <w:vAlign w:val="center"/>
                </w:tcPr>
                <w:p w14:paraId="540D81A7">
                  <w:pPr>
                    <w:adjustRightInd w:val="0"/>
                    <w:snapToGrid w:val="0"/>
                    <w:spacing w:line="240" w:lineRule="auto"/>
                    <w:jc w:val="center"/>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w:t>
                  </w:r>
                </w:p>
              </w:tc>
            </w:tr>
            <w:tr w14:paraId="320062D6">
              <w:tblPrEx>
                <w:tblBorders>
                  <w:top w:val="single" w:color="auto" w:sz="6" w:space="0"/>
                  <w:left w:val="single" w:color="auto" w:sz="6" w:space="0"/>
                  <w:bottom w:val="single" w:color="auto" w:sz="6" w:space="0"/>
                  <w:right w:val="single" w:color="auto" w:sz="6" w:space="0"/>
                  <w:insideH w:val="single" w:color="auto" w:sz="4" w:space="0"/>
                  <w:insideV w:val="single" w:color="auto" w:sz="6" w:space="0"/>
                </w:tblBorders>
                <w:tblCellMar>
                  <w:top w:w="0" w:type="dxa"/>
                  <w:left w:w="108" w:type="dxa"/>
                  <w:bottom w:w="0" w:type="dxa"/>
                  <w:right w:w="108" w:type="dxa"/>
                </w:tblCellMar>
              </w:tblPrEx>
              <w:trPr>
                <w:trHeight w:val="631" w:hRule="atLeast"/>
                <w:jc w:val="center"/>
              </w:trPr>
              <w:tc>
                <w:tcPr>
                  <w:tcW w:w="545" w:type="dxa"/>
                  <w:vMerge w:val="continue"/>
                  <w:tcBorders>
                    <w:tl2br w:val="nil"/>
                    <w:tr2bl w:val="nil"/>
                  </w:tcBorders>
                  <w:vAlign w:val="center"/>
                </w:tcPr>
                <w:p w14:paraId="4172DA7E">
                  <w:pPr>
                    <w:adjustRightInd w:val="0"/>
                    <w:snapToGrid w:val="0"/>
                    <w:spacing w:line="240" w:lineRule="auto"/>
                    <w:jc w:val="center"/>
                    <w:rPr>
                      <w:rFonts w:hint="eastAsia" w:ascii="Times New Roman" w:hAnsi="Times New Roman" w:eastAsia="宋体" w:cs="Times New Roman"/>
                      <w:color w:val="auto"/>
                      <w:sz w:val="21"/>
                      <w:szCs w:val="21"/>
                      <w:u w:val="none"/>
                      <w:lang w:val="zh-CN" w:eastAsia="zh-CN"/>
                    </w:rPr>
                  </w:pPr>
                </w:p>
              </w:tc>
              <w:tc>
                <w:tcPr>
                  <w:tcW w:w="834" w:type="dxa"/>
                  <w:tcBorders>
                    <w:tl2br w:val="nil"/>
                    <w:tr2bl w:val="nil"/>
                  </w:tcBorders>
                  <w:vAlign w:val="center"/>
                </w:tcPr>
                <w:p w14:paraId="5EE6B8DF">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评价情况</w:t>
                  </w:r>
                </w:p>
              </w:tc>
              <w:tc>
                <w:tcPr>
                  <w:tcW w:w="647" w:type="dxa"/>
                  <w:tcBorders>
                    <w:tl2br w:val="nil"/>
                    <w:tr2bl w:val="nil"/>
                  </w:tcBorders>
                  <w:vAlign w:val="center"/>
                </w:tcPr>
                <w:p w14:paraId="7CB04C76">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达标</w:t>
                  </w:r>
                </w:p>
              </w:tc>
              <w:tc>
                <w:tcPr>
                  <w:tcW w:w="630" w:type="dxa"/>
                  <w:tcBorders>
                    <w:tl2br w:val="nil"/>
                    <w:tr2bl w:val="nil"/>
                  </w:tcBorders>
                  <w:vAlign w:val="center"/>
                </w:tcPr>
                <w:p w14:paraId="3866DBD5">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达标</w:t>
                  </w:r>
                </w:p>
              </w:tc>
              <w:tc>
                <w:tcPr>
                  <w:tcW w:w="620" w:type="dxa"/>
                  <w:tcBorders>
                    <w:tl2br w:val="nil"/>
                    <w:tr2bl w:val="nil"/>
                  </w:tcBorders>
                  <w:vAlign w:val="center"/>
                </w:tcPr>
                <w:p w14:paraId="6449C95D">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达标</w:t>
                  </w:r>
                </w:p>
              </w:tc>
              <w:tc>
                <w:tcPr>
                  <w:tcW w:w="625" w:type="dxa"/>
                  <w:tcBorders>
                    <w:tl2br w:val="nil"/>
                    <w:tr2bl w:val="nil"/>
                  </w:tcBorders>
                  <w:vAlign w:val="center"/>
                </w:tcPr>
                <w:p w14:paraId="546D9214">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达标</w:t>
                  </w:r>
                </w:p>
              </w:tc>
              <w:tc>
                <w:tcPr>
                  <w:tcW w:w="645" w:type="dxa"/>
                  <w:tcBorders>
                    <w:tl2br w:val="nil"/>
                    <w:tr2bl w:val="nil"/>
                  </w:tcBorders>
                  <w:vAlign w:val="center"/>
                </w:tcPr>
                <w:p w14:paraId="0C885F62">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达标</w:t>
                  </w:r>
                </w:p>
              </w:tc>
              <w:tc>
                <w:tcPr>
                  <w:tcW w:w="615" w:type="dxa"/>
                  <w:tcBorders>
                    <w:tl2br w:val="nil"/>
                    <w:tr2bl w:val="nil"/>
                  </w:tcBorders>
                  <w:vAlign w:val="center"/>
                </w:tcPr>
                <w:p w14:paraId="3CC1F227">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达标</w:t>
                  </w:r>
                </w:p>
              </w:tc>
              <w:tc>
                <w:tcPr>
                  <w:tcW w:w="645" w:type="dxa"/>
                  <w:tcBorders>
                    <w:tl2br w:val="nil"/>
                    <w:tr2bl w:val="nil"/>
                  </w:tcBorders>
                  <w:vAlign w:val="center"/>
                </w:tcPr>
                <w:p w14:paraId="45CB1D63">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达标</w:t>
                  </w:r>
                </w:p>
              </w:tc>
              <w:tc>
                <w:tcPr>
                  <w:tcW w:w="735" w:type="dxa"/>
                  <w:tcBorders>
                    <w:tl2br w:val="nil"/>
                    <w:tr2bl w:val="nil"/>
                  </w:tcBorders>
                  <w:vAlign w:val="center"/>
                </w:tcPr>
                <w:p w14:paraId="6D6A1D2C">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达标</w:t>
                  </w:r>
                </w:p>
              </w:tc>
              <w:tc>
                <w:tcPr>
                  <w:tcW w:w="705" w:type="dxa"/>
                  <w:tcBorders>
                    <w:tl2br w:val="nil"/>
                    <w:tr2bl w:val="nil"/>
                  </w:tcBorders>
                  <w:vAlign w:val="center"/>
                </w:tcPr>
                <w:p w14:paraId="55E47CCB">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达标</w:t>
                  </w:r>
                </w:p>
              </w:tc>
              <w:tc>
                <w:tcPr>
                  <w:tcW w:w="757" w:type="dxa"/>
                  <w:tcBorders>
                    <w:tl2br w:val="nil"/>
                    <w:tr2bl w:val="nil"/>
                  </w:tcBorders>
                  <w:vAlign w:val="center"/>
                </w:tcPr>
                <w:p w14:paraId="34C60862">
                  <w:pPr>
                    <w:adjustRightInd w:val="0"/>
                    <w:snapToGrid w:val="0"/>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达标</w:t>
                  </w:r>
                </w:p>
              </w:tc>
              <w:tc>
                <w:tcPr>
                  <w:tcW w:w="528" w:type="dxa"/>
                  <w:tcBorders>
                    <w:tl2br w:val="nil"/>
                    <w:tr2bl w:val="nil"/>
                  </w:tcBorders>
                  <w:vAlign w:val="center"/>
                </w:tcPr>
                <w:p w14:paraId="7F2B9DA1">
                  <w:pPr>
                    <w:adjustRightInd w:val="0"/>
                    <w:snapToGrid w:val="0"/>
                    <w:spacing w:line="240" w:lineRule="auto"/>
                    <w:jc w:val="center"/>
                    <w:rPr>
                      <w:rFonts w:hint="eastAsia" w:ascii="Times New Roman" w:hAnsi="Times New Roman" w:eastAsia="宋体" w:cs="Times New Roman"/>
                      <w:color w:val="auto"/>
                      <w:szCs w:val="21"/>
                      <w:u w:val="none"/>
                    </w:rPr>
                  </w:pPr>
                  <w:r>
                    <w:rPr>
                      <w:rFonts w:hint="eastAsia" w:ascii="Times New Roman" w:hAnsi="Times New Roman" w:eastAsia="宋体" w:cs="Times New Roman"/>
                      <w:color w:val="auto"/>
                      <w:szCs w:val="21"/>
                      <w:u w:val="none"/>
                      <w:lang w:val="en-US" w:eastAsia="zh-CN"/>
                    </w:rPr>
                    <w:t>/</w:t>
                  </w:r>
                </w:p>
              </w:tc>
            </w:tr>
          </w:tbl>
          <w:p w14:paraId="5F5FEB13">
            <w:pPr>
              <w:keepNext w:val="0"/>
              <w:keepLines w:val="0"/>
              <w:pageBreakBefore w:val="0"/>
              <w:widowControl w:val="0"/>
              <w:numPr>
                <w:ilvl w:val="0"/>
                <w:numId w:val="0"/>
              </w:numPr>
              <w:kinsoku/>
              <w:wordWrap/>
              <w:overflowPunct/>
              <w:topLinePunct w:val="0"/>
              <w:autoSpaceDE w:val="0"/>
              <w:autoSpaceDN w:val="0"/>
              <w:bidi w:val="0"/>
              <w:adjustRightInd w:val="0"/>
              <w:snapToGrid/>
              <w:spacing w:line="500" w:lineRule="exact"/>
              <w:ind w:firstLine="480" w:firstLineChars="200"/>
              <w:rPr>
                <w:rFonts w:hint="eastAsia" w:ascii="Times New Roman" w:hAnsi="Times New Roman" w:cs="Times New Roman"/>
                <w:color w:val="auto"/>
                <w:sz w:val="24"/>
                <w:u w:val="none"/>
              </w:rPr>
            </w:pPr>
            <w:r>
              <w:rPr>
                <w:rFonts w:hint="eastAsia" w:ascii="Times New Roman" w:hAnsi="Times New Roman" w:eastAsia="宋体"/>
                <w:color w:val="auto"/>
                <w:sz w:val="24"/>
                <w:u w:val="none"/>
              </w:rPr>
              <w:t>由上表</w:t>
            </w:r>
            <w:r>
              <w:rPr>
                <w:rFonts w:hint="eastAsia" w:ascii="Times New Roman" w:hAnsi="Times New Roman" w:eastAsia="宋体"/>
                <w:color w:val="auto"/>
                <w:sz w:val="24"/>
                <w:u w:val="none"/>
                <w:lang w:val="en-US" w:eastAsia="zh-CN"/>
              </w:rPr>
              <w:t>沙河舞阳马湾</w:t>
            </w:r>
            <w:r>
              <w:rPr>
                <w:rFonts w:hint="eastAsia" w:ascii="Times New Roman" w:hAnsi="Times New Roman" w:eastAsia="宋体"/>
                <w:color w:val="auto"/>
                <w:sz w:val="24"/>
                <w:u w:val="none"/>
              </w:rPr>
              <w:t>断面监测数据</w:t>
            </w:r>
            <w:r>
              <w:rPr>
                <w:rFonts w:hint="eastAsia" w:ascii="Times New Roman" w:hAnsi="Times New Roman" w:eastAsia="宋体"/>
                <w:color w:val="auto"/>
                <w:sz w:val="24"/>
                <w:u w:val="none"/>
                <w:lang w:val="en-US" w:eastAsia="zh-CN"/>
              </w:rPr>
              <w:t>可知</w:t>
            </w:r>
            <w:r>
              <w:rPr>
                <w:rFonts w:hint="eastAsia" w:ascii="Times New Roman" w:hAnsi="Times New Roman" w:eastAsia="宋体"/>
                <w:color w:val="auto"/>
                <w:sz w:val="24"/>
                <w:u w:val="none"/>
                <w:lang w:eastAsia="zh-CN"/>
              </w:rPr>
              <w:t>，</w:t>
            </w:r>
            <w:r>
              <w:rPr>
                <w:rFonts w:hint="eastAsia" w:ascii="Times New Roman" w:hAnsi="Times New Roman" w:eastAsia="宋体"/>
                <w:color w:val="auto"/>
                <w:sz w:val="24"/>
                <w:u w:val="none"/>
              </w:rPr>
              <w:t>各监测因子均能满足《地表水环境质量标准》(GB3838-2002)</w:t>
            </w:r>
            <w:r>
              <w:rPr>
                <w:rFonts w:hint="eastAsia" w:ascii="Times New Roman" w:hAnsi="Times New Roman" w:eastAsia="宋体"/>
                <w:color w:val="auto"/>
                <w:sz w:val="24"/>
                <w:u w:val="none"/>
              </w:rPr>
              <w:fldChar w:fldCharType="begin"/>
            </w:r>
            <w:r>
              <w:rPr>
                <w:rFonts w:hint="eastAsia" w:ascii="Times New Roman" w:hAnsi="Times New Roman" w:eastAsia="宋体"/>
                <w:color w:val="auto"/>
                <w:sz w:val="24"/>
                <w:u w:val="none"/>
              </w:rPr>
              <w:instrText xml:space="preserve"> = 3 \* ROMAN \* MERGEFORMAT </w:instrText>
            </w:r>
            <w:r>
              <w:rPr>
                <w:rFonts w:hint="eastAsia" w:ascii="Times New Roman" w:hAnsi="Times New Roman" w:eastAsia="宋体"/>
                <w:color w:val="auto"/>
                <w:sz w:val="24"/>
                <w:u w:val="none"/>
              </w:rPr>
              <w:fldChar w:fldCharType="separate"/>
            </w:r>
            <w:r>
              <w:rPr>
                <w:rFonts w:hint="eastAsia" w:ascii="Times New Roman" w:hAnsi="Times New Roman" w:eastAsia="宋体"/>
                <w:color w:val="auto"/>
                <w:sz w:val="24"/>
                <w:u w:val="none"/>
              </w:rPr>
              <w:t>Ⅲ</w:t>
            </w:r>
            <w:r>
              <w:rPr>
                <w:rFonts w:hint="eastAsia" w:ascii="Times New Roman" w:hAnsi="Times New Roman" w:eastAsia="宋体"/>
                <w:color w:val="auto"/>
                <w:sz w:val="24"/>
                <w:u w:val="none"/>
              </w:rPr>
              <w:fldChar w:fldCharType="end"/>
            </w:r>
            <w:r>
              <w:rPr>
                <w:rFonts w:hint="eastAsia" w:ascii="Times New Roman" w:hAnsi="Times New Roman" w:eastAsia="宋体"/>
                <w:color w:val="auto"/>
                <w:sz w:val="24"/>
                <w:u w:val="none"/>
              </w:rPr>
              <w:t>类标准要求，</w:t>
            </w:r>
            <w:r>
              <w:rPr>
                <w:rFonts w:hint="eastAsia" w:ascii="Times New Roman" w:hAnsi="Times New Roman" w:eastAsia="宋体"/>
                <w:color w:val="auto"/>
                <w:sz w:val="24"/>
                <w:lang w:val="en-US" w:eastAsia="zh-CN"/>
              </w:rPr>
              <w:t>目前</w:t>
            </w:r>
            <w:r>
              <w:rPr>
                <w:rFonts w:hint="eastAsia" w:ascii="Times New Roman" w:hAnsi="Times New Roman"/>
                <w:color w:val="auto"/>
                <w:sz w:val="24"/>
                <w:lang w:val="en-US" w:eastAsia="zh-CN"/>
              </w:rPr>
              <w:t>叶县</w:t>
            </w:r>
            <w:r>
              <w:rPr>
                <w:rFonts w:hint="eastAsia" w:ascii="Times New Roman" w:hAnsi="Times New Roman" w:eastAsia="宋体"/>
                <w:color w:val="auto"/>
                <w:sz w:val="24"/>
                <w:lang w:val="en-US" w:eastAsia="zh-CN"/>
              </w:rPr>
              <w:t>正在实施</w:t>
            </w:r>
            <w:r>
              <w:rPr>
                <w:rFonts w:hint="eastAsia" w:ascii="Times New Roman" w:hAnsi="Times New Roman" w:eastAsia="宋体" w:cs="Times New Roman"/>
                <w:color w:val="auto"/>
                <w:sz w:val="24"/>
                <w:lang w:val="en-US" w:eastAsia="zh-CN"/>
              </w:rPr>
              <w:t>《平顶山市生态环境保护委员会办公室关于印发平顶山市202</w:t>
            </w:r>
            <w:r>
              <w:rPr>
                <w:rFonts w:hint="eastAsia" w:cs="Times New Roman"/>
                <w:color w:val="auto"/>
                <w:sz w:val="24"/>
                <w:lang w:val="en-US" w:eastAsia="zh-CN"/>
              </w:rPr>
              <w:t>4</w:t>
            </w:r>
            <w:r>
              <w:rPr>
                <w:rFonts w:hint="eastAsia" w:ascii="Times New Roman" w:hAnsi="Times New Roman" w:eastAsia="宋体" w:cs="Times New Roman"/>
                <w:color w:val="auto"/>
                <w:sz w:val="24"/>
                <w:lang w:val="en-US" w:eastAsia="zh-CN"/>
              </w:rPr>
              <w:t>年碧水保卫战实施方案的通知》</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平环委办〔202</w:t>
            </w:r>
            <w:r>
              <w:rPr>
                <w:rFonts w:hint="eastAsia" w:cs="Times New Roman"/>
                <w:color w:val="auto"/>
                <w:sz w:val="24"/>
                <w:lang w:val="en-US" w:eastAsia="zh-CN"/>
              </w:rPr>
              <w:t>4</w:t>
            </w:r>
            <w:r>
              <w:rPr>
                <w:rFonts w:hint="eastAsia" w:ascii="Times New Roman" w:hAnsi="Times New Roman" w:eastAsia="宋体" w:cs="Times New Roman"/>
                <w:color w:val="auto"/>
                <w:sz w:val="24"/>
                <w:lang w:val="en-US" w:eastAsia="zh-CN"/>
              </w:rPr>
              <w:t>〕1</w:t>
            </w:r>
            <w:r>
              <w:rPr>
                <w:rFonts w:hint="eastAsia" w:cs="Times New Roman"/>
                <w:color w:val="auto"/>
                <w:sz w:val="24"/>
                <w:lang w:val="en-US" w:eastAsia="zh-CN"/>
              </w:rPr>
              <w:t>4</w:t>
            </w:r>
            <w:r>
              <w:rPr>
                <w:rFonts w:hint="eastAsia" w:ascii="Times New Roman" w:hAnsi="Times New Roman" w:eastAsia="宋体" w:cs="Times New Roman"/>
                <w:color w:val="auto"/>
                <w:sz w:val="24"/>
                <w:lang w:val="en-US" w:eastAsia="zh-CN"/>
              </w:rPr>
              <w:t>号</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w:t>
            </w:r>
            <w:r>
              <w:rPr>
                <w:rFonts w:hint="eastAsia" w:ascii="Times New Roman" w:hAnsi="Times New Roman" w:eastAsia="宋体" w:cs="Times New Roman"/>
                <w:b w:val="0"/>
                <w:bCs w:val="0"/>
                <w:color w:val="auto"/>
                <w:sz w:val="24"/>
                <w:szCs w:val="24"/>
                <w:u w:val="none"/>
                <w:lang w:val="zh-CN" w:eastAsia="zh-CN"/>
              </w:rPr>
              <w:t>通过深入打好水源地保护攻坚战役、深入打好黑臭水体治理攻坚战役、深入打好河湖水生态环境治理与修复攻坚战役、统筹做好其它水污染防治攻坚工作，进一步保护好饮用水源。通过</w:t>
            </w:r>
            <w:r>
              <w:rPr>
                <w:rFonts w:hint="eastAsia" w:ascii="Times New Roman" w:hAnsi="Times New Roman" w:eastAsia="宋体" w:cs="Times New Roman"/>
                <w:b w:val="0"/>
                <w:bCs w:val="0"/>
                <w:color w:val="auto"/>
                <w:sz w:val="24"/>
                <w:szCs w:val="24"/>
                <w:u w:val="none"/>
                <w:lang w:val="en-US" w:eastAsia="zh-CN"/>
              </w:rPr>
              <w:t>攻坚战的实施改善</w:t>
            </w:r>
            <w:r>
              <w:rPr>
                <w:rFonts w:hint="eastAsia" w:ascii="Times New Roman" w:hAnsi="Times New Roman" w:eastAsia="宋体" w:cs="Times New Roman"/>
                <w:b w:val="0"/>
                <w:bCs w:val="0"/>
                <w:color w:val="auto"/>
                <w:sz w:val="24"/>
                <w:szCs w:val="24"/>
                <w:u w:val="none"/>
                <w:lang w:val="zh-CN" w:eastAsia="zh-CN"/>
              </w:rPr>
              <w:t>当地环境质量，使水环境质量将逐渐转好。</w:t>
            </w:r>
            <w:r>
              <w:rPr>
                <w:rFonts w:hint="eastAsia" w:ascii="Times New Roman" w:hAnsi="Times New Roman" w:eastAsia="宋体" w:cs="Times New Roman"/>
                <w:color w:val="auto"/>
                <w:sz w:val="24"/>
                <w:lang w:val="en-US" w:eastAsia="zh-CN"/>
              </w:rPr>
              <w:t>且本项目无废水排放，对当前水环境影响较小。</w:t>
            </w:r>
          </w:p>
          <w:p w14:paraId="02474815">
            <w:pPr>
              <w:keepNext w:val="0"/>
              <w:keepLines w:val="0"/>
              <w:pageBreakBefore w:val="0"/>
              <w:widowControl w:val="0"/>
              <w:kinsoku/>
              <w:wordWrap/>
              <w:overflowPunct/>
              <w:topLinePunct w:val="0"/>
              <w:autoSpaceDE/>
              <w:autoSpaceDN/>
              <w:bidi w:val="0"/>
              <w:adjustRightInd/>
              <w:snapToGrid/>
              <w:spacing w:line="500" w:lineRule="exact"/>
              <w:ind w:left="0" w:leftChars="0" w:firstLine="482" w:firstLineChars="200"/>
              <w:textAlignment w:val="auto"/>
              <w:rPr>
                <w:rFonts w:ascii="Times New Roman" w:hAnsi="Times New Roman" w:cs="Times New Roman"/>
                <w:b/>
                <w:bCs/>
                <w:color w:val="auto"/>
                <w:sz w:val="24"/>
                <w:u w:val="none"/>
                <w:lang w:bidi="zh-CN"/>
              </w:rPr>
            </w:pPr>
            <w:r>
              <w:rPr>
                <w:rFonts w:hint="eastAsia" w:ascii="Times New Roman" w:hAnsi="Times New Roman" w:cs="Times New Roman"/>
                <w:b/>
                <w:bCs/>
                <w:color w:val="auto"/>
                <w:sz w:val="24"/>
                <w:u w:val="none"/>
                <w:lang w:val="en-US" w:bidi="zh-CN"/>
              </w:rPr>
              <w:t>3</w:t>
            </w:r>
            <w:r>
              <w:rPr>
                <w:rFonts w:hint="eastAsia" w:cs="Times New Roman"/>
                <w:b/>
                <w:bCs/>
                <w:color w:val="auto"/>
                <w:sz w:val="24"/>
                <w:u w:val="none"/>
                <w:lang w:val="en-US" w:bidi="zh-CN"/>
              </w:rPr>
              <w:t>、</w:t>
            </w:r>
            <w:r>
              <w:rPr>
                <w:rFonts w:ascii="Times New Roman" w:hAnsi="Times New Roman" w:cs="Times New Roman"/>
                <w:b/>
                <w:bCs/>
                <w:color w:val="auto"/>
                <w:sz w:val="24"/>
                <w:u w:val="none"/>
                <w:lang w:bidi="zh-CN"/>
              </w:rPr>
              <w:t>声环境质量现状</w:t>
            </w:r>
          </w:p>
          <w:p w14:paraId="0944E6BA">
            <w:pPr>
              <w:keepNext w:val="0"/>
              <w:keepLines w:val="0"/>
              <w:pageBreakBefore w:val="0"/>
              <w:widowControl w:val="0"/>
              <w:kinsoku/>
              <w:wordWrap/>
              <w:overflowPunct/>
              <w:topLinePunct w:val="0"/>
              <w:bidi w:val="0"/>
              <w:snapToGrid/>
              <w:spacing w:line="500" w:lineRule="exact"/>
              <w:ind w:firstLine="480" w:firstLineChars="200"/>
              <w:textAlignment w:val="baseline"/>
              <w:rPr>
                <w:rFonts w:hint="eastAsia" w:ascii="Times New Roman" w:hAnsi="Times New Roman" w:cs="Times New Roman"/>
                <w:color w:val="auto"/>
                <w:sz w:val="24"/>
                <w:u w:val="none"/>
              </w:rPr>
            </w:pPr>
            <w:r>
              <w:rPr>
                <w:rFonts w:hint="eastAsia" w:ascii="Times New Roman" w:hAnsi="Times New Roman" w:cs="Times New Roman"/>
                <w:bCs/>
                <w:color w:val="auto"/>
                <w:sz w:val="24"/>
                <w:highlight w:val="none"/>
                <w:u w:val="none"/>
              </w:rPr>
              <w:t>202</w:t>
            </w:r>
            <w:r>
              <w:rPr>
                <w:rFonts w:hint="eastAsia" w:ascii="Times New Roman" w:hAnsi="Times New Roman" w:cs="Times New Roman"/>
                <w:bCs/>
                <w:color w:val="auto"/>
                <w:sz w:val="24"/>
                <w:highlight w:val="none"/>
                <w:u w:val="none"/>
                <w:lang w:val="en-US" w:eastAsia="zh-CN"/>
              </w:rPr>
              <w:t>3</w:t>
            </w:r>
            <w:r>
              <w:rPr>
                <w:rFonts w:hint="eastAsia" w:ascii="Times New Roman" w:hAnsi="Times New Roman" w:cs="Times New Roman"/>
                <w:bCs/>
                <w:color w:val="auto"/>
                <w:sz w:val="24"/>
                <w:highlight w:val="none"/>
                <w:u w:val="none"/>
              </w:rPr>
              <w:t>年</w:t>
            </w:r>
            <w:r>
              <w:rPr>
                <w:rFonts w:hint="eastAsia" w:ascii="Times New Roman" w:hAnsi="Times New Roman" w:cs="Times New Roman"/>
                <w:bCs/>
                <w:color w:val="auto"/>
                <w:sz w:val="24"/>
                <w:highlight w:val="none"/>
                <w:u w:val="none"/>
                <w:lang w:val="en-US" w:eastAsia="zh-CN"/>
              </w:rPr>
              <w:t>05</w:t>
            </w:r>
            <w:r>
              <w:rPr>
                <w:rFonts w:hint="eastAsia" w:ascii="Times New Roman" w:hAnsi="Times New Roman" w:cs="Times New Roman"/>
                <w:bCs/>
                <w:color w:val="auto"/>
                <w:sz w:val="24"/>
                <w:highlight w:val="none"/>
                <w:u w:val="none"/>
              </w:rPr>
              <w:t>月</w:t>
            </w:r>
            <w:r>
              <w:rPr>
                <w:rFonts w:hint="eastAsia" w:ascii="Times New Roman" w:hAnsi="Times New Roman" w:cs="Times New Roman"/>
                <w:bCs/>
                <w:color w:val="auto"/>
                <w:sz w:val="24"/>
                <w:highlight w:val="none"/>
                <w:u w:val="none"/>
                <w:lang w:val="en-US" w:eastAsia="zh-CN"/>
              </w:rPr>
              <w:t>22</w:t>
            </w:r>
            <w:r>
              <w:rPr>
                <w:rFonts w:hint="eastAsia" w:ascii="Times New Roman" w:hAnsi="Times New Roman" w:cs="Times New Roman"/>
                <w:bCs/>
                <w:color w:val="auto"/>
                <w:sz w:val="24"/>
                <w:highlight w:val="none"/>
                <w:u w:val="none"/>
              </w:rPr>
              <w:t>日</w:t>
            </w:r>
            <w:r>
              <w:rPr>
                <w:rFonts w:hint="eastAsia" w:ascii="Times New Roman" w:hAnsi="Times New Roman" w:cs="Times New Roman"/>
                <w:bCs/>
                <w:color w:val="auto"/>
                <w:sz w:val="24"/>
                <w:highlight w:val="none"/>
                <w:u w:val="none"/>
                <w:lang w:val="en-US" w:eastAsia="zh-CN"/>
              </w:rPr>
              <w:t>-05</w:t>
            </w:r>
            <w:r>
              <w:rPr>
                <w:rFonts w:hint="eastAsia" w:ascii="Times New Roman" w:hAnsi="Times New Roman" w:cs="Times New Roman"/>
                <w:bCs/>
                <w:color w:val="auto"/>
                <w:sz w:val="24"/>
                <w:highlight w:val="none"/>
                <w:u w:val="none"/>
              </w:rPr>
              <w:t>月</w:t>
            </w:r>
            <w:r>
              <w:rPr>
                <w:rFonts w:hint="eastAsia" w:ascii="Times New Roman" w:hAnsi="Times New Roman" w:cs="Times New Roman"/>
                <w:bCs/>
                <w:color w:val="auto"/>
                <w:sz w:val="24"/>
                <w:highlight w:val="none"/>
                <w:u w:val="none"/>
                <w:lang w:val="en-US" w:eastAsia="zh-CN"/>
              </w:rPr>
              <w:t>23</w:t>
            </w:r>
            <w:r>
              <w:rPr>
                <w:rFonts w:hint="eastAsia" w:ascii="Times New Roman" w:hAnsi="Times New Roman" w:cs="Times New Roman"/>
                <w:bCs/>
                <w:color w:val="auto"/>
                <w:sz w:val="24"/>
                <w:highlight w:val="none"/>
                <w:u w:val="none"/>
              </w:rPr>
              <w:t>日</w:t>
            </w:r>
            <w:r>
              <w:rPr>
                <w:rFonts w:hint="eastAsia" w:ascii="Times New Roman" w:hAnsi="Times New Roman" w:eastAsia="宋体" w:cs="Times New Roman"/>
                <w:color w:val="auto"/>
                <w:sz w:val="24"/>
                <w:u w:val="none"/>
                <w:lang w:val="en-US" w:eastAsia="zh-CN"/>
              </w:rPr>
              <w:t>平煤煌龙新能源有限公司</w:t>
            </w:r>
            <w:r>
              <w:rPr>
                <w:rFonts w:hint="eastAsia" w:ascii="Times New Roman" w:hAnsi="Times New Roman" w:cs="Times New Roman"/>
                <w:bCs/>
                <w:color w:val="auto"/>
                <w:sz w:val="24"/>
                <w:u w:val="none"/>
              </w:rPr>
              <w:t>委托</w:t>
            </w:r>
            <w:r>
              <w:rPr>
                <w:rFonts w:hint="eastAsia" w:ascii="Times New Roman" w:hAnsi="Times New Roman" w:cs="Times New Roman"/>
                <w:bCs/>
                <w:color w:val="auto"/>
                <w:sz w:val="24"/>
                <w:highlight w:val="none"/>
                <w:u w:val="none"/>
                <w:lang w:val="en-US" w:eastAsia="zh-CN"/>
              </w:rPr>
              <w:t>河南永飞检测科技</w:t>
            </w:r>
            <w:r>
              <w:rPr>
                <w:rFonts w:hint="eastAsia" w:ascii="Times New Roman" w:hAnsi="Times New Roman" w:cs="Times New Roman"/>
                <w:bCs/>
                <w:color w:val="auto"/>
                <w:sz w:val="24"/>
                <w:highlight w:val="none"/>
                <w:u w:val="none"/>
              </w:rPr>
              <w:t>有限公司对</w:t>
            </w:r>
            <w:r>
              <w:rPr>
                <w:rFonts w:hint="eastAsia" w:ascii="Times New Roman" w:hAnsi="Times New Roman" w:cs="Times New Roman"/>
                <w:bCs/>
                <w:color w:val="auto"/>
                <w:sz w:val="24"/>
                <w:u w:val="none"/>
              </w:rPr>
              <w:t>项目</w:t>
            </w:r>
            <w:r>
              <w:rPr>
                <w:rFonts w:ascii="Times New Roman" w:hAnsi="Times New Roman" w:cs="Times New Roman"/>
                <w:color w:val="auto"/>
                <w:sz w:val="24"/>
                <w:u w:val="none"/>
              </w:rPr>
              <w:t>四周</w:t>
            </w:r>
            <w:r>
              <w:rPr>
                <w:rFonts w:hint="eastAsia" w:ascii="Times New Roman" w:hAnsi="Times New Roman" w:cs="Times New Roman"/>
                <w:bCs/>
                <w:color w:val="auto"/>
                <w:sz w:val="24"/>
                <w:u w:val="none"/>
              </w:rPr>
              <w:t>边界噪声进行了现状监测，</w:t>
            </w:r>
            <w:r>
              <w:rPr>
                <w:rFonts w:ascii="Times New Roman" w:hAnsi="Times New Roman" w:cs="Times New Roman"/>
                <w:color w:val="auto"/>
                <w:sz w:val="24"/>
                <w:u w:val="none"/>
              </w:rPr>
              <w:t>监测结果</w:t>
            </w:r>
            <w:r>
              <w:rPr>
                <w:rFonts w:hint="eastAsia" w:ascii="Times New Roman" w:hAnsi="Times New Roman" w:cs="Times New Roman"/>
                <w:color w:val="auto"/>
                <w:sz w:val="24"/>
                <w:u w:val="none"/>
              </w:rPr>
              <w:t>详见下表。</w:t>
            </w:r>
          </w:p>
          <w:p w14:paraId="4D6E21C2">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baseline"/>
              <w:rPr>
                <w:rFonts w:ascii="Times New Roman" w:hAnsi="Times New Roman" w:eastAsia="黑体" w:cs="Times New Roman"/>
                <w:color w:val="auto"/>
                <w:sz w:val="24"/>
                <w:u w:val="none"/>
              </w:rPr>
            </w:pPr>
            <w:r>
              <w:rPr>
                <w:rFonts w:hint="eastAsia" w:ascii="Times New Roman" w:hAnsi="Times New Roman" w:eastAsia="黑体" w:cs="Times New Roman"/>
                <w:color w:val="auto"/>
                <w:sz w:val="24"/>
                <w:u w:val="none"/>
              </w:rPr>
              <w:t>表</w:t>
            </w:r>
            <w:r>
              <w:rPr>
                <w:rFonts w:hint="eastAsia" w:eastAsia="黑体" w:cs="Times New Roman"/>
                <w:color w:val="auto"/>
                <w:sz w:val="24"/>
                <w:u w:val="none"/>
                <w:lang w:val="en-US" w:eastAsia="zh-CN"/>
              </w:rPr>
              <w:t>3-3</w:t>
            </w:r>
            <w:r>
              <w:rPr>
                <w:rFonts w:hint="eastAsia" w:ascii="Times New Roman" w:hAnsi="Times New Roman" w:eastAsia="黑体" w:cs="Times New Roman"/>
                <w:color w:val="auto"/>
                <w:sz w:val="24"/>
                <w:u w:val="none"/>
              </w:rPr>
              <w:t xml:space="preserve"> 声环境质量现状</w:t>
            </w:r>
            <w:r>
              <w:rPr>
                <w:rFonts w:ascii="Times New Roman" w:hAnsi="Times New Roman" w:eastAsia="黑体" w:cs="Times New Roman"/>
                <w:color w:val="auto"/>
                <w:sz w:val="24"/>
                <w:u w:val="none"/>
              </w:rPr>
              <w:t>监测结果</w:t>
            </w:r>
          </w:p>
          <w:tbl>
            <w:tblPr>
              <w:tblStyle w:val="32"/>
              <w:tblW w:w="7425"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Layout w:type="fixed"/>
              <w:tblCellMar>
                <w:top w:w="0" w:type="dxa"/>
                <w:left w:w="108" w:type="dxa"/>
                <w:bottom w:w="0" w:type="dxa"/>
                <w:right w:w="108" w:type="dxa"/>
              </w:tblCellMar>
            </w:tblPr>
            <w:tblGrid>
              <w:gridCol w:w="1129"/>
              <w:gridCol w:w="1183"/>
              <w:gridCol w:w="1305"/>
              <w:gridCol w:w="1233"/>
              <w:gridCol w:w="1298"/>
              <w:gridCol w:w="1277"/>
            </w:tblGrid>
            <w:tr w14:paraId="2A478E97">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358" w:hRule="atLeast"/>
                <w:jc w:val="center"/>
              </w:trPr>
              <w:tc>
                <w:tcPr>
                  <w:tcW w:w="1129" w:type="dxa"/>
                  <w:vMerge w:val="restart"/>
                  <w:tcBorders>
                    <w:tl2br w:val="nil"/>
                    <w:tr2bl w:val="nil"/>
                  </w:tcBorders>
                  <w:vAlign w:val="center"/>
                </w:tcPr>
                <w:p w14:paraId="37EBDD59">
                  <w:pPr>
                    <w:keepNext w:val="0"/>
                    <w:keepLines w:val="0"/>
                    <w:pageBreakBefore w:val="0"/>
                    <w:kinsoku/>
                    <w:wordWrap/>
                    <w:overflowPunct/>
                    <w:topLinePunct w:val="0"/>
                    <w:autoSpaceDE/>
                    <w:autoSpaceDN/>
                    <w:bidi w:val="0"/>
                    <w:adjustRightInd/>
                    <w:snapToGrid/>
                    <w:spacing w:line="240" w:lineRule="auto"/>
                    <w:jc w:val="center"/>
                    <w:textAlignment w:val="baseline"/>
                    <w:rPr>
                      <w:rFonts w:hint="eastAsia" w:ascii="Times New Roman" w:hAnsi="Times New Roman" w:eastAsia="宋体" w:cs="Times New Roman"/>
                      <w:color w:val="auto"/>
                      <w:szCs w:val="21"/>
                      <w:u w:val="none"/>
                      <w:lang w:eastAsia="zh-CN"/>
                    </w:rPr>
                  </w:pPr>
                  <w:r>
                    <w:rPr>
                      <w:rFonts w:hint="eastAsia" w:ascii="Times New Roman" w:hAnsi="Times New Roman" w:cs="Times New Roman"/>
                      <w:b/>
                      <w:bCs/>
                      <w:color w:val="auto"/>
                      <w:szCs w:val="21"/>
                      <w:u w:val="none"/>
                      <w:lang w:val="en-US" w:eastAsia="zh-CN"/>
                    </w:rPr>
                    <w:t>检测日期</w:t>
                  </w:r>
                </w:p>
              </w:tc>
              <w:tc>
                <w:tcPr>
                  <w:tcW w:w="1183" w:type="dxa"/>
                  <w:vMerge w:val="restart"/>
                  <w:tcBorders>
                    <w:tl2br w:val="nil"/>
                    <w:tr2bl w:val="nil"/>
                  </w:tcBorders>
                  <w:vAlign w:val="center"/>
                </w:tcPr>
                <w:p w14:paraId="199A0627">
                  <w:pPr>
                    <w:keepNext w:val="0"/>
                    <w:keepLines w:val="0"/>
                    <w:pageBreakBefore w:val="0"/>
                    <w:kinsoku/>
                    <w:wordWrap/>
                    <w:overflowPunct/>
                    <w:topLinePunct w:val="0"/>
                    <w:autoSpaceDE/>
                    <w:autoSpaceDN/>
                    <w:bidi w:val="0"/>
                    <w:adjustRightInd/>
                    <w:snapToGrid/>
                    <w:spacing w:line="240" w:lineRule="auto"/>
                    <w:jc w:val="center"/>
                    <w:textAlignment w:val="baseline"/>
                    <w:rPr>
                      <w:rFonts w:hint="eastAsia" w:ascii="Times New Roman" w:hAnsi="Times New Roman" w:eastAsia="宋体" w:cs="Times New Roman"/>
                      <w:b/>
                      <w:bCs/>
                      <w:color w:val="auto"/>
                      <w:szCs w:val="21"/>
                      <w:u w:val="none"/>
                      <w:lang w:eastAsia="zh-CN"/>
                    </w:rPr>
                  </w:pPr>
                  <w:r>
                    <w:rPr>
                      <w:rFonts w:hint="eastAsia" w:ascii="Times New Roman" w:hAnsi="Times New Roman" w:cs="Times New Roman"/>
                      <w:b/>
                      <w:bCs/>
                      <w:color w:val="auto"/>
                      <w:szCs w:val="21"/>
                      <w:u w:val="none"/>
                      <w:lang w:val="en-US" w:eastAsia="zh-CN"/>
                    </w:rPr>
                    <w:t>检测时段</w:t>
                  </w:r>
                </w:p>
              </w:tc>
              <w:tc>
                <w:tcPr>
                  <w:tcW w:w="5113" w:type="dxa"/>
                  <w:gridSpan w:val="4"/>
                  <w:tcBorders>
                    <w:tl2br w:val="nil"/>
                    <w:tr2bl w:val="nil"/>
                  </w:tcBorders>
                  <w:vAlign w:val="center"/>
                </w:tcPr>
                <w:p w14:paraId="7F384208">
                  <w:pPr>
                    <w:keepNext w:val="0"/>
                    <w:keepLines w:val="0"/>
                    <w:pageBreakBefore w:val="0"/>
                    <w:kinsoku/>
                    <w:wordWrap/>
                    <w:overflowPunct/>
                    <w:topLinePunct w:val="0"/>
                    <w:autoSpaceDE/>
                    <w:autoSpaceDN/>
                    <w:bidi w:val="0"/>
                    <w:adjustRightInd/>
                    <w:snapToGrid/>
                    <w:spacing w:line="240" w:lineRule="auto"/>
                    <w:jc w:val="center"/>
                    <w:textAlignment w:val="baseline"/>
                    <w:rPr>
                      <w:rFonts w:hint="eastAsia" w:ascii="Times New Roman" w:hAnsi="Times New Roman" w:cs="Times New Roman"/>
                      <w:b/>
                      <w:bCs/>
                      <w:color w:val="auto"/>
                      <w:szCs w:val="21"/>
                      <w:u w:val="none"/>
                    </w:rPr>
                  </w:pPr>
                  <w:r>
                    <w:rPr>
                      <w:rFonts w:hint="eastAsia" w:ascii="Times New Roman" w:hAnsi="Times New Roman" w:cs="Times New Roman"/>
                      <w:b/>
                      <w:bCs/>
                      <w:color w:val="auto"/>
                      <w:szCs w:val="21"/>
                      <w:u w:val="none"/>
                      <w:lang w:val="en-US" w:eastAsia="zh-CN"/>
                    </w:rPr>
                    <w:t>检测结果 单位：</w:t>
                  </w:r>
                  <w:r>
                    <w:rPr>
                      <w:rFonts w:ascii="Times New Roman" w:hAnsi="Times New Roman" w:cs="Times New Roman"/>
                      <w:b/>
                      <w:bCs/>
                      <w:color w:val="auto"/>
                      <w:szCs w:val="21"/>
                      <w:u w:val="none"/>
                    </w:rPr>
                    <w:t>[dB(A)]</w:t>
                  </w:r>
                </w:p>
              </w:tc>
            </w:tr>
            <w:tr w14:paraId="023CC41C">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369" w:hRule="atLeast"/>
                <w:jc w:val="center"/>
              </w:trPr>
              <w:tc>
                <w:tcPr>
                  <w:tcW w:w="1129" w:type="dxa"/>
                  <w:vMerge w:val="continue"/>
                  <w:tcBorders>
                    <w:tl2br w:val="nil"/>
                    <w:tr2bl w:val="nil"/>
                  </w:tcBorders>
                  <w:vAlign w:val="center"/>
                </w:tcPr>
                <w:p w14:paraId="5C390A0A">
                  <w:pPr>
                    <w:keepNext w:val="0"/>
                    <w:keepLines w:val="0"/>
                    <w:pageBreakBefore w:val="0"/>
                    <w:widowControl/>
                    <w:kinsoku/>
                    <w:wordWrap/>
                    <w:overflowPunct/>
                    <w:topLinePunct w:val="0"/>
                    <w:autoSpaceDE/>
                    <w:autoSpaceDN/>
                    <w:bidi w:val="0"/>
                    <w:adjustRightInd/>
                    <w:snapToGrid/>
                    <w:spacing w:line="240" w:lineRule="auto"/>
                    <w:jc w:val="center"/>
                    <w:rPr>
                      <w:rFonts w:ascii="Times New Roman" w:hAnsi="Times New Roman" w:cs="Times New Roman"/>
                      <w:color w:val="auto"/>
                      <w:szCs w:val="21"/>
                      <w:u w:val="none"/>
                    </w:rPr>
                  </w:pPr>
                </w:p>
              </w:tc>
              <w:tc>
                <w:tcPr>
                  <w:tcW w:w="1183" w:type="dxa"/>
                  <w:vMerge w:val="continue"/>
                  <w:tcBorders>
                    <w:tl2br w:val="nil"/>
                    <w:tr2bl w:val="nil"/>
                  </w:tcBorders>
                  <w:vAlign w:val="center"/>
                </w:tcPr>
                <w:p w14:paraId="37AFA7FF">
                  <w:pPr>
                    <w:keepNext w:val="0"/>
                    <w:keepLines w:val="0"/>
                    <w:pageBreakBefore w:val="0"/>
                    <w:widowControl/>
                    <w:kinsoku/>
                    <w:wordWrap/>
                    <w:overflowPunct/>
                    <w:topLinePunct w:val="0"/>
                    <w:autoSpaceDE/>
                    <w:autoSpaceDN/>
                    <w:bidi w:val="0"/>
                    <w:adjustRightInd/>
                    <w:snapToGrid/>
                    <w:spacing w:line="240" w:lineRule="auto"/>
                    <w:jc w:val="center"/>
                    <w:rPr>
                      <w:rFonts w:ascii="Times New Roman" w:hAnsi="Times New Roman" w:cs="Times New Roman"/>
                      <w:b/>
                      <w:bCs/>
                      <w:color w:val="auto"/>
                      <w:szCs w:val="21"/>
                      <w:u w:val="none"/>
                    </w:rPr>
                  </w:pPr>
                </w:p>
              </w:tc>
              <w:tc>
                <w:tcPr>
                  <w:tcW w:w="1305" w:type="dxa"/>
                  <w:tcBorders>
                    <w:tl2br w:val="nil"/>
                    <w:tr2bl w:val="nil"/>
                  </w:tcBorders>
                  <w:vAlign w:val="center"/>
                </w:tcPr>
                <w:p w14:paraId="04733780">
                  <w:pPr>
                    <w:keepNext w:val="0"/>
                    <w:keepLines w:val="0"/>
                    <w:pageBreakBefore w:val="0"/>
                    <w:kinsoku/>
                    <w:wordWrap/>
                    <w:overflowPunct/>
                    <w:topLinePunct w:val="0"/>
                    <w:autoSpaceDE/>
                    <w:autoSpaceDN/>
                    <w:bidi w:val="0"/>
                    <w:adjustRightInd/>
                    <w:snapToGrid/>
                    <w:spacing w:line="240" w:lineRule="auto"/>
                    <w:jc w:val="center"/>
                    <w:textAlignment w:val="baseline"/>
                    <w:rPr>
                      <w:rFonts w:hint="eastAsia" w:ascii="Times New Roman" w:hAnsi="Times New Roman" w:eastAsia="宋体" w:cs="Times New Roman"/>
                      <w:b/>
                      <w:bCs/>
                      <w:color w:val="auto"/>
                      <w:szCs w:val="21"/>
                      <w:u w:val="none"/>
                      <w:lang w:val="en-US" w:eastAsia="zh-CN"/>
                    </w:rPr>
                  </w:pPr>
                  <w:r>
                    <w:rPr>
                      <w:rFonts w:hint="eastAsia" w:ascii="Times New Roman" w:hAnsi="Times New Roman" w:cs="Times New Roman"/>
                      <w:b/>
                      <w:bCs/>
                      <w:color w:val="auto"/>
                      <w:szCs w:val="21"/>
                      <w:u w:val="none"/>
                      <w:lang w:val="en-US" w:eastAsia="zh-CN"/>
                    </w:rPr>
                    <w:t>东厂界</w:t>
                  </w:r>
                </w:p>
              </w:tc>
              <w:tc>
                <w:tcPr>
                  <w:tcW w:w="1233" w:type="dxa"/>
                  <w:tcBorders>
                    <w:tl2br w:val="nil"/>
                    <w:tr2bl w:val="nil"/>
                  </w:tcBorders>
                  <w:vAlign w:val="center"/>
                </w:tcPr>
                <w:p w14:paraId="54C95692">
                  <w:pPr>
                    <w:keepNext w:val="0"/>
                    <w:keepLines w:val="0"/>
                    <w:pageBreakBefore w:val="0"/>
                    <w:kinsoku/>
                    <w:wordWrap/>
                    <w:overflowPunct/>
                    <w:topLinePunct w:val="0"/>
                    <w:autoSpaceDE/>
                    <w:autoSpaceDN/>
                    <w:bidi w:val="0"/>
                    <w:adjustRightInd/>
                    <w:snapToGrid/>
                    <w:spacing w:line="240" w:lineRule="auto"/>
                    <w:jc w:val="center"/>
                    <w:textAlignment w:val="baseline"/>
                    <w:rPr>
                      <w:rFonts w:hint="eastAsia" w:ascii="Times New Roman" w:hAnsi="Times New Roman" w:eastAsia="宋体" w:cs="Times New Roman"/>
                      <w:b/>
                      <w:bCs/>
                      <w:color w:val="auto"/>
                      <w:szCs w:val="21"/>
                      <w:u w:val="none"/>
                      <w:lang w:val="en-US" w:eastAsia="zh-CN"/>
                    </w:rPr>
                  </w:pPr>
                  <w:r>
                    <w:rPr>
                      <w:rFonts w:hint="eastAsia" w:ascii="Times New Roman" w:hAnsi="Times New Roman" w:cs="Times New Roman"/>
                      <w:b/>
                      <w:bCs/>
                      <w:color w:val="auto"/>
                      <w:szCs w:val="21"/>
                      <w:u w:val="none"/>
                      <w:lang w:val="en-US" w:eastAsia="zh-CN"/>
                    </w:rPr>
                    <w:t>南厂界</w:t>
                  </w:r>
                </w:p>
              </w:tc>
              <w:tc>
                <w:tcPr>
                  <w:tcW w:w="1298" w:type="dxa"/>
                  <w:tcBorders>
                    <w:tl2br w:val="nil"/>
                    <w:tr2bl w:val="nil"/>
                  </w:tcBorders>
                  <w:vAlign w:val="center"/>
                </w:tcPr>
                <w:p w14:paraId="0A42F666">
                  <w:pPr>
                    <w:keepNext w:val="0"/>
                    <w:keepLines w:val="0"/>
                    <w:pageBreakBefore w:val="0"/>
                    <w:kinsoku/>
                    <w:wordWrap/>
                    <w:overflowPunct/>
                    <w:topLinePunct w:val="0"/>
                    <w:autoSpaceDE/>
                    <w:autoSpaceDN/>
                    <w:bidi w:val="0"/>
                    <w:adjustRightInd/>
                    <w:snapToGrid/>
                    <w:spacing w:line="240" w:lineRule="auto"/>
                    <w:jc w:val="center"/>
                    <w:textAlignment w:val="baseline"/>
                    <w:rPr>
                      <w:rFonts w:hint="eastAsia" w:ascii="Times New Roman" w:hAnsi="Times New Roman" w:eastAsia="宋体" w:cs="Times New Roman"/>
                      <w:b/>
                      <w:bCs/>
                      <w:color w:val="auto"/>
                      <w:szCs w:val="21"/>
                      <w:u w:val="none"/>
                      <w:lang w:val="en-US" w:eastAsia="zh-CN"/>
                    </w:rPr>
                  </w:pPr>
                  <w:r>
                    <w:rPr>
                      <w:rFonts w:hint="eastAsia" w:ascii="Times New Roman" w:hAnsi="Times New Roman" w:cs="Times New Roman"/>
                      <w:b/>
                      <w:bCs/>
                      <w:color w:val="auto"/>
                      <w:szCs w:val="21"/>
                      <w:u w:val="none"/>
                      <w:lang w:val="en-US" w:eastAsia="zh-CN"/>
                    </w:rPr>
                    <w:t>西厂界</w:t>
                  </w:r>
                </w:p>
              </w:tc>
              <w:tc>
                <w:tcPr>
                  <w:tcW w:w="1277" w:type="dxa"/>
                  <w:tcBorders>
                    <w:tl2br w:val="nil"/>
                    <w:tr2bl w:val="nil"/>
                  </w:tcBorders>
                  <w:vAlign w:val="center"/>
                </w:tcPr>
                <w:p w14:paraId="41339B09">
                  <w:pPr>
                    <w:keepNext w:val="0"/>
                    <w:keepLines w:val="0"/>
                    <w:pageBreakBefore w:val="0"/>
                    <w:kinsoku/>
                    <w:wordWrap/>
                    <w:overflowPunct/>
                    <w:topLinePunct w:val="0"/>
                    <w:autoSpaceDE/>
                    <w:autoSpaceDN/>
                    <w:bidi w:val="0"/>
                    <w:adjustRightInd/>
                    <w:snapToGrid/>
                    <w:spacing w:line="240" w:lineRule="auto"/>
                    <w:jc w:val="center"/>
                    <w:textAlignment w:val="baseline"/>
                    <w:rPr>
                      <w:rFonts w:hint="default" w:ascii="Times New Roman" w:hAnsi="Times New Roman" w:eastAsia="宋体" w:cs="Times New Roman"/>
                      <w:b/>
                      <w:bCs/>
                      <w:color w:val="auto"/>
                      <w:szCs w:val="21"/>
                      <w:u w:val="none"/>
                      <w:lang w:val="en-US" w:eastAsia="zh-CN"/>
                    </w:rPr>
                  </w:pPr>
                  <w:r>
                    <w:rPr>
                      <w:rFonts w:hint="eastAsia" w:ascii="Times New Roman" w:hAnsi="Times New Roman" w:cs="Times New Roman"/>
                      <w:b/>
                      <w:bCs/>
                      <w:color w:val="auto"/>
                      <w:szCs w:val="21"/>
                      <w:u w:val="none"/>
                      <w:lang w:val="en-US" w:eastAsia="zh-CN"/>
                    </w:rPr>
                    <w:t>北厂界</w:t>
                  </w:r>
                </w:p>
              </w:tc>
            </w:tr>
            <w:tr w14:paraId="08FC9EB7">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450" w:hRule="atLeast"/>
                <w:jc w:val="center"/>
              </w:trPr>
              <w:tc>
                <w:tcPr>
                  <w:tcW w:w="1129" w:type="dxa"/>
                  <w:vMerge w:val="restart"/>
                  <w:tcBorders>
                    <w:tl2br w:val="nil"/>
                    <w:tr2bl w:val="nil"/>
                  </w:tcBorders>
                  <w:vAlign w:val="center"/>
                </w:tcPr>
                <w:p w14:paraId="430A640D">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2023.</w:t>
                  </w:r>
                </w:p>
                <w:p w14:paraId="4CC156C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Cs w:val="21"/>
                      <w:highlight w:val="none"/>
                      <w:u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05.22</w:t>
                  </w:r>
                </w:p>
              </w:tc>
              <w:tc>
                <w:tcPr>
                  <w:tcW w:w="1183" w:type="dxa"/>
                  <w:tcBorders>
                    <w:tl2br w:val="nil"/>
                    <w:tr2bl w:val="nil"/>
                  </w:tcBorders>
                  <w:vAlign w:val="center"/>
                </w:tcPr>
                <w:p w14:paraId="609A79F1">
                  <w:pPr>
                    <w:keepNext w:val="0"/>
                    <w:keepLines w:val="0"/>
                    <w:pageBreakBefore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szCs w:val="21"/>
                      <w:u w:val="none"/>
                      <w:lang w:val="en-US" w:eastAsia="zh-CN"/>
                    </w:rPr>
                  </w:pPr>
                  <w:r>
                    <w:rPr>
                      <w:rFonts w:hint="default" w:ascii="Times New Roman" w:hAnsi="Times New Roman" w:eastAsia="宋体" w:cs="Times New Roman"/>
                      <w:color w:val="auto"/>
                      <w:sz w:val="21"/>
                      <w:szCs w:val="21"/>
                      <w:u w:val="none"/>
                      <w:lang w:bidi="ar"/>
                    </w:rPr>
                    <w:t>昼间</w:t>
                  </w:r>
                </w:p>
              </w:tc>
              <w:tc>
                <w:tcPr>
                  <w:tcW w:w="1305" w:type="dxa"/>
                  <w:tcBorders>
                    <w:tl2br w:val="nil"/>
                    <w:tr2bl w:val="nil"/>
                  </w:tcBorders>
                  <w:vAlign w:val="center"/>
                </w:tcPr>
                <w:p w14:paraId="25D8FE16">
                  <w:pPr>
                    <w:keepNext w:val="0"/>
                    <w:keepLines w:val="0"/>
                    <w:pageBreakBefore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Cs w:val="21"/>
                      <w:highlight w:val="yellow"/>
                      <w:u w:val="none"/>
                      <w:lang w:val="en-US" w:eastAsia="zh-CN"/>
                    </w:rPr>
                  </w:pPr>
                  <w:r>
                    <w:rPr>
                      <w:rFonts w:hint="default" w:ascii="Times New Roman" w:hAnsi="Times New Roman" w:eastAsia="宋体" w:cs="Times New Roman"/>
                      <w:color w:val="auto"/>
                      <w:sz w:val="21"/>
                      <w:szCs w:val="21"/>
                      <w:highlight w:val="none"/>
                      <w:u w:val="none"/>
                      <w:lang w:val="en-US" w:eastAsia="zh-CN" w:bidi="ar"/>
                    </w:rPr>
                    <w:t>5</w:t>
                  </w:r>
                  <w:r>
                    <w:rPr>
                      <w:rFonts w:hint="eastAsia" w:cs="Times New Roman"/>
                      <w:color w:val="auto"/>
                      <w:sz w:val="21"/>
                      <w:szCs w:val="21"/>
                      <w:highlight w:val="none"/>
                      <w:u w:val="none"/>
                      <w:lang w:val="en-US" w:eastAsia="zh-CN" w:bidi="ar"/>
                    </w:rPr>
                    <w:t>3</w:t>
                  </w:r>
                </w:p>
              </w:tc>
              <w:tc>
                <w:tcPr>
                  <w:tcW w:w="1233" w:type="dxa"/>
                  <w:tcBorders>
                    <w:tl2br w:val="nil"/>
                    <w:tr2bl w:val="nil"/>
                  </w:tcBorders>
                  <w:vAlign w:val="center"/>
                </w:tcPr>
                <w:p w14:paraId="0DE9BF3E">
                  <w:pPr>
                    <w:keepNext w:val="0"/>
                    <w:keepLines w:val="0"/>
                    <w:pageBreakBefore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Cs w:val="21"/>
                      <w:highlight w:val="yellow"/>
                      <w:u w:val="none"/>
                      <w:lang w:val="en-US" w:eastAsia="zh-CN"/>
                    </w:rPr>
                  </w:pPr>
                  <w:r>
                    <w:rPr>
                      <w:rFonts w:hint="default" w:ascii="Times New Roman" w:hAnsi="Times New Roman" w:eastAsia="宋体" w:cs="Times New Roman"/>
                      <w:color w:val="auto"/>
                      <w:sz w:val="21"/>
                      <w:szCs w:val="21"/>
                      <w:highlight w:val="none"/>
                      <w:u w:val="none"/>
                      <w:lang w:val="en-US" w:eastAsia="zh-CN" w:bidi="ar"/>
                    </w:rPr>
                    <w:t>53</w:t>
                  </w:r>
                </w:p>
              </w:tc>
              <w:tc>
                <w:tcPr>
                  <w:tcW w:w="1298" w:type="dxa"/>
                  <w:tcBorders>
                    <w:tl2br w:val="nil"/>
                    <w:tr2bl w:val="nil"/>
                  </w:tcBorders>
                  <w:vAlign w:val="center"/>
                </w:tcPr>
                <w:p w14:paraId="6BCBED7B">
                  <w:pPr>
                    <w:keepNext w:val="0"/>
                    <w:keepLines w:val="0"/>
                    <w:pageBreakBefore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Cs w:val="21"/>
                      <w:highlight w:val="yellow"/>
                      <w:u w:val="none"/>
                      <w:lang w:val="en-US" w:eastAsia="zh-CN"/>
                    </w:rPr>
                  </w:pPr>
                  <w:r>
                    <w:rPr>
                      <w:rFonts w:hint="default" w:ascii="Times New Roman" w:hAnsi="Times New Roman" w:eastAsia="宋体" w:cs="Times New Roman"/>
                      <w:color w:val="auto"/>
                      <w:sz w:val="21"/>
                      <w:szCs w:val="21"/>
                      <w:highlight w:val="none"/>
                      <w:u w:val="none"/>
                      <w:lang w:val="en-US" w:eastAsia="zh-CN" w:bidi="ar"/>
                    </w:rPr>
                    <w:t>54</w:t>
                  </w:r>
                </w:p>
              </w:tc>
              <w:tc>
                <w:tcPr>
                  <w:tcW w:w="1277" w:type="dxa"/>
                  <w:tcBorders>
                    <w:tl2br w:val="nil"/>
                    <w:tr2bl w:val="nil"/>
                  </w:tcBorders>
                  <w:vAlign w:val="center"/>
                </w:tcPr>
                <w:p w14:paraId="6822A6C1">
                  <w:pPr>
                    <w:keepNext w:val="0"/>
                    <w:keepLines w:val="0"/>
                    <w:pageBreakBefore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Cs w:val="21"/>
                      <w:highlight w:val="yellow"/>
                      <w:u w:val="none"/>
                      <w:lang w:val="en-US" w:eastAsia="zh-CN"/>
                    </w:rPr>
                  </w:pPr>
                  <w:r>
                    <w:rPr>
                      <w:rFonts w:hint="default" w:ascii="Times New Roman" w:hAnsi="Times New Roman" w:eastAsia="宋体" w:cs="Times New Roman"/>
                      <w:color w:val="auto"/>
                      <w:sz w:val="21"/>
                      <w:szCs w:val="21"/>
                      <w:highlight w:val="none"/>
                      <w:u w:val="none"/>
                      <w:lang w:val="en-US" w:eastAsia="zh-CN" w:bidi="ar"/>
                    </w:rPr>
                    <w:t>5</w:t>
                  </w:r>
                  <w:r>
                    <w:rPr>
                      <w:rFonts w:hint="eastAsia" w:cs="Times New Roman"/>
                      <w:color w:val="auto"/>
                      <w:sz w:val="21"/>
                      <w:szCs w:val="21"/>
                      <w:highlight w:val="none"/>
                      <w:u w:val="none"/>
                      <w:lang w:val="en-US" w:eastAsia="zh-CN" w:bidi="ar"/>
                    </w:rPr>
                    <w:t>7</w:t>
                  </w:r>
                </w:p>
              </w:tc>
            </w:tr>
            <w:tr w14:paraId="2E2BAC35">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392" w:hRule="atLeast"/>
                <w:jc w:val="center"/>
              </w:trPr>
              <w:tc>
                <w:tcPr>
                  <w:tcW w:w="1129" w:type="dxa"/>
                  <w:vMerge w:val="continue"/>
                  <w:tcBorders>
                    <w:tl2br w:val="nil"/>
                    <w:tr2bl w:val="nil"/>
                  </w:tcBorders>
                  <w:vAlign w:val="center"/>
                </w:tcPr>
                <w:p w14:paraId="63129F48">
                  <w:pPr>
                    <w:keepNext w:val="0"/>
                    <w:keepLines w:val="0"/>
                    <w:pageBreakBefore w:val="0"/>
                    <w:kinsoku/>
                    <w:wordWrap/>
                    <w:overflowPunct/>
                    <w:topLinePunct w:val="0"/>
                    <w:autoSpaceDE/>
                    <w:autoSpaceDN/>
                    <w:bidi w:val="0"/>
                    <w:adjustRightInd/>
                    <w:snapToGrid/>
                    <w:spacing w:line="240" w:lineRule="auto"/>
                    <w:jc w:val="center"/>
                    <w:textAlignment w:val="center"/>
                    <w:rPr>
                      <w:rFonts w:ascii="Times New Roman" w:hAnsi="Times New Roman" w:cs="Times New Roman"/>
                      <w:color w:val="auto"/>
                      <w:szCs w:val="21"/>
                      <w:highlight w:val="none"/>
                      <w:u w:val="none"/>
                    </w:rPr>
                  </w:pPr>
                </w:p>
              </w:tc>
              <w:tc>
                <w:tcPr>
                  <w:tcW w:w="1183" w:type="dxa"/>
                  <w:tcBorders>
                    <w:tl2br w:val="nil"/>
                    <w:tr2bl w:val="nil"/>
                  </w:tcBorders>
                  <w:vAlign w:val="center"/>
                </w:tcPr>
                <w:p w14:paraId="449880D2">
                  <w:pPr>
                    <w:keepNext w:val="0"/>
                    <w:keepLines w:val="0"/>
                    <w:pageBreakBefore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szCs w:val="21"/>
                      <w:u w:val="none"/>
                      <w:lang w:val="en-US" w:eastAsia="zh-CN"/>
                    </w:rPr>
                  </w:pPr>
                  <w:r>
                    <w:rPr>
                      <w:rFonts w:hint="default" w:ascii="Times New Roman" w:hAnsi="Times New Roman" w:eastAsia="宋体" w:cs="Times New Roman"/>
                      <w:color w:val="auto"/>
                      <w:sz w:val="21"/>
                      <w:szCs w:val="21"/>
                      <w:u w:val="none"/>
                      <w:lang w:bidi="ar"/>
                    </w:rPr>
                    <w:t>夜间</w:t>
                  </w:r>
                </w:p>
              </w:tc>
              <w:tc>
                <w:tcPr>
                  <w:tcW w:w="1305" w:type="dxa"/>
                  <w:tcBorders>
                    <w:tl2br w:val="nil"/>
                    <w:tr2bl w:val="nil"/>
                  </w:tcBorders>
                  <w:vAlign w:val="center"/>
                </w:tcPr>
                <w:p w14:paraId="45151A64">
                  <w:pPr>
                    <w:keepNext w:val="0"/>
                    <w:keepLines w:val="0"/>
                    <w:pageBreakBefore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Cs w:val="21"/>
                      <w:highlight w:val="yellow"/>
                      <w:u w:val="none"/>
                      <w:lang w:val="en-US" w:eastAsia="zh-CN"/>
                    </w:rPr>
                  </w:pPr>
                  <w:r>
                    <w:rPr>
                      <w:rFonts w:hint="default" w:ascii="Times New Roman" w:hAnsi="Times New Roman" w:eastAsia="宋体" w:cs="Times New Roman"/>
                      <w:color w:val="auto"/>
                      <w:sz w:val="21"/>
                      <w:szCs w:val="21"/>
                      <w:u w:val="none"/>
                      <w:lang w:val="en-US" w:eastAsia="zh-CN" w:bidi="ar"/>
                    </w:rPr>
                    <w:t>4</w:t>
                  </w:r>
                  <w:r>
                    <w:rPr>
                      <w:rFonts w:hint="eastAsia" w:cs="Times New Roman"/>
                      <w:color w:val="auto"/>
                      <w:sz w:val="21"/>
                      <w:szCs w:val="21"/>
                      <w:u w:val="none"/>
                      <w:lang w:val="en-US" w:eastAsia="zh-CN" w:bidi="ar"/>
                    </w:rPr>
                    <w:t>3</w:t>
                  </w:r>
                </w:p>
              </w:tc>
              <w:tc>
                <w:tcPr>
                  <w:tcW w:w="1233" w:type="dxa"/>
                  <w:tcBorders>
                    <w:tl2br w:val="nil"/>
                    <w:tr2bl w:val="nil"/>
                  </w:tcBorders>
                  <w:vAlign w:val="center"/>
                </w:tcPr>
                <w:p w14:paraId="2D3B1D60">
                  <w:pPr>
                    <w:keepNext w:val="0"/>
                    <w:keepLines w:val="0"/>
                    <w:pageBreakBefore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Cs w:val="21"/>
                      <w:highlight w:val="yellow"/>
                      <w:u w:val="none"/>
                      <w:lang w:val="en-US" w:eastAsia="zh-CN"/>
                    </w:rPr>
                  </w:pPr>
                  <w:r>
                    <w:rPr>
                      <w:rFonts w:hint="default" w:ascii="Times New Roman" w:hAnsi="Times New Roman" w:eastAsia="宋体" w:cs="Times New Roman"/>
                      <w:color w:val="auto"/>
                      <w:sz w:val="21"/>
                      <w:szCs w:val="21"/>
                      <w:u w:val="none"/>
                      <w:lang w:val="en-US" w:eastAsia="zh-CN" w:bidi="ar"/>
                    </w:rPr>
                    <w:t>4</w:t>
                  </w:r>
                  <w:r>
                    <w:rPr>
                      <w:rFonts w:hint="eastAsia" w:cs="Times New Roman"/>
                      <w:color w:val="auto"/>
                      <w:sz w:val="21"/>
                      <w:szCs w:val="21"/>
                      <w:u w:val="none"/>
                      <w:lang w:val="en-US" w:eastAsia="zh-CN" w:bidi="ar"/>
                    </w:rPr>
                    <w:t>2</w:t>
                  </w:r>
                </w:p>
              </w:tc>
              <w:tc>
                <w:tcPr>
                  <w:tcW w:w="1298" w:type="dxa"/>
                  <w:tcBorders>
                    <w:tl2br w:val="nil"/>
                    <w:tr2bl w:val="nil"/>
                  </w:tcBorders>
                  <w:vAlign w:val="center"/>
                </w:tcPr>
                <w:p w14:paraId="14170233">
                  <w:pPr>
                    <w:keepNext w:val="0"/>
                    <w:keepLines w:val="0"/>
                    <w:pageBreakBefore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Cs w:val="21"/>
                      <w:highlight w:val="yellow"/>
                      <w:u w:val="none"/>
                      <w:lang w:val="en-US" w:eastAsia="zh-CN"/>
                    </w:rPr>
                  </w:pPr>
                  <w:r>
                    <w:rPr>
                      <w:rFonts w:hint="default" w:ascii="Times New Roman" w:hAnsi="Times New Roman" w:eastAsia="宋体" w:cs="Times New Roman"/>
                      <w:color w:val="auto"/>
                      <w:sz w:val="21"/>
                      <w:szCs w:val="21"/>
                      <w:u w:val="none"/>
                      <w:lang w:val="en-US" w:eastAsia="zh-CN" w:bidi="ar"/>
                    </w:rPr>
                    <w:t>4</w:t>
                  </w:r>
                  <w:r>
                    <w:rPr>
                      <w:rFonts w:hint="eastAsia" w:cs="Times New Roman"/>
                      <w:color w:val="auto"/>
                      <w:sz w:val="21"/>
                      <w:szCs w:val="21"/>
                      <w:u w:val="none"/>
                      <w:lang w:val="en-US" w:eastAsia="zh-CN" w:bidi="ar"/>
                    </w:rPr>
                    <w:t>4</w:t>
                  </w:r>
                </w:p>
              </w:tc>
              <w:tc>
                <w:tcPr>
                  <w:tcW w:w="1277" w:type="dxa"/>
                  <w:tcBorders>
                    <w:tl2br w:val="nil"/>
                    <w:tr2bl w:val="nil"/>
                  </w:tcBorders>
                  <w:vAlign w:val="center"/>
                </w:tcPr>
                <w:p w14:paraId="3FDBAE5D">
                  <w:pPr>
                    <w:keepNext w:val="0"/>
                    <w:keepLines w:val="0"/>
                    <w:pageBreakBefore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Cs w:val="21"/>
                      <w:highlight w:val="yellow"/>
                      <w:u w:val="none"/>
                      <w:lang w:val="en-US" w:eastAsia="zh-CN"/>
                    </w:rPr>
                  </w:pPr>
                  <w:r>
                    <w:rPr>
                      <w:rFonts w:hint="default" w:ascii="Times New Roman" w:hAnsi="Times New Roman" w:eastAsia="宋体" w:cs="Times New Roman"/>
                      <w:color w:val="auto"/>
                      <w:sz w:val="21"/>
                      <w:szCs w:val="21"/>
                      <w:u w:val="none"/>
                      <w:lang w:val="en-US" w:eastAsia="zh-CN" w:bidi="ar"/>
                    </w:rPr>
                    <w:t>4</w:t>
                  </w:r>
                  <w:r>
                    <w:rPr>
                      <w:rFonts w:hint="eastAsia" w:cs="Times New Roman"/>
                      <w:color w:val="auto"/>
                      <w:sz w:val="21"/>
                      <w:szCs w:val="21"/>
                      <w:u w:val="none"/>
                      <w:lang w:val="en-US" w:eastAsia="zh-CN" w:bidi="ar"/>
                    </w:rPr>
                    <w:t>5</w:t>
                  </w:r>
                </w:p>
              </w:tc>
            </w:tr>
            <w:tr w14:paraId="4FDA796E">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450" w:hRule="atLeast"/>
                <w:jc w:val="center"/>
              </w:trPr>
              <w:tc>
                <w:tcPr>
                  <w:tcW w:w="1129" w:type="dxa"/>
                  <w:vMerge w:val="restart"/>
                  <w:tcBorders>
                    <w:tl2br w:val="nil"/>
                    <w:tr2bl w:val="nil"/>
                  </w:tcBorders>
                  <w:vAlign w:val="center"/>
                </w:tcPr>
                <w:p w14:paraId="5410FCFD">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2023.</w:t>
                  </w:r>
                </w:p>
                <w:p w14:paraId="08E5E29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Cs w:val="21"/>
                      <w:highlight w:val="none"/>
                      <w:u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05.23</w:t>
                  </w:r>
                </w:p>
              </w:tc>
              <w:tc>
                <w:tcPr>
                  <w:tcW w:w="1183" w:type="dxa"/>
                  <w:tcBorders>
                    <w:tl2br w:val="nil"/>
                    <w:tr2bl w:val="nil"/>
                  </w:tcBorders>
                  <w:vAlign w:val="center"/>
                </w:tcPr>
                <w:p w14:paraId="32C93109">
                  <w:pPr>
                    <w:keepNext w:val="0"/>
                    <w:keepLines w:val="0"/>
                    <w:pageBreakBefore w:val="0"/>
                    <w:kinsoku/>
                    <w:wordWrap/>
                    <w:overflowPunct/>
                    <w:topLinePunct w:val="0"/>
                    <w:autoSpaceDE/>
                    <w:autoSpaceDN/>
                    <w:bidi w:val="0"/>
                    <w:adjustRightInd/>
                    <w:snapToGrid/>
                    <w:spacing w:line="240" w:lineRule="auto"/>
                    <w:jc w:val="center"/>
                    <w:textAlignment w:val="center"/>
                    <w:rPr>
                      <w:rFonts w:ascii="Times New Roman" w:hAnsi="Times New Roman" w:cs="Times New Roman"/>
                      <w:color w:val="auto"/>
                      <w:szCs w:val="21"/>
                      <w:u w:val="none"/>
                    </w:rPr>
                  </w:pPr>
                  <w:r>
                    <w:rPr>
                      <w:rFonts w:hint="default" w:ascii="Times New Roman" w:hAnsi="Times New Roman" w:eastAsia="宋体" w:cs="Times New Roman"/>
                      <w:color w:val="auto"/>
                      <w:sz w:val="21"/>
                      <w:szCs w:val="21"/>
                      <w:u w:val="none"/>
                      <w:lang w:bidi="ar"/>
                    </w:rPr>
                    <w:t>昼间</w:t>
                  </w:r>
                </w:p>
              </w:tc>
              <w:tc>
                <w:tcPr>
                  <w:tcW w:w="1305" w:type="dxa"/>
                  <w:tcBorders>
                    <w:tl2br w:val="nil"/>
                    <w:tr2bl w:val="nil"/>
                  </w:tcBorders>
                  <w:vAlign w:val="center"/>
                </w:tcPr>
                <w:p w14:paraId="72BFA029">
                  <w:pPr>
                    <w:keepNext w:val="0"/>
                    <w:keepLines w:val="0"/>
                    <w:pageBreakBefore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Cs w:val="21"/>
                      <w:highlight w:val="yellow"/>
                      <w:u w:val="none"/>
                      <w:lang w:val="en-US" w:eastAsia="zh-CN"/>
                    </w:rPr>
                  </w:pPr>
                  <w:r>
                    <w:rPr>
                      <w:rFonts w:hint="default" w:ascii="Times New Roman" w:hAnsi="Times New Roman" w:eastAsia="宋体" w:cs="Times New Roman"/>
                      <w:color w:val="auto"/>
                      <w:sz w:val="21"/>
                      <w:szCs w:val="21"/>
                      <w:u w:val="none"/>
                      <w:lang w:val="en-US" w:eastAsia="zh-CN" w:bidi="ar"/>
                    </w:rPr>
                    <w:t>52</w:t>
                  </w:r>
                </w:p>
              </w:tc>
              <w:tc>
                <w:tcPr>
                  <w:tcW w:w="1233" w:type="dxa"/>
                  <w:tcBorders>
                    <w:tl2br w:val="nil"/>
                    <w:tr2bl w:val="nil"/>
                  </w:tcBorders>
                  <w:vAlign w:val="center"/>
                </w:tcPr>
                <w:p w14:paraId="225A4C78">
                  <w:pPr>
                    <w:keepNext w:val="0"/>
                    <w:keepLines w:val="0"/>
                    <w:pageBreakBefore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Cs w:val="21"/>
                      <w:highlight w:val="yellow"/>
                      <w:u w:val="none"/>
                      <w:lang w:val="en-US" w:eastAsia="zh-CN"/>
                    </w:rPr>
                  </w:pPr>
                  <w:r>
                    <w:rPr>
                      <w:rFonts w:hint="default" w:ascii="Times New Roman" w:hAnsi="Times New Roman" w:eastAsia="宋体" w:cs="Times New Roman"/>
                      <w:color w:val="auto"/>
                      <w:sz w:val="21"/>
                      <w:szCs w:val="21"/>
                      <w:u w:val="none"/>
                      <w:lang w:val="en-US" w:eastAsia="zh-CN" w:bidi="ar"/>
                    </w:rPr>
                    <w:t>5</w:t>
                  </w:r>
                  <w:r>
                    <w:rPr>
                      <w:rFonts w:hint="eastAsia" w:cs="Times New Roman"/>
                      <w:color w:val="auto"/>
                      <w:sz w:val="21"/>
                      <w:szCs w:val="21"/>
                      <w:u w:val="none"/>
                      <w:lang w:val="en-US" w:eastAsia="zh-CN" w:bidi="ar"/>
                    </w:rPr>
                    <w:t>3</w:t>
                  </w:r>
                </w:p>
              </w:tc>
              <w:tc>
                <w:tcPr>
                  <w:tcW w:w="1298" w:type="dxa"/>
                  <w:tcBorders>
                    <w:tl2br w:val="nil"/>
                    <w:tr2bl w:val="nil"/>
                  </w:tcBorders>
                  <w:vAlign w:val="center"/>
                </w:tcPr>
                <w:p w14:paraId="53B94A1D">
                  <w:pPr>
                    <w:keepNext w:val="0"/>
                    <w:keepLines w:val="0"/>
                    <w:pageBreakBefore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Cs w:val="21"/>
                      <w:highlight w:val="yellow"/>
                      <w:u w:val="none"/>
                      <w:lang w:val="en-US" w:eastAsia="zh-CN"/>
                    </w:rPr>
                  </w:pPr>
                  <w:r>
                    <w:rPr>
                      <w:rFonts w:hint="default" w:ascii="Times New Roman" w:hAnsi="Times New Roman" w:eastAsia="宋体" w:cs="Times New Roman"/>
                      <w:color w:val="auto"/>
                      <w:sz w:val="21"/>
                      <w:szCs w:val="21"/>
                      <w:u w:val="none"/>
                      <w:lang w:val="en-US" w:eastAsia="zh-CN" w:bidi="ar"/>
                    </w:rPr>
                    <w:t>55</w:t>
                  </w:r>
                </w:p>
              </w:tc>
              <w:tc>
                <w:tcPr>
                  <w:tcW w:w="1277" w:type="dxa"/>
                  <w:tcBorders>
                    <w:tl2br w:val="nil"/>
                    <w:tr2bl w:val="nil"/>
                  </w:tcBorders>
                  <w:vAlign w:val="center"/>
                </w:tcPr>
                <w:p w14:paraId="20A4509A">
                  <w:pPr>
                    <w:keepNext w:val="0"/>
                    <w:keepLines w:val="0"/>
                    <w:pageBreakBefore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Cs w:val="21"/>
                      <w:highlight w:val="yellow"/>
                      <w:u w:val="none"/>
                      <w:lang w:val="en-US" w:eastAsia="zh-CN"/>
                    </w:rPr>
                  </w:pPr>
                  <w:r>
                    <w:rPr>
                      <w:rFonts w:hint="default" w:ascii="Times New Roman" w:hAnsi="Times New Roman" w:eastAsia="宋体" w:cs="Times New Roman"/>
                      <w:color w:val="auto"/>
                      <w:sz w:val="21"/>
                      <w:szCs w:val="21"/>
                      <w:u w:val="none"/>
                      <w:lang w:val="en-US" w:eastAsia="zh-CN" w:bidi="ar"/>
                    </w:rPr>
                    <w:t>5</w:t>
                  </w:r>
                  <w:r>
                    <w:rPr>
                      <w:rFonts w:hint="eastAsia" w:cs="Times New Roman"/>
                      <w:color w:val="auto"/>
                      <w:sz w:val="21"/>
                      <w:szCs w:val="21"/>
                      <w:u w:val="none"/>
                      <w:lang w:val="en-US" w:eastAsia="zh-CN" w:bidi="ar"/>
                    </w:rPr>
                    <w:t>6</w:t>
                  </w:r>
                </w:p>
              </w:tc>
            </w:tr>
            <w:tr w14:paraId="38EDC09C">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400" w:hRule="atLeast"/>
                <w:jc w:val="center"/>
              </w:trPr>
              <w:tc>
                <w:tcPr>
                  <w:tcW w:w="1129" w:type="dxa"/>
                  <w:vMerge w:val="continue"/>
                  <w:tcBorders>
                    <w:tl2br w:val="nil"/>
                    <w:tr2bl w:val="nil"/>
                  </w:tcBorders>
                  <w:vAlign w:val="center"/>
                </w:tcPr>
                <w:p w14:paraId="77C1E5C7">
                  <w:pPr>
                    <w:keepNext w:val="0"/>
                    <w:keepLines w:val="0"/>
                    <w:pageBreakBefore w:val="0"/>
                    <w:kinsoku/>
                    <w:wordWrap/>
                    <w:overflowPunct/>
                    <w:topLinePunct w:val="0"/>
                    <w:autoSpaceDE/>
                    <w:autoSpaceDN/>
                    <w:bidi w:val="0"/>
                    <w:adjustRightInd/>
                    <w:snapToGrid/>
                    <w:spacing w:line="240" w:lineRule="auto"/>
                    <w:jc w:val="center"/>
                    <w:textAlignment w:val="center"/>
                    <w:rPr>
                      <w:rFonts w:ascii="Times New Roman" w:hAnsi="Times New Roman" w:cs="Times New Roman"/>
                      <w:color w:val="auto"/>
                      <w:szCs w:val="21"/>
                      <w:u w:val="none"/>
                    </w:rPr>
                  </w:pPr>
                </w:p>
              </w:tc>
              <w:tc>
                <w:tcPr>
                  <w:tcW w:w="1183" w:type="dxa"/>
                  <w:tcBorders>
                    <w:tl2br w:val="nil"/>
                    <w:tr2bl w:val="nil"/>
                  </w:tcBorders>
                  <w:vAlign w:val="center"/>
                </w:tcPr>
                <w:p w14:paraId="7A820DF9">
                  <w:pPr>
                    <w:keepNext w:val="0"/>
                    <w:keepLines w:val="0"/>
                    <w:pageBreakBefore w:val="0"/>
                    <w:kinsoku/>
                    <w:wordWrap/>
                    <w:overflowPunct/>
                    <w:topLinePunct w:val="0"/>
                    <w:autoSpaceDE/>
                    <w:autoSpaceDN/>
                    <w:bidi w:val="0"/>
                    <w:adjustRightInd/>
                    <w:snapToGrid/>
                    <w:spacing w:line="240" w:lineRule="auto"/>
                    <w:jc w:val="center"/>
                    <w:textAlignment w:val="center"/>
                    <w:rPr>
                      <w:rFonts w:ascii="Times New Roman" w:hAnsi="Times New Roman" w:cs="Times New Roman"/>
                      <w:color w:val="auto"/>
                      <w:szCs w:val="21"/>
                      <w:u w:val="none"/>
                    </w:rPr>
                  </w:pPr>
                  <w:r>
                    <w:rPr>
                      <w:rFonts w:hint="default" w:ascii="Times New Roman" w:hAnsi="Times New Roman" w:eastAsia="宋体" w:cs="Times New Roman"/>
                      <w:color w:val="auto"/>
                      <w:sz w:val="21"/>
                      <w:szCs w:val="21"/>
                      <w:u w:val="none"/>
                      <w:lang w:bidi="ar"/>
                    </w:rPr>
                    <w:t>夜间</w:t>
                  </w:r>
                </w:p>
              </w:tc>
              <w:tc>
                <w:tcPr>
                  <w:tcW w:w="1305" w:type="dxa"/>
                  <w:tcBorders>
                    <w:tl2br w:val="nil"/>
                    <w:tr2bl w:val="nil"/>
                  </w:tcBorders>
                  <w:vAlign w:val="center"/>
                </w:tcPr>
                <w:p w14:paraId="2502AFC1">
                  <w:pPr>
                    <w:keepNext w:val="0"/>
                    <w:keepLines w:val="0"/>
                    <w:pageBreakBefore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Cs w:val="21"/>
                      <w:highlight w:val="yellow"/>
                      <w:u w:val="none"/>
                      <w:lang w:val="en-US" w:eastAsia="zh-CN"/>
                    </w:rPr>
                  </w:pPr>
                  <w:r>
                    <w:rPr>
                      <w:rFonts w:hint="default" w:ascii="Times New Roman" w:hAnsi="Times New Roman" w:eastAsia="宋体" w:cs="Times New Roman"/>
                      <w:color w:val="auto"/>
                      <w:sz w:val="21"/>
                      <w:szCs w:val="21"/>
                      <w:u w:val="none"/>
                      <w:lang w:val="en-US" w:eastAsia="zh-CN" w:bidi="ar"/>
                    </w:rPr>
                    <w:t>4</w:t>
                  </w:r>
                  <w:r>
                    <w:rPr>
                      <w:rFonts w:hint="eastAsia" w:cs="Times New Roman"/>
                      <w:color w:val="auto"/>
                      <w:sz w:val="21"/>
                      <w:szCs w:val="21"/>
                      <w:u w:val="none"/>
                      <w:lang w:val="en-US" w:eastAsia="zh-CN" w:bidi="ar"/>
                    </w:rPr>
                    <w:t>3</w:t>
                  </w:r>
                </w:p>
              </w:tc>
              <w:tc>
                <w:tcPr>
                  <w:tcW w:w="1233" w:type="dxa"/>
                  <w:tcBorders>
                    <w:tl2br w:val="nil"/>
                    <w:tr2bl w:val="nil"/>
                  </w:tcBorders>
                  <w:vAlign w:val="center"/>
                </w:tcPr>
                <w:p w14:paraId="4233BC1C">
                  <w:pPr>
                    <w:keepNext w:val="0"/>
                    <w:keepLines w:val="0"/>
                    <w:pageBreakBefore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Cs w:val="21"/>
                      <w:highlight w:val="yellow"/>
                      <w:u w:val="none"/>
                      <w:lang w:val="en-US" w:eastAsia="zh-CN"/>
                    </w:rPr>
                  </w:pPr>
                  <w:r>
                    <w:rPr>
                      <w:rFonts w:hint="default" w:ascii="Times New Roman" w:hAnsi="Times New Roman" w:eastAsia="宋体" w:cs="Times New Roman"/>
                      <w:color w:val="auto"/>
                      <w:sz w:val="21"/>
                      <w:szCs w:val="21"/>
                      <w:u w:val="none"/>
                      <w:lang w:val="en-US" w:eastAsia="zh-CN" w:bidi="ar"/>
                    </w:rPr>
                    <w:t>4</w:t>
                  </w:r>
                  <w:r>
                    <w:rPr>
                      <w:rFonts w:hint="eastAsia" w:cs="Times New Roman"/>
                      <w:color w:val="auto"/>
                      <w:sz w:val="21"/>
                      <w:szCs w:val="21"/>
                      <w:u w:val="none"/>
                      <w:lang w:val="en-US" w:eastAsia="zh-CN" w:bidi="ar"/>
                    </w:rPr>
                    <w:t>4</w:t>
                  </w:r>
                </w:p>
              </w:tc>
              <w:tc>
                <w:tcPr>
                  <w:tcW w:w="1298" w:type="dxa"/>
                  <w:tcBorders>
                    <w:tl2br w:val="nil"/>
                    <w:tr2bl w:val="nil"/>
                  </w:tcBorders>
                  <w:vAlign w:val="center"/>
                </w:tcPr>
                <w:p w14:paraId="5A12C31E">
                  <w:pPr>
                    <w:keepNext w:val="0"/>
                    <w:keepLines w:val="0"/>
                    <w:pageBreakBefore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Cs w:val="21"/>
                      <w:highlight w:val="yellow"/>
                      <w:u w:val="none"/>
                      <w:lang w:val="en-US" w:eastAsia="zh-CN"/>
                    </w:rPr>
                  </w:pPr>
                  <w:r>
                    <w:rPr>
                      <w:rFonts w:hint="default" w:ascii="Times New Roman" w:hAnsi="Times New Roman" w:eastAsia="宋体" w:cs="Times New Roman"/>
                      <w:color w:val="auto"/>
                      <w:sz w:val="21"/>
                      <w:szCs w:val="21"/>
                      <w:u w:val="none"/>
                      <w:lang w:val="en-US" w:eastAsia="zh-CN" w:bidi="ar"/>
                    </w:rPr>
                    <w:t>42</w:t>
                  </w:r>
                </w:p>
              </w:tc>
              <w:tc>
                <w:tcPr>
                  <w:tcW w:w="1277" w:type="dxa"/>
                  <w:tcBorders>
                    <w:tl2br w:val="nil"/>
                    <w:tr2bl w:val="nil"/>
                  </w:tcBorders>
                  <w:vAlign w:val="center"/>
                </w:tcPr>
                <w:p w14:paraId="3D1091EF">
                  <w:pPr>
                    <w:keepNext w:val="0"/>
                    <w:keepLines w:val="0"/>
                    <w:pageBreakBefore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Cs w:val="21"/>
                      <w:highlight w:val="yellow"/>
                      <w:u w:val="none"/>
                      <w:lang w:val="en-US" w:eastAsia="zh-CN"/>
                    </w:rPr>
                  </w:pPr>
                  <w:r>
                    <w:rPr>
                      <w:rFonts w:hint="default" w:ascii="Times New Roman" w:hAnsi="Times New Roman" w:eastAsia="宋体" w:cs="Times New Roman"/>
                      <w:color w:val="auto"/>
                      <w:sz w:val="21"/>
                      <w:szCs w:val="21"/>
                      <w:u w:val="none"/>
                      <w:lang w:val="en-US" w:eastAsia="zh-CN" w:bidi="ar"/>
                    </w:rPr>
                    <w:t>4</w:t>
                  </w:r>
                  <w:r>
                    <w:rPr>
                      <w:rFonts w:hint="eastAsia" w:cs="Times New Roman"/>
                      <w:color w:val="auto"/>
                      <w:sz w:val="21"/>
                      <w:szCs w:val="21"/>
                      <w:u w:val="none"/>
                      <w:lang w:val="en-US" w:eastAsia="zh-CN" w:bidi="ar"/>
                    </w:rPr>
                    <w:t>4</w:t>
                  </w:r>
                </w:p>
              </w:tc>
            </w:tr>
          </w:tbl>
          <w:p w14:paraId="60601820">
            <w:pPr>
              <w:keepNext w:val="0"/>
              <w:keepLines w:val="0"/>
              <w:pageBreakBefore w:val="0"/>
              <w:widowControl w:val="0"/>
              <w:kinsoku/>
              <w:wordWrap/>
              <w:overflowPunct/>
              <w:topLinePunct w:val="0"/>
              <w:autoSpaceDE/>
              <w:autoSpaceDN/>
              <w:bidi w:val="0"/>
              <w:adjustRightInd w:val="0"/>
              <w:snapToGrid w:val="0"/>
              <w:spacing w:line="500" w:lineRule="atLeast"/>
              <w:ind w:left="0" w:leftChars="0" w:firstLine="480" w:firstLineChars="200"/>
              <w:textAlignment w:val="auto"/>
              <w:rPr>
                <w:rFonts w:ascii="Times New Roman" w:hAnsi="Times New Roman" w:cs="Times New Roman"/>
                <w:bCs/>
                <w:color w:val="auto"/>
                <w:sz w:val="24"/>
                <w:u w:val="none"/>
                <w:lang w:bidi="he-IL"/>
              </w:rPr>
            </w:pPr>
            <w:r>
              <w:rPr>
                <w:rFonts w:ascii="Times New Roman" w:hAnsi="Times New Roman" w:cs="Times New Roman"/>
                <w:color w:val="auto"/>
                <w:sz w:val="24"/>
                <w:u w:val="none"/>
              </w:rPr>
              <w:t>根据上述</w:t>
            </w:r>
            <w:r>
              <w:rPr>
                <w:rFonts w:hint="eastAsia" w:ascii="Times New Roman" w:hAnsi="Times New Roman" w:cs="Times New Roman"/>
                <w:color w:val="auto"/>
                <w:sz w:val="24"/>
                <w:u w:val="none"/>
              </w:rPr>
              <w:t>监测</w:t>
            </w:r>
            <w:r>
              <w:rPr>
                <w:rFonts w:ascii="Times New Roman" w:hAnsi="Times New Roman" w:cs="Times New Roman"/>
                <w:color w:val="auto"/>
                <w:sz w:val="24"/>
                <w:u w:val="none"/>
              </w:rPr>
              <w:t>结果，本项目</w:t>
            </w:r>
            <w:r>
              <w:rPr>
                <w:rFonts w:hint="eastAsia" w:ascii="Times New Roman" w:hAnsi="Times New Roman" w:cs="Times New Roman"/>
                <w:color w:val="auto"/>
                <w:sz w:val="24"/>
                <w:u w:val="none"/>
              </w:rPr>
              <w:t>东、南、</w:t>
            </w:r>
            <w:r>
              <w:rPr>
                <w:rFonts w:hint="eastAsia" w:ascii="Times New Roman" w:hAnsi="Times New Roman" w:cs="Times New Roman"/>
                <w:color w:val="auto"/>
                <w:sz w:val="24"/>
                <w:u w:val="none"/>
                <w:lang w:val="en-US" w:eastAsia="zh-CN"/>
              </w:rPr>
              <w:t>西、</w:t>
            </w:r>
            <w:r>
              <w:rPr>
                <w:rFonts w:hint="eastAsia" w:ascii="Times New Roman" w:hAnsi="Times New Roman" w:cs="Times New Roman"/>
                <w:color w:val="auto"/>
                <w:sz w:val="24"/>
                <w:u w:val="none"/>
              </w:rPr>
              <w:t>北</w:t>
            </w:r>
            <w:r>
              <w:rPr>
                <w:rFonts w:ascii="Times New Roman" w:hAnsi="Times New Roman" w:cs="Times New Roman"/>
                <w:color w:val="auto"/>
                <w:sz w:val="24"/>
                <w:u w:val="none"/>
              </w:rPr>
              <w:t>厂界噪声均</w:t>
            </w:r>
            <w:r>
              <w:rPr>
                <w:rFonts w:hint="eastAsia" w:ascii="Times New Roman" w:hAnsi="Times New Roman" w:cs="Times New Roman"/>
                <w:color w:val="auto"/>
                <w:sz w:val="24"/>
                <w:u w:val="none"/>
              </w:rPr>
              <w:t>能</w:t>
            </w:r>
            <w:r>
              <w:rPr>
                <w:rFonts w:ascii="Times New Roman" w:hAnsi="Times New Roman" w:cs="Times New Roman"/>
                <w:color w:val="auto"/>
                <w:sz w:val="24"/>
                <w:u w:val="none"/>
              </w:rPr>
              <w:t>满足</w:t>
            </w:r>
            <w:r>
              <w:rPr>
                <w:rFonts w:hint="eastAsia" w:ascii="Times New Roman" w:hAnsi="Times New Roman" w:cs="Times New Roman"/>
                <w:color w:val="auto"/>
                <w:sz w:val="24"/>
                <w:u w:val="none"/>
              </w:rPr>
              <w:t>《声环境质量标准》（GB3096-2008）</w:t>
            </w:r>
            <w:r>
              <w:rPr>
                <w:rFonts w:hint="eastAsia" w:cs="Times New Roman"/>
                <w:color w:val="auto"/>
                <w:sz w:val="24"/>
                <w:u w:val="none"/>
                <w:lang w:val="en-US" w:eastAsia="zh-CN"/>
              </w:rPr>
              <w:t>2</w:t>
            </w:r>
            <w:r>
              <w:rPr>
                <w:rFonts w:hint="eastAsia" w:ascii="Times New Roman" w:hAnsi="Times New Roman" w:cs="Times New Roman"/>
                <w:color w:val="auto"/>
                <w:sz w:val="24"/>
                <w:u w:val="none"/>
                <w:lang w:val="en-US" w:eastAsia="zh-CN"/>
              </w:rPr>
              <w:t>类</w:t>
            </w:r>
            <w:r>
              <w:rPr>
                <w:rFonts w:hint="eastAsia" w:ascii="Times New Roman" w:hAnsi="Times New Roman" w:cs="Times New Roman"/>
                <w:color w:val="auto"/>
                <w:sz w:val="24"/>
                <w:u w:val="none"/>
              </w:rPr>
              <w:t>标准</w:t>
            </w:r>
            <w:r>
              <w:rPr>
                <w:rFonts w:ascii="Times New Roman" w:hAnsi="Times New Roman" w:cs="Times New Roman"/>
                <w:color w:val="auto"/>
                <w:sz w:val="24"/>
                <w:u w:val="none"/>
              </w:rPr>
              <w:t>说明评价区域内声环境质量较好</w:t>
            </w:r>
            <w:r>
              <w:rPr>
                <w:rFonts w:hint="eastAsia" w:ascii="Times New Roman" w:hAnsi="Times New Roman" w:cs="Times New Roman"/>
                <w:color w:val="auto"/>
                <w:sz w:val="24"/>
                <w:u w:val="none"/>
              </w:rPr>
              <w:t>。</w:t>
            </w:r>
          </w:p>
          <w:p w14:paraId="29E63F3F">
            <w:pPr>
              <w:keepNext w:val="0"/>
              <w:keepLines w:val="0"/>
              <w:pageBreakBefore w:val="0"/>
              <w:widowControl w:val="0"/>
              <w:kinsoku/>
              <w:wordWrap/>
              <w:overflowPunct/>
              <w:topLinePunct w:val="0"/>
              <w:autoSpaceDE/>
              <w:autoSpaceDN/>
              <w:bidi w:val="0"/>
              <w:adjustRightInd w:val="0"/>
              <w:snapToGrid w:val="0"/>
              <w:spacing w:line="500" w:lineRule="atLeast"/>
              <w:ind w:left="0" w:leftChars="0" w:firstLine="482" w:firstLineChars="200"/>
              <w:textAlignment w:val="auto"/>
              <w:rPr>
                <w:rFonts w:hint="eastAsia" w:ascii="Times New Roman" w:hAnsi="Times New Roman" w:eastAsia="宋体" w:cs="Times New Roman"/>
                <w:b/>
                <w:bCs/>
                <w:color w:val="auto"/>
                <w:sz w:val="24"/>
                <w:szCs w:val="20"/>
                <w:u w:val="none"/>
                <w:lang w:val="en-US" w:eastAsia="zh-CN"/>
              </w:rPr>
            </w:pPr>
            <w:r>
              <w:rPr>
                <w:rFonts w:hint="eastAsia" w:ascii="Times New Roman" w:hAnsi="Times New Roman" w:cs="Times New Roman"/>
                <w:b/>
                <w:bCs/>
                <w:color w:val="auto"/>
                <w:sz w:val="24"/>
                <w:szCs w:val="20"/>
                <w:u w:val="none"/>
                <w:lang w:val="en-US" w:eastAsia="zh-CN"/>
              </w:rPr>
              <w:t>4</w:t>
            </w:r>
            <w:r>
              <w:rPr>
                <w:rFonts w:hint="eastAsia" w:cs="Times New Roman"/>
                <w:b/>
                <w:bCs/>
                <w:color w:val="auto"/>
                <w:sz w:val="24"/>
                <w:szCs w:val="20"/>
                <w:u w:val="none"/>
                <w:lang w:val="en-US" w:eastAsia="zh-CN"/>
              </w:rPr>
              <w:t>、</w:t>
            </w:r>
            <w:r>
              <w:rPr>
                <w:rFonts w:ascii="Times New Roman" w:hAnsi="Times New Roman" w:cs="Times New Roman"/>
                <w:b/>
                <w:bCs/>
                <w:color w:val="auto"/>
                <w:sz w:val="24"/>
                <w:szCs w:val="20"/>
                <w:u w:val="none"/>
              </w:rPr>
              <w:t>生态环境</w:t>
            </w:r>
          </w:p>
          <w:p w14:paraId="273132CF">
            <w:pPr>
              <w:keepNext w:val="0"/>
              <w:keepLines w:val="0"/>
              <w:pageBreakBefore w:val="0"/>
              <w:widowControl w:val="0"/>
              <w:numPr>
                <w:ilvl w:val="0"/>
                <w:numId w:val="0"/>
              </w:numPr>
              <w:kinsoku/>
              <w:wordWrap/>
              <w:overflowPunct/>
              <w:topLinePunct w:val="0"/>
              <w:autoSpaceDE/>
              <w:autoSpaceDN/>
              <w:bidi w:val="0"/>
              <w:adjustRightInd/>
              <w:snapToGrid w:val="0"/>
              <w:spacing w:line="500" w:lineRule="atLeast"/>
              <w:ind w:left="0" w:leftChars="0" w:firstLine="480" w:firstLineChars="200"/>
              <w:textAlignment w:val="auto"/>
              <w:rPr>
                <w:rFonts w:ascii="Times New Roman" w:hAnsi="Times New Roman" w:eastAsia="宋体" w:cs="Times New Roman"/>
                <w:color w:val="auto"/>
                <w:kern w:val="2"/>
                <w:sz w:val="24"/>
                <w:szCs w:val="24"/>
                <w:u w:val="none"/>
                <w:lang w:val="en-US" w:eastAsia="zh-CN" w:bidi="ar-SA"/>
              </w:rPr>
            </w:pPr>
            <w:r>
              <w:rPr>
                <w:rFonts w:ascii="Times New Roman" w:hAnsi="Times New Roman" w:cs="Times New Roman"/>
                <w:color w:val="auto"/>
                <w:sz w:val="24"/>
                <w:u w:val="none"/>
              </w:rPr>
              <w:t>经现场调查，</w:t>
            </w:r>
            <w:r>
              <w:rPr>
                <w:rFonts w:ascii="Times New Roman" w:hAnsi="Times New Roman" w:eastAsia="宋体" w:cs="Times New Roman"/>
                <w:color w:val="auto"/>
                <w:kern w:val="2"/>
                <w:sz w:val="24"/>
                <w:szCs w:val="24"/>
                <w:u w:val="none"/>
                <w:lang w:val="en-US" w:eastAsia="zh-CN" w:bidi="ar-SA"/>
              </w:rPr>
              <w:t>本项目评价区域没有自然保护区、风景名胜区和受国家保护的野生动植物种类，所在区域以道路、工业厂房等人工生态系统为主。</w:t>
            </w:r>
          </w:p>
          <w:p w14:paraId="766DC22E">
            <w:pPr>
              <w:keepNext w:val="0"/>
              <w:keepLines w:val="0"/>
              <w:pageBreakBefore w:val="0"/>
              <w:widowControl w:val="0"/>
              <w:numPr>
                <w:ilvl w:val="0"/>
                <w:numId w:val="0"/>
              </w:numPr>
              <w:kinsoku/>
              <w:wordWrap/>
              <w:overflowPunct/>
              <w:topLinePunct w:val="0"/>
              <w:autoSpaceDE/>
              <w:autoSpaceDN/>
              <w:bidi w:val="0"/>
              <w:adjustRightInd/>
              <w:snapToGrid w:val="0"/>
              <w:spacing w:line="500" w:lineRule="atLeast"/>
              <w:ind w:left="0" w:leftChars="0" w:firstLine="482" w:firstLineChars="200"/>
              <w:textAlignment w:val="auto"/>
              <w:rPr>
                <w:rFonts w:hint="default" w:ascii="Times New Roman" w:hAnsi="Times New Roman" w:eastAsia="宋体" w:cs="Times New Roman"/>
                <w:b/>
                <w:bCs w:val="0"/>
                <w:color w:val="auto"/>
                <w:sz w:val="24"/>
                <w:u w:val="none"/>
                <w:lang w:val="en-US" w:eastAsia="zh-CN"/>
              </w:rPr>
            </w:pPr>
            <w:r>
              <w:rPr>
                <w:rFonts w:hint="eastAsia" w:ascii="Times New Roman" w:hAnsi="Times New Roman" w:cs="Times New Roman"/>
                <w:b/>
                <w:bCs w:val="0"/>
                <w:color w:val="auto"/>
                <w:sz w:val="24"/>
                <w:u w:val="none"/>
                <w:lang w:val="en-US" w:eastAsia="zh-CN"/>
              </w:rPr>
              <w:t>5</w:t>
            </w:r>
            <w:r>
              <w:rPr>
                <w:rFonts w:hint="eastAsia" w:cs="Times New Roman"/>
                <w:b/>
                <w:bCs w:val="0"/>
                <w:color w:val="auto"/>
                <w:sz w:val="24"/>
                <w:u w:val="none"/>
                <w:lang w:val="en-US" w:eastAsia="zh-CN"/>
              </w:rPr>
              <w:t>、</w:t>
            </w:r>
            <w:r>
              <w:rPr>
                <w:rFonts w:hint="eastAsia" w:ascii="Times New Roman" w:hAnsi="Times New Roman" w:cs="Times New Roman"/>
                <w:b/>
                <w:bCs w:val="0"/>
                <w:color w:val="auto"/>
                <w:sz w:val="24"/>
                <w:u w:val="none"/>
              </w:rPr>
              <w:t>地下水环境</w:t>
            </w:r>
            <w:r>
              <w:rPr>
                <w:rFonts w:hint="eastAsia" w:cs="Times New Roman"/>
                <w:b/>
                <w:bCs w:val="0"/>
                <w:color w:val="auto"/>
                <w:sz w:val="24"/>
                <w:u w:val="none"/>
                <w:lang w:val="en-US" w:eastAsia="zh-CN"/>
              </w:rPr>
              <w:t>质量现状</w:t>
            </w:r>
          </w:p>
          <w:p w14:paraId="3FE3690B">
            <w:pPr>
              <w:keepNext w:val="0"/>
              <w:keepLines w:val="0"/>
              <w:pageBreakBefore w:val="0"/>
              <w:widowControl w:val="0"/>
              <w:kinsoku/>
              <w:wordWrap/>
              <w:overflowPunct/>
              <w:topLinePunct w:val="0"/>
              <w:autoSpaceDE/>
              <w:autoSpaceDN/>
              <w:bidi w:val="0"/>
              <w:snapToGrid w:val="0"/>
              <w:spacing w:line="500" w:lineRule="atLeast"/>
              <w:ind w:firstLine="480" w:firstLineChars="200"/>
              <w:textAlignment w:val="auto"/>
              <w:rPr>
                <w:rFonts w:hint="default" w:ascii="Times New Roman" w:hAnsi="Times New Roman" w:eastAsia="宋体" w:cs="Times New Roman"/>
                <w:color w:val="auto"/>
                <w:sz w:val="24"/>
                <w:u w:val="none"/>
                <w:lang w:val="en-US" w:eastAsia="zh-CN"/>
              </w:rPr>
            </w:pPr>
            <w:r>
              <w:rPr>
                <w:rFonts w:hint="eastAsia" w:ascii="Times New Roman" w:hAnsi="Times New Roman" w:eastAsia="宋体" w:cs="Times New Roman"/>
                <w:color w:val="auto"/>
                <w:sz w:val="24"/>
                <w:u w:val="none"/>
              </w:rPr>
              <w:t>根据《环境影响评价技术导则—地下水环境》</w:t>
            </w:r>
            <w:r>
              <w:rPr>
                <w:rFonts w:hint="eastAsia" w:ascii="Times New Roman" w:hAnsi="Times New Roman" w:cs="Times New Roman"/>
                <w:color w:val="auto"/>
                <w:sz w:val="24"/>
                <w:u w:val="none"/>
                <w:lang w:eastAsia="zh-CN"/>
              </w:rPr>
              <w:t>（</w:t>
            </w:r>
            <w:r>
              <w:rPr>
                <w:rFonts w:hint="eastAsia" w:ascii="Times New Roman" w:hAnsi="Times New Roman" w:eastAsia="宋体" w:cs="Times New Roman"/>
                <w:color w:val="auto"/>
                <w:sz w:val="24"/>
                <w:u w:val="none"/>
              </w:rPr>
              <w:t>HJ610-2016</w:t>
            </w:r>
            <w:r>
              <w:rPr>
                <w:rFonts w:hint="eastAsia" w:ascii="Times New Roman" w:hAnsi="Times New Roman" w:cs="Times New Roman"/>
                <w:color w:val="auto"/>
                <w:sz w:val="24"/>
                <w:u w:val="none"/>
                <w:lang w:eastAsia="zh-CN"/>
              </w:rPr>
              <w:t>）</w:t>
            </w:r>
            <w:r>
              <w:rPr>
                <w:rFonts w:hint="eastAsia" w:ascii="Times New Roman" w:hAnsi="Times New Roman" w:eastAsia="宋体" w:cs="Times New Roman"/>
                <w:color w:val="auto"/>
                <w:sz w:val="24"/>
                <w:u w:val="none"/>
                <w:lang w:eastAsia="zh-CN"/>
              </w:rPr>
              <w:t>，</w:t>
            </w:r>
            <w:r>
              <w:rPr>
                <w:rFonts w:hint="eastAsia" w:ascii="Times New Roman" w:hAnsi="Times New Roman" w:eastAsia="宋体" w:cs="Times New Roman"/>
                <w:color w:val="auto"/>
                <w:sz w:val="24"/>
                <w:u w:val="none"/>
              </w:rPr>
              <w:t>本项目属于Ⅳ类建设项目，Ⅳ类建设项目</w:t>
            </w:r>
            <w:r>
              <w:rPr>
                <w:rFonts w:hint="eastAsia" w:cs="Times New Roman"/>
                <w:color w:val="auto"/>
                <w:sz w:val="24"/>
                <w:u w:val="none"/>
                <w:lang w:val="en-US" w:eastAsia="zh-CN"/>
              </w:rPr>
              <w:t>可</w:t>
            </w:r>
            <w:r>
              <w:rPr>
                <w:rFonts w:hint="eastAsia" w:ascii="Times New Roman" w:hAnsi="Times New Roman" w:eastAsia="宋体" w:cs="Times New Roman"/>
                <w:color w:val="auto"/>
                <w:sz w:val="24"/>
                <w:u w:val="none"/>
              </w:rPr>
              <w:t>不开展地下水环境影响评价</w:t>
            </w:r>
            <w:r>
              <w:rPr>
                <w:rFonts w:hint="eastAsia" w:ascii="Times New Roman" w:hAnsi="Times New Roman" w:eastAsia="宋体" w:cs="Times New Roman"/>
                <w:color w:val="auto"/>
                <w:sz w:val="24"/>
                <w:u w:val="none"/>
                <w:lang w:eastAsia="zh-CN"/>
              </w:rPr>
              <w:t>，</w:t>
            </w:r>
            <w:r>
              <w:rPr>
                <w:rFonts w:hint="eastAsia" w:ascii="Times New Roman" w:hAnsi="Times New Roman" w:eastAsia="宋体" w:cs="Times New Roman"/>
                <w:color w:val="auto"/>
                <w:sz w:val="24"/>
                <w:u w:val="none"/>
                <w:lang w:val="en-US" w:eastAsia="zh-CN"/>
              </w:rPr>
              <w:t>因此本项目</w:t>
            </w:r>
            <w:r>
              <w:rPr>
                <w:rFonts w:hint="eastAsia" w:cs="Times New Roman"/>
                <w:color w:val="auto"/>
                <w:sz w:val="24"/>
                <w:u w:val="none"/>
                <w:lang w:val="en-US" w:eastAsia="zh-CN"/>
              </w:rPr>
              <w:t>未开展</w:t>
            </w:r>
            <w:r>
              <w:rPr>
                <w:rFonts w:hint="eastAsia" w:ascii="Times New Roman" w:hAnsi="Times New Roman" w:eastAsia="宋体" w:cs="Times New Roman"/>
                <w:color w:val="auto"/>
                <w:sz w:val="24"/>
                <w:u w:val="none"/>
                <w:lang w:val="en-US" w:eastAsia="zh-CN"/>
              </w:rPr>
              <w:t>地下水环境</w:t>
            </w:r>
            <w:r>
              <w:rPr>
                <w:rFonts w:hint="eastAsia" w:cs="Times New Roman"/>
                <w:color w:val="auto"/>
                <w:sz w:val="24"/>
                <w:u w:val="none"/>
                <w:lang w:val="en-US" w:eastAsia="zh-CN"/>
              </w:rPr>
              <w:t>现状</w:t>
            </w:r>
            <w:r>
              <w:rPr>
                <w:rFonts w:hint="eastAsia" w:ascii="Times New Roman" w:hAnsi="Times New Roman" w:eastAsia="宋体" w:cs="Times New Roman"/>
                <w:color w:val="auto"/>
                <w:sz w:val="24"/>
                <w:u w:val="none"/>
                <w:lang w:val="en-US" w:eastAsia="zh-CN"/>
              </w:rPr>
              <w:t>评价。</w:t>
            </w:r>
          </w:p>
          <w:p w14:paraId="4103F58B">
            <w:pPr>
              <w:keepNext w:val="0"/>
              <w:keepLines w:val="0"/>
              <w:pageBreakBefore w:val="0"/>
              <w:widowControl w:val="0"/>
              <w:kinsoku/>
              <w:wordWrap/>
              <w:overflowPunct/>
              <w:topLinePunct w:val="0"/>
              <w:autoSpaceDE/>
              <w:autoSpaceDN/>
              <w:bidi w:val="0"/>
              <w:snapToGrid w:val="0"/>
              <w:spacing w:line="500" w:lineRule="atLeast"/>
              <w:ind w:firstLine="482" w:firstLineChars="200"/>
              <w:textAlignment w:val="auto"/>
              <w:rPr>
                <w:rFonts w:hint="default" w:ascii="Times New Roman" w:hAnsi="Times New Roman" w:eastAsia="宋体" w:cs="Times New Roman"/>
                <w:b/>
                <w:bCs w:val="0"/>
                <w:color w:val="auto"/>
                <w:sz w:val="24"/>
                <w:u w:val="none"/>
                <w:lang w:val="en-US" w:eastAsia="zh-CN"/>
              </w:rPr>
            </w:pPr>
            <w:r>
              <w:rPr>
                <w:rFonts w:hint="eastAsia" w:ascii="Times New Roman" w:hAnsi="Times New Roman" w:cs="Times New Roman"/>
                <w:b/>
                <w:bCs w:val="0"/>
                <w:color w:val="auto"/>
                <w:sz w:val="24"/>
                <w:u w:val="none"/>
                <w:lang w:val="en-US" w:eastAsia="zh-CN"/>
              </w:rPr>
              <w:t>6</w:t>
            </w:r>
            <w:r>
              <w:rPr>
                <w:rFonts w:hint="eastAsia" w:cs="Times New Roman"/>
                <w:b/>
                <w:bCs w:val="0"/>
                <w:color w:val="auto"/>
                <w:sz w:val="24"/>
                <w:u w:val="none"/>
                <w:lang w:val="en-US" w:eastAsia="zh-CN"/>
              </w:rPr>
              <w:t>、</w:t>
            </w:r>
            <w:r>
              <w:rPr>
                <w:rFonts w:hint="eastAsia" w:ascii="Times New Roman" w:hAnsi="Times New Roman" w:cs="Times New Roman"/>
                <w:b/>
                <w:bCs w:val="0"/>
                <w:color w:val="auto"/>
                <w:sz w:val="24"/>
                <w:u w:val="none"/>
                <w:lang w:val="en-US" w:eastAsia="zh-CN"/>
              </w:rPr>
              <w:t>土壤</w:t>
            </w:r>
            <w:r>
              <w:rPr>
                <w:rFonts w:hint="eastAsia" w:ascii="Times New Roman" w:hAnsi="Times New Roman" w:cs="Times New Roman"/>
                <w:b/>
                <w:bCs w:val="0"/>
                <w:color w:val="auto"/>
                <w:sz w:val="24"/>
                <w:u w:val="none"/>
              </w:rPr>
              <w:t>环境</w:t>
            </w:r>
            <w:r>
              <w:rPr>
                <w:rFonts w:hint="eastAsia" w:cs="Times New Roman"/>
                <w:b/>
                <w:bCs w:val="0"/>
                <w:color w:val="auto"/>
                <w:sz w:val="24"/>
                <w:u w:val="none"/>
                <w:lang w:val="en-US" w:eastAsia="zh-CN"/>
              </w:rPr>
              <w:t>质量现状</w:t>
            </w:r>
          </w:p>
          <w:p w14:paraId="6D50D411">
            <w:pPr>
              <w:keepNext w:val="0"/>
              <w:keepLines w:val="0"/>
              <w:pageBreakBefore w:val="0"/>
              <w:widowControl w:val="0"/>
              <w:kinsoku/>
              <w:wordWrap/>
              <w:overflowPunct/>
              <w:topLinePunct w:val="0"/>
              <w:autoSpaceDE/>
              <w:autoSpaceDN/>
              <w:bidi w:val="0"/>
              <w:adjustRightInd w:val="0"/>
              <w:snapToGrid w:val="0"/>
              <w:spacing w:line="500" w:lineRule="atLeast"/>
              <w:ind w:left="0" w:leftChars="0" w:firstLine="480" w:firstLineChars="200"/>
              <w:jc w:val="left"/>
              <w:textAlignment w:val="auto"/>
              <w:rPr>
                <w:rFonts w:ascii="Times New Roman" w:hAnsi="Times New Roman" w:cs="Times New Roman"/>
                <w:color w:val="auto"/>
                <w:sz w:val="24"/>
                <w:u w:val="none"/>
              </w:rPr>
            </w:pPr>
            <w:r>
              <w:rPr>
                <w:rFonts w:hint="eastAsia" w:ascii="Times New Roman" w:hAnsi="Times New Roman" w:eastAsia="宋体" w:cs="Times New Roman"/>
                <w:b w:val="0"/>
                <w:bCs w:val="0"/>
                <w:color w:val="auto"/>
                <w:kern w:val="2"/>
                <w:sz w:val="24"/>
                <w:szCs w:val="24"/>
                <w:u w:val="none"/>
                <w:lang w:val="en-US" w:eastAsia="zh-CN" w:bidi="ar-SA"/>
              </w:rPr>
              <w:t>根据《环境影响评价技术导则土壤环境（试行）》（HJ964-2018），本项目属于Ⅳ类项目，故本项目可不开展土壤环境影响评价，因此本次评价不再对项目区域土壤现状进行评价分析。</w:t>
            </w:r>
          </w:p>
        </w:tc>
      </w:tr>
      <w:tr w14:paraId="7B9AD9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74" w:hRule="atLeast"/>
          <w:jc w:val="center"/>
        </w:trPr>
        <w:tc>
          <w:tcPr>
            <w:tcW w:w="528" w:type="dxa"/>
            <w:vAlign w:val="center"/>
          </w:tcPr>
          <w:p w14:paraId="00BAEF60">
            <w:pPr>
              <w:spacing w:line="400" w:lineRule="exact"/>
              <w:jc w:val="center"/>
              <w:rPr>
                <w:rFonts w:ascii="Times New Roman" w:hAnsi="Times New Roman" w:cs="Times New Roman"/>
                <w:b/>
                <w:bCs/>
                <w:color w:val="auto"/>
                <w:sz w:val="24"/>
                <w:u w:val="none"/>
              </w:rPr>
            </w:pPr>
            <w:r>
              <w:rPr>
                <w:rFonts w:ascii="Times New Roman" w:hAnsi="Times New Roman" w:cs="Times New Roman"/>
                <w:b/>
                <w:bCs/>
                <w:color w:val="auto"/>
                <w:sz w:val="24"/>
                <w:u w:val="none"/>
              </w:rPr>
              <w:t>环境</w:t>
            </w:r>
          </w:p>
          <w:p w14:paraId="4D8F5250">
            <w:pPr>
              <w:spacing w:line="400" w:lineRule="exact"/>
              <w:jc w:val="center"/>
              <w:rPr>
                <w:rFonts w:ascii="Times New Roman" w:hAnsi="Times New Roman" w:cs="Times New Roman"/>
                <w:b/>
                <w:bCs/>
                <w:color w:val="auto"/>
                <w:sz w:val="24"/>
                <w:u w:val="none"/>
              </w:rPr>
            </w:pPr>
            <w:r>
              <w:rPr>
                <w:rFonts w:ascii="Times New Roman" w:hAnsi="Times New Roman" w:cs="Times New Roman"/>
                <w:b/>
                <w:bCs/>
                <w:color w:val="auto"/>
                <w:sz w:val="24"/>
                <w:u w:val="none"/>
              </w:rPr>
              <w:t>保护</w:t>
            </w:r>
          </w:p>
          <w:p w14:paraId="76B43B47">
            <w:pPr>
              <w:spacing w:line="400" w:lineRule="exact"/>
              <w:jc w:val="center"/>
              <w:rPr>
                <w:rFonts w:ascii="Times New Roman" w:hAnsi="Times New Roman" w:cs="Times New Roman"/>
                <w:b/>
                <w:bCs/>
                <w:color w:val="auto"/>
                <w:sz w:val="28"/>
                <w:szCs w:val="28"/>
                <w:u w:val="none"/>
              </w:rPr>
            </w:pPr>
            <w:r>
              <w:rPr>
                <w:rFonts w:ascii="Times New Roman" w:hAnsi="Times New Roman" w:cs="Times New Roman"/>
                <w:b/>
                <w:bCs/>
                <w:color w:val="auto"/>
                <w:sz w:val="24"/>
                <w:u w:val="none"/>
              </w:rPr>
              <w:t>目标</w:t>
            </w:r>
          </w:p>
        </w:tc>
        <w:tc>
          <w:tcPr>
            <w:tcW w:w="8691" w:type="dxa"/>
            <w:vAlign w:val="center"/>
          </w:tcPr>
          <w:p w14:paraId="04C662D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olor w:val="auto"/>
                <w:sz w:val="24"/>
                <w:u w:val="none"/>
              </w:rPr>
            </w:pPr>
            <w:r>
              <w:rPr>
                <w:rFonts w:hint="eastAsia" w:ascii="Times New Roman" w:hAnsi="Times New Roman" w:eastAsia="宋体" w:cs="Times New Roman"/>
                <w:color w:val="auto"/>
                <w:sz w:val="24"/>
                <w:u w:val="none"/>
              </w:rPr>
              <w:t>本项目厂界外500米范围内无地下水集中式饮用水水源和热水、矿泉水、温泉等特殊地下水资源。厂界外500米范围内主要环境保护目标见下表，主要环境保护目标分布见附图</w:t>
            </w:r>
            <w:r>
              <w:rPr>
                <w:rFonts w:hint="eastAsia" w:cs="Times New Roman"/>
                <w:color w:val="auto"/>
                <w:sz w:val="24"/>
                <w:u w:val="none"/>
                <w:lang w:val="en-US" w:eastAsia="zh-CN"/>
              </w:rPr>
              <w:t>二</w:t>
            </w:r>
            <w:r>
              <w:rPr>
                <w:rFonts w:hint="eastAsia" w:ascii="Times New Roman" w:hAnsi="Times New Roman" w:eastAsia="宋体" w:cs="Times New Roman"/>
                <w:color w:val="auto"/>
                <w:sz w:val="24"/>
                <w:u w:val="none"/>
              </w:rPr>
              <w:t>。</w:t>
            </w:r>
          </w:p>
          <w:p w14:paraId="4311B5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黑体" w:cs="Times New Roman"/>
                <w:color w:val="auto"/>
                <w:sz w:val="24"/>
                <w:highlight w:val="yellow"/>
                <w:u w:val="none"/>
              </w:rPr>
            </w:pPr>
            <w:r>
              <w:rPr>
                <w:rFonts w:hint="eastAsia" w:ascii="Times New Roman" w:hAnsi="Times New Roman" w:eastAsia="黑体" w:cs="Times New Roman"/>
                <w:b w:val="0"/>
                <w:bCs w:val="0"/>
                <w:color w:val="auto"/>
                <w:sz w:val="24"/>
                <w:szCs w:val="24"/>
                <w:u w:val="none"/>
                <w:lang w:val="en-US" w:eastAsia="zh-CN"/>
              </w:rPr>
              <w:t>表</w:t>
            </w:r>
            <w:r>
              <w:rPr>
                <w:rFonts w:hint="eastAsia" w:eastAsia="黑体" w:cs="Times New Roman"/>
                <w:b w:val="0"/>
                <w:bCs w:val="0"/>
                <w:color w:val="auto"/>
                <w:sz w:val="24"/>
                <w:szCs w:val="24"/>
                <w:u w:val="none"/>
                <w:lang w:val="en-US" w:eastAsia="zh-CN"/>
              </w:rPr>
              <w:t>3-4</w:t>
            </w:r>
            <w:r>
              <w:rPr>
                <w:rFonts w:hint="eastAsia" w:ascii="Times New Roman" w:hAnsi="Times New Roman" w:eastAsia="黑体" w:cs="Times New Roman"/>
                <w:b w:val="0"/>
                <w:bCs w:val="0"/>
                <w:color w:val="auto"/>
                <w:sz w:val="24"/>
                <w:szCs w:val="24"/>
                <w:u w:val="none"/>
                <w:lang w:val="en-US" w:eastAsia="zh-CN"/>
              </w:rPr>
              <w:t xml:space="preserve"> </w:t>
            </w:r>
            <w:r>
              <w:rPr>
                <w:rFonts w:ascii="Times New Roman" w:hAnsi="Times New Roman" w:eastAsia="黑体" w:cs="Times New Roman"/>
                <w:color w:val="auto"/>
                <w:sz w:val="24"/>
                <w:highlight w:val="none"/>
                <w:u w:val="none"/>
              </w:rPr>
              <w:t>主要环境保护目标</w:t>
            </w:r>
          </w:p>
          <w:tbl>
            <w:tblPr>
              <w:tblStyle w:val="32"/>
              <w:tblW w:w="8496" w:type="dxa"/>
              <w:tblInd w:w="-7" w:type="dxa"/>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967"/>
              <w:gridCol w:w="949"/>
              <w:gridCol w:w="731"/>
              <w:gridCol w:w="2541"/>
              <w:gridCol w:w="862"/>
              <w:gridCol w:w="775"/>
              <w:gridCol w:w="1671"/>
            </w:tblGrid>
            <w:tr w14:paraId="739D9936">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806" w:hRule="atLeast"/>
              </w:trPr>
              <w:tc>
                <w:tcPr>
                  <w:tcW w:w="967" w:type="dxa"/>
                  <w:tcBorders>
                    <w:tl2br w:val="nil"/>
                    <w:tr2bl w:val="nil"/>
                  </w:tcBorders>
                  <w:vAlign w:val="center"/>
                </w:tcPr>
                <w:p w14:paraId="6EFD6BA5">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ascii="Times New Roman" w:hAnsi="Times New Roman" w:cs="Times New Roman"/>
                      <w:b/>
                      <w:bCs/>
                      <w:color w:val="auto"/>
                      <w:szCs w:val="21"/>
                      <w:u w:val="none"/>
                    </w:rPr>
                  </w:pPr>
                  <w:r>
                    <w:rPr>
                      <w:rFonts w:ascii="Times New Roman" w:hAnsi="Times New Roman" w:cs="Times New Roman"/>
                      <w:b/>
                      <w:bCs/>
                      <w:color w:val="auto"/>
                      <w:szCs w:val="21"/>
                      <w:u w:val="none"/>
                    </w:rPr>
                    <w:t>环境保护对象</w:t>
                  </w:r>
                </w:p>
              </w:tc>
              <w:tc>
                <w:tcPr>
                  <w:tcW w:w="949" w:type="dxa"/>
                  <w:tcBorders>
                    <w:tl2br w:val="nil"/>
                    <w:tr2bl w:val="nil"/>
                  </w:tcBorders>
                  <w:vAlign w:val="center"/>
                </w:tcPr>
                <w:p w14:paraId="7E32371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ascii="Times New Roman" w:hAnsi="Times New Roman" w:cs="Times New Roman"/>
                      <w:b/>
                      <w:bCs/>
                      <w:color w:val="auto"/>
                      <w:szCs w:val="21"/>
                      <w:u w:val="none"/>
                    </w:rPr>
                  </w:pPr>
                  <w:r>
                    <w:rPr>
                      <w:rFonts w:ascii="Times New Roman" w:hAnsi="Times New Roman" w:cs="Times New Roman"/>
                      <w:b/>
                      <w:bCs/>
                      <w:color w:val="auto"/>
                      <w:szCs w:val="21"/>
                      <w:u w:val="none"/>
                    </w:rPr>
                    <w:t>环境保护对象名称</w:t>
                  </w:r>
                </w:p>
              </w:tc>
              <w:tc>
                <w:tcPr>
                  <w:tcW w:w="731" w:type="dxa"/>
                  <w:tcBorders>
                    <w:tl2br w:val="nil"/>
                    <w:tr2bl w:val="nil"/>
                  </w:tcBorders>
                  <w:vAlign w:val="center"/>
                </w:tcPr>
                <w:p w14:paraId="1D3CACA0">
                  <w:pPr>
                    <w:keepNext w:val="0"/>
                    <w:keepLines w:val="0"/>
                    <w:pageBreakBefore w:val="0"/>
                    <w:widowControl w:val="0"/>
                    <w:kinsoku/>
                    <w:wordWrap w:val="0"/>
                    <w:overflowPunct/>
                    <w:topLinePunct w:val="0"/>
                    <w:autoSpaceDE/>
                    <w:autoSpaceDN/>
                    <w:bidi w:val="0"/>
                    <w:spacing w:line="240" w:lineRule="auto"/>
                    <w:jc w:val="center"/>
                    <w:textAlignment w:val="auto"/>
                    <w:rPr>
                      <w:rFonts w:ascii="Times New Roman" w:hAnsi="Times New Roman" w:cs="Times New Roman"/>
                      <w:b/>
                      <w:bCs/>
                      <w:color w:val="auto"/>
                      <w:szCs w:val="21"/>
                      <w:u w:val="none"/>
                    </w:rPr>
                  </w:pPr>
                  <w:r>
                    <w:rPr>
                      <w:rFonts w:ascii="Times New Roman" w:hAnsi="Times New Roman" w:cs="Times New Roman"/>
                      <w:b/>
                      <w:bCs/>
                      <w:color w:val="auto"/>
                      <w:szCs w:val="21"/>
                      <w:u w:val="none"/>
                    </w:rPr>
                    <w:t>方位</w:t>
                  </w:r>
                </w:p>
              </w:tc>
              <w:tc>
                <w:tcPr>
                  <w:tcW w:w="2541" w:type="dxa"/>
                  <w:tcBorders>
                    <w:tl2br w:val="nil"/>
                    <w:tr2bl w:val="nil"/>
                  </w:tcBorders>
                  <w:vAlign w:val="center"/>
                </w:tcPr>
                <w:p w14:paraId="0B143CE0">
                  <w:pPr>
                    <w:keepNext w:val="0"/>
                    <w:keepLines w:val="0"/>
                    <w:pageBreakBefore w:val="0"/>
                    <w:widowControl w:val="0"/>
                    <w:kinsoku/>
                    <w:wordWrap w:val="0"/>
                    <w:overflowPunct/>
                    <w:topLinePunct w:val="0"/>
                    <w:autoSpaceDE/>
                    <w:autoSpaceDN/>
                    <w:bidi w:val="0"/>
                    <w:spacing w:line="240" w:lineRule="auto"/>
                    <w:jc w:val="center"/>
                    <w:textAlignment w:val="auto"/>
                    <w:rPr>
                      <w:rFonts w:hint="eastAsia" w:ascii="Times New Roman" w:hAnsi="Times New Roman" w:eastAsia="宋体" w:cs="Times New Roman"/>
                      <w:b/>
                      <w:bCs/>
                      <w:color w:val="auto"/>
                      <w:szCs w:val="21"/>
                      <w:u w:val="none"/>
                      <w:lang w:val="en-US" w:eastAsia="zh-CN"/>
                    </w:rPr>
                  </w:pPr>
                  <w:r>
                    <w:rPr>
                      <w:rFonts w:hint="eastAsia" w:ascii="Times New Roman" w:hAnsi="Times New Roman" w:cs="Times New Roman"/>
                      <w:b/>
                      <w:bCs/>
                      <w:color w:val="auto"/>
                      <w:szCs w:val="21"/>
                      <w:u w:val="none"/>
                      <w:lang w:val="en-US" w:eastAsia="zh-CN"/>
                    </w:rPr>
                    <w:t>经纬度</w:t>
                  </w:r>
                </w:p>
              </w:tc>
              <w:tc>
                <w:tcPr>
                  <w:tcW w:w="862" w:type="dxa"/>
                  <w:tcBorders>
                    <w:tl2br w:val="nil"/>
                    <w:tr2bl w:val="nil"/>
                  </w:tcBorders>
                  <w:vAlign w:val="center"/>
                </w:tcPr>
                <w:p w14:paraId="76056BB5">
                  <w:pPr>
                    <w:keepNext w:val="0"/>
                    <w:keepLines w:val="0"/>
                    <w:pageBreakBefore w:val="0"/>
                    <w:widowControl w:val="0"/>
                    <w:kinsoku/>
                    <w:wordWrap w:val="0"/>
                    <w:overflowPunct/>
                    <w:topLinePunct w:val="0"/>
                    <w:autoSpaceDE/>
                    <w:autoSpaceDN/>
                    <w:bidi w:val="0"/>
                    <w:spacing w:line="240" w:lineRule="auto"/>
                    <w:jc w:val="center"/>
                    <w:textAlignment w:val="auto"/>
                    <w:rPr>
                      <w:rFonts w:ascii="Times New Roman" w:hAnsi="Times New Roman" w:cs="Times New Roman"/>
                      <w:b/>
                      <w:bCs/>
                      <w:color w:val="auto"/>
                      <w:szCs w:val="21"/>
                      <w:u w:val="none"/>
                    </w:rPr>
                  </w:pPr>
                  <w:r>
                    <w:rPr>
                      <w:rFonts w:ascii="Times New Roman" w:hAnsi="Times New Roman" w:cs="Times New Roman"/>
                      <w:b/>
                      <w:bCs/>
                      <w:color w:val="auto"/>
                      <w:szCs w:val="21"/>
                      <w:u w:val="none"/>
                    </w:rPr>
                    <w:t>距离</w:t>
                  </w:r>
                </w:p>
              </w:tc>
              <w:tc>
                <w:tcPr>
                  <w:tcW w:w="775" w:type="dxa"/>
                  <w:tcBorders>
                    <w:tl2br w:val="nil"/>
                    <w:tr2bl w:val="nil"/>
                  </w:tcBorders>
                  <w:vAlign w:val="center"/>
                </w:tcPr>
                <w:p w14:paraId="68A80124">
                  <w:pPr>
                    <w:keepNext w:val="0"/>
                    <w:keepLines w:val="0"/>
                    <w:pageBreakBefore w:val="0"/>
                    <w:widowControl w:val="0"/>
                    <w:kinsoku/>
                    <w:wordWrap w:val="0"/>
                    <w:overflowPunct/>
                    <w:topLinePunct w:val="0"/>
                    <w:autoSpaceDE/>
                    <w:autoSpaceDN/>
                    <w:bidi w:val="0"/>
                    <w:spacing w:line="240" w:lineRule="auto"/>
                    <w:jc w:val="center"/>
                    <w:textAlignment w:val="auto"/>
                    <w:rPr>
                      <w:rFonts w:ascii="Times New Roman" w:hAnsi="Times New Roman" w:cs="Times New Roman"/>
                      <w:b/>
                      <w:bCs/>
                      <w:color w:val="auto"/>
                      <w:szCs w:val="21"/>
                      <w:u w:val="none"/>
                    </w:rPr>
                  </w:pPr>
                  <w:r>
                    <w:rPr>
                      <w:rFonts w:ascii="Times New Roman" w:hAnsi="Times New Roman" w:cs="Times New Roman"/>
                      <w:b/>
                      <w:bCs/>
                      <w:color w:val="auto"/>
                      <w:szCs w:val="21"/>
                      <w:u w:val="none"/>
                    </w:rPr>
                    <w:t>规模</w:t>
                  </w:r>
                </w:p>
              </w:tc>
              <w:tc>
                <w:tcPr>
                  <w:tcW w:w="1671" w:type="dxa"/>
                  <w:tcBorders>
                    <w:tl2br w:val="nil"/>
                    <w:tr2bl w:val="nil"/>
                  </w:tcBorders>
                  <w:vAlign w:val="center"/>
                </w:tcPr>
                <w:p w14:paraId="2D8BFF67">
                  <w:pPr>
                    <w:keepNext w:val="0"/>
                    <w:keepLines w:val="0"/>
                    <w:pageBreakBefore w:val="0"/>
                    <w:widowControl w:val="0"/>
                    <w:kinsoku/>
                    <w:wordWrap w:val="0"/>
                    <w:overflowPunct/>
                    <w:topLinePunct w:val="0"/>
                    <w:autoSpaceDE/>
                    <w:autoSpaceDN/>
                    <w:bidi w:val="0"/>
                    <w:spacing w:line="240" w:lineRule="auto"/>
                    <w:jc w:val="center"/>
                    <w:textAlignment w:val="auto"/>
                    <w:rPr>
                      <w:rFonts w:ascii="Times New Roman" w:hAnsi="Times New Roman" w:cs="Times New Roman"/>
                      <w:b/>
                      <w:bCs/>
                      <w:color w:val="auto"/>
                      <w:szCs w:val="21"/>
                      <w:u w:val="none"/>
                    </w:rPr>
                  </w:pPr>
                  <w:r>
                    <w:rPr>
                      <w:rFonts w:ascii="Times New Roman" w:hAnsi="Times New Roman" w:cs="Times New Roman"/>
                      <w:b/>
                      <w:bCs/>
                      <w:color w:val="auto"/>
                      <w:szCs w:val="21"/>
                      <w:u w:val="none"/>
                    </w:rPr>
                    <w:t>保护级别</w:t>
                  </w:r>
                </w:p>
              </w:tc>
            </w:tr>
            <w:tr w14:paraId="7FE83553">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1057" w:hRule="atLeast"/>
              </w:trPr>
              <w:tc>
                <w:tcPr>
                  <w:tcW w:w="967" w:type="dxa"/>
                  <w:tcBorders>
                    <w:tl2br w:val="nil"/>
                    <w:tr2bl w:val="nil"/>
                  </w:tcBorders>
                  <w:vAlign w:val="center"/>
                </w:tcPr>
                <w:p w14:paraId="77C74ACA">
                  <w:pPr>
                    <w:keepNext w:val="0"/>
                    <w:keepLines w:val="0"/>
                    <w:pageBreakBefore w:val="0"/>
                    <w:widowControl w:val="0"/>
                    <w:kinsoku/>
                    <w:wordWrap w:val="0"/>
                    <w:overflowPunct/>
                    <w:topLinePunct w:val="0"/>
                    <w:autoSpaceDE/>
                    <w:autoSpaceDN/>
                    <w:bidi w:val="0"/>
                    <w:spacing w:line="240" w:lineRule="auto"/>
                    <w:jc w:val="center"/>
                    <w:textAlignment w:val="auto"/>
                    <w:rPr>
                      <w:rFonts w:ascii="Times New Roman" w:hAnsi="Times New Roman" w:cs="Times New Roman"/>
                      <w:color w:val="auto"/>
                      <w:u w:val="none"/>
                    </w:rPr>
                  </w:pPr>
                  <w:r>
                    <w:rPr>
                      <w:rFonts w:ascii="Times New Roman" w:hAnsi="Times New Roman" w:cs="Times New Roman"/>
                      <w:color w:val="auto"/>
                      <w:u w:val="none"/>
                    </w:rPr>
                    <w:t>环境</w:t>
                  </w:r>
                </w:p>
                <w:p w14:paraId="0DCE0345">
                  <w:pPr>
                    <w:keepNext w:val="0"/>
                    <w:keepLines w:val="0"/>
                    <w:pageBreakBefore w:val="0"/>
                    <w:widowControl w:val="0"/>
                    <w:kinsoku/>
                    <w:wordWrap w:val="0"/>
                    <w:overflowPunct/>
                    <w:topLinePunct w:val="0"/>
                    <w:autoSpaceDE/>
                    <w:autoSpaceDN/>
                    <w:bidi w:val="0"/>
                    <w:spacing w:line="240" w:lineRule="auto"/>
                    <w:jc w:val="center"/>
                    <w:textAlignment w:val="auto"/>
                    <w:rPr>
                      <w:rFonts w:hint="eastAsia" w:ascii="Times New Roman" w:hAnsi="Times New Roman" w:eastAsia="宋体" w:cs="Times New Roman"/>
                      <w:color w:val="auto"/>
                      <w:szCs w:val="21"/>
                      <w:u w:val="none"/>
                      <w:lang w:val="en-US" w:eastAsia="zh-CN"/>
                    </w:rPr>
                  </w:pPr>
                  <w:r>
                    <w:rPr>
                      <w:rFonts w:ascii="Times New Roman" w:hAnsi="Times New Roman" w:cs="Times New Roman"/>
                      <w:color w:val="auto"/>
                      <w:u w:val="none"/>
                    </w:rPr>
                    <w:t>空气</w:t>
                  </w:r>
                </w:p>
              </w:tc>
              <w:tc>
                <w:tcPr>
                  <w:tcW w:w="949" w:type="dxa"/>
                  <w:tcBorders>
                    <w:tl2br w:val="nil"/>
                    <w:tr2bl w:val="nil"/>
                  </w:tcBorders>
                  <w:vAlign w:val="center"/>
                </w:tcPr>
                <w:p w14:paraId="780821E3">
                  <w:pPr>
                    <w:keepNext w:val="0"/>
                    <w:keepLines w:val="0"/>
                    <w:pageBreakBefore w:val="0"/>
                    <w:widowControl w:val="0"/>
                    <w:kinsoku/>
                    <w:wordWrap w:val="0"/>
                    <w:overflowPunct/>
                    <w:topLinePunct w:val="0"/>
                    <w:autoSpaceDE/>
                    <w:autoSpaceDN/>
                    <w:bidi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桑树</w:t>
                  </w:r>
                </w:p>
                <w:p w14:paraId="5662D527">
                  <w:pPr>
                    <w:keepNext w:val="0"/>
                    <w:keepLines w:val="0"/>
                    <w:pageBreakBefore w:val="0"/>
                    <w:widowControl w:val="0"/>
                    <w:kinsoku/>
                    <w:wordWrap w:val="0"/>
                    <w:overflowPunct/>
                    <w:topLinePunct w:val="0"/>
                    <w:autoSpaceDE/>
                    <w:autoSpaceDN/>
                    <w:bidi w:val="0"/>
                    <w:spacing w:line="240" w:lineRule="auto"/>
                    <w:jc w:val="center"/>
                    <w:textAlignment w:val="auto"/>
                    <w:rPr>
                      <w:rFonts w:hint="default" w:ascii="Times New Roman" w:hAnsi="Times New Roman" w:eastAsia="宋体" w:cs="Times New Roman"/>
                      <w:color w:val="auto"/>
                      <w:szCs w:val="21"/>
                      <w:u w:val="none"/>
                      <w:lang w:val="en-US"/>
                    </w:rPr>
                  </w:pPr>
                  <w:r>
                    <w:rPr>
                      <w:rFonts w:hint="eastAsia" w:cs="Times New Roman"/>
                      <w:color w:val="auto"/>
                      <w:szCs w:val="21"/>
                      <w:u w:val="none"/>
                      <w:lang w:val="en-US" w:eastAsia="zh-CN"/>
                    </w:rPr>
                    <w:t>贾</w:t>
                  </w:r>
                  <w:r>
                    <w:rPr>
                      <w:rFonts w:hint="eastAsia" w:ascii="Times New Roman" w:hAnsi="Times New Roman" w:eastAsia="宋体" w:cs="Times New Roman"/>
                      <w:color w:val="auto"/>
                      <w:szCs w:val="21"/>
                      <w:u w:val="none"/>
                      <w:lang w:val="en-US" w:eastAsia="zh-CN"/>
                    </w:rPr>
                    <w:t>村</w:t>
                  </w:r>
                </w:p>
              </w:tc>
              <w:tc>
                <w:tcPr>
                  <w:tcW w:w="731" w:type="dxa"/>
                  <w:tcBorders>
                    <w:tl2br w:val="nil"/>
                    <w:tr2bl w:val="nil"/>
                  </w:tcBorders>
                  <w:vAlign w:val="center"/>
                </w:tcPr>
                <w:p w14:paraId="0DDEA597">
                  <w:pPr>
                    <w:keepNext w:val="0"/>
                    <w:keepLines w:val="0"/>
                    <w:pageBreakBefore w:val="0"/>
                    <w:widowControl w:val="0"/>
                    <w:kinsoku/>
                    <w:wordWrap w:val="0"/>
                    <w:overflowPunct/>
                    <w:topLinePunct w:val="0"/>
                    <w:autoSpaceDE/>
                    <w:autoSpaceDN/>
                    <w:bidi w:val="0"/>
                    <w:spacing w:line="240" w:lineRule="auto"/>
                    <w:jc w:val="center"/>
                    <w:textAlignment w:val="auto"/>
                    <w:rPr>
                      <w:rFonts w:hint="eastAsia" w:ascii="Times New Roman" w:hAnsi="Times New Roman" w:eastAsia="宋体" w:cs="Times New Roman"/>
                      <w:color w:val="auto"/>
                      <w:szCs w:val="21"/>
                      <w:u w:val="none"/>
                      <w:lang w:eastAsia="zh-CN"/>
                    </w:rPr>
                  </w:pPr>
                  <w:r>
                    <w:rPr>
                      <w:rFonts w:hint="eastAsia" w:cs="Times New Roman"/>
                      <w:color w:val="auto"/>
                      <w:szCs w:val="21"/>
                      <w:u w:val="none"/>
                      <w:lang w:val="en-US" w:eastAsia="zh-CN"/>
                    </w:rPr>
                    <w:t>西北</w:t>
                  </w:r>
                </w:p>
              </w:tc>
              <w:tc>
                <w:tcPr>
                  <w:tcW w:w="2541" w:type="dxa"/>
                  <w:tcBorders>
                    <w:tl2br w:val="nil"/>
                    <w:tr2bl w:val="nil"/>
                  </w:tcBorders>
                  <w:vAlign w:val="center"/>
                </w:tcPr>
                <w:p w14:paraId="2F17027C">
                  <w:pPr>
                    <w:keepNext w:val="0"/>
                    <w:keepLines w:val="0"/>
                    <w:pageBreakBefore w:val="0"/>
                    <w:widowControl w:val="0"/>
                    <w:kinsoku/>
                    <w:wordWrap w:val="0"/>
                    <w:overflowPunct/>
                    <w:topLinePunct w:val="0"/>
                    <w:autoSpaceDE/>
                    <w:autoSpaceDN/>
                    <w:bidi w:val="0"/>
                    <w:spacing w:line="240" w:lineRule="auto"/>
                    <w:jc w:val="center"/>
                    <w:textAlignment w:val="auto"/>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rPr>
                    <w:t xml:space="preserve">经度 </w:t>
                  </w:r>
                  <w:r>
                    <w:rPr>
                      <w:rFonts w:ascii="Times New Roman" w:hAnsi="Times New Roman" w:eastAsia="宋体" w:cs="Times New Roman"/>
                      <w:color w:val="auto"/>
                      <w:szCs w:val="21"/>
                      <w:u w:val="none"/>
                    </w:rPr>
                    <w:t>11</w:t>
                  </w:r>
                  <w:r>
                    <w:rPr>
                      <w:rFonts w:hint="eastAsia" w:ascii="Times New Roman" w:hAnsi="Times New Roman" w:eastAsia="宋体" w:cs="Times New Roman"/>
                      <w:color w:val="auto"/>
                      <w:szCs w:val="21"/>
                      <w:u w:val="none"/>
                      <w:lang w:val="en-US" w:eastAsia="zh-CN"/>
                    </w:rPr>
                    <w:t>3</w:t>
                  </w:r>
                  <w:r>
                    <w:rPr>
                      <w:rFonts w:ascii="Times New Roman" w:hAnsi="Times New Roman" w:eastAsia="宋体" w:cs="Times New Roman"/>
                      <w:color w:val="auto"/>
                      <w:szCs w:val="21"/>
                      <w:u w:val="none"/>
                    </w:rPr>
                    <w:t>°</w:t>
                  </w:r>
                  <w:r>
                    <w:rPr>
                      <w:rFonts w:hint="eastAsia" w:cs="Times New Roman"/>
                      <w:color w:val="auto"/>
                      <w:szCs w:val="21"/>
                      <w:u w:val="none"/>
                      <w:lang w:val="en-US" w:eastAsia="zh-CN"/>
                    </w:rPr>
                    <w:t>47</w:t>
                  </w:r>
                  <w:r>
                    <w:rPr>
                      <w:rFonts w:ascii="Times New Roman" w:hAnsi="Times New Roman" w:eastAsia="宋体" w:cs="Times New Roman"/>
                      <w:color w:val="auto"/>
                      <w:szCs w:val="21"/>
                      <w:u w:val="none"/>
                    </w:rPr>
                    <w:t>′</w:t>
                  </w:r>
                  <w:r>
                    <w:rPr>
                      <w:rFonts w:hint="eastAsia" w:cs="Times New Roman"/>
                      <w:color w:val="auto"/>
                      <w:szCs w:val="21"/>
                      <w:u w:val="none"/>
                      <w:lang w:val="en-US" w:eastAsia="zh-CN"/>
                    </w:rPr>
                    <w:t>69</w:t>
                  </w:r>
                  <w:r>
                    <w:rPr>
                      <w:rFonts w:ascii="Times New Roman" w:hAnsi="Times New Roman" w:eastAsia="宋体" w:cs="Times New Roman"/>
                      <w:color w:val="auto"/>
                      <w:szCs w:val="21"/>
                      <w:u w:val="none"/>
                    </w:rPr>
                    <w:t>.</w:t>
                  </w:r>
                  <w:r>
                    <w:rPr>
                      <w:rFonts w:hint="eastAsia" w:cs="Times New Roman"/>
                      <w:color w:val="auto"/>
                      <w:szCs w:val="21"/>
                      <w:u w:val="none"/>
                      <w:lang w:val="en-US" w:eastAsia="zh-CN"/>
                    </w:rPr>
                    <w:t>791</w:t>
                  </w:r>
                  <w:r>
                    <w:rPr>
                      <w:rFonts w:ascii="Times New Roman" w:hAnsi="Times New Roman" w:eastAsia="宋体" w:cs="Times New Roman"/>
                      <w:color w:val="auto"/>
                      <w:szCs w:val="21"/>
                      <w:u w:val="none"/>
                    </w:rPr>
                    <w:t>″</w:t>
                  </w:r>
                  <w:r>
                    <w:rPr>
                      <w:rFonts w:hint="eastAsia" w:ascii="Times New Roman" w:hAnsi="Times New Roman" w:eastAsia="宋体" w:cs="Times New Roman"/>
                      <w:color w:val="auto"/>
                      <w:szCs w:val="21"/>
                      <w:u w:val="none"/>
                    </w:rPr>
                    <w:t xml:space="preserve"> ）</w:t>
                  </w:r>
                  <w:r>
                    <w:rPr>
                      <w:rFonts w:ascii="Times New Roman" w:hAnsi="Times New Roman" w:eastAsia="宋体" w:cs="Times New Roman"/>
                      <w:color w:val="auto"/>
                      <w:szCs w:val="21"/>
                      <w:u w:val="none"/>
                    </w:rPr>
                    <w:t>，纬度</w:t>
                  </w:r>
                  <w:r>
                    <w:rPr>
                      <w:rFonts w:hint="eastAsia" w:ascii="Times New Roman" w:hAnsi="Times New Roman" w:eastAsia="宋体" w:cs="Times New Roman"/>
                      <w:color w:val="auto"/>
                      <w:szCs w:val="21"/>
                      <w:u w:val="none"/>
                    </w:rPr>
                    <w:t>（</w:t>
                  </w:r>
                  <w:r>
                    <w:rPr>
                      <w:rFonts w:ascii="Times New Roman" w:hAnsi="Times New Roman" w:eastAsia="宋体" w:cs="Times New Roman"/>
                      <w:color w:val="auto"/>
                      <w:szCs w:val="21"/>
                      <w:u w:val="none"/>
                    </w:rPr>
                    <w:t xml:space="preserve"> 33°</w:t>
                  </w:r>
                  <w:r>
                    <w:rPr>
                      <w:rFonts w:hint="eastAsia" w:cs="Times New Roman"/>
                      <w:color w:val="auto"/>
                      <w:szCs w:val="21"/>
                      <w:u w:val="none"/>
                      <w:lang w:val="en-US" w:eastAsia="zh-CN"/>
                    </w:rPr>
                    <w:t>7</w:t>
                  </w:r>
                  <w:r>
                    <w:rPr>
                      <w:rFonts w:hint="eastAsia" w:ascii="Times New Roman" w:hAnsi="Times New Roman" w:eastAsia="宋体" w:cs="Times New Roman"/>
                      <w:color w:val="auto"/>
                      <w:szCs w:val="21"/>
                      <w:u w:val="none"/>
                      <w:lang w:val="en-US" w:eastAsia="zh-CN"/>
                    </w:rPr>
                    <w:t>3</w:t>
                  </w:r>
                  <w:r>
                    <w:rPr>
                      <w:rFonts w:ascii="Times New Roman" w:hAnsi="Times New Roman" w:eastAsia="宋体" w:cs="Times New Roman"/>
                      <w:color w:val="auto"/>
                      <w:szCs w:val="21"/>
                      <w:u w:val="none"/>
                    </w:rPr>
                    <w:t>′</w:t>
                  </w:r>
                  <w:r>
                    <w:rPr>
                      <w:rFonts w:hint="eastAsia" w:cs="Times New Roman"/>
                      <w:color w:val="auto"/>
                      <w:szCs w:val="21"/>
                      <w:u w:val="none"/>
                      <w:lang w:val="en-US" w:eastAsia="zh-CN"/>
                    </w:rPr>
                    <w:t>80</w:t>
                  </w:r>
                  <w:r>
                    <w:rPr>
                      <w:rFonts w:ascii="Times New Roman" w:hAnsi="Times New Roman" w:eastAsia="宋体" w:cs="Times New Roman"/>
                      <w:color w:val="auto"/>
                      <w:szCs w:val="21"/>
                      <w:u w:val="none"/>
                    </w:rPr>
                    <w:t>.</w:t>
                  </w:r>
                  <w:r>
                    <w:rPr>
                      <w:rFonts w:hint="eastAsia" w:cs="Times New Roman"/>
                      <w:color w:val="auto"/>
                      <w:szCs w:val="21"/>
                      <w:u w:val="none"/>
                      <w:lang w:val="en-US" w:eastAsia="zh-CN"/>
                    </w:rPr>
                    <w:t>914</w:t>
                  </w:r>
                  <w:r>
                    <w:rPr>
                      <w:rFonts w:ascii="Times New Roman" w:hAnsi="Times New Roman" w:eastAsia="宋体" w:cs="Times New Roman"/>
                      <w:color w:val="auto"/>
                      <w:szCs w:val="21"/>
                      <w:u w:val="none"/>
                    </w:rPr>
                    <w:t xml:space="preserve">″ </w:t>
                  </w:r>
                  <w:r>
                    <w:rPr>
                      <w:rFonts w:hint="eastAsia" w:ascii="Times New Roman" w:hAnsi="Times New Roman" w:eastAsia="宋体" w:cs="Times New Roman"/>
                      <w:color w:val="auto"/>
                      <w:szCs w:val="21"/>
                      <w:u w:val="none"/>
                    </w:rPr>
                    <w:t>）</w:t>
                  </w:r>
                </w:p>
              </w:tc>
              <w:tc>
                <w:tcPr>
                  <w:tcW w:w="862" w:type="dxa"/>
                  <w:tcBorders>
                    <w:tl2br w:val="nil"/>
                    <w:tr2bl w:val="nil"/>
                  </w:tcBorders>
                  <w:vAlign w:val="center"/>
                </w:tcPr>
                <w:p w14:paraId="2257893D">
                  <w:pPr>
                    <w:keepNext w:val="0"/>
                    <w:keepLines w:val="0"/>
                    <w:pageBreakBefore w:val="0"/>
                    <w:widowControl w:val="0"/>
                    <w:kinsoku/>
                    <w:wordWrap w:val="0"/>
                    <w:overflowPunct/>
                    <w:topLinePunct w:val="0"/>
                    <w:autoSpaceDE/>
                    <w:autoSpaceDN/>
                    <w:bidi w:val="0"/>
                    <w:spacing w:line="240" w:lineRule="auto"/>
                    <w:jc w:val="center"/>
                    <w:textAlignment w:val="auto"/>
                    <w:rPr>
                      <w:rFonts w:ascii="Times New Roman" w:hAnsi="Times New Roman" w:cs="Times New Roman"/>
                      <w:color w:val="auto"/>
                      <w:szCs w:val="21"/>
                      <w:highlight w:val="none"/>
                      <w:u w:val="none"/>
                    </w:rPr>
                  </w:pPr>
                  <w:r>
                    <w:rPr>
                      <w:rFonts w:hint="eastAsia" w:cs="Times New Roman"/>
                      <w:color w:val="auto"/>
                      <w:szCs w:val="21"/>
                      <w:highlight w:val="none"/>
                      <w:u w:val="none"/>
                      <w:lang w:val="en-US" w:eastAsia="zh-CN"/>
                    </w:rPr>
                    <w:t>420</w:t>
                  </w:r>
                  <w:r>
                    <w:rPr>
                      <w:rFonts w:ascii="Times New Roman" w:hAnsi="Times New Roman" w:cs="Times New Roman"/>
                      <w:color w:val="auto"/>
                      <w:szCs w:val="21"/>
                      <w:highlight w:val="none"/>
                      <w:u w:val="none"/>
                    </w:rPr>
                    <w:t>m</w:t>
                  </w:r>
                </w:p>
              </w:tc>
              <w:tc>
                <w:tcPr>
                  <w:tcW w:w="775" w:type="dxa"/>
                  <w:tcBorders>
                    <w:tl2br w:val="nil"/>
                    <w:tr2bl w:val="nil"/>
                  </w:tcBorders>
                  <w:vAlign w:val="center"/>
                </w:tcPr>
                <w:p w14:paraId="72DC8A99">
                  <w:pPr>
                    <w:keepNext w:val="0"/>
                    <w:keepLines w:val="0"/>
                    <w:pageBreakBefore w:val="0"/>
                    <w:widowControl w:val="0"/>
                    <w:kinsoku/>
                    <w:wordWrap w:val="0"/>
                    <w:overflowPunct/>
                    <w:topLinePunct w:val="0"/>
                    <w:autoSpaceDE/>
                    <w:autoSpaceDN/>
                    <w:bidi w:val="0"/>
                    <w:spacing w:line="240" w:lineRule="auto"/>
                    <w:jc w:val="center"/>
                    <w:textAlignment w:val="auto"/>
                    <w:rPr>
                      <w:rFonts w:ascii="Times New Roman" w:hAnsi="Times New Roman" w:cs="Times New Roman"/>
                      <w:color w:val="auto"/>
                      <w:szCs w:val="21"/>
                      <w:highlight w:val="none"/>
                      <w:u w:val="none"/>
                    </w:rPr>
                  </w:pPr>
                  <w:r>
                    <w:rPr>
                      <w:rFonts w:hint="eastAsia" w:cs="Times New Roman"/>
                      <w:color w:val="auto"/>
                      <w:szCs w:val="21"/>
                      <w:highlight w:val="none"/>
                      <w:u w:val="none"/>
                      <w:lang w:val="en-US" w:eastAsia="zh-CN"/>
                    </w:rPr>
                    <w:t>987人</w:t>
                  </w:r>
                </w:p>
              </w:tc>
              <w:tc>
                <w:tcPr>
                  <w:tcW w:w="1671" w:type="dxa"/>
                  <w:tcBorders>
                    <w:tl2br w:val="nil"/>
                    <w:tr2bl w:val="nil"/>
                  </w:tcBorders>
                  <w:vAlign w:val="center"/>
                </w:tcPr>
                <w:p w14:paraId="22500656">
                  <w:pPr>
                    <w:keepNext w:val="0"/>
                    <w:keepLines w:val="0"/>
                    <w:pageBreakBefore w:val="0"/>
                    <w:widowControl w:val="0"/>
                    <w:kinsoku/>
                    <w:wordWrap w:val="0"/>
                    <w:overflowPunct/>
                    <w:topLinePunct w:val="0"/>
                    <w:autoSpaceDE/>
                    <w:autoSpaceDN/>
                    <w:bidi w:val="0"/>
                    <w:spacing w:line="240" w:lineRule="auto"/>
                    <w:jc w:val="center"/>
                    <w:textAlignment w:val="auto"/>
                    <w:rPr>
                      <w:rFonts w:hint="eastAsia" w:ascii="Times New Roman" w:hAnsi="Times New Roman" w:eastAsia="宋体" w:cs="Times New Roman"/>
                      <w:color w:val="auto"/>
                      <w:szCs w:val="21"/>
                      <w:u w:val="none"/>
                      <w:lang w:eastAsia="zh-CN"/>
                    </w:rPr>
                  </w:pPr>
                  <w:r>
                    <w:rPr>
                      <w:rFonts w:ascii="Times New Roman" w:hAnsi="Times New Roman" w:cs="Times New Roman"/>
                      <w:color w:val="auto"/>
                      <w:szCs w:val="21"/>
                      <w:u w:val="none"/>
                    </w:rPr>
                    <w:t>《环境空气质量标准》（GB3095-2012）二级</w:t>
                  </w:r>
                  <w:r>
                    <w:rPr>
                      <w:rFonts w:hint="eastAsia" w:ascii="Times New Roman" w:hAnsi="Times New Roman" w:cs="Times New Roman"/>
                      <w:color w:val="auto"/>
                      <w:szCs w:val="21"/>
                      <w:u w:val="none"/>
                      <w:lang w:eastAsia="zh-CN"/>
                    </w:rPr>
                    <w:t>及修改单</w:t>
                  </w:r>
                </w:p>
              </w:tc>
            </w:tr>
            <w:tr w14:paraId="140A36CA">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967" w:type="dxa"/>
                  <w:tcBorders>
                    <w:tl2br w:val="nil"/>
                    <w:tr2bl w:val="nil"/>
                  </w:tcBorders>
                  <w:vAlign w:val="center"/>
                </w:tcPr>
                <w:p w14:paraId="7FC44682">
                  <w:pPr>
                    <w:keepNext w:val="0"/>
                    <w:keepLines w:val="0"/>
                    <w:pageBreakBefore w:val="0"/>
                    <w:widowControl w:val="0"/>
                    <w:kinsoku/>
                    <w:wordWrap w:val="0"/>
                    <w:overflowPunct/>
                    <w:topLinePunct w:val="0"/>
                    <w:autoSpaceDE/>
                    <w:autoSpaceDN/>
                    <w:bidi w:val="0"/>
                    <w:spacing w:line="240" w:lineRule="auto"/>
                    <w:jc w:val="center"/>
                    <w:textAlignment w:val="auto"/>
                    <w:rPr>
                      <w:rFonts w:hint="eastAsia" w:ascii="Times New Roman" w:hAnsi="Times New Roman" w:eastAsia="宋体" w:cs="Times New Roman"/>
                      <w:color w:val="auto"/>
                      <w:szCs w:val="21"/>
                      <w:u w:val="none"/>
                      <w:lang w:val="en-US" w:eastAsia="zh-CN"/>
                    </w:rPr>
                  </w:pPr>
                  <w:r>
                    <w:rPr>
                      <w:rFonts w:ascii="Times New Roman" w:hAnsi="Times New Roman" w:eastAsia="宋体" w:cs="Times New Roman"/>
                      <w:color w:val="auto"/>
                      <w:u w:val="none"/>
                    </w:rPr>
                    <w:t>声环境</w:t>
                  </w:r>
                </w:p>
              </w:tc>
              <w:tc>
                <w:tcPr>
                  <w:tcW w:w="5858" w:type="dxa"/>
                  <w:gridSpan w:val="5"/>
                  <w:tcBorders>
                    <w:tl2br w:val="nil"/>
                    <w:tr2bl w:val="nil"/>
                  </w:tcBorders>
                  <w:vAlign w:val="center"/>
                </w:tcPr>
                <w:p w14:paraId="6CD01BD0">
                  <w:pPr>
                    <w:keepNext w:val="0"/>
                    <w:keepLines w:val="0"/>
                    <w:pageBreakBefore w:val="0"/>
                    <w:widowControl w:val="0"/>
                    <w:kinsoku/>
                    <w:wordWrap w:val="0"/>
                    <w:overflowPunct/>
                    <w:topLinePunct w:val="0"/>
                    <w:autoSpaceDE/>
                    <w:autoSpaceDN/>
                    <w:bidi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本项目50m范围内不存在声环境敏感点</w:t>
                  </w:r>
                </w:p>
              </w:tc>
              <w:tc>
                <w:tcPr>
                  <w:tcW w:w="1671" w:type="dxa"/>
                  <w:tcBorders>
                    <w:tl2br w:val="nil"/>
                    <w:tr2bl w:val="nil"/>
                  </w:tcBorders>
                  <w:vAlign w:val="center"/>
                </w:tcPr>
                <w:p w14:paraId="0FB87F78">
                  <w:pPr>
                    <w:keepNext w:val="0"/>
                    <w:keepLines w:val="0"/>
                    <w:pageBreakBefore w:val="0"/>
                    <w:widowControl w:val="0"/>
                    <w:kinsoku/>
                    <w:wordWrap w:val="0"/>
                    <w:overflowPunct/>
                    <w:topLinePunct w:val="0"/>
                    <w:autoSpaceDE/>
                    <w:autoSpaceDN/>
                    <w:bidi w:val="0"/>
                    <w:spacing w:line="240" w:lineRule="auto"/>
                    <w:jc w:val="center"/>
                    <w:textAlignment w:val="auto"/>
                    <w:rPr>
                      <w:rFonts w:ascii="Times New Roman" w:hAnsi="Times New Roman" w:cs="Times New Roman"/>
                      <w:color w:val="auto"/>
                      <w:szCs w:val="21"/>
                      <w:u w:val="none"/>
                    </w:rPr>
                  </w:pPr>
                  <w:r>
                    <w:rPr>
                      <w:rFonts w:ascii="Times New Roman" w:hAnsi="Times New Roman" w:cs="Times New Roman"/>
                      <w:color w:val="auto"/>
                      <w:szCs w:val="21"/>
                      <w:u w:val="none"/>
                    </w:rPr>
                    <w:t>《声环境质量标准》（GB3096-2008）</w:t>
                  </w:r>
                  <w:r>
                    <w:rPr>
                      <w:rFonts w:hint="eastAsia" w:cs="Times New Roman"/>
                      <w:color w:val="auto"/>
                      <w:szCs w:val="21"/>
                      <w:u w:val="none"/>
                      <w:lang w:val="en-US" w:eastAsia="zh-CN"/>
                    </w:rPr>
                    <w:t>2</w:t>
                  </w:r>
                  <w:r>
                    <w:rPr>
                      <w:rFonts w:hint="eastAsia" w:ascii="Times New Roman" w:hAnsi="Times New Roman" w:cs="Times New Roman"/>
                      <w:color w:val="auto"/>
                      <w:szCs w:val="21"/>
                      <w:u w:val="none"/>
                      <w:lang w:val="en-US" w:eastAsia="zh-CN"/>
                    </w:rPr>
                    <w:t>类</w:t>
                  </w:r>
                </w:p>
              </w:tc>
            </w:tr>
            <w:tr w14:paraId="4872ECCE">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883" w:hRule="atLeast"/>
              </w:trPr>
              <w:tc>
                <w:tcPr>
                  <w:tcW w:w="967" w:type="dxa"/>
                  <w:tcBorders>
                    <w:tl2br w:val="nil"/>
                    <w:tr2bl w:val="nil"/>
                  </w:tcBorders>
                  <w:vAlign w:val="center"/>
                </w:tcPr>
                <w:p w14:paraId="355158AF">
                  <w:pPr>
                    <w:keepNext w:val="0"/>
                    <w:keepLines w:val="0"/>
                    <w:pageBreakBefore w:val="0"/>
                    <w:widowControl w:val="0"/>
                    <w:kinsoku/>
                    <w:wordWrap w:val="0"/>
                    <w:overflowPunct/>
                    <w:topLinePunct w:val="0"/>
                    <w:autoSpaceDE/>
                    <w:autoSpaceDN/>
                    <w:bidi w:val="0"/>
                    <w:spacing w:line="240" w:lineRule="auto"/>
                    <w:jc w:val="center"/>
                    <w:textAlignment w:val="auto"/>
                    <w:rPr>
                      <w:rFonts w:hint="default"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地表水</w:t>
                  </w:r>
                </w:p>
              </w:tc>
              <w:tc>
                <w:tcPr>
                  <w:tcW w:w="949" w:type="dxa"/>
                  <w:tcBorders>
                    <w:tl2br w:val="nil"/>
                    <w:tr2bl w:val="nil"/>
                  </w:tcBorders>
                  <w:vAlign w:val="center"/>
                </w:tcPr>
                <w:p w14:paraId="505971FE">
                  <w:pPr>
                    <w:keepNext w:val="0"/>
                    <w:keepLines w:val="0"/>
                    <w:pageBreakBefore w:val="0"/>
                    <w:widowControl w:val="0"/>
                    <w:kinsoku/>
                    <w:wordWrap w:val="0"/>
                    <w:overflowPunct/>
                    <w:topLinePunct w:val="0"/>
                    <w:autoSpaceDE/>
                    <w:autoSpaceDN/>
                    <w:bidi w:val="0"/>
                    <w:spacing w:line="240" w:lineRule="auto"/>
                    <w:jc w:val="center"/>
                    <w:textAlignment w:val="auto"/>
                    <w:rPr>
                      <w:rFonts w:hint="default" w:ascii="Times New Roman" w:hAnsi="Times New Roman" w:cs="Times New Roman"/>
                      <w:color w:val="auto"/>
                      <w:szCs w:val="21"/>
                      <w:u w:val="none"/>
                      <w:lang w:val="en-US"/>
                    </w:rPr>
                  </w:pPr>
                  <w:r>
                    <w:rPr>
                      <w:rFonts w:hint="eastAsia" w:cs="Times New Roman"/>
                      <w:color w:val="auto"/>
                      <w:szCs w:val="21"/>
                      <w:u w:val="none"/>
                      <w:lang w:val="en-US" w:eastAsia="zh-CN"/>
                    </w:rPr>
                    <w:t>沙</w:t>
                  </w:r>
                  <w:r>
                    <w:rPr>
                      <w:rFonts w:hint="eastAsia" w:ascii="Times New Roman" w:hAnsi="Times New Roman" w:cs="Times New Roman"/>
                      <w:color w:val="auto"/>
                      <w:szCs w:val="21"/>
                      <w:u w:val="none"/>
                      <w:lang w:val="en-US" w:eastAsia="zh-CN"/>
                    </w:rPr>
                    <w:t>河</w:t>
                  </w:r>
                </w:p>
              </w:tc>
              <w:tc>
                <w:tcPr>
                  <w:tcW w:w="731" w:type="dxa"/>
                  <w:tcBorders>
                    <w:tl2br w:val="nil"/>
                    <w:tr2bl w:val="nil"/>
                  </w:tcBorders>
                  <w:vAlign w:val="center"/>
                </w:tcPr>
                <w:p w14:paraId="4EC97CD6">
                  <w:pPr>
                    <w:keepNext w:val="0"/>
                    <w:keepLines w:val="0"/>
                    <w:pageBreakBefore w:val="0"/>
                    <w:widowControl w:val="0"/>
                    <w:kinsoku/>
                    <w:wordWrap w:val="0"/>
                    <w:overflowPunct/>
                    <w:topLinePunct w:val="0"/>
                    <w:autoSpaceDE/>
                    <w:autoSpaceDN/>
                    <w:bidi w:val="0"/>
                    <w:spacing w:line="240" w:lineRule="auto"/>
                    <w:jc w:val="center"/>
                    <w:textAlignment w:val="auto"/>
                    <w:rPr>
                      <w:rFonts w:hint="eastAsia" w:ascii="Times New Roman" w:hAnsi="Times New Roman" w:eastAsia="宋体" w:cs="Times New Roman"/>
                      <w:color w:val="auto"/>
                      <w:szCs w:val="21"/>
                      <w:u w:val="none"/>
                      <w:lang w:eastAsia="zh-CN"/>
                    </w:rPr>
                  </w:pPr>
                  <w:r>
                    <w:rPr>
                      <w:rFonts w:hint="eastAsia" w:cs="Times New Roman"/>
                      <w:color w:val="auto"/>
                      <w:szCs w:val="21"/>
                      <w:u w:val="none"/>
                      <w:lang w:val="en-US" w:eastAsia="zh-CN"/>
                    </w:rPr>
                    <w:t>南</w:t>
                  </w:r>
                </w:p>
              </w:tc>
              <w:tc>
                <w:tcPr>
                  <w:tcW w:w="2541" w:type="dxa"/>
                  <w:tcBorders>
                    <w:tl2br w:val="nil"/>
                    <w:tr2bl w:val="nil"/>
                  </w:tcBorders>
                  <w:vAlign w:val="center"/>
                </w:tcPr>
                <w:p w14:paraId="6C760BB5">
                  <w:pPr>
                    <w:keepNext w:val="0"/>
                    <w:keepLines w:val="0"/>
                    <w:pageBreakBefore w:val="0"/>
                    <w:widowControl w:val="0"/>
                    <w:kinsoku/>
                    <w:wordWrap w:val="0"/>
                    <w:overflowPunct/>
                    <w:topLinePunct w:val="0"/>
                    <w:autoSpaceDE/>
                    <w:autoSpaceDN/>
                    <w:bidi w:val="0"/>
                    <w:spacing w:line="240" w:lineRule="auto"/>
                    <w:jc w:val="center"/>
                    <w:textAlignment w:val="auto"/>
                    <w:rPr>
                      <w:rFonts w:hint="default"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w:t>
                  </w:r>
                </w:p>
              </w:tc>
              <w:tc>
                <w:tcPr>
                  <w:tcW w:w="862" w:type="dxa"/>
                  <w:tcBorders>
                    <w:tl2br w:val="nil"/>
                    <w:tr2bl w:val="nil"/>
                  </w:tcBorders>
                  <w:vAlign w:val="center"/>
                </w:tcPr>
                <w:p w14:paraId="511AE83F">
                  <w:pPr>
                    <w:keepNext w:val="0"/>
                    <w:keepLines w:val="0"/>
                    <w:pageBreakBefore w:val="0"/>
                    <w:widowControl w:val="0"/>
                    <w:kinsoku/>
                    <w:wordWrap w:val="0"/>
                    <w:overflowPunct/>
                    <w:topLinePunct w:val="0"/>
                    <w:autoSpaceDE/>
                    <w:autoSpaceDN/>
                    <w:bidi w:val="0"/>
                    <w:spacing w:line="240" w:lineRule="auto"/>
                    <w:jc w:val="center"/>
                    <w:textAlignment w:val="auto"/>
                    <w:rPr>
                      <w:rFonts w:ascii="Times New Roman" w:hAnsi="Times New Roman" w:cs="Times New Roman"/>
                      <w:color w:val="auto"/>
                      <w:szCs w:val="21"/>
                      <w:highlight w:val="none"/>
                      <w:u w:val="none"/>
                    </w:rPr>
                  </w:pPr>
                  <w:r>
                    <w:rPr>
                      <w:rFonts w:hint="eastAsia" w:cs="Times New Roman"/>
                      <w:color w:val="auto"/>
                      <w:szCs w:val="21"/>
                      <w:highlight w:val="none"/>
                      <w:u w:val="none"/>
                      <w:lang w:val="en-US" w:eastAsia="zh-CN"/>
                    </w:rPr>
                    <w:t>19</w:t>
                  </w:r>
                  <w:r>
                    <w:rPr>
                      <w:rFonts w:hint="eastAsia" w:ascii="Times New Roman" w:hAnsi="Times New Roman" w:cs="Times New Roman"/>
                      <w:color w:val="auto"/>
                      <w:szCs w:val="21"/>
                      <w:highlight w:val="none"/>
                      <w:u w:val="none"/>
                      <w:lang w:val="en-US" w:eastAsia="zh-CN"/>
                    </w:rPr>
                    <w:t>00</w:t>
                  </w:r>
                  <w:r>
                    <w:rPr>
                      <w:rFonts w:ascii="Times New Roman" w:hAnsi="Times New Roman" w:cs="Times New Roman"/>
                      <w:color w:val="auto"/>
                      <w:szCs w:val="21"/>
                      <w:highlight w:val="none"/>
                      <w:u w:val="none"/>
                    </w:rPr>
                    <w:t>m</w:t>
                  </w:r>
                </w:p>
              </w:tc>
              <w:tc>
                <w:tcPr>
                  <w:tcW w:w="775" w:type="dxa"/>
                  <w:tcBorders>
                    <w:tl2br w:val="nil"/>
                    <w:tr2bl w:val="nil"/>
                  </w:tcBorders>
                  <w:vAlign w:val="center"/>
                </w:tcPr>
                <w:p w14:paraId="44AA551B">
                  <w:pPr>
                    <w:keepNext w:val="0"/>
                    <w:keepLines w:val="0"/>
                    <w:pageBreakBefore w:val="0"/>
                    <w:widowControl w:val="0"/>
                    <w:kinsoku/>
                    <w:wordWrap w:val="0"/>
                    <w:overflowPunct/>
                    <w:topLinePunct w:val="0"/>
                    <w:autoSpaceDE/>
                    <w:autoSpaceDN/>
                    <w:bidi w:val="0"/>
                    <w:spacing w:line="240" w:lineRule="auto"/>
                    <w:jc w:val="center"/>
                    <w:textAlignment w:val="auto"/>
                    <w:rPr>
                      <w:rFonts w:ascii="Times New Roman" w:hAnsi="Times New Roman" w:cs="Times New Roman"/>
                      <w:color w:val="auto"/>
                      <w:szCs w:val="21"/>
                      <w:highlight w:val="none"/>
                      <w:u w:val="none"/>
                    </w:rPr>
                  </w:pPr>
                  <w:r>
                    <w:rPr>
                      <w:rFonts w:ascii="Times New Roman" w:hAnsi="Times New Roman" w:cs="Times New Roman"/>
                      <w:color w:val="auto"/>
                      <w:szCs w:val="21"/>
                      <w:highlight w:val="none"/>
                      <w:u w:val="none"/>
                    </w:rPr>
                    <w:t>/</w:t>
                  </w:r>
                </w:p>
              </w:tc>
              <w:tc>
                <w:tcPr>
                  <w:tcW w:w="1671" w:type="dxa"/>
                  <w:tcBorders>
                    <w:tl2br w:val="nil"/>
                    <w:tr2bl w:val="nil"/>
                  </w:tcBorders>
                  <w:vAlign w:val="center"/>
                </w:tcPr>
                <w:p w14:paraId="588ACA09">
                  <w:pPr>
                    <w:keepNext w:val="0"/>
                    <w:keepLines w:val="0"/>
                    <w:pageBreakBefore w:val="0"/>
                    <w:widowControl w:val="0"/>
                    <w:kinsoku/>
                    <w:wordWrap w:val="0"/>
                    <w:overflowPunct/>
                    <w:topLinePunct w:val="0"/>
                    <w:autoSpaceDE/>
                    <w:autoSpaceDN/>
                    <w:bidi w:val="0"/>
                    <w:spacing w:line="240" w:lineRule="auto"/>
                    <w:jc w:val="center"/>
                    <w:textAlignment w:val="auto"/>
                    <w:rPr>
                      <w:rFonts w:ascii="Times New Roman" w:hAnsi="Times New Roman" w:cs="Times New Roman"/>
                      <w:color w:val="auto"/>
                      <w:szCs w:val="21"/>
                      <w:highlight w:val="none"/>
                      <w:u w:val="none"/>
                    </w:rPr>
                  </w:pPr>
                  <w:r>
                    <w:rPr>
                      <w:rFonts w:ascii="Times New Roman" w:hAnsi="Times New Roman" w:cs="Times New Roman"/>
                      <w:color w:val="auto"/>
                      <w:szCs w:val="21"/>
                      <w:highlight w:val="none"/>
                      <w:u w:val="none"/>
                    </w:rPr>
                    <w:t>《地表水环境质量标准》(GB3838-2002)Ⅲ类</w:t>
                  </w:r>
                </w:p>
              </w:tc>
            </w:tr>
            <w:tr w14:paraId="3911EE25">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79" w:hRule="atLeast"/>
              </w:trPr>
              <w:tc>
                <w:tcPr>
                  <w:tcW w:w="967" w:type="dxa"/>
                  <w:tcBorders>
                    <w:tl2br w:val="nil"/>
                    <w:tr2bl w:val="nil"/>
                  </w:tcBorders>
                  <w:vAlign w:val="center"/>
                </w:tcPr>
                <w:p w14:paraId="72B235ED">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default" w:ascii="Times New Roman" w:hAnsi="Times New Roman" w:cs="Times New Roman"/>
                      <w:b w:val="0"/>
                      <w:bCs w:val="0"/>
                      <w:color w:val="auto"/>
                      <w:szCs w:val="21"/>
                      <w:u w:val="none"/>
                    </w:rPr>
                    <w:t>地下水</w:t>
                  </w:r>
                  <w:r>
                    <w:rPr>
                      <w:rFonts w:hint="default" w:ascii="Times New Roman" w:hAnsi="Times New Roman" w:eastAsia="宋体" w:cs="Times New Roman"/>
                      <w:b w:val="0"/>
                      <w:bCs w:val="0"/>
                      <w:color w:val="auto"/>
                      <w:kern w:val="2"/>
                      <w:sz w:val="21"/>
                      <w:szCs w:val="21"/>
                      <w:u w:val="none"/>
                    </w:rPr>
                    <w:t>环境</w:t>
                  </w:r>
                </w:p>
              </w:tc>
              <w:tc>
                <w:tcPr>
                  <w:tcW w:w="7529" w:type="dxa"/>
                  <w:gridSpan w:val="6"/>
                  <w:tcBorders>
                    <w:tl2br w:val="nil"/>
                    <w:tr2bl w:val="nil"/>
                  </w:tcBorders>
                  <w:vAlign w:val="center"/>
                </w:tcPr>
                <w:p w14:paraId="66C78517">
                  <w:pPr>
                    <w:keepNext w:val="0"/>
                    <w:keepLines w:val="0"/>
                    <w:pageBreakBefore w:val="0"/>
                    <w:widowControl w:val="0"/>
                    <w:kinsoku/>
                    <w:wordWrap w:val="0"/>
                    <w:overflowPunct/>
                    <w:topLinePunct w:val="0"/>
                    <w:autoSpaceDE/>
                    <w:autoSpaceDN/>
                    <w:bidi w:val="0"/>
                    <w:spacing w:line="240" w:lineRule="auto"/>
                    <w:jc w:val="center"/>
                    <w:textAlignment w:val="auto"/>
                    <w:rPr>
                      <w:rFonts w:hint="eastAsia" w:cs="Times New Roman"/>
                      <w:color w:val="auto"/>
                      <w:szCs w:val="21"/>
                      <w:highlight w:val="none"/>
                      <w:u w:val="none"/>
                      <w:lang w:val="en-US" w:eastAsia="zh-CN"/>
                    </w:rPr>
                  </w:pPr>
                  <w:r>
                    <w:rPr>
                      <w:rFonts w:hint="default" w:ascii="Times New Roman" w:hAnsi="Times New Roman" w:cs="Times New Roman"/>
                      <w:b w:val="0"/>
                      <w:bCs w:val="0"/>
                      <w:color w:val="auto"/>
                      <w:szCs w:val="21"/>
                      <w:u w:val="none"/>
                    </w:rPr>
                    <w:t>厂界外500米范围内</w:t>
                  </w:r>
                  <w:r>
                    <w:rPr>
                      <w:rStyle w:val="40"/>
                      <w:rFonts w:hint="default" w:ascii="Times New Roman" w:hAnsi="Times New Roman" w:cs="Times New Roman"/>
                      <w:b w:val="0"/>
                      <w:bCs w:val="0"/>
                      <w:color w:val="auto"/>
                      <w:kern w:val="0"/>
                      <w:szCs w:val="20"/>
                      <w:u w:val="none"/>
                      <w:lang w:eastAsia="zh-CN"/>
                    </w:rPr>
                    <w:t>无</w:t>
                  </w:r>
                  <w:r>
                    <w:rPr>
                      <w:rFonts w:hint="default" w:ascii="Times New Roman" w:hAnsi="Times New Roman" w:cs="Times New Roman"/>
                      <w:b w:val="0"/>
                      <w:bCs w:val="0"/>
                      <w:color w:val="auto"/>
                      <w:szCs w:val="21"/>
                      <w:u w:val="none"/>
                    </w:rPr>
                    <w:t>地下水集中式饮用水水源和热水、矿泉水、温泉等特殊地下水资源等地下水环境保护目标</w:t>
                  </w:r>
                </w:p>
              </w:tc>
            </w:tr>
            <w:tr w14:paraId="634C26A6">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647" w:hRule="atLeast"/>
              </w:trPr>
              <w:tc>
                <w:tcPr>
                  <w:tcW w:w="967" w:type="dxa"/>
                  <w:tcBorders>
                    <w:tl2br w:val="nil"/>
                    <w:tr2bl w:val="nil"/>
                  </w:tcBorders>
                  <w:vAlign w:val="center"/>
                </w:tcPr>
                <w:p w14:paraId="4E943C46">
                  <w:pPr>
                    <w:keepNext w:val="0"/>
                    <w:keepLines w:val="0"/>
                    <w:pageBreakBefore w:val="0"/>
                    <w:widowControl w:val="0"/>
                    <w:kinsoku/>
                    <w:wordWrap w:val="0"/>
                    <w:overflowPunct/>
                    <w:topLinePunct w:val="0"/>
                    <w:autoSpaceDE/>
                    <w:autoSpaceDN/>
                    <w:bidi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生态</w:t>
                  </w:r>
                </w:p>
                <w:p w14:paraId="1DEBCCC0">
                  <w:pPr>
                    <w:keepNext w:val="0"/>
                    <w:keepLines w:val="0"/>
                    <w:pageBreakBefore w:val="0"/>
                    <w:widowControl w:val="0"/>
                    <w:kinsoku/>
                    <w:wordWrap w:val="0"/>
                    <w:overflowPunct/>
                    <w:topLinePunct w:val="0"/>
                    <w:autoSpaceDE/>
                    <w:autoSpaceDN/>
                    <w:bidi w:val="0"/>
                    <w:spacing w:line="240" w:lineRule="auto"/>
                    <w:jc w:val="center"/>
                    <w:textAlignment w:val="auto"/>
                    <w:rPr>
                      <w:rFonts w:hint="default" w:ascii="Times New Roman" w:hAnsi="Times New Roman" w:cs="Times New Roman"/>
                      <w:color w:val="auto"/>
                      <w:szCs w:val="21"/>
                      <w:u w:val="none"/>
                      <w:lang w:val="en-US" w:eastAsia="zh-CN"/>
                    </w:rPr>
                  </w:pPr>
                  <w:r>
                    <w:rPr>
                      <w:rFonts w:hint="eastAsia" w:cs="Times New Roman"/>
                      <w:color w:val="auto"/>
                      <w:szCs w:val="21"/>
                      <w:u w:val="none"/>
                      <w:lang w:val="en-US" w:eastAsia="zh-CN"/>
                    </w:rPr>
                    <w:t>环境</w:t>
                  </w:r>
                </w:p>
              </w:tc>
              <w:tc>
                <w:tcPr>
                  <w:tcW w:w="7529" w:type="dxa"/>
                  <w:gridSpan w:val="6"/>
                  <w:tcBorders>
                    <w:tl2br w:val="nil"/>
                    <w:tr2bl w:val="nil"/>
                  </w:tcBorders>
                  <w:vAlign w:val="center"/>
                </w:tcPr>
                <w:p w14:paraId="50A4E888">
                  <w:pPr>
                    <w:keepNext w:val="0"/>
                    <w:keepLines w:val="0"/>
                    <w:pageBreakBefore w:val="0"/>
                    <w:widowControl w:val="0"/>
                    <w:kinsoku/>
                    <w:wordWrap w:val="0"/>
                    <w:overflowPunct/>
                    <w:topLinePunct w:val="0"/>
                    <w:autoSpaceDE/>
                    <w:autoSpaceDN/>
                    <w:bidi w:val="0"/>
                    <w:spacing w:line="240" w:lineRule="auto"/>
                    <w:jc w:val="center"/>
                    <w:textAlignment w:val="auto"/>
                    <w:rPr>
                      <w:rFonts w:hint="default" w:ascii="Times New Roman" w:hAnsi="Times New Roman" w:eastAsia="宋体" w:cs="Times New Roman"/>
                      <w:color w:val="auto"/>
                      <w:szCs w:val="21"/>
                      <w:highlight w:val="none"/>
                      <w:u w:val="none"/>
                      <w:lang w:val="en-US" w:eastAsia="zh-CN"/>
                    </w:rPr>
                  </w:pPr>
                  <w:r>
                    <w:rPr>
                      <w:bCs/>
                      <w:color w:val="000000"/>
                      <w:sz w:val="21"/>
                    </w:rPr>
                    <w:t>本项目周边无生态特殊及重要敏感区，项目建设不涉及自然保护区、风景名胜区、地质公园等环境敏感区</w:t>
                  </w:r>
                </w:p>
              </w:tc>
            </w:tr>
          </w:tbl>
          <w:p w14:paraId="2540145B">
            <w:pPr>
              <w:rPr>
                <w:rFonts w:ascii="Times New Roman" w:hAnsi="Times New Roman" w:cs="Times New Roman"/>
                <w:color w:val="auto"/>
                <w:u w:val="none"/>
              </w:rPr>
            </w:pPr>
          </w:p>
        </w:tc>
      </w:tr>
      <w:tr w14:paraId="3C6BA8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13" w:hRule="atLeast"/>
          <w:jc w:val="center"/>
        </w:trPr>
        <w:tc>
          <w:tcPr>
            <w:tcW w:w="528" w:type="dxa"/>
            <w:tcMar>
              <w:left w:w="28" w:type="dxa"/>
              <w:right w:w="28" w:type="dxa"/>
            </w:tcMar>
            <w:vAlign w:val="center"/>
          </w:tcPr>
          <w:p w14:paraId="20195112">
            <w:pPr>
              <w:spacing w:line="400" w:lineRule="exact"/>
              <w:jc w:val="center"/>
              <w:rPr>
                <w:rFonts w:ascii="Times New Roman" w:hAnsi="Times New Roman" w:cs="Times New Roman"/>
                <w:b/>
                <w:bCs/>
                <w:color w:val="auto"/>
                <w:sz w:val="24"/>
                <w:u w:val="none"/>
              </w:rPr>
            </w:pPr>
            <w:r>
              <w:rPr>
                <w:rFonts w:ascii="Times New Roman" w:hAnsi="Times New Roman" w:cs="Times New Roman"/>
                <w:b/>
                <w:bCs/>
                <w:color w:val="auto"/>
                <w:sz w:val="24"/>
                <w:u w:val="none"/>
              </w:rPr>
              <w:t>污染</w:t>
            </w:r>
          </w:p>
          <w:p w14:paraId="488AC192">
            <w:pPr>
              <w:spacing w:line="400" w:lineRule="exact"/>
              <w:jc w:val="center"/>
              <w:rPr>
                <w:rFonts w:ascii="Times New Roman" w:hAnsi="Times New Roman" w:cs="Times New Roman"/>
                <w:b/>
                <w:bCs/>
                <w:color w:val="auto"/>
                <w:sz w:val="24"/>
                <w:u w:val="none"/>
              </w:rPr>
            </w:pPr>
            <w:r>
              <w:rPr>
                <w:rFonts w:ascii="Times New Roman" w:hAnsi="Times New Roman" w:cs="Times New Roman"/>
                <w:b/>
                <w:bCs/>
                <w:color w:val="auto"/>
                <w:sz w:val="24"/>
                <w:u w:val="none"/>
              </w:rPr>
              <w:t>物排</w:t>
            </w:r>
          </w:p>
          <w:p w14:paraId="1A08AB9A">
            <w:pPr>
              <w:spacing w:line="400" w:lineRule="exact"/>
              <w:jc w:val="center"/>
              <w:rPr>
                <w:rFonts w:ascii="Times New Roman" w:hAnsi="Times New Roman" w:cs="Times New Roman"/>
                <w:b/>
                <w:bCs/>
                <w:color w:val="auto"/>
                <w:sz w:val="24"/>
                <w:u w:val="none"/>
              </w:rPr>
            </w:pPr>
            <w:r>
              <w:rPr>
                <w:rFonts w:ascii="Times New Roman" w:hAnsi="Times New Roman" w:cs="Times New Roman"/>
                <w:b/>
                <w:bCs/>
                <w:color w:val="auto"/>
                <w:sz w:val="24"/>
                <w:u w:val="none"/>
              </w:rPr>
              <w:t>放控</w:t>
            </w:r>
          </w:p>
          <w:p w14:paraId="0CED0730">
            <w:pPr>
              <w:spacing w:line="400" w:lineRule="exact"/>
              <w:jc w:val="center"/>
              <w:rPr>
                <w:rFonts w:ascii="Times New Roman" w:hAnsi="Times New Roman" w:cs="Times New Roman"/>
                <w:b/>
                <w:bCs/>
                <w:color w:val="auto"/>
                <w:sz w:val="24"/>
                <w:u w:val="none"/>
              </w:rPr>
            </w:pPr>
            <w:r>
              <w:rPr>
                <w:rFonts w:ascii="Times New Roman" w:hAnsi="Times New Roman" w:cs="Times New Roman"/>
                <w:b/>
                <w:bCs/>
                <w:color w:val="auto"/>
                <w:sz w:val="24"/>
                <w:u w:val="none"/>
              </w:rPr>
              <w:t>制标</w:t>
            </w:r>
          </w:p>
          <w:p w14:paraId="2B8794B2">
            <w:pPr>
              <w:spacing w:line="400" w:lineRule="exact"/>
              <w:jc w:val="center"/>
              <w:rPr>
                <w:rFonts w:ascii="Times New Roman" w:hAnsi="Times New Roman" w:cs="Times New Roman"/>
                <w:b/>
                <w:bCs/>
                <w:color w:val="auto"/>
                <w:sz w:val="28"/>
                <w:szCs w:val="28"/>
                <w:u w:val="none"/>
              </w:rPr>
            </w:pPr>
            <w:r>
              <w:rPr>
                <w:rFonts w:ascii="Times New Roman" w:hAnsi="Times New Roman" w:cs="Times New Roman"/>
                <w:b/>
                <w:bCs/>
                <w:color w:val="auto"/>
                <w:sz w:val="24"/>
                <w:u w:val="none"/>
              </w:rPr>
              <w:t>准</w:t>
            </w:r>
          </w:p>
        </w:tc>
        <w:tc>
          <w:tcPr>
            <w:tcW w:w="8691" w:type="dxa"/>
            <w:vAlign w:val="center"/>
          </w:tcPr>
          <w:p w14:paraId="6043591A">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eastAsia" w:ascii="Times New Roman" w:hAnsi="Times New Roman" w:eastAsia="宋体" w:cs="Times New Roman"/>
                <w:b/>
                <w:bCs/>
                <w:color w:val="auto"/>
                <w:sz w:val="24"/>
                <w:u w:val="none"/>
                <w:lang w:eastAsia="zh-CN"/>
              </w:rPr>
            </w:pPr>
            <w:r>
              <w:rPr>
                <w:rFonts w:hint="eastAsia" w:ascii="Times New Roman" w:hAnsi="Times New Roman" w:eastAsia="宋体" w:cs="Times New Roman"/>
                <w:b/>
                <w:bCs/>
                <w:color w:val="auto"/>
                <w:sz w:val="24"/>
                <w:u w:val="none"/>
                <w:lang w:val="en-US" w:eastAsia="zh-CN"/>
              </w:rPr>
              <w:t>废气</w:t>
            </w:r>
            <w:r>
              <w:rPr>
                <w:rFonts w:hint="eastAsia" w:cs="Times New Roman"/>
                <w:b/>
                <w:bCs/>
                <w:color w:val="auto"/>
                <w:sz w:val="24"/>
                <w:u w:val="none"/>
                <w:lang w:val="en-US" w:eastAsia="zh-CN"/>
              </w:rPr>
              <w:t>：</w:t>
            </w:r>
          </w:p>
          <w:p w14:paraId="2EC47B2A">
            <w:pPr>
              <w:pStyle w:val="42"/>
              <w:keepNext w:val="0"/>
              <w:keepLines w:val="0"/>
              <w:pageBreakBefore w:val="0"/>
              <w:widowControl w:val="0"/>
              <w:kinsoku/>
              <w:wordWrap/>
              <w:overflowPunct/>
              <w:topLinePunct w:val="0"/>
              <w:autoSpaceDE/>
              <w:autoSpaceDN/>
              <w:bidi w:val="0"/>
              <w:adjustRightInd/>
              <w:spacing w:line="500" w:lineRule="exact"/>
              <w:ind w:firstLine="480" w:firstLineChars="200"/>
              <w:textAlignment w:val="auto"/>
              <w:rPr>
                <w:rFonts w:ascii="Times New Roman" w:hAnsi="Times New Roman" w:eastAsia="黑体" w:cs="Times New Roman"/>
                <w:color w:val="auto"/>
                <w:u w:val="none"/>
              </w:rPr>
            </w:pPr>
            <w:r>
              <w:rPr>
                <w:rFonts w:hint="eastAsia" w:ascii="Times New Roman" w:hAnsi="Times New Roman" w:eastAsia="宋体" w:cs="Times New Roman"/>
                <w:color w:val="auto"/>
                <w:kern w:val="2"/>
                <w:sz w:val="24"/>
                <w:szCs w:val="24"/>
                <w:u w:val="none"/>
                <w:lang w:val="en-US" w:eastAsia="zh-CN" w:bidi="ar-SA"/>
              </w:rPr>
              <w:t>颗粒物、氮氧化物、CO、NMHC有组织排放执行《重型柴油车污染物排放限值及测量方法》（GB17691-2018）。标准具体数值见下表。</w:t>
            </w:r>
          </w:p>
          <w:p w14:paraId="5820C3AB">
            <w:pPr>
              <w:pStyle w:val="42"/>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auto"/>
                <w:u w:val="none"/>
              </w:rPr>
            </w:pPr>
            <w:r>
              <w:rPr>
                <w:rFonts w:hint="eastAsia" w:ascii="Times New Roman" w:hAnsi="Times New Roman" w:eastAsia="黑体" w:cs="Times New Roman"/>
                <w:color w:val="auto"/>
                <w:kern w:val="2"/>
                <w:sz w:val="24"/>
                <w:szCs w:val="20"/>
                <w:highlight w:val="none"/>
                <w:u w:val="none"/>
                <w:lang w:val="en-US" w:eastAsia="zh-CN" w:bidi="ar-SA"/>
              </w:rPr>
              <w:t>表3-5 重型柴油车污染物排放限值标准</w:t>
            </w:r>
          </w:p>
          <w:tbl>
            <w:tblPr>
              <w:tblStyle w:val="33"/>
              <w:tblW w:w="7275" w:type="dxa"/>
              <w:jc w:val="center"/>
              <w:tblBorders>
                <w:top w:val="single" w:color="000000" w:sz="4" w:space="0"/>
                <w:left w:val="single" w:color="000000" w:sz="6" w:space="0"/>
                <w:bottom w:val="single" w:color="auto" w:sz="4" w:space="0"/>
                <w:right w:val="single" w:color="000000" w:sz="6" w:space="0"/>
                <w:insideH w:val="single" w:color="000000" w:sz="6" w:space="0"/>
                <w:insideV w:val="single" w:color="auto" w:sz="4" w:space="0"/>
              </w:tblBorders>
              <w:tblLayout w:type="fixed"/>
              <w:tblCellMar>
                <w:top w:w="0" w:type="dxa"/>
                <w:left w:w="108" w:type="dxa"/>
                <w:bottom w:w="0" w:type="dxa"/>
                <w:right w:w="108" w:type="dxa"/>
              </w:tblCellMar>
            </w:tblPr>
            <w:tblGrid>
              <w:gridCol w:w="1695"/>
              <w:gridCol w:w="2738"/>
              <w:gridCol w:w="2842"/>
            </w:tblGrid>
            <w:tr w14:paraId="777CD91E">
              <w:tblPrEx>
                <w:tblBorders>
                  <w:top w:val="single" w:color="000000" w:sz="4" w:space="0"/>
                  <w:left w:val="single" w:color="000000" w:sz="6" w:space="0"/>
                  <w:bottom w:val="single" w:color="auto" w:sz="4" w:space="0"/>
                  <w:right w:val="single" w:color="000000" w:sz="6" w:space="0"/>
                  <w:insideH w:val="single" w:color="000000" w:sz="6" w:space="0"/>
                  <w:insideV w:val="single" w:color="auto" w:sz="4" w:space="0"/>
                </w:tblBorders>
                <w:tblCellMar>
                  <w:top w:w="0" w:type="dxa"/>
                  <w:left w:w="108" w:type="dxa"/>
                  <w:bottom w:w="0" w:type="dxa"/>
                  <w:right w:w="108" w:type="dxa"/>
                </w:tblCellMar>
              </w:tblPrEx>
              <w:trPr>
                <w:trHeight w:val="359" w:hRule="atLeast"/>
                <w:jc w:val="center"/>
              </w:trPr>
              <w:tc>
                <w:tcPr>
                  <w:tcW w:w="1695" w:type="dxa"/>
                  <w:tcBorders>
                    <w:tl2br w:val="nil"/>
                    <w:tr2bl w:val="nil"/>
                  </w:tcBorders>
                  <w:vAlign w:val="center"/>
                </w:tcPr>
                <w:p w14:paraId="0B77CD88">
                  <w:pPr>
                    <w:pStyle w:val="98"/>
                    <w:spacing w:line="240" w:lineRule="auto"/>
                    <w:ind w:firstLine="0" w:firstLineChars="0"/>
                    <w:jc w:val="center"/>
                    <w:rPr>
                      <w:rFonts w:hint="eastAsia" w:ascii="Times New Roman" w:hAnsi="Times New Roman" w:eastAsia="宋体" w:cs="Times New Roman"/>
                      <w:b/>
                      <w:bCs/>
                      <w:color w:val="auto"/>
                      <w:sz w:val="21"/>
                      <w:szCs w:val="21"/>
                      <w:u w:val="none"/>
                      <w:lang w:val="en-US" w:eastAsia="zh-CN"/>
                    </w:rPr>
                  </w:pPr>
                  <w:r>
                    <w:rPr>
                      <w:rFonts w:hint="eastAsia" w:ascii="Times New Roman" w:hAnsi="Times New Roman" w:eastAsia="宋体" w:cs="Times New Roman"/>
                      <w:b/>
                      <w:bCs/>
                      <w:color w:val="auto"/>
                      <w:sz w:val="21"/>
                      <w:szCs w:val="21"/>
                      <w:u w:val="none"/>
                      <w:lang w:val="en-US" w:eastAsia="zh-CN"/>
                    </w:rPr>
                    <w:t>污染物</w:t>
                  </w:r>
                </w:p>
              </w:tc>
              <w:tc>
                <w:tcPr>
                  <w:tcW w:w="2738" w:type="dxa"/>
                  <w:tcBorders>
                    <w:tl2br w:val="nil"/>
                    <w:tr2bl w:val="nil"/>
                  </w:tcBorders>
                  <w:vAlign w:val="center"/>
                </w:tcPr>
                <w:p w14:paraId="4DF1C4C0">
                  <w:pPr>
                    <w:pStyle w:val="98"/>
                    <w:spacing w:line="240" w:lineRule="auto"/>
                    <w:ind w:firstLine="0" w:firstLineChars="0"/>
                    <w:jc w:val="center"/>
                    <w:rPr>
                      <w:rFonts w:hint="eastAsia" w:ascii="Times New Roman" w:hAnsi="Times New Roman" w:eastAsia="宋体" w:cs="Times New Roman"/>
                      <w:b/>
                      <w:bCs/>
                      <w:color w:val="auto"/>
                      <w:sz w:val="21"/>
                      <w:szCs w:val="21"/>
                      <w:u w:val="none"/>
                      <w:lang w:val="en-US" w:eastAsia="zh-CN"/>
                    </w:rPr>
                  </w:pPr>
                  <w:r>
                    <w:rPr>
                      <w:rFonts w:hint="eastAsia" w:ascii="Times New Roman" w:hAnsi="Times New Roman" w:eastAsia="宋体" w:cs="Times New Roman"/>
                      <w:b/>
                      <w:bCs/>
                      <w:color w:val="auto"/>
                      <w:sz w:val="21"/>
                      <w:szCs w:val="21"/>
                      <w:u w:val="none"/>
                      <w:lang w:val="en-US" w:eastAsia="zh-CN"/>
                    </w:rPr>
                    <w:t>标准</w:t>
                  </w:r>
                </w:p>
              </w:tc>
              <w:tc>
                <w:tcPr>
                  <w:tcW w:w="2842" w:type="dxa"/>
                  <w:tcBorders>
                    <w:tl2br w:val="nil"/>
                    <w:tr2bl w:val="nil"/>
                  </w:tcBorders>
                  <w:vAlign w:val="center"/>
                </w:tcPr>
                <w:p w14:paraId="3FCE32FE">
                  <w:pPr>
                    <w:pStyle w:val="98"/>
                    <w:spacing w:line="240" w:lineRule="auto"/>
                    <w:ind w:firstLine="0" w:firstLineChars="0"/>
                    <w:jc w:val="center"/>
                    <w:rPr>
                      <w:rFonts w:hint="eastAsia" w:ascii="Times New Roman" w:hAnsi="Times New Roman" w:eastAsia="宋体" w:cs="Times New Roman"/>
                      <w:b/>
                      <w:bCs/>
                      <w:color w:val="auto"/>
                      <w:sz w:val="21"/>
                      <w:szCs w:val="21"/>
                      <w:u w:val="none"/>
                      <w:lang w:val="en-US" w:eastAsia="zh-CN"/>
                    </w:rPr>
                  </w:pPr>
                  <w:r>
                    <w:rPr>
                      <w:rFonts w:hint="eastAsia" w:ascii="Times New Roman" w:hAnsi="Times New Roman" w:eastAsia="宋体" w:cs="Times New Roman"/>
                      <w:b/>
                      <w:bCs/>
                      <w:color w:val="auto"/>
                      <w:sz w:val="21"/>
                      <w:szCs w:val="21"/>
                      <w:u w:val="none"/>
                      <w:lang w:val="en-US" w:eastAsia="zh-CN"/>
                    </w:rPr>
                    <w:t>排放浓度限值（mg/kwh）</w:t>
                  </w:r>
                </w:p>
              </w:tc>
            </w:tr>
            <w:tr w14:paraId="66C3244C">
              <w:tblPrEx>
                <w:tblBorders>
                  <w:top w:val="single" w:color="000000" w:sz="4" w:space="0"/>
                  <w:left w:val="single" w:color="000000" w:sz="6" w:space="0"/>
                  <w:bottom w:val="single" w:color="auto" w:sz="4" w:space="0"/>
                  <w:right w:val="single" w:color="000000" w:sz="6" w:space="0"/>
                  <w:insideH w:val="single" w:color="000000" w:sz="6" w:space="0"/>
                  <w:insideV w:val="single" w:color="auto" w:sz="4" w:space="0"/>
                </w:tblBorders>
                <w:tblCellMar>
                  <w:top w:w="0" w:type="dxa"/>
                  <w:left w:w="108" w:type="dxa"/>
                  <w:bottom w:w="0" w:type="dxa"/>
                  <w:right w:w="108" w:type="dxa"/>
                </w:tblCellMar>
              </w:tblPrEx>
              <w:trPr>
                <w:trHeight w:val="417" w:hRule="atLeast"/>
                <w:jc w:val="center"/>
              </w:trPr>
              <w:tc>
                <w:tcPr>
                  <w:tcW w:w="1695" w:type="dxa"/>
                  <w:tcBorders>
                    <w:tl2br w:val="nil"/>
                    <w:tr2bl w:val="nil"/>
                  </w:tcBorders>
                  <w:vAlign w:val="center"/>
                </w:tcPr>
                <w:p w14:paraId="4A832637">
                  <w:pPr>
                    <w:pStyle w:val="98"/>
                    <w:spacing w:line="240" w:lineRule="auto"/>
                    <w:ind w:firstLine="0" w:firstLineChars="0"/>
                    <w:jc w:val="center"/>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颗粒物</w:t>
                  </w:r>
                </w:p>
              </w:tc>
              <w:tc>
                <w:tcPr>
                  <w:tcW w:w="2738" w:type="dxa"/>
                  <w:vMerge w:val="restart"/>
                  <w:tcBorders>
                    <w:tl2br w:val="nil"/>
                    <w:tr2bl w:val="nil"/>
                  </w:tcBorders>
                  <w:vAlign w:val="center"/>
                </w:tcPr>
                <w:p w14:paraId="6470025E">
                  <w:pPr>
                    <w:pStyle w:val="98"/>
                    <w:spacing w:line="240" w:lineRule="auto"/>
                    <w:ind w:firstLine="0" w:firstLineChars="0"/>
                    <w:jc w:val="center"/>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《重型柴油车污染物排放限值及测量方法（中国第六阶段）》GB17691-2018</w:t>
                  </w:r>
                </w:p>
              </w:tc>
              <w:tc>
                <w:tcPr>
                  <w:tcW w:w="2842" w:type="dxa"/>
                  <w:tcBorders>
                    <w:tl2br w:val="nil"/>
                    <w:tr2bl w:val="nil"/>
                  </w:tcBorders>
                  <w:vAlign w:val="center"/>
                </w:tcPr>
                <w:p w14:paraId="3B186406">
                  <w:pPr>
                    <w:pStyle w:val="98"/>
                    <w:spacing w:line="240" w:lineRule="auto"/>
                    <w:ind w:firstLine="0" w:firstLineChars="0"/>
                    <w:jc w:val="center"/>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16</w:t>
                  </w:r>
                </w:p>
              </w:tc>
            </w:tr>
            <w:tr w14:paraId="002C717D">
              <w:tblPrEx>
                <w:tblBorders>
                  <w:top w:val="single" w:color="000000" w:sz="4" w:space="0"/>
                  <w:left w:val="single" w:color="000000" w:sz="6" w:space="0"/>
                  <w:bottom w:val="single" w:color="auto" w:sz="4" w:space="0"/>
                  <w:right w:val="single" w:color="000000" w:sz="6" w:space="0"/>
                  <w:insideH w:val="single" w:color="000000" w:sz="6" w:space="0"/>
                  <w:insideV w:val="single" w:color="auto" w:sz="4" w:space="0"/>
                </w:tblBorders>
                <w:tblCellMar>
                  <w:top w:w="0" w:type="dxa"/>
                  <w:left w:w="108" w:type="dxa"/>
                  <w:bottom w:w="0" w:type="dxa"/>
                  <w:right w:w="108" w:type="dxa"/>
                </w:tblCellMar>
              </w:tblPrEx>
              <w:trPr>
                <w:trHeight w:val="418" w:hRule="atLeast"/>
                <w:jc w:val="center"/>
              </w:trPr>
              <w:tc>
                <w:tcPr>
                  <w:tcW w:w="1695" w:type="dxa"/>
                  <w:tcBorders>
                    <w:tl2br w:val="nil"/>
                    <w:tr2bl w:val="nil"/>
                  </w:tcBorders>
                  <w:vAlign w:val="center"/>
                </w:tcPr>
                <w:p w14:paraId="6A5FF4EF">
                  <w:pPr>
                    <w:pStyle w:val="98"/>
                    <w:spacing w:line="240" w:lineRule="auto"/>
                    <w:ind w:firstLine="0" w:firstLineChars="0"/>
                    <w:jc w:val="center"/>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一氧化碳</w:t>
                  </w:r>
                </w:p>
              </w:tc>
              <w:tc>
                <w:tcPr>
                  <w:tcW w:w="2738" w:type="dxa"/>
                  <w:vMerge w:val="continue"/>
                  <w:tcBorders>
                    <w:tl2br w:val="nil"/>
                    <w:tr2bl w:val="nil"/>
                  </w:tcBorders>
                  <w:vAlign w:val="center"/>
                </w:tcPr>
                <w:p w14:paraId="01196AC5">
                  <w:pPr>
                    <w:pStyle w:val="98"/>
                    <w:spacing w:line="240" w:lineRule="auto"/>
                    <w:ind w:firstLine="0" w:firstLineChars="0"/>
                    <w:jc w:val="center"/>
                    <w:rPr>
                      <w:rFonts w:hint="eastAsia" w:ascii="Times New Roman" w:hAnsi="Times New Roman" w:eastAsia="宋体" w:cs="Times New Roman"/>
                      <w:color w:val="auto"/>
                      <w:sz w:val="21"/>
                      <w:szCs w:val="21"/>
                      <w:u w:val="none"/>
                      <w:lang w:val="en-US" w:eastAsia="zh-CN"/>
                    </w:rPr>
                  </w:pPr>
                </w:p>
              </w:tc>
              <w:tc>
                <w:tcPr>
                  <w:tcW w:w="2842" w:type="dxa"/>
                  <w:tcBorders>
                    <w:tl2br w:val="nil"/>
                    <w:tr2bl w:val="nil"/>
                  </w:tcBorders>
                  <w:vAlign w:val="center"/>
                </w:tcPr>
                <w:p w14:paraId="40E1DFC5">
                  <w:pPr>
                    <w:pStyle w:val="98"/>
                    <w:spacing w:line="240" w:lineRule="auto"/>
                    <w:ind w:firstLine="0" w:firstLineChars="0"/>
                    <w:jc w:val="center"/>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2000</w:t>
                  </w:r>
                </w:p>
              </w:tc>
            </w:tr>
            <w:tr w14:paraId="10680BD0">
              <w:tblPrEx>
                <w:tblBorders>
                  <w:top w:val="single" w:color="000000" w:sz="4" w:space="0"/>
                  <w:left w:val="single" w:color="000000" w:sz="6" w:space="0"/>
                  <w:bottom w:val="single" w:color="auto" w:sz="4" w:space="0"/>
                  <w:right w:val="single" w:color="000000" w:sz="6" w:space="0"/>
                  <w:insideH w:val="single" w:color="000000" w:sz="6" w:space="0"/>
                  <w:insideV w:val="single" w:color="auto" w:sz="4" w:space="0"/>
                </w:tblBorders>
                <w:tblCellMar>
                  <w:top w:w="0" w:type="dxa"/>
                  <w:left w:w="108" w:type="dxa"/>
                  <w:bottom w:w="0" w:type="dxa"/>
                  <w:right w:w="108" w:type="dxa"/>
                </w:tblCellMar>
              </w:tblPrEx>
              <w:trPr>
                <w:trHeight w:val="392" w:hRule="atLeast"/>
                <w:jc w:val="center"/>
              </w:trPr>
              <w:tc>
                <w:tcPr>
                  <w:tcW w:w="1695" w:type="dxa"/>
                  <w:tcBorders>
                    <w:tl2br w:val="nil"/>
                    <w:tr2bl w:val="nil"/>
                  </w:tcBorders>
                  <w:vAlign w:val="center"/>
                </w:tcPr>
                <w:p w14:paraId="210E6E26">
                  <w:pPr>
                    <w:pStyle w:val="98"/>
                    <w:spacing w:line="240" w:lineRule="auto"/>
                    <w:ind w:firstLine="0" w:firstLineChars="0"/>
                    <w:jc w:val="center"/>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氮氧化物</w:t>
                  </w:r>
                </w:p>
              </w:tc>
              <w:tc>
                <w:tcPr>
                  <w:tcW w:w="2738" w:type="dxa"/>
                  <w:vMerge w:val="continue"/>
                  <w:tcBorders>
                    <w:tl2br w:val="nil"/>
                    <w:tr2bl w:val="nil"/>
                  </w:tcBorders>
                  <w:vAlign w:val="center"/>
                </w:tcPr>
                <w:p w14:paraId="556FAE24">
                  <w:pPr>
                    <w:pStyle w:val="98"/>
                    <w:spacing w:line="240" w:lineRule="auto"/>
                    <w:ind w:firstLine="0" w:firstLineChars="0"/>
                    <w:jc w:val="center"/>
                    <w:rPr>
                      <w:rFonts w:hint="eastAsia" w:ascii="Times New Roman" w:hAnsi="Times New Roman" w:eastAsia="宋体" w:cs="Times New Roman"/>
                      <w:color w:val="auto"/>
                      <w:sz w:val="21"/>
                      <w:szCs w:val="21"/>
                      <w:u w:val="none"/>
                      <w:lang w:val="en-US" w:eastAsia="zh-CN"/>
                    </w:rPr>
                  </w:pPr>
                </w:p>
              </w:tc>
              <w:tc>
                <w:tcPr>
                  <w:tcW w:w="2842" w:type="dxa"/>
                  <w:tcBorders>
                    <w:tl2br w:val="nil"/>
                    <w:tr2bl w:val="nil"/>
                  </w:tcBorders>
                  <w:vAlign w:val="center"/>
                </w:tcPr>
                <w:p w14:paraId="385326BB">
                  <w:pPr>
                    <w:pStyle w:val="98"/>
                    <w:spacing w:line="240" w:lineRule="auto"/>
                    <w:ind w:firstLine="0" w:firstLineChars="0"/>
                    <w:jc w:val="center"/>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600</w:t>
                  </w:r>
                </w:p>
              </w:tc>
            </w:tr>
            <w:tr w14:paraId="1C96986C">
              <w:tblPrEx>
                <w:tblBorders>
                  <w:top w:val="single" w:color="000000" w:sz="4" w:space="0"/>
                  <w:left w:val="single" w:color="000000" w:sz="6" w:space="0"/>
                  <w:bottom w:val="single" w:color="auto" w:sz="4" w:space="0"/>
                  <w:right w:val="single" w:color="000000" w:sz="6" w:space="0"/>
                  <w:insideH w:val="single" w:color="000000" w:sz="6" w:space="0"/>
                  <w:insideV w:val="single" w:color="auto" w:sz="4" w:space="0"/>
                </w:tblBorders>
                <w:tblCellMar>
                  <w:top w:w="0" w:type="dxa"/>
                  <w:left w:w="108" w:type="dxa"/>
                  <w:bottom w:w="0" w:type="dxa"/>
                  <w:right w:w="108" w:type="dxa"/>
                </w:tblCellMar>
              </w:tblPrEx>
              <w:trPr>
                <w:trHeight w:val="397" w:hRule="atLeast"/>
                <w:jc w:val="center"/>
              </w:trPr>
              <w:tc>
                <w:tcPr>
                  <w:tcW w:w="1695" w:type="dxa"/>
                  <w:tcBorders>
                    <w:tl2br w:val="nil"/>
                    <w:tr2bl w:val="nil"/>
                  </w:tcBorders>
                  <w:vAlign w:val="center"/>
                </w:tcPr>
                <w:p w14:paraId="498E4262">
                  <w:pPr>
                    <w:pStyle w:val="98"/>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NMHC</w:t>
                  </w:r>
                </w:p>
              </w:tc>
              <w:tc>
                <w:tcPr>
                  <w:tcW w:w="2738" w:type="dxa"/>
                  <w:vMerge w:val="continue"/>
                  <w:tcBorders>
                    <w:tl2br w:val="nil"/>
                    <w:tr2bl w:val="nil"/>
                  </w:tcBorders>
                  <w:vAlign w:val="center"/>
                </w:tcPr>
                <w:p w14:paraId="297CFD2D">
                  <w:pPr>
                    <w:pStyle w:val="98"/>
                    <w:spacing w:line="240" w:lineRule="auto"/>
                    <w:ind w:firstLine="0" w:firstLineChars="0"/>
                    <w:jc w:val="center"/>
                    <w:rPr>
                      <w:rFonts w:hint="eastAsia" w:ascii="Times New Roman" w:hAnsi="Times New Roman" w:eastAsia="宋体" w:cs="Times New Roman"/>
                      <w:color w:val="auto"/>
                      <w:sz w:val="21"/>
                      <w:szCs w:val="21"/>
                      <w:u w:val="none"/>
                      <w:lang w:val="en-US" w:eastAsia="zh-CN"/>
                    </w:rPr>
                  </w:pPr>
                </w:p>
              </w:tc>
              <w:tc>
                <w:tcPr>
                  <w:tcW w:w="2842" w:type="dxa"/>
                  <w:tcBorders>
                    <w:tl2br w:val="nil"/>
                    <w:tr2bl w:val="nil"/>
                  </w:tcBorders>
                  <w:vAlign w:val="center"/>
                </w:tcPr>
                <w:p w14:paraId="26FE4F42">
                  <w:pPr>
                    <w:pStyle w:val="98"/>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160</w:t>
                  </w:r>
                </w:p>
              </w:tc>
            </w:tr>
          </w:tbl>
          <w:p w14:paraId="72625C3F">
            <w:pPr>
              <w:keepNext w:val="0"/>
              <w:keepLines w:val="0"/>
              <w:pageBreakBefore w:val="0"/>
              <w:widowControl w:val="0"/>
              <w:kinsoku/>
              <w:wordWrap/>
              <w:overflowPunct/>
              <w:topLinePunct w:val="0"/>
              <w:autoSpaceDE/>
              <w:autoSpaceDN/>
              <w:bidi w:val="0"/>
              <w:adjustRightInd/>
              <w:snapToGrid/>
              <w:spacing w:line="500" w:lineRule="exact"/>
              <w:ind w:left="0" w:firstLine="482" w:firstLineChars="200"/>
              <w:textAlignment w:val="auto"/>
              <w:rPr>
                <w:rFonts w:hint="eastAsia" w:ascii="Times New Roman" w:hAnsi="Times New Roman" w:eastAsia="宋体" w:cs="Times New Roman"/>
                <w:b/>
                <w:bCs/>
                <w:color w:val="auto"/>
                <w:sz w:val="24"/>
                <w:szCs w:val="20"/>
                <w:highlight w:val="none"/>
                <w:u w:val="none"/>
                <w:lang w:val="en-US" w:eastAsia="zh-CN"/>
              </w:rPr>
            </w:pPr>
            <w:r>
              <w:rPr>
                <w:rFonts w:hint="eastAsia" w:ascii="Times New Roman" w:hAnsi="Times New Roman" w:eastAsia="宋体" w:cs="Times New Roman"/>
                <w:b/>
                <w:bCs/>
                <w:color w:val="auto"/>
                <w:sz w:val="24"/>
                <w:szCs w:val="20"/>
                <w:highlight w:val="none"/>
                <w:u w:val="none"/>
                <w:lang w:val="en-US" w:eastAsia="zh-CN"/>
              </w:rPr>
              <w:t>废水：</w:t>
            </w:r>
          </w:p>
          <w:p w14:paraId="762FF0F9">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left="0" w:leftChars="0" w:firstLine="480" w:firstLineChars="200"/>
              <w:textAlignment w:val="auto"/>
              <w:rPr>
                <w:rFonts w:ascii="Times New Roman" w:hAnsi="Times New Roman" w:cs="Times New Roman"/>
                <w:b/>
                <w:bCs/>
                <w:color w:val="auto"/>
                <w:sz w:val="24"/>
                <w:szCs w:val="20"/>
                <w:highlight w:val="none"/>
                <w:u w:val="none"/>
              </w:rPr>
            </w:pPr>
            <w:r>
              <w:rPr>
                <w:rFonts w:ascii="Times New Roman" w:hAnsi="Times New Roman" w:eastAsia="宋体" w:cs="Times New Roman"/>
                <w:color w:val="auto"/>
                <w:sz w:val="24"/>
                <w:highlight w:val="none"/>
                <w:u w:val="none"/>
              </w:rPr>
              <w:t>本项目</w:t>
            </w:r>
            <w:r>
              <w:rPr>
                <w:rFonts w:hint="eastAsia" w:ascii="Times New Roman" w:hAnsi="Times New Roman" w:eastAsia="宋体" w:cs="Times New Roman"/>
                <w:color w:val="auto"/>
                <w:sz w:val="24"/>
                <w:u w:val="none"/>
                <w:lang w:val="en-US" w:eastAsia="zh-CN"/>
              </w:rPr>
              <w:t>无生活污水</w:t>
            </w:r>
            <w:r>
              <w:rPr>
                <w:rFonts w:hint="eastAsia" w:ascii="Times New Roman" w:hAnsi="Times New Roman" w:cs="Times New Roman"/>
                <w:color w:val="auto"/>
                <w:sz w:val="24"/>
                <w:u w:val="none"/>
                <w:lang w:val="en-US" w:eastAsia="zh-CN"/>
              </w:rPr>
              <w:t>及</w:t>
            </w:r>
            <w:r>
              <w:rPr>
                <w:rFonts w:hint="eastAsia" w:ascii="Times New Roman" w:hAnsi="Times New Roman" w:eastAsia="宋体" w:cs="Times New Roman"/>
                <w:color w:val="auto"/>
                <w:sz w:val="24"/>
                <w:u w:val="none"/>
                <w:lang w:val="en-US" w:eastAsia="zh-CN"/>
              </w:rPr>
              <w:t>生产废水</w:t>
            </w:r>
            <w:r>
              <w:rPr>
                <w:rFonts w:hint="eastAsia" w:ascii="Times New Roman" w:hAnsi="Times New Roman" w:eastAsia="宋体" w:cs="Times New Roman"/>
                <w:color w:val="auto"/>
                <w:sz w:val="24"/>
                <w:u w:val="none"/>
                <w:lang w:eastAsia="zh-CN"/>
              </w:rPr>
              <w:t>外排</w:t>
            </w:r>
            <w:r>
              <w:rPr>
                <w:rFonts w:ascii="Times New Roman" w:hAnsi="Times New Roman" w:cs="Times New Roman"/>
                <w:color w:val="auto"/>
                <w:sz w:val="24"/>
                <w:u w:val="none"/>
              </w:rPr>
              <w:t>。</w:t>
            </w:r>
          </w:p>
          <w:p w14:paraId="4A6414DA">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eastAsia" w:ascii="Times New Roman" w:hAnsi="Times New Roman" w:eastAsia="宋体" w:cs="Times New Roman"/>
                <w:b/>
                <w:color w:val="auto"/>
                <w:sz w:val="24"/>
                <w:u w:val="none"/>
                <w:lang w:eastAsia="zh-CN"/>
              </w:rPr>
            </w:pPr>
            <w:r>
              <w:rPr>
                <w:rFonts w:hint="eastAsia" w:ascii="Times New Roman" w:hAnsi="Times New Roman" w:cs="Times New Roman"/>
                <w:b/>
                <w:color w:val="auto"/>
                <w:sz w:val="24"/>
                <w:u w:val="none"/>
              </w:rPr>
              <w:t>噪声</w:t>
            </w:r>
            <w:r>
              <w:rPr>
                <w:rFonts w:hint="eastAsia" w:cs="Times New Roman"/>
                <w:b/>
                <w:color w:val="auto"/>
                <w:sz w:val="24"/>
                <w:u w:val="none"/>
                <w:lang w:eastAsia="zh-CN"/>
              </w:rPr>
              <w:t>：</w:t>
            </w:r>
          </w:p>
          <w:p w14:paraId="69B45BE2">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cs="Times New Roman"/>
                <w:color w:val="auto"/>
                <w:sz w:val="24"/>
                <w:u w:val="none"/>
              </w:rPr>
            </w:pPr>
            <w:r>
              <w:rPr>
                <w:rFonts w:hint="eastAsia" w:ascii="Times New Roman" w:hAnsi="Times New Roman" w:cs="Times New Roman"/>
                <w:color w:val="auto"/>
                <w:sz w:val="24"/>
                <w:u w:val="none"/>
              </w:rPr>
              <w:t>营运期执行《工业企业厂界环境噪声排放标准》（GB12348－2008）</w:t>
            </w:r>
            <w:r>
              <w:rPr>
                <w:rFonts w:hint="eastAsia" w:cs="Times New Roman"/>
                <w:color w:val="auto"/>
                <w:sz w:val="24"/>
                <w:u w:val="none"/>
                <w:lang w:val="en-US" w:eastAsia="zh-CN"/>
              </w:rPr>
              <w:t>2</w:t>
            </w:r>
            <w:r>
              <w:rPr>
                <w:rFonts w:hint="eastAsia" w:ascii="Times New Roman" w:hAnsi="Times New Roman" w:cs="Times New Roman"/>
                <w:color w:val="auto"/>
                <w:sz w:val="24"/>
                <w:u w:val="none"/>
                <w:lang w:val="en-US" w:eastAsia="zh-CN"/>
              </w:rPr>
              <w:t>类</w:t>
            </w:r>
            <w:r>
              <w:rPr>
                <w:rFonts w:hint="eastAsia" w:ascii="Times New Roman" w:hAnsi="Times New Roman" w:cs="Times New Roman"/>
                <w:color w:val="auto"/>
                <w:sz w:val="24"/>
                <w:u w:val="none"/>
              </w:rPr>
              <w:t>限值要求。</w:t>
            </w:r>
          </w:p>
          <w:p w14:paraId="17412902">
            <w:pPr>
              <w:spacing w:line="520" w:lineRule="exact"/>
              <w:jc w:val="center"/>
              <w:rPr>
                <w:rFonts w:ascii="Times New Roman" w:hAnsi="Times New Roman" w:eastAsia="黑体" w:cs="Times New Roman"/>
                <w:color w:val="auto"/>
                <w:sz w:val="24"/>
                <w:u w:val="none"/>
              </w:rPr>
            </w:pPr>
            <w:r>
              <w:rPr>
                <w:rFonts w:ascii="Times New Roman" w:hAnsi="Times New Roman" w:eastAsia="黑体" w:cs="Times New Roman"/>
                <w:color w:val="auto"/>
                <w:sz w:val="24"/>
                <w:u w:val="none"/>
              </w:rPr>
              <w:t>表</w:t>
            </w:r>
            <w:r>
              <w:rPr>
                <w:rFonts w:hint="eastAsia" w:eastAsia="黑体" w:cs="Times New Roman"/>
                <w:color w:val="auto"/>
                <w:sz w:val="24"/>
                <w:u w:val="none"/>
                <w:lang w:val="en-US" w:eastAsia="zh-CN"/>
              </w:rPr>
              <w:t>3-6</w:t>
            </w:r>
            <w:r>
              <w:rPr>
                <w:rFonts w:ascii="Times New Roman" w:hAnsi="Times New Roman" w:eastAsia="黑体" w:cs="Times New Roman"/>
                <w:color w:val="auto"/>
                <w:sz w:val="24"/>
                <w:u w:val="none"/>
              </w:rPr>
              <w:t xml:space="preserve"> 工业企业厂界噪声排放标准</w:t>
            </w:r>
            <w:r>
              <w:rPr>
                <w:rFonts w:ascii="Times New Roman" w:hAnsi="Times New Roman" w:eastAsia="黑体" w:cs="Times New Roman"/>
                <w:color w:val="auto"/>
                <w:sz w:val="24"/>
                <w:szCs w:val="24"/>
                <w:u w:val="none"/>
              </w:rPr>
              <w:t xml:space="preserve"> 等效声级L</w:t>
            </w:r>
            <w:r>
              <w:rPr>
                <w:rFonts w:ascii="Times New Roman" w:hAnsi="Times New Roman" w:eastAsia="黑体" w:cs="Times New Roman"/>
                <w:color w:val="auto"/>
                <w:sz w:val="24"/>
                <w:szCs w:val="24"/>
                <w:u w:val="none"/>
                <w:vertAlign w:val="subscript"/>
              </w:rPr>
              <w:t>Aeq</w:t>
            </w:r>
            <w:r>
              <w:rPr>
                <w:rFonts w:ascii="Times New Roman" w:hAnsi="Times New Roman" w:eastAsia="黑体" w:cs="Times New Roman"/>
                <w:color w:val="auto"/>
                <w:sz w:val="24"/>
                <w:szCs w:val="24"/>
                <w:u w:val="none"/>
              </w:rPr>
              <w:t>：dB（A）</w:t>
            </w:r>
          </w:p>
          <w:tbl>
            <w:tblPr>
              <w:tblStyle w:val="32"/>
              <w:tblW w:w="5887"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807"/>
              <w:gridCol w:w="2050"/>
              <w:gridCol w:w="2030"/>
            </w:tblGrid>
            <w:tr w14:paraId="3A8FAE2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76" w:hRule="atLeast"/>
                <w:jc w:val="center"/>
              </w:trPr>
              <w:tc>
                <w:tcPr>
                  <w:tcW w:w="1807" w:type="dxa"/>
                  <w:tcBorders>
                    <w:tl2br w:val="nil"/>
                    <w:tr2bl w:val="nil"/>
                  </w:tcBorders>
                  <w:vAlign w:val="center"/>
                </w:tcPr>
                <w:p w14:paraId="7AC8FFBF">
                  <w:pPr>
                    <w:spacing w:line="276" w:lineRule="auto"/>
                    <w:jc w:val="center"/>
                    <w:rPr>
                      <w:rFonts w:ascii="Times New Roman" w:hAnsi="Times New Roman" w:cs="Times New Roman"/>
                      <w:b/>
                      <w:bCs/>
                      <w:color w:val="auto"/>
                      <w:szCs w:val="21"/>
                      <w:u w:val="none"/>
                    </w:rPr>
                  </w:pPr>
                  <w:r>
                    <w:rPr>
                      <w:rFonts w:ascii="Times New Roman" w:hAnsi="Times New Roman" w:cs="Times New Roman"/>
                      <w:b/>
                      <w:bCs/>
                      <w:color w:val="auto"/>
                      <w:szCs w:val="21"/>
                      <w:u w:val="none"/>
                    </w:rPr>
                    <w:t>类别</w:t>
                  </w:r>
                </w:p>
              </w:tc>
              <w:tc>
                <w:tcPr>
                  <w:tcW w:w="2050" w:type="dxa"/>
                  <w:tcBorders>
                    <w:tl2br w:val="nil"/>
                    <w:tr2bl w:val="nil"/>
                  </w:tcBorders>
                  <w:vAlign w:val="center"/>
                </w:tcPr>
                <w:p w14:paraId="4F3EB7AE">
                  <w:pPr>
                    <w:spacing w:line="276" w:lineRule="auto"/>
                    <w:jc w:val="center"/>
                    <w:rPr>
                      <w:rFonts w:ascii="Times New Roman" w:hAnsi="Times New Roman" w:cs="Times New Roman"/>
                      <w:b/>
                      <w:bCs/>
                      <w:color w:val="auto"/>
                      <w:szCs w:val="21"/>
                      <w:u w:val="none"/>
                    </w:rPr>
                  </w:pPr>
                  <w:r>
                    <w:rPr>
                      <w:rFonts w:ascii="Times New Roman" w:hAnsi="Times New Roman" w:cs="Times New Roman"/>
                      <w:b/>
                      <w:bCs/>
                      <w:color w:val="auto"/>
                      <w:szCs w:val="21"/>
                      <w:u w:val="none"/>
                    </w:rPr>
                    <w:t>昼间</w:t>
                  </w:r>
                </w:p>
              </w:tc>
              <w:tc>
                <w:tcPr>
                  <w:tcW w:w="2030" w:type="dxa"/>
                  <w:tcBorders>
                    <w:tl2br w:val="nil"/>
                    <w:tr2bl w:val="nil"/>
                  </w:tcBorders>
                  <w:vAlign w:val="center"/>
                </w:tcPr>
                <w:p w14:paraId="49EBD7E3">
                  <w:pPr>
                    <w:spacing w:line="276" w:lineRule="auto"/>
                    <w:jc w:val="center"/>
                    <w:rPr>
                      <w:rFonts w:ascii="Times New Roman" w:hAnsi="Times New Roman" w:cs="Times New Roman"/>
                      <w:b/>
                      <w:bCs/>
                      <w:color w:val="auto"/>
                      <w:szCs w:val="21"/>
                      <w:u w:val="none"/>
                    </w:rPr>
                  </w:pPr>
                  <w:r>
                    <w:rPr>
                      <w:rFonts w:ascii="Times New Roman" w:hAnsi="Times New Roman" w:cs="Times New Roman"/>
                      <w:b/>
                      <w:bCs/>
                      <w:color w:val="auto"/>
                      <w:szCs w:val="21"/>
                      <w:u w:val="none"/>
                    </w:rPr>
                    <w:t>夜间</w:t>
                  </w:r>
                </w:p>
              </w:tc>
            </w:tr>
            <w:tr w14:paraId="3CD0212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1807" w:type="dxa"/>
                  <w:tcBorders>
                    <w:tl2br w:val="nil"/>
                    <w:tr2bl w:val="nil"/>
                  </w:tcBorders>
                  <w:vAlign w:val="center"/>
                </w:tcPr>
                <w:p w14:paraId="1CB43E75">
                  <w:pPr>
                    <w:pStyle w:val="98"/>
                    <w:spacing w:line="276" w:lineRule="auto"/>
                    <w:ind w:firstLine="0" w:firstLineChars="0"/>
                    <w:jc w:val="center"/>
                    <w:rPr>
                      <w:rFonts w:ascii="Times New Roman" w:hAnsi="Times New Roman" w:cs="Times New Roman"/>
                      <w:color w:val="auto"/>
                      <w:sz w:val="21"/>
                      <w:szCs w:val="21"/>
                      <w:u w:val="none"/>
                    </w:rPr>
                  </w:pPr>
                  <w:r>
                    <w:rPr>
                      <w:rFonts w:hint="eastAsia" w:ascii="Times New Roman" w:hAnsi="Times New Roman" w:cs="Times New Roman"/>
                      <w:color w:val="auto"/>
                      <w:sz w:val="21"/>
                      <w:szCs w:val="21"/>
                      <w:u w:val="none"/>
                      <w:lang w:val="en-US" w:eastAsia="zh-CN"/>
                    </w:rPr>
                    <w:t>2类</w:t>
                  </w:r>
                </w:p>
              </w:tc>
              <w:tc>
                <w:tcPr>
                  <w:tcW w:w="2050" w:type="dxa"/>
                  <w:tcBorders>
                    <w:tl2br w:val="nil"/>
                    <w:tr2bl w:val="nil"/>
                  </w:tcBorders>
                  <w:vAlign w:val="center"/>
                </w:tcPr>
                <w:p w14:paraId="26C91057">
                  <w:pPr>
                    <w:pStyle w:val="98"/>
                    <w:spacing w:line="276"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60</w:t>
                  </w:r>
                </w:p>
              </w:tc>
              <w:tc>
                <w:tcPr>
                  <w:tcW w:w="2030" w:type="dxa"/>
                  <w:tcBorders>
                    <w:tl2br w:val="nil"/>
                    <w:tr2bl w:val="nil"/>
                  </w:tcBorders>
                  <w:vAlign w:val="center"/>
                </w:tcPr>
                <w:p w14:paraId="779D27AD">
                  <w:pPr>
                    <w:pStyle w:val="98"/>
                    <w:spacing w:line="276"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50</w:t>
                  </w:r>
                </w:p>
              </w:tc>
            </w:tr>
          </w:tbl>
          <w:p w14:paraId="4A1A0577">
            <w:pPr>
              <w:keepNext w:val="0"/>
              <w:keepLines w:val="0"/>
              <w:pageBreakBefore w:val="0"/>
              <w:widowControl w:val="0"/>
              <w:kinsoku/>
              <w:wordWrap/>
              <w:overflowPunct/>
              <w:topLinePunct w:val="0"/>
              <w:autoSpaceDE/>
              <w:autoSpaceDN/>
              <w:bidi w:val="0"/>
              <w:adjustRightInd/>
              <w:snapToGrid/>
              <w:spacing w:line="500" w:lineRule="exact"/>
              <w:ind w:left="0" w:firstLine="482" w:firstLineChars="200"/>
              <w:textAlignment w:val="auto"/>
              <w:rPr>
                <w:rFonts w:hint="eastAsia" w:ascii="Times New Roman" w:hAnsi="Times New Roman" w:eastAsia="宋体" w:cs="Times New Roman"/>
                <w:b/>
                <w:color w:val="auto"/>
                <w:sz w:val="24"/>
                <w:u w:val="none"/>
                <w:lang w:eastAsia="zh-CN"/>
              </w:rPr>
            </w:pPr>
            <w:r>
              <w:rPr>
                <w:rFonts w:hint="eastAsia" w:ascii="Times New Roman" w:hAnsi="Times New Roman" w:cs="Times New Roman"/>
                <w:b/>
                <w:color w:val="auto"/>
                <w:sz w:val="24"/>
                <w:u w:val="none"/>
              </w:rPr>
              <w:t>固废</w:t>
            </w:r>
            <w:r>
              <w:rPr>
                <w:rFonts w:hint="eastAsia" w:cs="Times New Roman"/>
                <w:b/>
                <w:color w:val="auto"/>
                <w:sz w:val="24"/>
                <w:u w:val="none"/>
                <w:lang w:eastAsia="zh-CN"/>
              </w:rPr>
              <w:t>：</w:t>
            </w:r>
          </w:p>
          <w:p w14:paraId="4BE11954">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cs="Times New Roman"/>
                <w:color w:val="auto"/>
                <w:u w:val="none"/>
              </w:rPr>
            </w:pPr>
            <w:r>
              <w:rPr>
                <w:rFonts w:hint="eastAsia" w:cs="Times New Roman"/>
                <w:b w:val="0"/>
                <w:bCs/>
                <w:color w:val="auto"/>
                <w:sz w:val="24"/>
                <w:szCs w:val="24"/>
                <w:u w:val="none"/>
                <w:lang w:val="en-US" w:eastAsia="zh-CN"/>
              </w:rPr>
              <w:t>一般固体废物执行《一般工业固体废物贮存和填埋污染控制标准》（GB18599-2020）中的规定；</w:t>
            </w:r>
            <w:r>
              <w:rPr>
                <w:rFonts w:ascii="Times New Roman" w:hAnsi="Times New Roman" w:cs="Times New Roman"/>
                <w:b w:val="0"/>
                <w:bCs/>
                <w:color w:val="auto"/>
                <w:sz w:val="24"/>
                <w:szCs w:val="24"/>
                <w:u w:val="none"/>
              </w:rPr>
              <w:t>危险废物执行</w:t>
            </w:r>
            <w:r>
              <w:rPr>
                <w:rFonts w:hint="eastAsia" w:ascii="Times New Roman" w:hAnsi="Times New Roman" w:cs="Times New Roman"/>
                <w:b w:val="0"/>
                <w:bCs/>
                <w:color w:val="auto"/>
                <w:sz w:val="24"/>
                <w:szCs w:val="24"/>
                <w:u w:val="none"/>
                <w:lang w:eastAsia="zh-CN"/>
              </w:rPr>
              <w:t>《危险废物贮存污染控制标准》（GB 18597-2023）</w:t>
            </w:r>
            <w:r>
              <w:rPr>
                <w:rFonts w:hint="eastAsia" w:ascii="Times New Roman" w:hAnsi="Times New Roman" w:cs="Times New Roman"/>
                <w:b w:val="0"/>
                <w:bCs/>
                <w:color w:val="auto"/>
                <w:sz w:val="24"/>
                <w:szCs w:val="24"/>
                <w:u w:val="none"/>
              </w:rPr>
              <w:t>。</w:t>
            </w:r>
          </w:p>
        </w:tc>
      </w:tr>
      <w:tr w14:paraId="7070E0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44" w:hRule="atLeast"/>
          <w:jc w:val="center"/>
        </w:trPr>
        <w:tc>
          <w:tcPr>
            <w:tcW w:w="528" w:type="dxa"/>
            <w:vAlign w:val="center"/>
          </w:tcPr>
          <w:p w14:paraId="5CBF25DB">
            <w:pPr>
              <w:spacing w:line="400" w:lineRule="exact"/>
              <w:jc w:val="center"/>
              <w:rPr>
                <w:rFonts w:ascii="Times New Roman" w:hAnsi="Times New Roman" w:cs="Times New Roman"/>
                <w:b/>
                <w:bCs/>
                <w:color w:val="auto"/>
                <w:sz w:val="24"/>
                <w:highlight w:val="none"/>
                <w:u w:val="none"/>
              </w:rPr>
            </w:pPr>
            <w:r>
              <w:rPr>
                <w:rFonts w:ascii="Times New Roman" w:hAnsi="Times New Roman" w:cs="Times New Roman"/>
                <w:b/>
                <w:bCs/>
                <w:color w:val="auto"/>
                <w:sz w:val="24"/>
                <w:highlight w:val="none"/>
                <w:u w:val="none"/>
              </w:rPr>
              <w:t>总量</w:t>
            </w:r>
          </w:p>
          <w:p w14:paraId="42C2E591">
            <w:pPr>
              <w:spacing w:line="400" w:lineRule="exact"/>
              <w:jc w:val="center"/>
              <w:rPr>
                <w:rFonts w:ascii="Times New Roman" w:hAnsi="Times New Roman" w:cs="Times New Roman"/>
                <w:b/>
                <w:bCs/>
                <w:color w:val="auto"/>
                <w:sz w:val="24"/>
                <w:highlight w:val="none"/>
                <w:u w:val="none"/>
              </w:rPr>
            </w:pPr>
            <w:r>
              <w:rPr>
                <w:rFonts w:ascii="Times New Roman" w:hAnsi="Times New Roman" w:cs="Times New Roman"/>
                <w:b/>
                <w:bCs/>
                <w:color w:val="auto"/>
                <w:sz w:val="24"/>
                <w:highlight w:val="none"/>
                <w:u w:val="none"/>
              </w:rPr>
              <w:t>控制</w:t>
            </w:r>
          </w:p>
          <w:p w14:paraId="4050FFC0">
            <w:pPr>
              <w:spacing w:line="400" w:lineRule="exact"/>
              <w:jc w:val="center"/>
              <w:rPr>
                <w:rFonts w:ascii="Times New Roman" w:hAnsi="Times New Roman" w:cs="Times New Roman"/>
                <w:b/>
                <w:bCs/>
                <w:color w:val="auto"/>
                <w:sz w:val="28"/>
                <w:szCs w:val="28"/>
                <w:u w:val="none"/>
              </w:rPr>
            </w:pPr>
            <w:r>
              <w:rPr>
                <w:rFonts w:ascii="Times New Roman" w:hAnsi="Times New Roman" w:cs="Times New Roman"/>
                <w:b/>
                <w:bCs/>
                <w:color w:val="auto"/>
                <w:sz w:val="24"/>
                <w:highlight w:val="none"/>
                <w:u w:val="none"/>
              </w:rPr>
              <w:t>指标</w:t>
            </w:r>
          </w:p>
        </w:tc>
        <w:tc>
          <w:tcPr>
            <w:tcW w:w="8691" w:type="dxa"/>
            <w:vAlign w:val="center"/>
          </w:tcPr>
          <w:p w14:paraId="4BD77C89">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b w:val="0"/>
                <w:bCs w:val="0"/>
                <w:color w:val="auto"/>
                <w:sz w:val="24"/>
                <w:szCs w:val="24"/>
                <w:highlight w:val="none"/>
                <w:u w:val="none"/>
              </w:rPr>
            </w:pPr>
            <w:r>
              <w:rPr>
                <w:rFonts w:hint="default" w:ascii="Times New Roman" w:hAnsi="Times New Roman" w:eastAsia="宋体" w:cs="Times New Roman"/>
                <w:b w:val="0"/>
                <w:bCs w:val="0"/>
                <w:color w:val="auto"/>
                <w:sz w:val="24"/>
                <w:szCs w:val="24"/>
                <w:highlight w:val="none"/>
                <w:u w:val="none"/>
              </w:rPr>
              <w:t>在满足“达标排放、清洁生产、总量控制”原则的基础上，给出本项目总量控制建议指标如下。</w:t>
            </w:r>
          </w:p>
          <w:p w14:paraId="544E1039">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sz w:val="24"/>
                <w:szCs w:val="24"/>
                <w:highlight w:val="none"/>
                <w:u w:val="none"/>
              </w:rPr>
            </w:pPr>
            <w:r>
              <w:rPr>
                <w:rFonts w:hint="default" w:ascii="Times New Roman" w:hAnsi="Times New Roman" w:cs="Times New Roman"/>
                <w:color w:val="auto"/>
                <w:sz w:val="24"/>
                <w:szCs w:val="24"/>
                <w:highlight w:val="none"/>
                <w:u w:val="none"/>
              </w:rPr>
              <w:t>本项目</w:t>
            </w:r>
            <w:r>
              <w:rPr>
                <w:rFonts w:hint="default" w:ascii="Times New Roman" w:hAnsi="Times New Roman" w:cs="Times New Roman"/>
                <w:color w:val="auto"/>
                <w:sz w:val="24"/>
                <w:szCs w:val="24"/>
                <w:highlight w:val="none"/>
                <w:u w:val="none"/>
                <w:lang w:val="en-US" w:eastAsia="zh-CN"/>
              </w:rPr>
              <w:t>无废水外排，</w:t>
            </w:r>
            <w:r>
              <w:rPr>
                <w:rFonts w:hint="default" w:ascii="Times New Roman" w:hAnsi="Times New Roman" w:cs="Times New Roman"/>
                <w:color w:val="auto"/>
                <w:sz w:val="24"/>
                <w:szCs w:val="24"/>
                <w:highlight w:val="none"/>
                <w:u w:val="none"/>
              </w:rPr>
              <w:t>员工日常办公生活产生的生活污水</w:t>
            </w:r>
            <w:r>
              <w:rPr>
                <w:rFonts w:hint="default" w:ascii="Times New Roman" w:hAnsi="Times New Roman" w:cs="Times New Roman"/>
                <w:color w:val="auto"/>
                <w:sz w:val="24"/>
                <w:szCs w:val="24"/>
                <w:highlight w:val="none"/>
                <w:u w:val="none"/>
                <w:lang w:eastAsia="zh-CN"/>
              </w:rPr>
              <w:t>不外排，</w:t>
            </w:r>
            <w:r>
              <w:rPr>
                <w:rFonts w:hint="default" w:ascii="Times New Roman" w:hAnsi="Times New Roman" w:cs="Times New Roman"/>
                <w:color w:val="auto"/>
                <w:sz w:val="24"/>
                <w:szCs w:val="24"/>
                <w:highlight w:val="none"/>
                <w:u w:val="none"/>
                <w:lang w:val="en-US" w:eastAsia="zh-CN"/>
              </w:rPr>
              <w:t>机组产生的冷凝水重新利用不外排</w:t>
            </w:r>
            <w:r>
              <w:rPr>
                <w:rFonts w:hint="default" w:ascii="Times New Roman" w:hAnsi="Times New Roman" w:cs="Times New Roman"/>
                <w:color w:val="auto"/>
                <w:sz w:val="24"/>
                <w:szCs w:val="24"/>
                <w:highlight w:val="none"/>
                <w:u w:val="none"/>
              </w:rPr>
              <w:t>。故本评价无</w:t>
            </w:r>
            <w:r>
              <w:rPr>
                <w:rFonts w:hint="eastAsia" w:ascii="Times New Roman" w:hAnsi="Times New Roman" w:cs="Times New Roman"/>
                <w:color w:val="auto"/>
                <w:sz w:val="24"/>
                <w:szCs w:val="24"/>
                <w:highlight w:val="none"/>
                <w:u w:val="none"/>
                <w:lang w:val="en-US" w:eastAsia="zh-CN"/>
              </w:rPr>
              <w:t>废</w:t>
            </w:r>
            <w:r>
              <w:rPr>
                <w:rFonts w:hint="default" w:ascii="Times New Roman" w:hAnsi="Times New Roman" w:cs="Times New Roman"/>
                <w:color w:val="auto"/>
                <w:sz w:val="24"/>
                <w:szCs w:val="24"/>
                <w:highlight w:val="none"/>
                <w:u w:val="none"/>
              </w:rPr>
              <w:t>水污染物总量控制指标建议。</w:t>
            </w:r>
          </w:p>
          <w:p w14:paraId="265A4A3B">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Cs/>
                <w:color w:val="auto"/>
                <w:kern w:val="2"/>
                <w:sz w:val="24"/>
                <w:szCs w:val="24"/>
                <w:highlight w:val="none"/>
                <w:u w:val="none"/>
                <w:lang w:val="en-US" w:eastAsia="zh-CN" w:bidi="ar-SA"/>
              </w:rPr>
            </w:pPr>
            <w:r>
              <w:rPr>
                <w:rFonts w:hint="default" w:ascii="Times New Roman" w:hAnsi="Times New Roman" w:cs="Times New Roman"/>
                <w:b w:val="0"/>
                <w:bCs w:val="0"/>
                <w:color w:val="auto"/>
                <w:sz w:val="24"/>
                <w:szCs w:val="24"/>
                <w:highlight w:val="none"/>
                <w:u w:val="none"/>
              </w:rPr>
              <w:t>本项目</w:t>
            </w:r>
            <w:r>
              <w:rPr>
                <w:rFonts w:hint="default" w:ascii="Times New Roman" w:hAnsi="Times New Roman" w:cs="Times New Roman"/>
                <w:b w:val="0"/>
                <w:bCs w:val="0"/>
                <w:color w:val="auto"/>
                <w:sz w:val="24"/>
                <w:szCs w:val="24"/>
                <w:highlight w:val="none"/>
                <w:u w:val="none"/>
                <w:lang w:val="en-US" w:eastAsia="zh-CN"/>
              </w:rPr>
              <w:t>废气排放量</w:t>
            </w:r>
            <w:r>
              <w:rPr>
                <w:rFonts w:hint="default" w:ascii="Times New Roman" w:hAnsi="Times New Roman" w:cs="Times New Roman"/>
                <w:b w:val="0"/>
                <w:bCs w:val="0"/>
                <w:color w:val="auto"/>
                <w:sz w:val="24"/>
                <w:szCs w:val="24"/>
                <w:highlight w:val="none"/>
                <w:u w:val="none"/>
              </w:rPr>
              <w:t>控制指标：</w:t>
            </w:r>
            <w:r>
              <w:rPr>
                <w:rFonts w:hint="default" w:ascii="Times New Roman" w:hAnsi="Times New Roman" w:cs="Times New Roman"/>
                <w:b w:val="0"/>
                <w:bCs w:val="0"/>
                <w:color w:val="auto"/>
                <w:sz w:val="24"/>
                <w:szCs w:val="24"/>
                <w:highlight w:val="none"/>
                <w:u w:val="none"/>
                <w:shd w:val="clear" w:color="auto" w:fill="auto"/>
                <w:lang w:val="en-US" w:eastAsia="zh-CN"/>
              </w:rPr>
              <w:t>NOx：</w:t>
            </w:r>
            <w:r>
              <w:rPr>
                <w:rFonts w:hint="eastAsia" w:ascii="Times New Roman" w:hAnsi="Times New Roman" w:cs="Times New Roman"/>
                <w:b w:val="0"/>
                <w:bCs w:val="0"/>
                <w:color w:val="auto"/>
                <w:sz w:val="24"/>
                <w:szCs w:val="24"/>
                <w:highlight w:val="none"/>
                <w:u w:val="none"/>
                <w:shd w:val="clear" w:color="auto" w:fill="auto"/>
                <w:lang w:val="en-US" w:eastAsia="zh-CN"/>
              </w:rPr>
              <w:t>8.29</w:t>
            </w:r>
            <w:r>
              <w:rPr>
                <w:rFonts w:hint="default" w:ascii="Times New Roman" w:hAnsi="Times New Roman" w:cs="Times New Roman"/>
                <w:b w:val="0"/>
                <w:bCs w:val="0"/>
                <w:color w:val="auto"/>
                <w:sz w:val="24"/>
                <w:szCs w:val="24"/>
                <w:highlight w:val="none"/>
                <w:u w:val="none"/>
                <w:shd w:val="clear" w:color="auto" w:fill="auto"/>
                <w:lang w:val="en-US" w:eastAsia="zh-CN"/>
              </w:rPr>
              <w:t>t/a</w:t>
            </w:r>
            <w:r>
              <w:rPr>
                <w:rFonts w:hint="default" w:ascii="Times New Roman" w:hAnsi="Times New Roman" w:cs="Times New Roman"/>
                <w:b w:val="0"/>
                <w:bCs w:val="0"/>
                <w:color w:val="auto"/>
                <w:sz w:val="24"/>
                <w:szCs w:val="24"/>
                <w:highlight w:val="none"/>
                <w:u w:val="none"/>
                <w:shd w:val="clear" w:color="auto" w:fill="auto"/>
                <w:lang w:eastAsia="zh-CN"/>
              </w:rPr>
              <w:t>、</w:t>
            </w:r>
            <w:r>
              <w:rPr>
                <w:rFonts w:hint="default" w:ascii="Times New Roman" w:hAnsi="Times New Roman" w:cs="Times New Roman"/>
                <w:b w:val="0"/>
                <w:bCs w:val="0"/>
                <w:color w:val="auto"/>
                <w:sz w:val="24"/>
                <w:szCs w:val="24"/>
                <w:highlight w:val="none"/>
                <w:u w:val="none"/>
                <w:shd w:val="clear" w:color="auto" w:fill="auto"/>
                <w:lang w:val="en-US" w:eastAsia="zh-CN"/>
              </w:rPr>
              <w:t>颗粒物：0.</w:t>
            </w:r>
            <w:r>
              <w:rPr>
                <w:rFonts w:hint="eastAsia" w:ascii="Times New Roman" w:hAnsi="Times New Roman" w:cs="Times New Roman"/>
                <w:b w:val="0"/>
                <w:bCs w:val="0"/>
                <w:color w:val="auto"/>
                <w:sz w:val="24"/>
                <w:szCs w:val="24"/>
                <w:highlight w:val="none"/>
                <w:u w:val="none"/>
                <w:shd w:val="clear" w:color="auto" w:fill="auto"/>
                <w:lang w:val="en-US" w:eastAsia="zh-CN"/>
              </w:rPr>
              <w:t>207</w:t>
            </w:r>
            <w:r>
              <w:rPr>
                <w:rFonts w:hint="default" w:ascii="Times New Roman" w:hAnsi="Times New Roman" w:cs="Times New Roman"/>
                <w:b w:val="0"/>
                <w:bCs w:val="0"/>
                <w:color w:val="auto"/>
                <w:sz w:val="24"/>
                <w:szCs w:val="24"/>
                <w:highlight w:val="none"/>
                <w:u w:val="none"/>
                <w:shd w:val="clear" w:color="auto" w:fill="auto"/>
                <w:lang w:val="en-US" w:eastAsia="zh-CN"/>
              </w:rPr>
              <w:t>t/a、非甲烷总烃</w:t>
            </w:r>
            <w:r>
              <w:rPr>
                <w:rFonts w:hint="eastAsia" w:ascii="Times New Roman" w:hAnsi="Times New Roman" w:cs="Times New Roman"/>
                <w:b w:val="0"/>
                <w:bCs w:val="0"/>
                <w:color w:val="auto"/>
                <w:sz w:val="24"/>
                <w:szCs w:val="24"/>
                <w:highlight w:val="none"/>
                <w:u w:val="none"/>
                <w:shd w:val="clear" w:color="auto" w:fill="auto"/>
                <w:lang w:val="en-US" w:eastAsia="zh-CN"/>
              </w:rPr>
              <w:t>1.59</w:t>
            </w:r>
            <w:r>
              <w:rPr>
                <w:rFonts w:hint="default" w:ascii="Times New Roman" w:hAnsi="Times New Roman" w:cs="Times New Roman"/>
                <w:b w:val="0"/>
                <w:bCs w:val="0"/>
                <w:color w:val="auto"/>
                <w:sz w:val="24"/>
                <w:szCs w:val="24"/>
                <w:highlight w:val="none"/>
                <w:u w:val="none"/>
                <w:shd w:val="clear" w:color="auto" w:fill="auto"/>
                <w:lang w:val="en-US" w:eastAsia="zh-CN"/>
              </w:rPr>
              <w:t>t/a。叶县柴油货车淘汰削减量</w:t>
            </w:r>
            <w:r>
              <w:rPr>
                <w:rFonts w:hint="default" w:ascii="Times New Roman" w:hAnsi="Times New Roman" w:cs="Times New Roman"/>
                <w:color w:val="auto"/>
                <w:sz w:val="24"/>
                <w:szCs w:val="24"/>
                <w:highlight w:val="none"/>
                <w:u w:val="none"/>
                <w:lang w:val="en-US" w:eastAsia="zh-CN"/>
              </w:rPr>
              <w:t>可以满足本项目</w:t>
            </w:r>
            <w:r>
              <w:rPr>
                <w:rFonts w:hint="default" w:ascii="Times New Roman" w:hAnsi="Times New Roman" w:cs="Times New Roman"/>
                <w:bCs/>
                <w:color w:val="auto"/>
                <w:kern w:val="2"/>
                <w:sz w:val="24"/>
                <w:szCs w:val="24"/>
                <w:highlight w:val="none"/>
                <w:u w:val="none"/>
                <w:lang w:val="en-US" w:eastAsia="zh-CN" w:bidi="ar-SA"/>
              </w:rPr>
              <w:t>NOx排放量的替代要求。非甲烷总烃无需进行替代。</w:t>
            </w:r>
          </w:p>
          <w:p w14:paraId="7A20B239">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cs="Times New Roman"/>
                <w:color w:val="auto"/>
                <w:sz w:val="24"/>
                <w:szCs w:val="24"/>
                <w:highlight w:val="none"/>
                <w:u w:val="none"/>
                <w:lang w:val="en-US" w:eastAsia="zh-CN"/>
              </w:rPr>
            </w:pPr>
            <w:r>
              <w:rPr>
                <w:rFonts w:hint="default" w:ascii="Times New Roman" w:hAnsi="Times New Roman" w:cs="Times New Roman"/>
                <w:color w:val="auto"/>
                <w:sz w:val="24"/>
                <w:szCs w:val="24"/>
                <w:highlight w:val="none"/>
                <w:u w:val="none"/>
              </w:rPr>
              <w:t>建设项目本身属于节能环保项目，是利用煤矿瓦斯发电</w:t>
            </w:r>
            <w:r>
              <w:rPr>
                <w:rFonts w:hint="default" w:ascii="Times New Roman" w:hAnsi="Times New Roman" w:cs="Times New Roman"/>
                <w:color w:val="auto"/>
                <w:sz w:val="24"/>
                <w:szCs w:val="24"/>
                <w:highlight w:val="none"/>
                <w:u w:val="none"/>
                <w:lang w:val="en-US" w:eastAsia="zh-CN"/>
              </w:rPr>
              <w:t>的同时可以减排VOCs和温室气体。</w:t>
            </w:r>
            <w:r>
              <w:rPr>
                <w:rFonts w:hint="eastAsia" w:cs="Times New Roman"/>
                <w:color w:val="auto"/>
                <w:sz w:val="24"/>
                <w:szCs w:val="24"/>
                <w:highlight w:val="none"/>
                <w:u w:val="none"/>
                <w:lang w:val="en-US" w:eastAsia="zh-CN"/>
              </w:rPr>
              <w:t>河南平煤神马中南检验检测有限公司对八</w:t>
            </w:r>
            <w:r>
              <w:rPr>
                <w:rFonts w:hint="eastAsia" w:cs="Times New Roman"/>
                <w:b w:val="0"/>
                <w:bCs/>
                <w:color w:val="auto"/>
                <w:sz w:val="24"/>
                <w:highlight w:val="none"/>
                <w:u w:val="none"/>
                <w:lang w:val="en-US" w:eastAsia="zh-CN"/>
              </w:rPr>
              <w:t>矿二井</w:t>
            </w:r>
            <w:r>
              <w:rPr>
                <w:rFonts w:hint="eastAsia" w:cs="Times New Roman"/>
                <w:color w:val="auto"/>
                <w:sz w:val="24"/>
                <w:szCs w:val="24"/>
                <w:highlight w:val="none"/>
                <w:u w:val="none"/>
                <w:lang w:val="en-US" w:eastAsia="zh-CN"/>
              </w:rPr>
              <w:t>泵站抽放瓦斯气体进行分析，瓦斯成分分析结果（见附件7），本次瓦斯成分分析检测在常温常压下进行检测（25℃，正常大气压下）。该项目全年燃烧瓦斯气体为1152万m</w:t>
            </w:r>
            <w:r>
              <w:rPr>
                <w:rFonts w:hint="eastAsia" w:cs="Times New Roman"/>
                <w:color w:val="auto"/>
                <w:sz w:val="24"/>
                <w:szCs w:val="24"/>
                <w:highlight w:val="none"/>
                <w:u w:val="none"/>
                <w:vertAlign w:val="superscript"/>
                <w:lang w:val="en-US" w:eastAsia="zh-CN"/>
              </w:rPr>
              <w:t>3</w:t>
            </w:r>
            <w:r>
              <w:rPr>
                <w:rFonts w:hint="eastAsia" w:cs="Times New Roman"/>
                <w:color w:val="auto"/>
                <w:sz w:val="24"/>
                <w:szCs w:val="24"/>
                <w:highlight w:val="none"/>
                <w:u w:val="none"/>
                <w:lang w:val="en-US" w:eastAsia="zh-CN"/>
              </w:rPr>
              <w:t>，根据成分分析结果显示其中乙烷、丙烷属于挥发性有机气体，乙烷所占0.2106%，丙烷所占0.0243%，通过比例计算，乙烷气体为24261.12m</w:t>
            </w:r>
            <w:r>
              <w:rPr>
                <w:rFonts w:hint="eastAsia" w:cs="Times New Roman"/>
                <w:color w:val="auto"/>
                <w:sz w:val="24"/>
                <w:szCs w:val="24"/>
                <w:highlight w:val="none"/>
                <w:u w:val="none"/>
                <w:vertAlign w:val="superscript"/>
                <w:lang w:val="en-US" w:eastAsia="zh-CN"/>
              </w:rPr>
              <w:t>3</w:t>
            </w:r>
            <w:r>
              <w:rPr>
                <w:rFonts w:hint="eastAsia" w:cs="Times New Roman"/>
                <w:color w:val="auto"/>
                <w:sz w:val="24"/>
                <w:szCs w:val="24"/>
                <w:highlight w:val="none"/>
                <w:u w:val="none"/>
                <w:lang w:val="en-US" w:eastAsia="zh-CN"/>
              </w:rPr>
              <w:t>，丙烷气体2799.36m</w:t>
            </w:r>
            <w:r>
              <w:rPr>
                <w:rFonts w:hint="eastAsia" w:cs="Times New Roman"/>
                <w:color w:val="auto"/>
                <w:sz w:val="24"/>
                <w:szCs w:val="24"/>
                <w:highlight w:val="none"/>
                <w:u w:val="none"/>
                <w:vertAlign w:val="superscript"/>
                <w:lang w:val="en-US" w:eastAsia="zh-CN"/>
              </w:rPr>
              <w:t>3</w:t>
            </w:r>
            <w:r>
              <w:rPr>
                <w:rFonts w:hint="eastAsia" w:cs="Times New Roman"/>
                <w:color w:val="auto"/>
                <w:sz w:val="24"/>
                <w:szCs w:val="24"/>
                <w:highlight w:val="none"/>
                <w:u w:val="none"/>
                <w:lang w:val="en-US" w:eastAsia="zh-CN"/>
              </w:rPr>
              <w:t>。乙烷气体的密度为1.222kg/m</w:t>
            </w:r>
            <w:r>
              <w:rPr>
                <w:rFonts w:hint="eastAsia" w:cs="Times New Roman"/>
                <w:color w:val="auto"/>
                <w:sz w:val="24"/>
                <w:szCs w:val="24"/>
                <w:highlight w:val="none"/>
                <w:u w:val="none"/>
                <w:vertAlign w:val="superscript"/>
                <w:lang w:val="en-US" w:eastAsia="zh-CN"/>
              </w:rPr>
              <w:t>3</w:t>
            </w:r>
            <w:r>
              <w:rPr>
                <w:rFonts w:hint="eastAsia" w:cs="Times New Roman"/>
                <w:color w:val="auto"/>
                <w:sz w:val="24"/>
                <w:szCs w:val="24"/>
                <w:highlight w:val="none"/>
                <w:u w:val="none"/>
                <w:lang w:val="en-US" w:eastAsia="zh-CN"/>
              </w:rPr>
              <w:t>（25℃，常压下），丙烷气体的密度为1.76kg/m</w:t>
            </w:r>
            <w:r>
              <w:rPr>
                <w:rFonts w:hint="eastAsia" w:cs="Times New Roman"/>
                <w:color w:val="auto"/>
                <w:sz w:val="24"/>
                <w:szCs w:val="24"/>
                <w:highlight w:val="none"/>
                <w:u w:val="none"/>
                <w:vertAlign w:val="superscript"/>
                <w:lang w:val="en-US" w:eastAsia="zh-CN"/>
              </w:rPr>
              <w:t>3</w:t>
            </w:r>
            <w:r>
              <w:rPr>
                <w:rFonts w:hint="eastAsia" w:cs="Times New Roman"/>
                <w:color w:val="auto"/>
                <w:sz w:val="24"/>
                <w:szCs w:val="24"/>
                <w:highlight w:val="none"/>
                <w:u w:val="none"/>
                <w:lang w:val="en-US" w:eastAsia="zh-CN"/>
              </w:rPr>
              <w:t>（25℃，常压下），根据体积和密度来计算乙烷、丙烷的含量，所用1152万m</w:t>
            </w:r>
            <w:r>
              <w:rPr>
                <w:rFonts w:hint="eastAsia" w:cs="Times New Roman"/>
                <w:color w:val="auto"/>
                <w:sz w:val="24"/>
                <w:szCs w:val="24"/>
                <w:highlight w:val="none"/>
                <w:u w:val="none"/>
                <w:vertAlign w:val="superscript"/>
                <w:lang w:val="en-US" w:eastAsia="zh-CN"/>
              </w:rPr>
              <w:t>3</w:t>
            </w:r>
            <w:r>
              <w:rPr>
                <w:rFonts w:hint="eastAsia" w:cs="Times New Roman"/>
                <w:color w:val="auto"/>
                <w:sz w:val="24"/>
                <w:szCs w:val="24"/>
                <w:highlight w:val="none"/>
                <w:u w:val="none"/>
                <w:vertAlign w:val="baseline"/>
                <w:lang w:val="en-US" w:eastAsia="zh-CN"/>
              </w:rPr>
              <w:t>瓦斯气体中乙烷含量有29.6t，丙烷含量有4.92t，挥发性有机气体合计产生量有34.52t，该项目非甲烷总烃类比分析排放量有1.59t/a，项目瓦斯内挥发性有机气体经过4台机组燃烧，VOCs减排量为32.93t。</w:t>
            </w:r>
          </w:p>
          <w:p w14:paraId="1A00CD1C">
            <w:pPr>
              <w:spacing w:line="360" w:lineRule="auto"/>
              <w:ind w:firstLine="420" w:firstLineChars="200"/>
              <w:jc w:val="left"/>
              <w:rPr>
                <w:rFonts w:ascii="Times New Roman" w:hAnsi="Times New Roman" w:cs="Times New Roman"/>
                <w:color w:val="auto"/>
                <w:kern w:val="0"/>
                <w:szCs w:val="21"/>
                <w:u w:val="none"/>
              </w:rPr>
            </w:pPr>
          </w:p>
        </w:tc>
      </w:tr>
    </w:tbl>
    <w:p w14:paraId="21002BF4">
      <w:pPr>
        <w:pStyle w:val="28"/>
        <w:numPr>
          <w:ilvl w:val="0"/>
          <w:numId w:val="7"/>
        </w:numPr>
        <w:spacing w:beforeLines="50" w:beforeAutospacing="0" w:afterLines="50" w:afterAutospacing="0"/>
        <w:jc w:val="center"/>
        <w:outlineLvl w:val="0"/>
        <w:rPr>
          <w:rFonts w:ascii="Times New Roman" w:hAnsi="Times New Roman" w:cs="Times New Roman"/>
          <w:b/>
          <w:bCs/>
          <w:color w:val="auto"/>
          <w:sz w:val="30"/>
          <w:szCs w:val="30"/>
          <w:u w:val="none"/>
        </w:rPr>
      </w:pPr>
      <w:r>
        <w:rPr>
          <w:rFonts w:ascii="Times New Roman" w:hAnsi="Times New Roman" w:eastAsia="黑体" w:cs="Times New Roman"/>
          <w:snapToGrid w:val="0"/>
          <w:color w:val="auto"/>
          <w:sz w:val="36"/>
          <w:szCs w:val="36"/>
          <w:u w:val="none"/>
        </w:rPr>
        <w:br w:type="page"/>
      </w:r>
      <w:r>
        <w:rPr>
          <w:rFonts w:ascii="Times New Roman" w:hAnsi="Times New Roman" w:cs="Times New Roman"/>
          <w:b/>
          <w:bCs/>
          <w:color w:val="auto"/>
          <w:sz w:val="30"/>
          <w:szCs w:val="30"/>
          <w:u w:val="none"/>
        </w:rPr>
        <w:t>主要环境影响和保护措施</w:t>
      </w:r>
    </w:p>
    <w:tbl>
      <w:tblPr>
        <w:tblStyle w:val="32"/>
        <w:tblW w:w="920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8"/>
        <w:gridCol w:w="8459"/>
      </w:tblGrid>
      <w:tr w14:paraId="6031EB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8" w:type="dxa"/>
            <w:tcMar>
              <w:left w:w="28" w:type="dxa"/>
              <w:right w:w="28" w:type="dxa"/>
            </w:tcMar>
            <w:vAlign w:val="center"/>
          </w:tcPr>
          <w:p w14:paraId="381A7949">
            <w:pPr>
              <w:pStyle w:val="84"/>
              <w:adjustRightInd w:val="0"/>
              <w:spacing w:before="0" w:after="0"/>
              <w:ind w:right="0"/>
              <w:jc w:val="center"/>
              <w:rPr>
                <w:rFonts w:ascii="Times New Roman" w:hAnsi="Times New Roman" w:cs="Times New Roman"/>
                <w:bCs/>
                <w:color w:val="auto"/>
                <w:u w:val="none"/>
              </w:rPr>
            </w:pPr>
            <w:r>
              <w:rPr>
                <w:rFonts w:ascii="Times New Roman" w:hAnsi="Times New Roman" w:eastAsia="宋体" w:cs="Times New Roman"/>
                <w:b/>
                <w:bCs/>
                <w:color w:val="auto"/>
                <w:kern w:val="2"/>
                <w:sz w:val="24"/>
                <w:szCs w:val="24"/>
                <w:u w:val="none"/>
                <w:lang w:val="en-US" w:eastAsia="zh-CN" w:bidi="ar-SA"/>
              </w:rPr>
              <w:t>施工期环境保护措施</w:t>
            </w:r>
          </w:p>
        </w:tc>
        <w:tc>
          <w:tcPr>
            <w:tcW w:w="8459" w:type="dxa"/>
            <w:vAlign w:val="center"/>
          </w:tcPr>
          <w:p w14:paraId="31C5AA9F">
            <w:pPr>
              <w:keepNext w:val="0"/>
              <w:keepLines w:val="0"/>
              <w:pageBreakBefore w:val="0"/>
              <w:widowControl w:val="0"/>
              <w:kinsoku/>
              <w:wordWrap/>
              <w:overflowPunct/>
              <w:topLinePunct w:val="0"/>
              <w:bidi w:val="0"/>
              <w:snapToGrid/>
              <w:spacing w:line="500" w:lineRule="exact"/>
              <w:ind w:firstLine="480" w:firstLineChars="200"/>
              <w:textAlignment w:val="baseline"/>
              <w:rPr>
                <w:rFonts w:ascii="Times New Roman" w:hAnsi="Times New Roman" w:cs="Times New Roman"/>
                <w:color w:val="auto"/>
                <w:kern w:val="0"/>
                <w:sz w:val="24"/>
                <w:szCs w:val="24"/>
                <w:u w:val="none"/>
              </w:rPr>
            </w:pPr>
            <w:r>
              <w:rPr>
                <w:rFonts w:ascii="Times New Roman" w:hAnsi="Times New Roman" w:cs="Times New Roman"/>
                <w:color w:val="auto"/>
                <w:sz w:val="24"/>
                <w:szCs w:val="24"/>
                <w:u w:val="none"/>
              </w:rPr>
              <w:t>施工期施工人数高峰期为</w:t>
            </w:r>
            <w:r>
              <w:rPr>
                <w:rFonts w:hint="eastAsia" w:cs="Times New Roman"/>
                <w:color w:val="auto"/>
                <w:sz w:val="24"/>
                <w:szCs w:val="24"/>
                <w:u w:val="none"/>
                <w:lang w:val="en-US" w:eastAsia="zh-CN"/>
              </w:rPr>
              <w:t>2</w:t>
            </w:r>
            <w:r>
              <w:rPr>
                <w:rFonts w:ascii="Times New Roman" w:hAnsi="Times New Roman" w:cs="Times New Roman"/>
                <w:snapToGrid w:val="0"/>
                <w:color w:val="auto"/>
                <w:sz w:val="24"/>
                <w:szCs w:val="24"/>
                <w:u w:val="none"/>
              </w:rPr>
              <w:t>0</w:t>
            </w:r>
            <w:r>
              <w:rPr>
                <w:rFonts w:ascii="Times New Roman" w:hAnsi="Times New Roman" w:cs="Times New Roman"/>
                <w:color w:val="auto"/>
                <w:sz w:val="24"/>
                <w:szCs w:val="24"/>
                <w:u w:val="none"/>
              </w:rPr>
              <w:t>人，</w:t>
            </w:r>
            <w:r>
              <w:rPr>
                <w:rFonts w:ascii="Times New Roman" w:hAnsi="Times New Roman" w:cs="Times New Roman"/>
                <w:color w:val="auto"/>
                <w:kern w:val="0"/>
                <w:sz w:val="24"/>
                <w:szCs w:val="24"/>
                <w:u w:val="none"/>
              </w:rPr>
              <w:t>项目施工期的环境影响主要是扬尘、施工废水、生活污水、建筑施工噪声、建筑固废和生活垃圾等，而且这些影响是短期的，随着施工期的结束而消失。</w:t>
            </w:r>
          </w:p>
          <w:p w14:paraId="498F6E71">
            <w:pPr>
              <w:keepNext w:val="0"/>
              <w:keepLines w:val="0"/>
              <w:pageBreakBefore w:val="0"/>
              <w:widowControl w:val="0"/>
              <w:kinsoku/>
              <w:wordWrap/>
              <w:overflowPunct/>
              <w:topLinePunct w:val="0"/>
              <w:bidi w:val="0"/>
              <w:snapToGrid/>
              <w:spacing w:line="500" w:lineRule="exact"/>
              <w:ind w:firstLine="482" w:firstLineChars="200"/>
              <w:textAlignment w:val="baseline"/>
              <w:rPr>
                <w:rFonts w:ascii="Times New Roman" w:hAnsi="Times New Roman" w:cs="Times New Roman"/>
                <w:b/>
                <w:color w:val="auto"/>
                <w:sz w:val="24"/>
                <w:szCs w:val="24"/>
                <w:u w:val="none"/>
              </w:rPr>
            </w:pPr>
            <w:r>
              <w:rPr>
                <w:rFonts w:ascii="Times New Roman" w:hAnsi="Times New Roman" w:cs="Times New Roman"/>
                <w:b/>
                <w:color w:val="auto"/>
                <w:sz w:val="24"/>
                <w:szCs w:val="24"/>
                <w:u w:val="none"/>
              </w:rPr>
              <w:t>1</w:t>
            </w:r>
            <w:r>
              <w:rPr>
                <w:rFonts w:hint="eastAsia" w:cs="Times New Roman"/>
                <w:b/>
                <w:color w:val="auto"/>
                <w:sz w:val="24"/>
                <w:szCs w:val="24"/>
                <w:u w:val="none"/>
                <w:lang w:eastAsia="zh-CN"/>
              </w:rPr>
              <w:t>、</w:t>
            </w:r>
            <w:r>
              <w:rPr>
                <w:rFonts w:ascii="Times New Roman" w:hAnsi="Times New Roman" w:cs="Times New Roman"/>
                <w:b/>
                <w:color w:val="auto"/>
                <w:sz w:val="24"/>
                <w:szCs w:val="24"/>
                <w:u w:val="none"/>
              </w:rPr>
              <w:t>废水影响分析</w:t>
            </w:r>
          </w:p>
          <w:p w14:paraId="125A71B6">
            <w:pPr>
              <w:keepNext w:val="0"/>
              <w:keepLines w:val="0"/>
              <w:pageBreakBefore w:val="0"/>
              <w:widowControl w:val="0"/>
              <w:kinsoku/>
              <w:wordWrap/>
              <w:overflowPunct/>
              <w:topLinePunct w:val="0"/>
              <w:bidi w:val="0"/>
              <w:snapToGrid/>
              <w:spacing w:line="500" w:lineRule="exact"/>
              <w:ind w:firstLine="480" w:firstLineChars="200"/>
              <w:rPr>
                <w:rFonts w:ascii="Times New Roman" w:hAnsi="Times New Roman" w:cs="Times New Roman"/>
                <w:color w:val="auto"/>
                <w:sz w:val="24"/>
                <w:szCs w:val="24"/>
                <w:u w:val="none"/>
              </w:rPr>
            </w:pPr>
            <w:r>
              <w:rPr>
                <w:rFonts w:ascii="Times New Roman" w:hAnsi="Times New Roman" w:cs="Times New Roman"/>
                <w:color w:val="auto"/>
                <w:kern w:val="0"/>
                <w:sz w:val="24"/>
                <w:szCs w:val="24"/>
                <w:u w:val="none"/>
              </w:rPr>
              <w:t>（1）</w:t>
            </w:r>
            <w:r>
              <w:rPr>
                <w:rFonts w:ascii="Times New Roman" w:hAnsi="Times New Roman" w:cs="Times New Roman"/>
                <w:color w:val="auto"/>
                <w:sz w:val="24"/>
                <w:szCs w:val="24"/>
                <w:u w:val="none"/>
              </w:rPr>
              <w:t>施工废水</w:t>
            </w:r>
          </w:p>
          <w:p w14:paraId="18BE3D18">
            <w:pPr>
              <w:keepNext w:val="0"/>
              <w:keepLines w:val="0"/>
              <w:pageBreakBefore w:val="0"/>
              <w:widowControl w:val="0"/>
              <w:kinsoku/>
              <w:wordWrap/>
              <w:overflowPunct/>
              <w:topLinePunct w:val="0"/>
              <w:bidi w:val="0"/>
              <w:snapToGrid/>
              <w:spacing w:line="500" w:lineRule="exact"/>
              <w:ind w:firstLine="480" w:firstLineChars="200"/>
              <w:rPr>
                <w:rFonts w:ascii="Times New Roman" w:hAnsi="Times New Roman" w:cs="Times New Roman"/>
                <w:b/>
                <w:bCs/>
                <w:snapToGrid w:val="0"/>
                <w:color w:val="auto"/>
                <w:sz w:val="24"/>
                <w:szCs w:val="24"/>
                <w:u w:val="none"/>
              </w:rPr>
            </w:pPr>
            <w:r>
              <w:rPr>
                <w:rFonts w:ascii="Times New Roman" w:hAnsi="Times New Roman" w:cs="Times New Roman"/>
                <w:color w:val="auto"/>
                <w:kern w:val="0"/>
                <w:sz w:val="24"/>
                <w:szCs w:val="24"/>
                <w:u w:val="none"/>
              </w:rPr>
              <w:t>施工过程中的施工废水主要来源于</w:t>
            </w:r>
            <w:r>
              <w:rPr>
                <w:rFonts w:ascii="Times New Roman" w:hAnsi="Times New Roman" w:cs="Times New Roman"/>
                <w:color w:val="auto"/>
                <w:sz w:val="24"/>
                <w:szCs w:val="24"/>
                <w:u w:val="none"/>
              </w:rPr>
              <w:t>混凝土养护排水，构件与建筑材料的保湿、材料的冲刷废水，</w:t>
            </w:r>
            <w:r>
              <w:rPr>
                <w:rFonts w:ascii="Times New Roman" w:hAnsi="Times New Roman" w:cs="Times New Roman"/>
                <w:snapToGrid w:val="0"/>
                <w:color w:val="auto"/>
                <w:sz w:val="24"/>
                <w:szCs w:val="24"/>
                <w:u w:val="none"/>
              </w:rPr>
              <w:t>施工机械、车辆、地面的冲洗废水等。施工现场应设置1座简易沉淀池，废水经沉淀处理后，回用于施工工地，不外排。</w:t>
            </w:r>
          </w:p>
          <w:p w14:paraId="4942BF6B">
            <w:pPr>
              <w:keepNext w:val="0"/>
              <w:keepLines w:val="0"/>
              <w:pageBreakBefore w:val="0"/>
              <w:widowControl w:val="0"/>
              <w:kinsoku/>
              <w:wordWrap/>
              <w:overflowPunct/>
              <w:topLinePunct w:val="0"/>
              <w:bidi w:val="0"/>
              <w:snapToGrid/>
              <w:spacing w:line="500" w:lineRule="exact"/>
              <w:ind w:firstLine="480" w:firstLineChars="200"/>
              <w:rPr>
                <w:rFonts w:ascii="Times New Roman" w:hAnsi="Times New Roman" w:cs="Times New Roman"/>
                <w:bCs/>
                <w:snapToGrid w:val="0"/>
                <w:color w:val="auto"/>
                <w:sz w:val="24"/>
                <w:szCs w:val="24"/>
                <w:u w:val="none"/>
              </w:rPr>
            </w:pPr>
            <w:r>
              <w:rPr>
                <w:rFonts w:ascii="Times New Roman" w:hAnsi="Times New Roman" w:cs="Times New Roman"/>
                <w:color w:val="auto"/>
                <w:kern w:val="0"/>
                <w:sz w:val="24"/>
                <w:szCs w:val="24"/>
                <w:u w:val="none"/>
              </w:rPr>
              <w:t>（2）施工人员生活污水</w:t>
            </w:r>
          </w:p>
          <w:p w14:paraId="36217FAF">
            <w:pPr>
              <w:keepNext w:val="0"/>
              <w:keepLines w:val="0"/>
              <w:pageBreakBefore w:val="0"/>
              <w:widowControl w:val="0"/>
              <w:kinsoku/>
              <w:wordWrap/>
              <w:overflowPunct/>
              <w:topLinePunct w:val="0"/>
              <w:bidi w:val="0"/>
              <w:snapToGrid/>
              <w:spacing w:line="500" w:lineRule="exact"/>
              <w:ind w:firstLine="480" w:firstLineChars="200"/>
              <w:rPr>
                <w:rFonts w:ascii="Times New Roman" w:hAnsi="Times New Roman" w:cs="Times New Roman"/>
                <w:snapToGrid w:val="0"/>
                <w:color w:val="auto"/>
                <w:sz w:val="24"/>
                <w:szCs w:val="24"/>
                <w:u w:val="none"/>
              </w:rPr>
            </w:pPr>
            <w:r>
              <w:rPr>
                <w:rFonts w:ascii="Times New Roman" w:hAnsi="Times New Roman" w:cs="Times New Roman"/>
                <w:snapToGrid w:val="0"/>
                <w:color w:val="auto"/>
                <w:sz w:val="24"/>
                <w:szCs w:val="24"/>
                <w:u w:val="none"/>
              </w:rPr>
              <w:t>施工期施工人员</w:t>
            </w:r>
            <w:r>
              <w:rPr>
                <w:rFonts w:ascii="Times New Roman" w:hAnsi="Times New Roman" w:cs="Times New Roman"/>
                <w:color w:val="auto"/>
                <w:kern w:val="0"/>
                <w:sz w:val="24"/>
                <w:szCs w:val="24"/>
                <w:u w:val="none"/>
              </w:rPr>
              <w:t>生活污水污水中</w:t>
            </w:r>
            <w:r>
              <w:rPr>
                <w:rFonts w:ascii="Times New Roman" w:hAnsi="Times New Roman" w:cs="Times New Roman"/>
                <w:snapToGrid w:val="0"/>
                <w:color w:val="auto"/>
                <w:sz w:val="24"/>
                <w:szCs w:val="24"/>
                <w:u w:val="none"/>
              </w:rPr>
              <w:t>主要污染物为COD、BOD</w:t>
            </w:r>
            <w:r>
              <w:rPr>
                <w:rFonts w:ascii="Times New Roman" w:hAnsi="Times New Roman" w:cs="Times New Roman"/>
                <w:snapToGrid w:val="0"/>
                <w:color w:val="auto"/>
                <w:sz w:val="24"/>
                <w:szCs w:val="24"/>
                <w:u w:val="none"/>
                <w:vertAlign w:val="subscript"/>
              </w:rPr>
              <w:t>5</w:t>
            </w:r>
            <w:r>
              <w:rPr>
                <w:rFonts w:ascii="Times New Roman" w:hAnsi="Times New Roman" w:cs="Times New Roman"/>
                <w:snapToGrid w:val="0"/>
                <w:color w:val="auto"/>
                <w:sz w:val="24"/>
                <w:szCs w:val="24"/>
                <w:u w:val="none"/>
              </w:rPr>
              <w:t>、SS等，无特殊污染因子，</w:t>
            </w:r>
            <w:r>
              <w:rPr>
                <w:rFonts w:ascii="Times New Roman" w:hAnsi="Times New Roman" w:cs="Times New Roman"/>
                <w:color w:val="auto"/>
                <w:sz w:val="24"/>
                <w:szCs w:val="24"/>
                <w:u w:val="none"/>
              </w:rPr>
              <w:t>施工人员生活污水所含污染物主要为</w:t>
            </w:r>
            <w:r>
              <w:rPr>
                <w:rFonts w:ascii="Times New Roman" w:hAnsi="Times New Roman" w:cs="Times New Roman"/>
                <w:snapToGrid w:val="0"/>
                <w:color w:val="auto"/>
                <w:sz w:val="24"/>
                <w:szCs w:val="24"/>
                <w:u w:val="none"/>
              </w:rPr>
              <w:t>COD</w:t>
            </w:r>
            <w:r>
              <w:rPr>
                <w:rFonts w:hint="eastAsia" w:cs="Times New Roman"/>
                <w:snapToGrid w:val="0"/>
                <w:color w:val="auto"/>
                <w:sz w:val="24"/>
                <w:szCs w:val="24"/>
                <w:u w:val="none"/>
                <w:lang w:eastAsia="zh-CN"/>
              </w:rPr>
              <w:t>：</w:t>
            </w:r>
            <w:r>
              <w:rPr>
                <w:rFonts w:ascii="Times New Roman" w:hAnsi="Times New Roman" w:cs="Times New Roman"/>
                <w:snapToGrid w:val="0"/>
                <w:color w:val="auto"/>
                <w:sz w:val="24"/>
                <w:szCs w:val="24"/>
                <w:u w:val="none"/>
              </w:rPr>
              <w:t>300mg/L、BOD</w:t>
            </w:r>
            <w:r>
              <w:rPr>
                <w:rFonts w:hint="eastAsia" w:cs="Times New Roman"/>
                <w:snapToGrid w:val="0"/>
                <w:color w:val="auto"/>
                <w:sz w:val="24"/>
                <w:szCs w:val="24"/>
                <w:u w:val="none"/>
                <w:vertAlign w:val="subscript"/>
                <w:lang w:val="en-US" w:eastAsia="zh-CN"/>
              </w:rPr>
              <w:t>5</w:t>
            </w:r>
            <w:r>
              <w:rPr>
                <w:rFonts w:hint="eastAsia" w:cs="Times New Roman"/>
                <w:snapToGrid w:val="0"/>
                <w:color w:val="auto"/>
                <w:sz w:val="24"/>
                <w:szCs w:val="24"/>
                <w:u w:val="none"/>
                <w:lang w:eastAsia="zh-CN"/>
              </w:rPr>
              <w:t>：</w:t>
            </w:r>
            <w:r>
              <w:rPr>
                <w:rFonts w:ascii="Times New Roman" w:hAnsi="Times New Roman" w:cs="Times New Roman"/>
                <w:snapToGrid w:val="0"/>
                <w:color w:val="auto"/>
                <w:sz w:val="24"/>
                <w:szCs w:val="24"/>
                <w:u w:val="none"/>
              </w:rPr>
              <w:t>150mg/L、SS</w:t>
            </w:r>
            <w:r>
              <w:rPr>
                <w:rFonts w:hint="eastAsia" w:cs="Times New Roman"/>
                <w:snapToGrid w:val="0"/>
                <w:color w:val="auto"/>
                <w:sz w:val="24"/>
                <w:szCs w:val="24"/>
                <w:u w:val="none"/>
                <w:lang w:eastAsia="zh-CN"/>
              </w:rPr>
              <w:t>：</w:t>
            </w:r>
            <w:r>
              <w:rPr>
                <w:rFonts w:ascii="Times New Roman" w:hAnsi="Times New Roman" w:cs="Times New Roman"/>
                <w:snapToGrid w:val="0"/>
                <w:color w:val="auto"/>
                <w:sz w:val="24"/>
                <w:szCs w:val="24"/>
                <w:u w:val="none"/>
              </w:rPr>
              <w:t>280mg/L、NH</w:t>
            </w:r>
            <w:r>
              <w:rPr>
                <w:rFonts w:ascii="Times New Roman" w:hAnsi="Times New Roman" w:cs="Times New Roman"/>
                <w:snapToGrid w:val="0"/>
                <w:color w:val="auto"/>
                <w:sz w:val="24"/>
                <w:szCs w:val="24"/>
                <w:u w:val="none"/>
                <w:vertAlign w:val="subscript"/>
              </w:rPr>
              <w:t>3</w:t>
            </w:r>
            <w:r>
              <w:rPr>
                <w:rFonts w:ascii="Times New Roman" w:hAnsi="Times New Roman" w:cs="Times New Roman"/>
                <w:snapToGrid w:val="0"/>
                <w:color w:val="auto"/>
                <w:sz w:val="24"/>
                <w:szCs w:val="24"/>
                <w:u w:val="none"/>
                <w:vertAlign w:val="superscript"/>
              </w:rPr>
              <w:t>-</w:t>
            </w:r>
            <w:r>
              <w:rPr>
                <w:rFonts w:ascii="Times New Roman" w:hAnsi="Times New Roman" w:cs="Times New Roman"/>
                <w:snapToGrid w:val="0"/>
                <w:color w:val="auto"/>
                <w:sz w:val="24"/>
                <w:szCs w:val="24"/>
                <w:u w:val="none"/>
              </w:rPr>
              <w:t>N</w:t>
            </w:r>
            <w:r>
              <w:rPr>
                <w:rFonts w:hint="eastAsia" w:cs="Times New Roman"/>
                <w:snapToGrid w:val="0"/>
                <w:color w:val="auto"/>
                <w:sz w:val="24"/>
                <w:szCs w:val="24"/>
                <w:u w:val="none"/>
                <w:lang w:eastAsia="zh-CN"/>
              </w:rPr>
              <w:t>：</w:t>
            </w:r>
            <w:r>
              <w:rPr>
                <w:rFonts w:ascii="Times New Roman" w:hAnsi="Times New Roman" w:cs="Times New Roman"/>
                <w:snapToGrid w:val="0"/>
                <w:color w:val="auto"/>
                <w:sz w:val="24"/>
                <w:szCs w:val="24"/>
                <w:u w:val="none"/>
              </w:rPr>
              <w:t>25mg/L</w:t>
            </w:r>
            <w:r>
              <w:rPr>
                <w:rFonts w:ascii="Times New Roman" w:hAnsi="Times New Roman" w:cs="Times New Roman"/>
                <w:color w:val="auto"/>
                <w:sz w:val="24"/>
                <w:szCs w:val="24"/>
                <w:u w:val="none"/>
              </w:rPr>
              <w:t>，施工人员生活污水</w:t>
            </w:r>
            <w:r>
              <w:rPr>
                <w:rFonts w:hint="eastAsia" w:ascii="Times New Roman" w:hAnsi="Times New Roman" w:cs="Times New Roman"/>
                <w:color w:val="auto"/>
                <w:sz w:val="24"/>
                <w:szCs w:val="24"/>
                <w:u w:val="none"/>
                <w:lang w:val="en-US" w:eastAsia="zh-CN"/>
              </w:rPr>
              <w:t>排入旱厕由附近农民拉走堆肥</w:t>
            </w:r>
            <w:r>
              <w:rPr>
                <w:rFonts w:ascii="Times New Roman" w:hAnsi="Times New Roman" w:cs="Times New Roman"/>
                <w:color w:val="auto"/>
                <w:sz w:val="24"/>
                <w:szCs w:val="24"/>
                <w:u w:val="none"/>
              </w:rPr>
              <w:t>。</w:t>
            </w:r>
          </w:p>
          <w:p w14:paraId="03A50420">
            <w:pPr>
              <w:keepNext w:val="0"/>
              <w:keepLines w:val="0"/>
              <w:pageBreakBefore w:val="0"/>
              <w:widowControl w:val="0"/>
              <w:kinsoku/>
              <w:wordWrap/>
              <w:overflowPunct/>
              <w:topLinePunct w:val="0"/>
              <w:autoSpaceDE w:val="0"/>
              <w:autoSpaceDN w:val="0"/>
              <w:bidi w:val="0"/>
              <w:adjustRightInd w:val="0"/>
              <w:snapToGrid/>
              <w:spacing w:line="500" w:lineRule="exact"/>
              <w:ind w:firstLine="482" w:firstLineChars="200"/>
              <w:rPr>
                <w:rFonts w:ascii="Times New Roman" w:hAnsi="Times New Roman" w:cs="Times New Roman"/>
                <w:b/>
                <w:bCs/>
                <w:color w:val="auto"/>
                <w:sz w:val="24"/>
                <w:szCs w:val="24"/>
                <w:u w:val="none"/>
                <w:lang w:val="zh-CN"/>
              </w:rPr>
            </w:pPr>
            <w:r>
              <w:rPr>
                <w:rFonts w:ascii="Times New Roman" w:hAnsi="Times New Roman" w:cs="Times New Roman"/>
                <w:b/>
                <w:bCs/>
                <w:color w:val="auto"/>
                <w:sz w:val="24"/>
                <w:szCs w:val="24"/>
                <w:u w:val="none"/>
                <w:lang w:val="zh-CN"/>
              </w:rPr>
              <w:t>2</w:t>
            </w:r>
            <w:r>
              <w:rPr>
                <w:rFonts w:hint="eastAsia" w:cs="Times New Roman"/>
                <w:b/>
                <w:bCs/>
                <w:color w:val="auto"/>
                <w:sz w:val="24"/>
                <w:szCs w:val="24"/>
                <w:u w:val="none"/>
                <w:lang w:val="zh-CN"/>
              </w:rPr>
              <w:t>、</w:t>
            </w:r>
            <w:r>
              <w:rPr>
                <w:rFonts w:ascii="Times New Roman" w:hAnsi="Times New Roman" w:cs="Times New Roman"/>
                <w:b/>
                <w:bCs/>
                <w:color w:val="auto"/>
                <w:sz w:val="24"/>
                <w:szCs w:val="24"/>
                <w:u w:val="none"/>
                <w:lang w:val="zh-CN"/>
              </w:rPr>
              <w:t>大气环境影响分析</w:t>
            </w:r>
          </w:p>
          <w:p w14:paraId="111C354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 w:val="0"/>
                <w:bCs/>
                <w:color w:val="000000"/>
                <w:sz w:val="24"/>
                <w:szCs w:val="24"/>
              </w:rPr>
            </w:pPr>
            <w:r>
              <w:rPr>
                <w:rFonts w:hint="eastAsia" w:ascii="Times New Roman" w:hAnsi="Times New Roman" w:cs="Times New Roman"/>
                <w:b w:val="0"/>
                <w:bCs/>
                <w:color w:val="000000"/>
                <w:sz w:val="24"/>
                <w:szCs w:val="24"/>
                <w:lang w:val="en-US" w:eastAsia="zh-CN"/>
              </w:rPr>
              <w:t>2.1</w:t>
            </w:r>
            <w:r>
              <w:rPr>
                <w:rFonts w:hint="default" w:ascii="Times New Roman" w:hAnsi="Times New Roman" w:cs="Times New Roman"/>
                <w:b w:val="0"/>
                <w:bCs/>
                <w:color w:val="000000"/>
                <w:sz w:val="24"/>
                <w:szCs w:val="24"/>
              </w:rPr>
              <w:t>施工扬尘</w:t>
            </w:r>
          </w:p>
          <w:p w14:paraId="4CF5B12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bCs/>
                <w:color w:val="000000"/>
                <w:sz w:val="24"/>
                <w:szCs w:val="24"/>
                <w:lang w:eastAsia="zh-CN"/>
              </w:rPr>
            </w:pPr>
            <w:r>
              <w:rPr>
                <w:rFonts w:hint="default" w:ascii="Times New Roman" w:hAnsi="Times New Roman" w:cs="Times New Roman"/>
                <w:bCs/>
                <w:color w:val="000000"/>
                <w:sz w:val="24"/>
                <w:szCs w:val="24"/>
              </w:rPr>
              <w:t>项目施工期对环境空气的影响主要为施工扬尘（TSP），包括人来车往造成的道路扬尘，</w:t>
            </w:r>
            <w:r>
              <w:rPr>
                <w:rFonts w:hint="eastAsia" w:cs="Times New Roman"/>
                <w:bCs/>
                <w:color w:val="000000"/>
                <w:sz w:val="24"/>
                <w:szCs w:val="24"/>
                <w:lang w:val="en-US" w:eastAsia="zh-CN"/>
              </w:rPr>
              <w:t>设备运输</w:t>
            </w:r>
            <w:r>
              <w:rPr>
                <w:rFonts w:hint="default" w:ascii="Times New Roman" w:hAnsi="Times New Roman" w:cs="Times New Roman"/>
                <w:bCs/>
                <w:color w:val="000000"/>
                <w:sz w:val="24"/>
                <w:szCs w:val="24"/>
              </w:rPr>
              <w:t>车辆及施工垃圾堆放和清运过程造成的扬尘。为减少施工期扬尘的产生，结合</w:t>
            </w:r>
            <w:r>
              <w:rPr>
                <w:rFonts w:hint="eastAsia" w:cs="Times New Roman"/>
                <w:bCs/>
                <w:color w:val="000000"/>
                <w:sz w:val="24"/>
                <w:szCs w:val="24"/>
                <w:lang w:val="en-US" w:eastAsia="zh-CN"/>
              </w:rPr>
              <w:t>发布的</w:t>
            </w:r>
            <w:r>
              <w:rPr>
                <w:rFonts w:hint="default" w:ascii="Times New Roman" w:hAnsi="Times New Roman" w:cs="Times New Roman"/>
                <w:bCs/>
                <w:color w:val="000000"/>
                <w:sz w:val="24"/>
                <w:szCs w:val="24"/>
              </w:rPr>
              <w:t>《建筑施工现场环境与卫生标准》（JGJ146-2004）</w:t>
            </w:r>
            <w:r>
              <w:rPr>
                <w:rFonts w:hint="eastAsia" w:cs="Times New Roman"/>
                <w:bCs/>
                <w:color w:val="000000"/>
                <w:sz w:val="24"/>
                <w:szCs w:val="24"/>
                <w:lang w:eastAsia="zh-CN"/>
              </w:rPr>
              <w:t>、</w:t>
            </w:r>
            <w:r>
              <w:rPr>
                <w:rFonts w:hint="default" w:ascii="Times New Roman" w:hAnsi="Times New Roman" w:eastAsia="宋体" w:cs="Times New Roman"/>
                <w:b w:val="0"/>
                <w:bCs w:val="0"/>
                <w:color w:val="auto"/>
                <w:kern w:val="2"/>
                <w:sz w:val="24"/>
                <w:szCs w:val="24"/>
                <w:u w:val="none"/>
                <w:lang w:val="en-US" w:eastAsia="zh-CN" w:bidi="ar-SA"/>
              </w:rPr>
              <w:t>《</w:t>
            </w:r>
            <w:r>
              <w:rPr>
                <w:rFonts w:hint="default" w:ascii="Times New Roman" w:hAnsi="Times New Roman" w:cs="Times New Roman"/>
                <w:b w:val="0"/>
                <w:bCs w:val="0"/>
                <w:snapToGrid w:val="0"/>
                <w:color w:val="auto"/>
                <w:kern w:val="0"/>
                <w:sz w:val="24"/>
                <w:szCs w:val="24"/>
              </w:rPr>
              <w:t>河南省深入打好秋冬季重污染天气消除、夏季臭氧污染防治和柴油货车污染治理攻坚战行动方案</w:t>
            </w:r>
            <w:r>
              <w:rPr>
                <w:rFonts w:hint="default" w:ascii="Times New Roman" w:hAnsi="Times New Roman" w:eastAsia="宋体" w:cs="Times New Roman"/>
                <w:b w:val="0"/>
                <w:bCs w:val="0"/>
                <w:color w:val="auto"/>
                <w:kern w:val="2"/>
                <w:sz w:val="24"/>
                <w:szCs w:val="24"/>
                <w:u w:val="none"/>
                <w:lang w:val="en-US" w:eastAsia="zh-CN" w:bidi="ar-SA"/>
              </w:rPr>
              <w:t>》（豫环</w:t>
            </w:r>
            <w:r>
              <w:rPr>
                <w:rFonts w:hint="default" w:ascii="Times New Roman" w:hAnsi="Times New Roman" w:cs="Times New Roman"/>
                <w:b w:val="0"/>
                <w:bCs w:val="0"/>
                <w:color w:val="auto"/>
                <w:kern w:val="2"/>
                <w:sz w:val="24"/>
                <w:szCs w:val="24"/>
                <w:u w:val="none"/>
                <w:lang w:val="en-US" w:eastAsia="zh-CN" w:bidi="ar-SA"/>
              </w:rPr>
              <w:t>委办</w:t>
            </w:r>
            <w:r>
              <w:rPr>
                <w:rFonts w:hint="default" w:ascii="Times New Roman" w:hAnsi="Times New Roman" w:eastAsia="宋体" w:cs="Times New Roman"/>
                <w:b w:val="0"/>
                <w:bCs w:val="0"/>
                <w:color w:val="auto"/>
                <w:kern w:val="2"/>
                <w:sz w:val="24"/>
                <w:szCs w:val="24"/>
                <w:u w:val="none"/>
                <w:lang w:val="en-US" w:eastAsia="zh-CN" w:bidi="ar-SA"/>
              </w:rPr>
              <w:t>〔202</w:t>
            </w:r>
            <w:r>
              <w:rPr>
                <w:rFonts w:hint="default" w:ascii="Times New Roman" w:hAnsi="Times New Roman" w:cs="Times New Roman"/>
                <w:b w:val="0"/>
                <w:bCs w:val="0"/>
                <w:color w:val="auto"/>
                <w:kern w:val="2"/>
                <w:sz w:val="24"/>
                <w:szCs w:val="24"/>
                <w:u w:val="none"/>
                <w:lang w:val="en-US" w:eastAsia="zh-CN" w:bidi="ar-SA"/>
              </w:rPr>
              <w:t>3</w:t>
            </w:r>
            <w:r>
              <w:rPr>
                <w:rFonts w:hint="default" w:ascii="Times New Roman" w:hAnsi="Times New Roman" w:eastAsia="宋体" w:cs="Times New Roman"/>
                <w:b w:val="0"/>
                <w:bCs w:val="0"/>
                <w:color w:val="auto"/>
                <w:kern w:val="2"/>
                <w:sz w:val="24"/>
                <w:szCs w:val="24"/>
                <w:u w:val="none"/>
                <w:lang w:val="en-US" w:eastAsia="zh-CN" w:bidi="ar-SA"/>
              </w:rPr>
              <w:t>〕</w:t>
            </w:r>
            <w:r>
              <w:rPr>
                <w:rFonts w:hint="default" w:ascii="Times New Roman" w:hAnsi="Times New Roman" w:cs="Times New Roman"/>
                <w:b w:val="0"/>
                <w:bCs w:val="0"/>
                <w:color w:val="auto"/>
                <w:kern w:val="2"/>
                <w:sz w:val="24"/>
                <w:szCs w:val="24"/>
                <w:u w:val="none"/>
                <w:lang w:val="en-US" w:eastAsia="zh-CN" w:bidi="ar-SA"/>
              </w:rPr>
              <w:t>3</w:t>
            </w:r>
            <w:r>
              <w:rPr>
                <w:rFonts w:hint="default" w:ascii="Times New Roman" w:hAnsi="Times New Roman" w:eastAsia="宋体" w:cs="Times New Roman"/>
                <w:b w:val="0"/>
                <w:bCs w:val="0"/>
                <w:color w:val="auto"/>
                <w:kern w:val="2"/>
                <w:sz w:val="24"/>
                <w:szCs w:val="24"/>
                <w:u w:val="none"/>
                <w:lang w:val="en-US" w:eastAsia="zh-CN" w:bidi="ar-SA"/>
              </w:rPr>
              <w:t>号）</w:t>
            </w:r>
            <w:r>
              <w:rPr>
                <w:rFonts w:hint="eastAsia" w:cs="Times New Roman"/>
                <w:b w:val="0"/>
                <w:bCs w:val="0"/>
                <w:color w:val="000000"/>
                <w:sz w:val="24"/>
                <w:szCs w:val="24"/>
                <w:highlight w:val="none"/>
                <w:lang w:eastAsia="zh-CN"/>
              </w:rPr>
              <w:t>、《</w:t>
            </w:r>
            <w:r>
              <w:rPr>
                <w:rFonts w:hint="eastAsia" w:cs="Times New Roman"/>
                <w:bCs/>
                <w:color w:val="000000"/>
                <w:sz w:val="24"/>
                <w:szCs w:val="24"/>
                <w:highlight w:val="none"/>
                <w:lang w:val="en-US" w:eastAsia="zh-CN"/>
              </w:rPr>
              <w:t>平顶山市2024年蓝天保卫站实施方案的通知</w:t>
            </w:r>
            <w:r>
              <w:rPr>
                <w:rFonts w:hint="eastAsia" w:cs="Times New Roman"/>
                <w:bCs/>
                <w:color w:val="000000"/>
                <w:sz w:val="24"/>
                <w:szCs w:val="24"/>
                <w:highlight w:val="none"/>
                <w:lang w:eastAsia="zh-CN"/>
              </w:rPr>
              <w:t>》（</w:t>
            </w:r>
            <w:r>
              <w:rPr>
                <w:rFonts w:hint="eastAsia" w:cs="Times New Roman"/>
                <w:bCs/>
                <w:color w:val="000000"/>
                <w:sz w:val="24"/>
                <w:szCs w:val="24"/>
                <w:highlight w:val="none"/>
                <w:lang w:val="en-US" w:eastAsia="zh-CN"/>
              </w:rPr>
              <w:t>平环委办</w:t>
            </w:r>
            <w:r>
              <w:rPr>
                <w:rFonts w:hint="default" w:ascii="Times New Roman" w:hAnsi="Times New Roman" w:cs="Times New Roman"/>
                <w:bCs/>
                <w:color w:val="000000"/>
                <w:sz w:val="24"/>
                <w:szCs w:val="24"/>
                <w:highlight w:val="none"/>
              </w:rPr>
              <w:t>〔202</w:t>
            </w:r>
            <w:r>
              <w:rPr>
                <w:rFonts w:hint="eastAsia" w:cs="Times New Roman"/>
                <w:bCs/>
                <w:color w:val="000000"/>
                <w:sz w:val="24"/>
                <w:szCs w:val="24"/>
                <w:highlight w:val="none"/>
                <w:lang w:val="en-US" w:eastAsia="zh-CN"/>
              </w:rPr>
              <w:t>4</w:t>
            </w:r>
            <w:r>
              <w:rPr>
                <w:rFonts w:hint="default" w:ascii="Times New Roman" w:hAnsi="Times New Roman" w:cs="Times New Roman"/>
                <w:bCs/>
                <w:color w:val="000000"/>
                <w:sz w:val="24"/>
                <w:szCs w:val="24"/>
                <w:highlight w:val="none"/>
              </w:rPr>
              <w:t>〕</w:t>
            </w:r>
            <w:r>
              <w:rPr>
                <w:rFonts w:hint="eastAsia" w:cs="Times New Roman"/>
                <w:bCs/>
                <w:color w:val="000000"/>
                <w:sz w:val="24"/>
                <w:szCs w:val="24"/>
                <w:highlight w:val="none"/>
                <w:lang w:val="en-US" w:eastAsia="zh-CN"/>
              </w:rPr>
              <w:t>13</w:t>
            </w:r>
            <w:r>
              <w:rPr>
                <w:rFonts w:hint="default" w:ascii="Times New Roman" w:hAnsi="Times New Roman" w:cs="Times New Roman"/>
                <w:bCs/>
                <w:color w:val="000000"/>
                <w:sz w:val="24"/>
                <w:szCs w:val="24"/>
                <w:highlight w:val="none"/>
              </w:rPr>
              <w:t>号</w:t>
            </w:r>
            <w:r>
              <w:rPr>
                <w:rFonts w:hint="eastAsia" w:cs="Times New Roman"/>
                <w:bCs/>
                <w:color w:val="000000"/>
                <w:sz w:val="24"/>
                <w:szCs w:val="24"/>
                <w:highlight w:val="none"/>
                <w:lang w:eastAsia="zh-CN"/>
              </w:rPr>
              <w:t>）</w:t>
            </w:r>
            <w:r>
              <w:rPr>
                <w:rFonts w:hint="default" w:ascii="Times New Roman" w:hAnsi="Times New Roman" w:cs="Times New Roman"/>
                <w:bCs/>
                <w:color w:val="auto"/>
                <w:sz w:val="24"/>
                <w:szCs w:val="24"/>
              </w:rPr>
              <w:t>文件中的相关规定，采取如下扬尘防治措施，以防治施工扬尘，减小对周围环境空气的影响</w:t>
            </w:r>
            <w:r>
              <w:rPr>
                <w:rFonts w:hint="eastAsia" w:cs="Times New Roman"/>
                <w:bCs/>
                <w:color w:val="auto"/>
                <w:sz w:val="24"/>
                <w:szCs w:val="24"/>
                <w:lang w:eastAsia="zh-CN"/>
              </w:rPr>
              <w:t>。</w:t>
            </w:r>
          </w:p>
          <w:p w14:paraId="74B1581A">
            <w:pPr>
              <w:pStyle w:val="98"/>
              <w:keepNext w:val="0"/>
              <w:keepLines w:val="0"/>
              <w:pageBreakBefore w:val="0"/>
              <w:widowControl w:val="0"/>
              <w:kinsoku/>
              <w:wordWrap/>
              <w:overflowPunct/>
              <w:topLinePunct w:val="0"/>
              <w:autoSpaceDE/>
              <w:autoSpaceDN/>
              <w:bidi w:val="0"/>
              <w:snapToGrid/>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（1）建筑施工现场施工扬尘防治工作坚持</w:t>
            </w:r>
            <w:r>
              <w:rPr>
                <w:rFonts w:hint="eastAsia" w:ascii="Times New Roman" w:hAnsi="Times New Roman" w:cs="Times New Roman"/>
                <w:bCs/>
                <w:color w:val="auto"/>
                <w:lang w:eastAsia="zh-CN"/>
              </w:rPr>
              <w:t>“</w:t>
            </w:r>
            <w:r>
              <w:rPr>
                <w:rFonts w:hint="default" w:ascii="Times New Roman" w:hAnsi="Times New Roman" w:cs="Times New Roman"/>
                <w:bCs/>
                <w:color w:val="auto"/>
              </w:rPr>
              <w:t>属地管理、分级负责</w:t>
            </w:r>
            <w:r>
              <w:rPr>
                <w:rFonts w:hint="eastAsia" w:ascii="Times New Roman" w:hAnsi="Times New Roman" w:cs="Times New Roman"/>
                <w:bCs/>
                <w:color w:val="auto"/>
                <w:lang w:eastAsia="zh-CN"/>
              </w:rPr>
              <w:t>”</w:t>
            </w:r>
            <w:r>
              <w:rPr>
                <w:rFonts w:hint="default" w:ascii="Times New Roman" w:hAnsi="Times New Roman" w:cs="Times New Roman"/>
                <w:bCs/>
                <w:color w:val="auto"/>
              </w:rPr>
              <w:t>和</w:t>
            </w:r>
            <w:r>
              <w:rPr>
                <w:rFonts w:hint="eastAsia" w:ascii="Times New Roman" w:hAnsi="Times New Roman" w:cs="Times New Roman"/>
                <w:bCs/>
                <w:color w:val="auto"/>
                <w:lang w:eastAsia="zh-CN"/>
              </w:rPr>
              <w:t>“</w:t>
            </w:r>
            <w:r>
              <w:rPr>
                <w:rFonts w:hint="default" w:ascii="Times New Roman" w:hAnsi="Times New Roman" w:cs="Times New Roman"/>
                <w:bCs/>
                <w:color w:val="auto"/>
              </w:rPr>
              <w:t>谁主管、谁负责</w:t>
            </w:r>
            <w:r>
              <w:rPr>
                <w:rFonts w:hint="eastAsia" w:ascii="Times New Roman" w:hAnsi="Times New Roman" w:cs="Times New Roman"/>
                <w:bCs/>
                <w:color w:val="auto"/>
                <w:lang w:eastAsia="zh-CN"/>
              </w:rPr>
              <w:t>”</w:t>
            </w:r>
            <w:r>
              <w:rPr>
                <w:rFonts w:hint="default" w:ascii="Times New Roman" w:hAnsi="Times New Roman" w:cs="Times New Roman"/>
                <w:bCs/>
                <w:color w:val="auto"/>
              </w:rPr>
              <w:t>的原则。</w:t>
            </w:r>
          </w:p>
          <w:p w14:paraId="2DB2E04E">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Cs/>
                <w:color w:val="000000"/>
                <w:sz w:val="24"/>
                <w:szCs w:val="24"/>
              </w:rPr>
            </w:pPr>
            <w:r>
              <w:rPr>
                <w:rFonts w:hint="default" w:ascii="Times New Roman" w:hAnsi="Times New Roman" w:cs="Times New Roman"/>
                <w:bCs/>
                <w:color w:val="000000"/>
                <w:sz w:val="24"/>
                <w:szCs w:val="24"/>
              </w:rPr>
              <w:t>（</w:t>
            </w:r>
            <w:r>
              <w:rPr>
                <w:rFonts w:hint="eastAsia" w:cs="Times New Roman"/>
                <w:bCs/>
                <w:color w:val="000000"/>
                <w:sz w:val="24"/>
                <w:szCs w:val="24"/>
                <w:lang w:val="en-US" w:eastAsia="zh-CN"/>
              </w:rPr>
              <w:t>2</w:t>
            </w:r>
            <w:r>
              <w:rPr>
                <w:rFonts w:hint="default" w:ascii="Times New Roman" w:hAnsi="Times New Roman" w:cs="Times New Roman"/>
                <w:bCs/>
                <w:color w:val="000000"/>
                <w:sz w:val="24"/>
                <w:szCs w:val="24"/>
              </w:rPr>
              <w:t>）施工现场做到八个“100%”，即施工现场100%封闭管理，施工现场100%湿法作业，场区道路100%硬化，渣土物料100％覆盖，物料100％密闭运输，出入车辆100％清洗</w:t>
            </w:r>
            <w:r>
              <w:rPr>
                <w:rFonts w:hint="eastAsia" w:cs="Times New Roman"/>
                <w:bCs/>
                <w:color w:val="000000"/>
                <w:sz w:val="24"/>
                <w:szCs w:val="24"/>
                <w:lang w:eastAsia="zh-CN"/>
              </w:rPr>
              <w:t>，</w:t>
            </w:r>
            <w:r>
              <w:rPr>
                <w:rFonts w:hint="default" w:ascii="Times New Roman" w:hAnsi="Times New Roman" w:cs="Times New Roman"/>
                <w:bCs/>
                <w:color w:val="000000"/>
                <w:sz w:val="24"/>
                <w:szCs w:val="24"/>
              </w:rPr>
              <w:t>远程视频监控100％安装，工地内非道路移动机械100％达标。</w:t>
            </w:r>
          </w:p>
          <w:p w14:paraId="577B8DCB">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Cs/>
                <w:color w:val="000000"/>
                <w:sz w:val="24"/>
                <w:szCs w:val="24"/>
              </w:rPr>
            </w:pPr>
            <w:r>
              <w:rPr>
                <w:rFonts w:hint="default" w:ascii="Times New Roman" w:hAnsi="Times New Roman" w:cs="Times New Roman"/>
                <w:bCs/>
                <w:color w:val="000000"/>
                <w:sz w:val="24"/>
                <w:szCs w:val="24"/>
              </w:rPr>
              <w:t>（</w:t>
            </w:r>
            <w:r>
              <w:rPr>
                <w:rFonts w:hint="eastAsia" w:cs="Times New Roman"/>
                <w:bCs/>
                <w:color w:val="000000"/>
                <w:sz w:val="24"/>
                <w:szCs w:val="24"/>
                <w:lang w:val="en-US" w:eastAsia="zh-CN"/>
              </w:rPr>
              <w:t>3</w:t>
            </w:r>
            <w:r>
              <w:rPr>
                <w:rFonts w:hint="default" w:ascii="Times New Roman" w:hAnsi="Times New Roman" w:cs="Times New Roman"/>
                <w:bCs/>
                <w:color w:val="000000"/>
                <w:sz w:val="24"/>
                <w:szCs w:val="24"/>
              </w:rPr>
              <w:t>）施工现场做到“两个禁止”，禁止现场搅拌混凝土、禁止现场配置砂浆。施工现场混凝土搅拌场所应采取封闭、降尘措施。</w:t>
            </w:r>
          </w:p>
          <w:p w14:paraId="06900FFE">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Cs/>
                <w:color w:val="000000"/>
                <w:sz w:val="24"/>
                <w:szCs w:val="24"/>
              </w:rPr>
            </w:pPr>
            <w:r>
              <w:rPr>
                <w:rFonts w:hint="default" w:ascii="Times New Roman" w:hAnsi="Times New Roman" w:cs="Times New Roman"/>
                <w:bCs/>
                <w:color w:val="000000"/>
                <w:sz w:val="24"/>
                <w:szCs w:val="24"/>
              </w:rPr>
              <w:t>（</w:t>
            </w:r>
            <w:r>
              <w:rPr>
                <w:rFonts w:hint="eastAsia" w:cs="Times New Roman"/>
                <w:bCs/>
                <w:color w:val="000000"/>
                <w:sz w:val="24"/>
                <w:szCs w:val="24"/>
                <w:lang w:val="en-US" w:eastAsia="zh-CN"/>
              </w:rPr>
              <w:t>4</w:t>
            </w:r>
            <w:r>
              <w:rPr>
                <w:rFonts w:hint="default" w:ascii="Times New Roman" w:hAnsi="Times New Roman" w:cs="Times New Roman"/>
                <w:bCs/>
                <w:color w:val="000000"/>
                <w:sz w:val="24"/>
                <w:szCs w:val="24"/>
              </w:rPr>
              <w:t>）施工现场出入口应标有企业名称或企业标识。主要出入口明显处应设置工程概况牌，大门内应有施工现场总平面图和安全生产、消防保卫、环境保护、文明施工等制度牌。</w:t>
            </w:r>
          </w:p>
          <w:p w14:paraId="4B01289A">
            <w:pPr>
              <w:pStyle w:val="98"/>
              <w:keepNext w:val="0"/>
              <w:keepLines w:val="0"/>
              <w:pageBreakBefore w:val="0"/>
              <w:widowControl w:val="0"/>
              <w:kinsoku/>
              <w:wordWrap/>
              <w:overflowPunct/>
              <w:topLinePunct w:val="0"/>
              <w:autoSpaceDE/>
              <w:autoSpaceDN/>
              <w:bidi w:val="0"/>
              <w:snapToGrid/>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w:t>
            </w:r>
            <w:r>
              <w:rPr>
                <w:rFonts w:hint="eastAsia" w:ascii="Times New Roman" w:hAnsi="Times New Roman" w:cs="Times New Roman"/>
                <w:bCs/>
                <w:color w:val="auto"/>
                <w:lang w:val="en-US" w:eastAsia="zh-CN"/>
              </w:rPr>
              <w:t>5</w:t>
            </w:r>
            <w:r>
              <w:rPr>
                <w:rFonts w:hint="default" w:ascii="Times New Roman" w:hAnsi="Times New Roman" w:cs="Times New Roman"/>
                <w:bCs/>
                <w:color w:val="auto"/>
              </w:rPr>
              <w:t>）施工工地开工前必须做到“六个到位”，即“审批到位、报备到位、治理方案到位、配套措施到位、监控到位、人员（施工单位管理人员、责任部门监管人员）到位”。</w:t>
            </w:r>
          </w:p>
          <w:p w14:paraId="5F6E2349">
            <w:pPr>
              <w:pStyle w:val="98"/>
              <w:keepNext w:val="0"/>
              <w:keepLines w:val="0"/>
              <w:pageBreakBefore w:val="0"/>
              <w:widowControl w:val="0"/>
              <w:kinsoku/>
              <w:wordWrap/>
              <w:overflowPunct/>
              <w:topLinePunct w:val="0"/>
              <w:autoSpaceDE/>
              <w:autoSpaceDN/>
              <w:bidi w:val="0"/>
              <w:snapToGrid/>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w:t>
            </w:r>
            <w:r>
              <w:rPr>
                <w:rFonts w:hint="eastAsia" w:ascii="Times New Roman" w:hAnsi="Times New Roman" w:cs="Times New Roman"/>
                <w:bCs/>
                <w:color w:val="auto"/>
                <w:lang w:val="en-US" w:eastAsia="zh-CN"/>
              </w:rPr>
              <w:t>6</w:t>
            </w:r>
            <w:r>
              <w:rPr>
                <w:rFonts w:hint="default" w:ascii="Times New Roman" w:hAnsi="Times New Roman" w:cs="Times New Roman"/>
                <w:bCs/>
                <w:color w:val="auto"/>
              </w:rPr>
              <w:t>）限制车速、保持路面清洁</w:t>
            </w:r>
          </w:p>
          <w:p w14:paraId="349A228C">
            <w:pPr>
              <w:pStyle w:val="98"/>
              <w:keepNext w:val="0"/>
              <w:keepLines w:val="0"/>
              <w:pageBreakBefore w:val="0"/>
              <w:widowControl w:val="0"/>
              <w:kinsoku/>
              <w:wordWrap/>
              <w:overflowPunct/>
              <w:topLinePunct w:val="0"/>
              <w:autoSpaceDE/>
              <w:autoSpaceDN/>
              <w:bidi w:val="0"/>
              <w:snapToGrid/>
              <w:spacing w:line="50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施工场地的扬尘大部分来自施工车辆，在同样路面清洁程度条件下，车速越快，扬尘量越大；而在同样车速情况下，路面越脏，则扬尘量越大。因此，通过限速行驶，及定时清扫路面，保持路面的清洁是减少汽车扬尘的有效手段。</w:t>
            </w:r>
          </w:p>
          <w:p w14:paraId="5BCE9222">
            <w:pPr>
              <w:keepNext w:val="0"/>
              <w:keepLines w:val="0"/>
              <w:pageBreakBefore w:val="0"/>
              <w:widowControl w:val="0"/>
              <w:kinsoku/>
              <w:wordWrap/>
              <w:overflowPunct/>
              <w:topLinePunct w:val="0"/>
              <w:autoSpaceDE/>
              <w:autoSpaceDN/>
              <w:bidi w:val="0"/>
              <w:snapToGrid/>
              <w:spacing w:line="500" w:lineRule="exact"/>
              <w:ind w:firstLine="480" w:firstLineChars="200"/>
              <w:textAlignment w:val="auto"/>
              <w:rPr>
                <w:rFonts w:hint="default" w:ascii="Times New Roman" w:hAnsi="Times New Roman" w:eastAsia="宋体" w:cs="Times New Roman"/>
                <w:sz w:val="24"/>
                <w:szCs w:val="24"/>
                <w:u w:val="none"/>
              </w:rPr>
            </w:pPr>
            <w:r>
              <w:rPr>
                <w:rFonts w:hint="eastAsia" w:ascii="Times New Roman" w:hAnsi="Times New Roman" w:cs="Times New Roman"/>
                <w:sz w:val="24"/>
                <w:szCs w:val="24"/>
                <w:u w:val="none"/>
                <w:lang w:val="en-US" w:eastAsia="zh-CN"/>
              </w:rPr>
              <w:t>2</w:t>
            </w:r>
            <w:r>
              <w:rPr>
                <w:rFonts w:hint="default" w:ascii="Times New Roman" w:hAnsi="Times New Roman" w:cs="Times New Roman"/>
                <w:sz w:val="24"/>
                <w:szCs w:val="24"/>
                <w:u w:val="none"/>
                <w:lang w:val="en-US" w:eastAsia="zh-CN"/>
              </w:rPr>
              <w:t>.2</w:t>
            </w:r>
            <w:r>
              <w:rPr>
                <w:rFonts w:hint="default" w:ascii="Times New Roman" w:hAnsi="Times New Roman" w:eastAsia="宋体" w:cs="Times New Roman"/>
                <w:sz w:val="24"/>
                <w:szCs w:val="24"/>
                <w:u w:val="none"/>
              </w:rPr>
              <w:t>施工运输车辆和作业机械产生的废气</w:t>
            </w:r>
          </w:p>
          <w:p w14:paraId="54E3EE0E">
            <w:pPr>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施工阶段用到的施工机械</w:t>
            </w:r>
            <w:r>
              <w:rPr>
                <w:rFonts w:hint="default" w:ascii="Times New Roman" w:hAnsi="Times New Roman" w:eastAsia="宋体" w:cs="Times New Roman"/>
                <w:sz w:val="24"/>
                <w:szCs w:val="24"/>
                <w:highlight w:val="none"/>
                <w:u w:val="none"/>
              </w:rPr>
              <w:t>主要包括铲车、物料运输车辆等，本项目</w:t>
            </w:r>
            <w:r>
              <w:rPr>
                <w:rFonts w:hint="eastAsia" w:cs="Times New Roman"/>
                <w:sz w:val="24"/>
                <w:szCs w:val="24"/>
                <w:highlight w:val="none"/>
                <w:u w:val="none"/>
                <w:lang w:val="en-US" w:eastAsia="zh-CN"/>
              </w:rPr>
              <w:t>使用车辆要符合非道路和道路的使用要求，</w:t>
            </w:r>
            <w:r>
              <w:rPr>
                <w:rFonts w:hint="default" w:ascii="Times New Roman" w:hAnsi="Times New Roman" w:eastAsia="宋体" w:cs="Times New Roman"/>
                <w:sz w:val="24"/>
                <w:szCs w:val="24"/>
                <w:highlight w:val="none"/>
                <w:u w:val="none"/>
              </w:rPr>
              <w:t>根据《车用柴油》（GB/T 19147-2003）标准规定，轻柴油中S含量＜0.05%，灰分＜0</w:t>
            </w:r>
            <w:r>
              <w:rPr>
                <w:rFonts w:hint="default" w:ascii="Times New Roman" w:hAnsi="Times New Roman" w:eastAsia="宋体" w:cs="Times New Roman"/>
                <w:sz w:val="24"/>
                <w:szCs w:val="24"/>
                <w:u w:val="none"/>
              </w:rPr>
              <w:t>.01%。因此，燃油机械在使用轻质柴油时，燃烧废气中SO</w:t>
            </w:r>
            <w:r>
              <w:rPr>
                <w:rFonts w:hint="default" w:ascii="Times New Roman" w:hAnsi="Times New Roman" w:eastAsia="宋体" w:cs="Times New Roman"/>
                <w:sz w:val="24"/>
                <w:szCs w:val="24"/>
                <w:u w:val="none"/>
                <w:vertAlign w:val="subscript"/>
              </w:rPr>
              <w:t>2</w:t>
            </w:r>
            <w:r>
              <w:rPr>
                <w:rFonts w:hint="default" w:ascii="Times New Roman" w:hAnsi="Times New Roman" w:eastAsia="宋体" w:cs="Times New Roman"/>
                <w:sz w:val="24"/>
                <w:szCs w:val="24"/>
                <w:u w:val="none"/>
              </w:rPr>
              <w:t>和颗粒物排放量较少，对周边环境影响不大。根据</w:t>
            </w:r>
            <w:r>
              <w:rPr>
                <w:rFonts w:hint="default" w:ascii="Times New Roman" w:hAnsi="Times New Roman" w:cs="Times New Roman"/>
                <w:sz w:val="24"/>
                <w:szCs w:val="24"/>
                <w:u w:val="none"/>
                <w:lang w:val="en-US" w:eastAsia="zh-CN"/>
              </w:rPr>
              <w:t>河南省生态环境厅</w:t>
            </w:r>
            <w:r>
              <w:rPr>
                <w:rFonts w:hint="default" w:ascii="Times New Roman" w:hAnsi="Times New Roman" w:eastAsia="宋体" w:cs="Times New Roman"/>
                <w:sz w:val="24"/>
                <w:szCs w:val="24"/>
                <w:u w:val="none"/>
              </w:rPr>
              <w:t>印发</w:t>
            </w:r>
            <w:r>
              <w:rPr>
                <w:rFonts w:hint="default" w:ascii="Times New Roman" w:hAnsi="Times New Roman" w:cs="Times New Roman"/>
                <w:sz w:val="24"/>
                <w:szCs w:val="24"/>
                <w:u w:val="none"/>
                <w:lang w:eastAsia="zh-CN"/>
              </w:rPr>
              <w:t>《河南省重污染天气通用行业应急减排措施制定技术指南（202</w:t>
            </w:r>
            <w:r>
              <w:rPr>
                <w:rFonts w:hint="eastAsia" w:cs="Times New Roman"/>
                <w:sz w:val="24"/>
                <w:szCs w:val="24"/>
                <w:u w:val="none"/>
                <w:lang w:val="en-US" w:eastAsia="zh-CN"/>
              </w:rPr>
              <w:t>4</w:t>
            </w:r>
            <w:r>
              <w:rPr>
                <w:rFonts w:hint="default" w:ascii="Times New Roman" w:hAnsi="Times New Roman" w:cs="Times New Roman"/>
                <w:sz w:val="24"/>
                <w:szCs w:val="24"/>
                <w:u w:val="none"/>
                <w:lang w:eastAsia="zh-CN"/>
              </w:rPr>
              <w:t>年修订版）》</w:t>
            </w:r>
            <w:r>
              <w:rPr>
                <w:rFonts w:hint="default" w:ascii="Times New Roman" w:hAnsi="Times New Roman" w:cs="Times New Roman"/>
                <w:sz w:val="24"/>
                <w:szCs w:val="24"/>
                <w:u w:val="none"/>
                <w:lang w:val="en-US" w:eastAsia="zh-CN"/>
              </w:rPr>
              <w:t>中对于运输方式的要求，厂内</w:t>
            </w:r>
            <w:r>
              <w:rPr>
                <w:rFonts w:hint="default" w:ascii="Times New Roman" w:hAnsi="Times New Roman" w:eastAsia="宋体" w:cs="Times New Roman"/>
                <w:sz w:val="24"/>
                <w:szCs w:val="24"/>
                <w:u w:val="none"/>
              </w:rPr>
              <w:t>非道路移动机械均采用国</w:t>
            </w:r>
            <w:r>
              <w:rPr>
                <w:rFonts w:hint="default" w:ascii="Times New Roman" w:hAnsi="Times New Roman" w:cs="Times New Roman"/>
                <w:sz w:val="24"/>
                <w:szCs w:val="24"/>
                <w:u w:val="none"/>
                <w:lang w:val="en-US" w:eastAsia="zh-CN"/>
              </w:rPr>
              <w:t>三</w:t>
            </w:r>
            <w:r>
              <w:rPr>
                <w:rFonts w:hint="default" w:ascii="Times New Roman" w:hAnsi="Times New Roman" w:eastAsia="宋体" w:cs="Times New Roman"/>
                <w:sz w:val="24"/>
                <w:szCs w:val="24"/>
                <w:u w:val="none"/>
              </w:rPr>
              <w:t>及以上</w:t>
            </w:r>
            <w:r>
              <w:rPr>
                <w:rFonts w:hint="default" w:ascii="Times New Roman" w:hAnsi="Times New Roman" w:cs="Times New Roman"/>
                <w:sz w:val="24"/>
                <w:szCs w:val="24"/>
                <w:u w:val="none"/>
                <w:lang w:val="en-US" w:eastAsia="zh-CN"/>
              </w:rPr>
              <w:t>排放标准</w:t>
            </w:r>
            <w:r>
              <w:rPr>
                <w:rFonts w:hint="eastAsia" w:cs="Times New Roman"/>
                <w:sz w:val="24"/>
                <w:szCs w:val="24"/>
                <w:u w:val="none"/>
                <w:lang w:val="en-US" w:eastAsia="zh-CN"/>
              </w:rPr>
              <w:t>或使用新能源机械</w:t>
            </w:r>
            <w:r>
              <w:rPr>
                <w:rFonts w:hint="default" w:ascii="Times New Roman" w:hAnsi="Times New Roman" w:cs="Times New Roman"/>
                <w:sz w:val="24"/>
                <w:szCs w:val="24"/>
                <w:u w:val="none"/>
                <w:lang w:val="en-US" w:eastAsia="zh-CN"/>
              </w:rPr>
              <w:t>，厂内</w:t>
            </w:r>
            <w:r>
              <w:rPr>
                <w:rFonts w:hint="default" w:ascii="Times New Roman" w:hAnsi="Times New Roman" w:cs="Times New Roman"/>
                <w:sz w:val="24"/>
                <w:szCs w:val="24"/>
                <w:highlight w:val="none"/>
                <w:u w:val="none"/>
                <w:lang w:val="en-US" w:eastAsia="zh-CN"/>
              </w:rPr>
              <w:t>运输车辆要达到达到国五及以上排放标准（重型燃气车辆达到国六排放标准）或使用</w:t>
            </w:r>
            <w:r>
              <w:rPr>
                <w:rFonts w:hint="eastAsia" w:cs="Times New Roman"/>
                <w:sz w:val="24"/>
                <w:szCs w:val="24"/>
                <w:highlight w:val="none"/>
                <w:u w:val="none"/>
                <w:lang w:val="en-US" w:eastAsia="zh-CN"/>
              </w:rPr>
              <w:t>使用</w:t>
            </w:r>
            <w:r>
              <w:rPr>
                <w:rFonts w:hint="default" w:ascii="Times New Roman" w:hAnsi="Times New Roman" w:cs="Times New Roman"/>
                <w:sz w:val="24"/>
                <w:szCs w:val="24"/>
                <w:highlight w:val="none"/>
                <w:u w:val="none"/>
                <w:lang w:val="en-US" w:eastAsia="zh-CN"/>
              </w:rPr>
              <w:t>新能源车辆</w:t>
            </w:r>
            <w:r>
              <w:rPr>
                <w:rFonts w:hint="default" w:ascii="Times New Roman" w:hAnsi="Times New Roman" w:eastAsia="宋体" w:cs="Times New Roman"/>
                <w:sz w:val="24"/>
                <w:szCs w:val="24"/>
                <w:highlight w:val="none"/>
                <w:u w:val="none"/>
              </w:rPr>
              <w:t>。此外，运输车辆禁止超载，不得使用劣质燃料；对车辆尾气的排放应进行监督管理，严格执行汽车排污监管办法相关规定，避免排放黑烟。经采取</w:t>
            </w:r>
            <w:r>
              <w:rPr>
                <w:rFonts w:hint="default" w:ascii="Times New Roman" w:hAnsi="Times New Roman" w:eastAsia="宋体" w:cs="Times New Roman"/>
                <w:sz w:val="24"/>
                <w:szCs w:val="24"/>
                <w:u w:val="none"/>
              </w:rPr>
              <w:t>上述措施后对周围环境的影响较小。</w:t>
            </w:r>
          </w:p>
          <w:p w14:paraId="60668426">
            <w:pPr>
              <w:keepNext w:val="0"/>
              <w:keepLines w:val="0"/>
              <w:pageBreakBefore w:val="0"/>
              <w:widowControl w:val="0"/>
              <w:kinsoku/>
              <w:wordWrap/>
              <w:overflowPunct/>
              <w:topLinePunct w:val="0"/>
              <w:bidi w:val="0"/>
              <w:snapToGrid/>
              <w:spacing w:line="500" w:lineRule="exact"/>
              <w:ind w:firstLine="480" w:firstLineChars="200"/>
              <w:textAlignment w:val="baseline"/>
              <w:rPr>
                <w:rFonts w:ascii="Times New Roman" w:hAnsi="Times New Roman" w:cs="Times New Roman"/>
                <w:color w:val="auto"/>
                <w:sz w:val="24"/>
                <w:szCs w:val="24"/>
                <w:u w:val="none"/>
              </w:rPr>
            </w:pPr>
            <w:r>
              <w:rPr>
                <w:rFonts w:hint="eastAsia" w:cs="Times New Roman"/>
                <w:color w:val="auto"/>
                <w:sz w:val="24"/>
                <w:szCs w:val="24"/>
                <w:u w:val="none"/>
                <w:lang w:val="en-US" w:eastAsia="zh-CN"/>
              </w:rPr>
              <w:t>2.3</w:t>
            </w:r>
            <w:r>
              <w:rPr>
                <w:rFonts w:ascii="Times New Roman" w:hAnsi="Times New Roman" w:cs="Times New Roman"/>
                <w:color w:val="auto"/>
                <w:sz w:val="24"/>
                <w:szCs w:val="24"/>
                <w:u w:val="none"/>
              </w:rPr>
              <w:t>堆场扬尘</w:t>
            </w:r>
          </w:p>
          <w:p w14:paraId="0AE0F3D5">
            <w:pPr>
              <w:keepNext w:val="0"/>
              <w:keepLines w:val="0"/>
              <w:pageBreakBefore w:val="0"/>
              <w:widowControl w:val="0"/>
              <w:kinsoku/>
              <w:wordWrap/>
              <w:overflowPunct/>
              <w:topLinePunct w:val="0"/>
              <w:bidi w:val="0"/>
              <w:snapToGrid/>
              <w:spacing w:line="500" w:lineRule="exact"/>
              <w:ind w:firstLine="480" w:firstLineChars="200"/>
              <w:rPr>
                <w:rFonts w:ascii="Times New Roman" w:hAnsi="Times New Roman" w:cs="Times New Roman"/>
                <w:color w:val="auto"/>
                <w:sz w:val="24"/>
                <w:szCs w:val="24"/>
                <w:u w:val="none"/>
              </w:rPr>
            </w:pPr>
            <w:r>
              <w:rPr>
                <w:rFonts w:ascii="Times New Roman" w:hAnsi="Times New Roman" w:cs="Times New Roman"/>
                <w:color w:val="auto"/>
                <w:sz w:val="24"/>
                <w:szCs w:val="24"/>
                <w:u w:val="none"/>
              </w:rPr>
              <w:t>料堆风吹扬尘也比较严重。根据日本三菱重工业公司长崎研究所煤尘污染起尘量的计算公式：</w:t>
            </w:r>
          </w:p>
          <w:p w14:paraId="1BB75CF9">
            <w:pPr>
              <w:spacing w:line="360" w:lineRule="auto"/>
              <w:ind w:left="1890" w:leftChars="900" w:firstLine="480" w:firstLineChars="200"/>
              <w:rPr>
                <w:rFonts w:ascii="Times New Roman" w:hAnsi="Times New Roman" w:cs="Times New Roman"/>
                <w:color w:val="auto"/>
                <w:sz w:val="24"/>
                <w:szCs w:val="24"/>
                <w:u w:val="none"/>
              </w:rPr>
            </w:pPr>
            <w:r>
              <w:rPr>
                <w:rFonts w:ascii="Times New Roman" w:hAnsi="Times New Roman" w:cs="Times New Roman"/>
                <w:color w:val="auto"/>
                <w:position w:val="-14"/>
                <w:sz w:val="24"/>
                <w:szCs w:val="24"/>
                <w:u w:val="none"/>
              </w:rPr>
              <w:object>
                <v:shape id="_x0000_i1025" o:spt="75" type="#_x0000_t75" style="height:26.25pt;width:127.75pt;" o:ole="t" filled="f" o:preferrelative="t" stroked="f" coordsize="21600,21600">
                  <v:path/>
                  <v:fill on="f" focussize="0,0"/>
                  <v:stroke on="f"/>
                  <v:imagedata r:id="rId22" o:title=""/>
                  <o:lock v:ext="edit" aspectratio="t"/>
                  <w10:wrap type="none"/>
                  <w10:anchorlock/>
                </v:shape>
                <o:OLEObject Type="Embed" ProgID="Equation.DSMT4" ShapeID="_x0000_i1025" DrawAspect="Content" ObjectID="_1468075725" r:id="rId21">
                  <o:LockedField>false</o:LockedField>
                </o:OLEObject>
              </w:object>
            </w:r>
          </w:p>
          <w:p w14:paraId="66C97CDF">
            <w:pPr>
              <w:spacing w:line="360" w:lineRule="auto"/>
              <w:ind w:left="1890" w:leftChars="900" w:firstLine="480" w:firstLineChars="200"/>
              <w:rPr>
                <w:rFonts w:ascii="Times New Roman" w:hAnsi="Times New Roman" w:cs="Times New Roman"/>
                <w:color w:val="auto"/>
                <w:sz w:val="24"/>
                <w:szCs w:val="24"/>
                <w:u w:val="none"/>
              </w:rPr>
            </w:pPr>
            <w:r>
              <w:rPr>
                <w:rFonts w:ascii="Times New Roman" w:hAnsi="Times New Roman" w:cs="Times New Roman"/>
                <w:color w:val="auto"/>
                <w:sz w:val="24"/>
                <w:szCs w:val="24"/>
                <w:u w:val="none"/>
              </w:rPr>
              <w:t>式中：Q</w:t>
            </w:r>
            <w:r>
              <w:rPr>
                <w:rFonts w:ascii="Times New Roman" w:hAnsi="Times New Roman" w:cs="Times New Roman"/>
                <w:color w:val="auto"/>
                <w:sz w:val="24"/>
                <w:szCs w:val="24"/>
                <w:u w:val="none"/>
                <w:vertAlign w:val="subscript"/>
              </w:rPr>
              <w:t>p</w:t>
            </w:r>
            <w:r>
              <w:rPr>
                <w:rFonts w:ascii="Times New Roman" w:hAnsi="Times New Roman" w:cs="Times New Roman"/>
                <w:color w:val="auto"/>
                <w:sz w:val="24"/>
                <w:szCs w:val="24"/>
                <w:u w:val="none"/>
              </w:rPr>
              <w:t>――起尘量，mg/s；</w:t>
            </w:r>
          </w:p>
          <w:p w14:paraId="72ACE3D6">
            <w:pPr>
              <w:spacing w:line="360" w:lineRule="auto"/>
              <w:ind w:left="1890" w:leftChars="900" w:firstLine="720"/>
              <w:rPr>
                <w:rFonts w:ascii="Times New Roman" w:hAnsi="Times New Roman" w:cs="Times New Roman"/>
                <w:color w:val="auto"/>
                <w:sz w:val="24"/>
                <w:szCs w:val="24"/>
                <w:u w:val="none"/>
              </w:rPr>
            </w:pPr>
            <w:r>
              <w:rPr>
                <w:rFonts w:ascii="Times New Roman" w:hAnsi="Times New Roman" w:cs="Times New Roman"/>
                <w:color w:val="auto"/>
                <w:sz w:val="24"/>
                <w:szCs w:val="24"/>
                <w:u w:val="none"/>
              </w:rPr>
              <w:t>W――物料含水率，％；</w:t>
            </w:r>
          </w:p>
          <w:p w14:paraId="4F5E4F58">
            <w:pPr>
              <w:spacing w:line="360" w:lineRule="auto"/>
              <w:ind w:left="1890" w:leftChars="900" w:firstLine="720"/>
              <w:rPr>
                <w:rFonts w:ascii="Times New Roman" w:hAnsi="Times New Roman" w:cs="Times New Roman"/>
                <w:color w:val="auto"/>
                <w:sz w:val="24"/>
                <w:szCs w:val="24"/>
                <w:u w:val="none"/>
              </w:rPr>
            </w:pPr>
            <w:r>
              <w:rPr>
                <w:rFonts w:ascii="Times New Roman" w:hAnsi="Times New Roman" w:cs="Times New Roman"/>
                <w:color w:val="auto"/>
                <w:sz w:val="24"/>
                <w:szCs w:val="24"/>
                <w:u w:val="none"/>
              </w:rPr>
              <w:t>A</w:t>
            </w:r>
            <w:r>
              <w:rPr>
                <w:rFonts w:ascii="Times New Roman" w:hAnsi="Times New Roman" w:cs="Times New Roman"/>
                <w:color w:val="auto"/>
                <w:sz w:val="24"/>
                <w:szCs w:val="24"/>
                <w:u w:val="none"/>
                <w:vertAlign w:val="subscript"/>
              </w:rPr>
              <w:t>p</w:t>
            </w:r>
            <w:r>
              <w:rPr>
                <w:rFonts w:ascii="Times New Roman" w:hAnsi="Times New Roman" w:cs="Times New Roman"/>
                <w:color w:val="auto"/>
                <w:sz w:val="24"/>
                <w:szCs w:val="24"/>
                <w:u w:val="none"/>
              </w:rPr>
              <w:t>――煤场的面积，m</w:t>
            </w:r>
            <w:r>
              <w:rPr>
                <w:rFonts w:ascii="Times New Roman" w:hAnsi="Times New Roman" w:cs="Times New Roman"/>
                <w:color w:val="auto"/>
                <w:sz w:val="24"/>
                <w:szCs w:val="24"/>
                <w:u w:val="none"/>
                <w:vertAlign w:val="superscript"/>
              </w:rPr>
              <w:t>2</w:t>
            </w:r>
            <w:r>
              <w:rPr>
                <w:rFonts w:ascii="Times New Roman" w:hAnsi="Times New Roman" w:cs="Times New Roman"/>
                <w:color w:val="auto"/>
                <w:sz w:val="24"/>
                <w:szCs w:val="24"/>
                <w:u w:val="none"/>
              </w:rPr>
              <w:t>；</w:t>
            </w:r>
          </w:p>
          <w:p w14:paraId="295835C2">
            <w:pPr>
              <w:spacing w:line="360" w:lineRule="auto"/>
              <w:ind w:left="1890" w:leftChars="900" w:firstLine="720"/>
              <w:rPr>
                <w:rFonts w:ascii="Times New Roman" w:hAnsi="Times New Roman" w:cs="Times New Roman"/>
                <w:color w:val="auto"/>
                <w:sz w:val="24"/>
                <w:szCs w:val="24"/>
                <w:u w:val="none"/>
              </w:rPr>
            </w:pPr>
            <w:r>
              <w:rPr>
                <w:rFonts w:ascii="Times New Roman" w:hAnsi="Times New Roman" w:cs="Times New Roman"/>
                <w:color w:val="auto"/>
                <w:sz w:val="24"/>
                <w:szCs w:val="24"/>
                <w:u w:val="none"/>
              </w:rPr>
              <w:t>U――煤场平均风速，m/s；</w:t>
            </w:r>
          </w:p>
          <w:p w14:paraId="2D587D2C">
            <w:pPr>
              <w:spacing w:line="360" w:lineRule="auto"/>
              <w:ind w:left="1890" w:leftChars="900" w:firstLine="720"/>
              <w:rPr>
                <w:rFonts w:ascii="Times New Roman" w:hAnsi="Times New Roman" w:cs="Times New Roman"/>
                <w:color w:val="auto"/>
                <w:sz w:val="24"/>
                <w:szCs w:val="24"/>
                <w:u w:val="none"/>
              </w:rPr>
            </w:pPr>
            <w:r>
              <w:rPr>
                <w:rFonts w:ascii="Times New Roman" w:hAnsi="Times New Roman" w:cs="Times New Roman"/>
                <w:color w:val="auto"/>
                <w:sz w:val="24"/>
                <w:szCs w:val="24"/>
                <w:u w:val="none"/>
              </w:rPr>
              <w:t>β――经验系数，8.0×10</w:t>
            </w:r>
            <w:r>
              <w:rPr>
                <w:rFonts w:ascii="Times New Roman" w:hAnsi="Times New Roman" w:cs="Times New Roman"/>
                <w:color w:val="auto"/>
                <w:sz w:val="24"/>
                <w:szCs w:val="24"/>
                <w:u w:val="none"/>
                <w:vertAlign w:val="superscript"/>
              </w:rPr>
              <w:t>-3</w:t>
            </w:r>
            <w:r>
              <w:rPr>
                <w:rFonts w:ascii="Times New Roman" w:hAnsi="Times New Roman" w:cs="Times New Roman"/>
                <w:color w:val="auto"/>
                <w:sz w:val="24"/>
                <w:szCs w:val="24"/>
                <w:u w:val="none"/>
              </w:rPr>
              <w:t>。</w:t>
            </w:r>
          </w:p>
          <w:p w14:paraId="00AB2AB2">
            <w:pPr>
              <w:keepNext w:val="0"/>
              <w:keepLines w:val="0"/>
              <w:pageBreakBefore w:val="0"/>
              <w:kinsoku/>
              <w:wordWrap/>
              <w:overflowPunct/>
              <w:topLinePunct w:val="0"/>
              <w:bidi w:val="0"/>
              <w:spacing w:line="500" w:lineRule="atLeast"/>
              <w:ind w:firstLine="480" w:firstLineChars="200"/>
              <w:rPr>
                <w:rFonts w:ascii="Times New Roman" w:hAnsi="Times New Roman" w:cs="Times New Roman"/>
                <w:color w:val="auto"/>
                <w:sz w:val="24"/>
                <w:szCs w:val="24"/>
                <w:u w:val="none"/>
              </w:rPr>
            </w:pPr>
            <w:r>
              <w:rPr>
                <w:rFonts w:ascii="Times New Roman" w:hAnsi="Times New Roman" w:cs="Times New Roman"/>
                <w:color w:val="auto"/>
                <w:sz w:val="24"/>
                <w:szCs w:val="24"/>
                <w:u w:val="none"/>
              </w:rPr>
              <w:t>从上述公式可以看出，提高堆场物料表面含水率、减少露天堆场面积能对料堆扬尘起到很大的抑制作用。因此减少露天堆放和保证一定的含水率及减少裸露地面是减少风力起尘的有效手段。</w:t>
            </w:r>
            <w:r>
              <w:rPr>
                <w:rFonts w:hint="eastAsia" w:ascii="Times New Roman" w:hAnsi="Times New Roman" w:cs="Times New Roman"/>
                <w:color w:val="auto"/>
                <w:sz w:val="24"/>
                <w:szCs w:val="24"/>
                <w:u w:val="none"/>
              </w:rPr>
              <w:t>根据</w:t>
            </w:r>
            <w:r>
              <w:rPr>
                <w:rFonts w:hint="eastAsia" w:ascii="Times New Roman" w:hAnsi="Times New Roman" w:cs="Times New Roman"/>
                <w:color w:val="auto"/>
                <w:sz w:val="24"/>
                <w:u w:val="none"/>
              </w:rPr>
              <w:t>平顶山市生态环境保护委员会办公室关于印发《平顶山市202</w:t>
            </w:r>
            <w:r>
              <w:rPr>
                <w:rFonts w:hint="eastAsia" w:cs="Times New Roman"/>
                <w:color w:val="auto"/>
                <w:sz w:val="24"/>
                <w:u w:val="none"/>
                <w:lang w:val="en-US" w:eastAsia="zh-CN"/>
              </w:rPr>
              <w:t>4</w:t>
            </w:r>
            <w:r>
              <w:rPr>
                <w:rFonts w:hint="eastAsia" w:ascii="Times New Roman" w:hAnsi="Times New Roman" w:cs="Times New Roman"/>
                <w:color w:val="auto"/>
                <w:sz w:val="24"/>
                <w:u w:val="none"/>
              </w:rPr>
              <w:t>年蓝天保卫战实施方案》</w:t>
            </w:r>
            <w:r>
              <w:rPr>
                <w:rFonts w:hint="eastAsia" w:ascii="Times New Roman" w:hAnsi="Times New Roman" w:cs="Times New Roman"/>
                <w:snapToGrid w:val="0"/>
                <w:color w:val="auto"/>
                <w:sz w:val="24"/>
                <w:szCs w:val="24"/>
                <w:u w:val="none"/>
              </w:rPr>
              <w:t>相关要求</w:t>
            </w:r>
            <w:r>
              <w:rPr>
                <w:rFonts w:hint="eastAsia" w:ascii="Times New Roman" w:hAnsi="Times New Roman" w:cs="Times New Roman"/>
                <w:color w:val="auto"/>
                <w:sz w:val="24"/>
                <w:szCs w:val="24"/>
                <w:u w:val="none"/>
              </w:rPr>
              <w:t>，结合项目特点，本项目在施工过程中应切实做到以下措施减少扬尘污染：</w:t>
            </w:r>
          </w:p>
          <w:p w14:paraId="5B9365A2">
            <w:pPr>
              <w:keepNext w:val="0"/>
              <w:keepLines w:val="0"/>
              <w:pageBreakBefore w:val="0"/>
              <w:kinsoku/>
              <w:wordWrap/>
              <w:overflowPunct/>
              <w:topLinePunct w:val="0"/>
              <w:bidi w:val="0"/>
              <w:spacing w:line="500" w:lineRule="atLeast"/>
              <w:ind w:firstLine="480" w:firstLineChars="200"/>
              <w:rPr>
                <w:rFonts w:ascii="Times New Roman" w:hAnsi="Times New Roman" w:cs="Times New Roman"/>
                <w:snapToGrid w:val="0"/>
                <w:color w:val="auto"/>
                <w:kern w:val="0"/>
                <w:sz w:val="24"/>
                <w:szCs w:val="24"/>
                <w:u w:val="none"/>
              </w:rPr>
            </w:pPr>
            <w:r>
              <w:rPr>
                <w:rFonts w:hint="eastAsia" w:cs="Times New Roman"/>
                <w:snapToGrid w:val="0"/>
                <w:color w:val="auto"/>
                <w:kern w:val="0"/>
                <w:sz w:val="24"/>
                <w:szCs w:val="24"/>
                <w:u w:val="none"/>
                <w:lang w:eastAsia="zh-CN"/>
              </w:rPr>
              <w:t>（</w:t>
            </w:r>
            <w:r>
              <w:rPr>
                <w:rFonts w:hint="eastAsia" w:cs="Times New Roman"/>
                <w:snapToGrid w:val="0"/>
                <w:color w:val="auto"/>
                <w:kern w:val="0"/>
                <w:sz w:val="24"/>
                <w:szCs w:val="24"/>
                <w:u w:val="none"/>
                <w:lang w:val="en-US" w:eastAsia="zh-CN"/>
              </w:rPr>
              <w:t>1</w:t>
            </w:r>
            <w:r>
              <w:rPr>
                <w:rFonts w:hint="eastAsia" w:cs="Times New Roman"/>
                <w:snapToGrid w:val="0"/>
                <w:color w:val="auto"/>
                <w:kern w:val="0"/>
                <w:sz w:val="24"/>
                <w:szCs w:val="24"/>
                <w:u w:val="none"/>
                <w:lang w:eastAsia="zh-CN"/>
              </w:rPr>
              <w:t>）</w:t>
            </w:r>
            <w:r>
              <w:rPr>
                <w:rFonts w:ascii="Times New Roman" w:hAnsi="Times New Roman" w:cs="Times New Roman"/>
                <w:snapToGrid w:val="0"/>
                <w:color w:val="auto"/>
                <w:kern w:val="0"/>
                <w:sz w:val="24"/>
                <w:szCs w:val="24"/>
                <w:u w:val="none"/>
              </w:rPr>
              <w:t>施工工地开工前必须做到“六个到位”，即审批到位、报备到位、治理方案到位、配套措施到位、监控到位、人员(施工单位管理人员、责任部门监管人员)到位；建设单位要将防治扬尘污染费用列入工程造价，在加装视频监控、监管人员到位、经报备批准后方可开工。</w:t>
            </w:r>
          </w:p>
          <w:p w14:paraId="4E280544">
            <w:pPr>
              <w:keepNext w:val="0"/>
              <w:keepLines w:val="0"/>
              <w:pageBreakBefore w:val="0"/>
              <w:kinsoku/>
              <w:wordWrap/>
              <w:overflowPunct/>
              <w:topLinePunct w:val="0"/>
              <w:bidi w:val="0"/>
              <w:spacing w:line="500" w:lineRule="atLeast"/>
              <w:ind w:firstLine="480" w:firstLineChars="200"/>
              <w:rPr>
                <w:rFonts w:ascii="Times New Roman" w:hAnsi="Times New Roman" w:cs="Times New Roman"/>
                <w:color w:val="auto"/>
                <w:sz w:val="24"/>
                <w:szCs w:val="24"/>
                <w:u w:val="none"/>
              </w:rPr>
            </w:pPr>
            <w:r>
              <w:rPr>
                <w:rFonts w:hint="eastAsia" w:cs="Times New Roman"/>
                <w:color w:val="auto"/>
                <w:sz w:val="24"/>
                <w:szCs w:val="24"/>
                <w:u w:val="none"/>
                <w:lang w:val="en-US" w:eastAsia="zh-CN"/>
              </w:rPr>
              <w:t>（2）施工建设期间，</w:t>
            </w:r>
            <w:r>
              <w:rPr>
                <w:rFonts w:ascii="Times New Roman" w:hAnsi="Times New Roman" w:cs="Times New Roman"/>
                <w:color w:val="auto"/>
                <w:sz w:val="24"/>
                <w:szCs w:val="24"/>
                <w:u w:val="none"/>
              </w:rPr>
              <w:t>建立洒水清扫制度，指定专人负责洒水和清扫工作，配备洒水车，对施工便道和进出现场的道路经常洒水（主要在夏季干旱天气或秋季干燥天气），一般每天可洒水4～5次；</w:t>
            </w:r>
          </w:p>
          <w:p w14:paraId="29EF5AF5">
            <w:pPr>
              <w:keepNext w:val="0"/>
              <w:keepLines w:val="0"/>
              <w:pageBreakBefore w:val="0"/>
              <w:kinsoku/>
              <w:wordWrap/>
              <w:overflowPunct/>
              <w:topLinePunct w:val="0"/>
              <w:bidi w:val="0"/>
              <w:spacing w:line="500" w:lineRule="atLeast"/>
              <w:ind w:firstLine="480" w:firstLineChars="200"/>
              <w:rPr>
                <w:rFonts w:ascii="Times New Roman" w:hAnsi="Times New Roman" w:cs="Times New Roman"/>
                <w:color w:val="auto"/>
                <w:sz w:val="24"/>
                <w:szCs w:val="24"/>
                <w:u w:val="none"/>
              </w:rPr>
            </w:pPr>
            <w:r>
              <w:rPr>
                <w:rFonts w:hint="eastAsia" w:cs="Times New Roman"/>
                <w:color w:val="auto"/>
                <w:sz w:val="24"/>
                <w:szCs w:val="24"/>
                <w:u w:val="none"/>
                <w:lang w:val="en-US" w:eastAsia="zh-CN"/>
              </w:rPr>
              <w:t>（3）</w:t>
            </w:r>
            <w:r>
              <w:rPr>
                <w:rFonts w:ascii="Times New Roman" w:hAnsi="Times New Roman" w:cs="Times New Roman"/>
                <w:color w:val="auto"/>
                <w:sz w:val="24"/>
                <w:szCs w:val="24"/>
                <w:u w:val="none"/>
              </w:rPr>
              <w:t>减少施工材料的堆存时间和堆存量，加快物料的周转速度；</w:t>
            </w:r>
          </w:p>
          <w:p w14:paraId="121A0363">
            <w:pPr>
              <w:keepNext w:val="0"/>
              <w:keepLines w:val="0"/>
              <w:pageBreakBefore w:val="0"/>
              <w:kinsoku/>
              <w:wordWrap/>
              <w:overflowPunct/>
              <w:topLinePunct w:val="0"/>
              <w:bidi w:val="0"/>
              <w:spacing w:line="500" w:lineRule="atLeast"/>
              <w:ind w:firstLine="480" w:firstLineChars="200"/>
              <w:rPr>
                <w:rFonts w:ascii="Times New Roman" w:hAnsi="Times New Roman" w:cs="Times New Roman"/>
                <w:color w:val="auto"/>
                <w:sz w:val="24"/>
                <w:szCs w:val="24"/>
                <w:u w:val="none"/>
              </w:rPr>
            </w:pPr>
            <w:r>
              <w:rPr>
                <w:rFonts w:hint="eastAsia" w:cs="Times New Roman"/>
                <w:color w:val="auto"/>
                <w:sz w:val="24"/>
                <w:szCs w:val="24"/>
                <w:u w:val="none"/>
                <w:lang w:val="en-US" w:eastAsia="zh-CN"/>
              </w:rPr>
              <w:t>（4）</w:t>
            </w:r>
            <w:r>
              <w:rPr>
                <w:rFonts w:ascii="Times New Roman" w:hAnsi="Times New Roman" w:cs="Times New Roman"/>
                <w:color w:val="auto"/>
                <w:sz w:val="24"/>
                <w:szCs w:val="24"/>
                <w:u w:val="none"/>
              </w:rPr>
              <w:t>装卸物料的尽量降低高度以减少冲击扬尘污染，对散装物料应全部入库存放；</w:t>
            </w:r>
          </w:p>
          <w:p w14:paraId="7B9F5DB5">
            <w:pPr>
              <w:keepNext w:val="0"/>
              <w:keepLines w:val="0"/>
              <w:pageBreakBefore w:val="0"/>
              <w:kinsoku/>
              <w:wordWrap/>
              <w:overflowPunct/>
              <w:topLinePunct w:val="0"/>
              <w:bidi w:val="0"/>
              <w:spacing w:line="500" w:lineRule="atLeast"/>
              <w:ind w:firstLine="480" w:firstLineChars="200"/>
              <w:textAlignment w:val="baseline"/>
              <w:rPr>
                <w:rFonts w:ascii="Times New Roman" w:hAnsi="Times New Roman" w:cs="Times New Roman"/>
                <w:color w:val="auto"/>
                <w:sz w:val="24"/>
                <w:szCs w:val="24"/>
                <w:u w:val="none"/>
              </w:rPr>
            </w:pPr>
            <w:r>
              <w:rPr>
                <w:rFonts w:hint="eastAsia" w:cs="Times New Roman"/>
                <w:color w:val="auto"/>
                <w:sz w:val="24"/>
                <w:szCs w:val="24"/>
                <w:u w:val="none"/>
                <w:lang w:val="en-US" w:eastAsia="zh-CN"/>
              </w:rPr>
              <w:t>（5）</w:t>
            </w:r>
            <w:r>
              <w:rPr>
                <w:rFonts w:ascii="Times New Roman" w:hAnsi="Times New Roman" w:cs="Times New Roman"/>
                <w:color w:val="auto"/>
                <w:sz w:val="24"/>
                <w:szCs w:val="24"/>
                <w:u w:val="none"/>
              </w:rPr>
              <w:t>施工现场周边应设置符合要求的围档，围档高度最低不能低于2m，且围档要坚固、稳定、整洁、规范、美观；</w:t>
            </w:r>
          </w:p>
          <w:p w14:paraId="076DD285">
            <w:pPr>
              <w:keepNext w:val="0"/>
              <w:keepLines w:val="0"/>
              <w:pageBreakBefore w:val="0"/>
              <w:kinsoku/>
              <w:wordWrap/>
              <w:overflowPunct/>
              <w:topLinePunct w:val="0"/>
              <w:bidi w:val="0"/>
              <w:spacing w:line="500" w:lineRule="atLeast"/>
              <w:ind w:firstLine="480" w:firstLineChars="200"/>
              <w:rPr>
                <w:rFonts w:ascii="Times New Roman" w:hAnsi="Times New Roman" w:cs="Times New Roman"/>
                <w:color w:val="auto"/>
                <w:sz w:val="24"/>
                <w:szCs w:val="24"/>
                <w:u w:val="none"/>
              </w:rPr>
            </w:pPr>
            <w:r>
              <w:rPr>
                <w:rFonts w:hint="eastAsia" w:cs="Times New Roman"/>
                <w:color w:val="auto"/>
                <w:sz w:val="24"/>
                <w:szCs w:val="24"/>
                <w:u w:val="none"/>
                <w:lang w:val="en-US" w:eastAsia="zh-CN"/>
              </w:rPr>
              <w:t>（6）</w:t>
            </w:r>
            <w:r>
              <w:rPr>
                <w:rFonts w:ascii="Times New Roman" w:hAnsi="Times New Roman" w:cs="Times New Roman"/>
                <w:color w:val="auto"/>
                <w:sz w:val="24"/>
                <w:szCs w:val="24"/>
                <w:u w:val="none"/>
              </w:rPr>
              <w:t>开挖的土石方要及时回填，避免在施工现场长期堆存，堆存期间应进行全覆盖并采取防流失措施（土石方堆周围设置一定的围堰）。</w:t>
            </w:r>
          </w:p>
          <w:p w14:paraId="18A23BE9">
            <w:pPr>
              <w:keepNext w:val="0"/>
              <w:keepLines w:val="0"/>
              <w:pageBreakBefore w:val="0"/>
              <w:kinsoku/>
              <w:wordWrap/>
              <w:overflowPunct/>
              <w:topLinePunct w:val="0"/>
              <w:autoSpaceDE w:val="0"/>
              <w:autoSpaceDN w:val="0"/>
              <w:bidi w:val="0"/>
              <w:spacing w:line="500" w:lineRule="atLeast"/>
              <w:ind w:firstLine="480" w:firstLineChars="200"/>
              <w:rPr>
                <w:rFonts w:ascii="Times New Roman" w:hAnsi="Times New Roman" w:cs="Times New Roman"/>
                <w:color w:val="auto"/>
                <w:sz w:val="24"/>
                <w:szCs w:val="24"/>
                <w:u w:val="none"/>
              </w:rPr>
            </w:pPr>
            <w:r>
              <w:rPr>
                <w:rFonts w:hint="eastAsia" w:cs="Times New Roman"/>
                <w:color w:val="auto"/>
                <w:sz w:val="24"/>
                <w:szCs w:val="24"/>
                <w:u w:val="none"/>
                <w:lang w:val="en-US" w:eastAsia="zh-CN"/>
              </w:rPr>
              <w:t>（7）</w:t>
            </w:r>
            <w:r>
              <w:rPr>
                <w:rFonts w:ascii="Times New Roman" w:hAnsi="Times New Roman" w:cs="Times New Roman"/>
                <w:color w:val="auto"/>
                <w:sz w:val="24"/>
                <w:szCs w:val="24"/>
                <w:u w:val="none"/>
              </w:rPr>
              <w:t>建设单位必须委托具有资格的运输单位进行渣土、垃圾、混凝土、预拌砂浆等物料运输，双方签订扬尘污染治理协议，共同承担扬尘污染治理责任；</w:t>
            </w:r>
          </w:p>
          <w:p w14:paraId="5AB8331E">
            <w:pPr>
              <w:keepNext w:val="0"/>
              <w:keepLines w:val="0"/>
              <w:pageBreakBefore w:val="0"/>
              <w:kinsoku/>
              <w:wordWrap/>
              <w:overflowPunct/>
              <w:topLinePunct w:val="0"/>
              <w:autoSpaceDE w:val="0"/>
              <w:autoSpaceDN w:val="0"/>
              <w:bidi w:val="0"/>
              <w:spacing w:line="500" w:lineRule="atLeast"/>
              <w:ind w:firstLine="480" w:firstLineChars="200"/>
              <w:rPr>
                <w:rFonts w:ascii="Times New Roman" w:hAnsi="Times New Roman" w:cs="Times New Roman"/>
                <w:color w:val="auto"/>
                <w:sz w:val="24"/>
                <w:szCs w:val="24"/>
                <w:u w:val="none"/>
              </w:rPr>
            </w:pPr>
            <w:r>
              <w:rPr>
                <w:rFonts w:hint="eastAsia" w:cs="Times New Roman"/>
                <w:color w:val="auto"/>
                <w:sz w:val="24"/>
                <w:szCs w:val="24"/>
                <w:u w:val="none"/>
                <w:lang w:val="en-US" w:eastAsia="zh-CN"/>
              </w:rPr>
              <w:t>（8）</w:t>
            </w:r>
            <w:r>
              <w:rPr>
                <w:rFonts w:ascii="Times New Roman" w:hAnsi="Times New Roman" w:cs="Times New Roman"/>
                <w:color w:val="auto"/>
                <w:sz w:val="24"/>
                <w:szCs w:val="24"/>
                <w:u w:val="none"/>
              </w:rPr>
              <w:t>渣土车等物料运输车辆必须随车携带驾驶证、行车证、营运证、建筑垃圾运输许可证和装卸双向登记卡，做到各项运营运输手续完备；</w:t>
            </w:r>
          </w:p>
          <w:p w14:paraId="4811D777">
            <w:pPr>
              <w:keepNext w:val="0"/>
              <w:keepLines w:val="0"/>
              <w:pageBreakBefore w:val="0"/>
              <w:kinsoku/>
              <w:wordWrap/>
              <w:overflowPunct/>
              <w:topLinePunct w:val="0"/>
              <w:autoSpaceDE w:val="0"/>
              <w:autoSpaceDN w:val="0"/>
              <w:bidi w:val="0"/>
              <w:spacing w:line="500" w:lineRule="atLeast"/>
              <w:ind w:firstLine="480" w:firstLineChars="200"/>
              <w:rPr>
                <w:rFonts w:ascii="Times New Roman" w:hAnsi="Times New Roman" w:cs="Times New Roman"/>
                <w:color w:val="auto"/>
                <w:sz w:val="24"/>
                <w:szCs w:val="24"/>
                <w:highlight w:val="none"/>
                <w:u w:val="none"/>
              </w:rPr>
            </w:pPr>
            <w:r>
              <w:rPr>
                <w:rFonts w:hint="eastAsia" w:cs="Times New Roman"/>
                <w:color w:val="auto"/>
                <w:sz w:val="24"/>
                <w:szCs w:val="24"/>
                <w:u w:val="none"/>
                <w:lang w:val="en-US" w:eastAsia="zh-CN"/>
              </w:rPr>
              <w:t>（9）</w:t>
            </w:r>
            <w:r>
              <w:rPr>
                <w:rFonts w:ascii="Times New Roman" w:hAnsi="Times New Roman" w:cs="Times New Roman"/>
                <w:color w:val="auto"/>
                <w:sz w:val="24"/>
                <w:szCs w:val="24"/>
                <w:u w:val="none"/>
              </w:rPr>
              <w:t>渣土车等物料运输车辆出入施工工地和处置场地，必须进行冲洗保洁，防止</w:t>
            </w:r>
            <w:r>
              <w:rPr>
                <w:rFonts w:ascii="Times New Roman" w:hAnsi="Times New Roman" w:cs="Times New Roman"/>
                <w:color w:val="auto"/>
                <w:sz w:val="24"/>
                <w:szCs w:val="24"/>
                <w:highlight w:val="none"/>
                <w:u w:val="none"/>
              </w:rPr>
              <w:t>车辆带泥出场，保持周边道路清洁干净；</w:t>
            </w:r>
          </w:p>
          <w:p w14:paraId="1023FBBD">
            <w:pPr>
              <w:keepNext w:val="0"/>
              <w:keepLines w:val="0"/>
              <w:pageBreakBefore w:val="0"/>
              <w:kinsoku/>
              <w:wordWrap/>
              <w:overflowPunct/>
              <w:topLinePunct w:val="0"/>
              <w:bidi w:val="0"/>
              <w:spacing w:line="500" w:lineRule="atLeast"/>
              <w:ind w:firstLine="480" w:firstLineChars="200"/>
              <w:rPr>
                <w:rFonts w:ascii="Times New Roman" w:hAnsi="Times New Roman" w:cs="Times New Roman"/>
                <w:color w:val="auto"/>
                <w:sz w:val="24"/>
                <w:szCs w:val="24"/>
                <w:u w:val="none"/>
              </w:rPr>
            </w:pPr>
            <w:r>
              <w:rPr>
                <w:rFonts w:hint="default" w:ascii="Times New Roman" w:hAnsi="Times New Roman" w:cs="Times New Roman"/>
                <w:bCs/>
                <w:color w:val="000000"/>
                <w:sz w:val="24"/>
                <w:szCs w:val="24"/>
                <w:highlight w:val="none"/>
              </w:rPr>
              <w:t>综上，</w:t>
            </w:r>
            <w:r>
              <w:rPr>
                <w:rFonts w:hint="eastAsia" w:cs="Times New Roman"/>
                <w:bCs/>
                <w:color w:val="000000"/>
                <w:sz w:val="24"/>
                <w:szCs w:val="24"/>
                <w:highlight w:val="none"/>
                <w:lang w:val="en-US" w:eastAsia="zh-CN"/>
              </w:rPr>
              <w:t>本项目是在现有的空地上建设，施工现建要加强施工管理，合理布局施工现场、洒水抑尘，来控制施工过程产生的施工扬尘等，因此</w:t>
            </w:r>
            <w:r>
              <w:rPr>
                <w:rFonts w:hint="default" w:ascii="Times New Roman" w:hAnsi="Times New Roman" w:cs="Times New Roman"/>
                <w:bCs/>
                <w:color w:val="000000"/>
                <w:sz w:val="24"/>
                <w:szCs w:val="24"/>
                <w:highlight w:val="none"/>
              </w:rPr>
              <w:t>施工</w:t>
            </w:r>
            <w:r>
              <w:rPr>
                <w:rFonts w:hint="eastAsia" w:cs="Times New Roman"/>
                <w:bCs/>
                <w:color w:val="000000"/>
                <w:sz w:val="24"/>
                <w:szCs w:val="24"/>
                <w:highlight w:val="none"/>
                <w:lang w:val="en-US" w:eastAsia="zh-CN"/>
              </w:rPr>
              <w:t>扬尘</w:t>
            </w:r>
            <w:r>
              <w:rPr>
                <w:rFonts w:hint="default" w:ascii="Times New Roman" w:hAnsi="Times New Roman" w:cs="Times New Roman"/>
                <w:bCs/>
                <w:color w:val="000000"/>
                <w:sz w:val="24"/>
                <w:szCs w:val="24"/>
                <w:highlight w:val="none"/>
              </w:rPr>
              <w:t>对环境的影响</w:t>
            </w:r>
            <w:r>
              <w:rPr>
                <w:rFonts w:hint="eastAsia" w:cs="Times New Roman"/>
                <w:bCs/>
                <w:color w:val="000000"/>
                <w:sz w:val="24"/>
                <w:szCs w:val="24"/>
                <w:highlight w:val="none"/>
                <w:lang w:val="en-US" w:eastAsia="zh-CN"/>
              </w:rPr>
              <w:t>也较低</w:t>
            </w:r>
            <w:r>
              <w:rPr>
                <w:rFonts w:hint="default" w:ascii="Times New Roman" w:hAnsi="Times New Roman" w:cs="Times New Roman"/>
                <w:bCs/>
                <w:color w:val="000000"/>
                <w:sz w:val="24"/>
                <w:szCs w:val="24"/>
                <w:highlight w:val="none"/>
              </w:rPr>
              <w:t>，不会对区域大气环境产生明显的影响。</w:t>
            </w:r>
          </w:p>
          <w:p w14:paraId="7133465F">
            <w:pPr>
              <w:keepNext w:val="0"/>
              <w:keepLines w:val="0"/>
              <w:pageBreakBefore w:val="0"/>
              <w:kinsoku/>
              <w:wordWrap/>
              <w:overflowPunct/>
              <w:topLinePunct w:val="0"/>
              <w:autoSpaceDE w:val="0"/>
              <w:autoSpaceDN w:val="0"/>
              <w:bidi w:val="0"/>
              <w:adjustRightInd w:val="0"/>
              <w:spacing w:line="500" w:lineRule="atLeast"/>
              <w:ind w:firstLine="482" w:firstLineChars="200"/>
              <w:rPr>
                <w:rFonts w:ascii="Times New Roman" w:hAnsi="Times New Roman" w:cs="Times New Roman"/>
                <w:b/>
                <w:bCs/>
                <w:color w:val="auto"/>
                <w:sz w:val="24"/>
                <w:szCs w:val="24"/>
                <w:u w:val="none"/>
                <w:lang w:val="zh-CN"/>
              </w:rPr>
            </w:pPr>
            <w:r>
              <w:rPr>
                <w:rFonts w:ascii="Times New Roman" w:hAnsi="Times New Roman" w:cs="Times New Roman"/>
                <w:b/>
                <w:bCs/>
                <w:color w:val="auto"/>
                <w:sz w:val="24"/>
                <w:szCs w:val="24"/>
                <w:u w:val="none"/>
                <w:lang w:val="zh-CN"/>
              </w:rPr>
              <w:t>3</w:t>
            </w:r>
            <w:r>
              <w:rPr>
                <w:rFonts w:hint="eastAsia" w:cs="Times New Roman"/>
                <w:b/>
                <w:bCs/>
                <w:color w:val="auto"/>
                <w:sz w:val="24"/>
                <w:szCs w:val="24"/>
                <w:u w:val="none"/>
                <w:lang w:val="zh-CN"/>
              </w:rPr>
              <w:t>、</w:t>
            </w:r>
            <w:r>
              <w:rPr>
                <w:rFonts w:ascii="Times New Roman" w:hAnsi="Times New Roman" w:cs="Times New Roman"/>
                <w:b/>
                <w:bCs/>
                <w:color w:val="auto"/>
                <w:sz w:val="24"/>
                <w:szCs w:val="24"/>
                <w:u w:val="none"/>
                <w:lang w:val="zh-CN"/>
              </w:rPr>
              <w:t>声环境影响分析</w:t>
            </w:r>
          </w:p>
          <w:p w14:paraId="4DD08D72">
            <w:pPr>
              <w:keepNext w:val="0"/>
              <w:keepLines w:val="0"/>
              <w:pageBreakBefore w:val="0"/>
              <w:widowControl/>
              <w:kinsoku/>
              <w:wordWrap/>
              <w:overflowPunct/>
              <w:topLinePunct w:val="0"/>
              <w:bidi w:val="0"/>
              <w:adjustRightInd w:val="0"/>
              <w:snapToGrid w:val="0"/>
              <w:spacing w:line="500" w:lineRule="atLeast"/>
              <w:ind w:firstLine="480" w:firstLineChars="200"/>
              <w:jc w:val="left"/>
              <w:rPr>
                <w:rFonts w:ascii="Times New Roman" w:hAnsi="Times New Roman" w:cs="Times New Roman"/>
                <w:color w:val="auto"/>
                <w:sz w:val="24"/>
                <w:szCs w:val="24"/>
                <w:u w:val="none"/>
              </w:rPr>
            </w:pPr>
            <w:r>
              <w:rPr>
                <w:rFonts w:ascii="Times New Roman" w:hAnsi="Times New Roman" w:cs="Times New Roman"/>
                <w:color w:val="auto"/>
                <w:sz w:val="24"/>
                <w:szCs w:val="24"/>
                <w:u w:val="none"/>
              </w:rPr>
              <w:t>本项目建设期间的噪声源主要为构筑物施工和设备安装过程中产生噪声。施工机械噪声主要来自装载机、建筑材料运输车辆等设备噪声；设备安装噪声主要为电锯、电钻等安装工具产生噪声。施工期噪声有突发性、冲击性、不连续性等特点，其噪声源强为80-100dB(A)。</w:t>
            </w:r>
            <w:r>
              <w:rPr>
                <w:rFonts w:ascii="Times New Roman" w:hAnsi="Times New Roman" w:cs="Times New Roman"/>
                <w:color w:val="auto"/>
                <w:kern w:val="0"/>
                <w:sz w:val="24"/>
                <w:szCs w:val="24"/>
                <w:u w:val="none"/>
              </w:rPr>
              <w:t>施工期间噪声会对周围环境产生一定的影响。因此</w:t>
            </w:r>
            <w:r>
              <w:rPr>
                <w:rFonts w:ascii="Times New Roman" w:hAnsi="Times New Roman" w:cs="Times New Roman"/>
                <w:color w:val="auto"/>
                <w:sz w:val="24"/>
                <w:szCs w:val="24"/>
                <w:u w:val="none"/>
              </w:rPr>
              <w:t>，评价要求建设单位在施工期采取以下相应措施：</w:t>
            </w:r>
          </w:p>
          <w:p w14:paraId="4944D831">
            <w:pPr>
              <w:keepNext w:val="0"/>
              <w:keepLines w:val="0"/>
              <w:pageBreakBefore w:val="0"/>
              <w:widowControl/>
              <w:kinsoku/>
              <w:wordWrap/>
              <w:overflowPunct/>
              <w:topLinePunct w:val="0"/>
              <w:bidi w:val="0"/>
              <w:spacing w:line="500" w:lineRule="atLeast"/>
              <w:ind w:firstLine="480" w:firstLineChars="200"/>
              <w:jc w:val="left"/>
              <w:rPr>
                <w:rFonts w:ascii="Times New Roman" w:hAnsi="Times New Roman" w:cs="Times New Roman"/>
                <w:color w:val="auto"/>
                <w:sz w:val="24"/>
                <w:szCs w:val="24"/>
                <w:u w:val="none"/>
              </w:rPr>
            </w:pPr>
            <w:r>
              <w:rPr>
                <w:rFonts w:ascii="Times New Roman" w:hAnsi="Times New Roman" w:cs="Times New Roman"/>
                <w:color w:val="auto"/>
                <w:sz w:val="24"/>
                <w:szCs w:val="24"/>
                <w:u w:val="none"/>
              </w:rPr>
              <w:t>（1）施工单位应尽量选用先进的低噪声设备，在高噪声设备周围设置声屏障以减轻噪声对周围环境的影响，并根据周围环境情况合理安排施工时间，控制施工场界噪声不超过《建筑施工场界环境噪声排放标准》（GB12523-2011）的要求；</w:t>
            </w:r>
          </w:p>
          <w:p w14:paraId="2C7C9229">
            <w:pPr>
              <w:keepNext w:val="0"/>
              <w:keepLines w:val="0"/>
              <w:pageBreakBefore w:val="0"/>
              <w:widowControl/>
              <w:kinsoku/>
              <w:wordWrap/>
              <w:overflowPunct/>
              <w:topLinePunct w:val="0"/>
              <w:bidi w:val="0"/>
              <w:spacing w:line="500" w:lineRule="atLeast"/>
              <w:ind w:firstLine="480" w:firstLineChars="200"/>
              <w:jc w:val="left"/>
              <w:rPr>
                <w:rFonts w:ascii="Times New Roman" w:hAnsi="Times New Roman" w:cs="Times New Roman"/>
                <w:color w:val="auto"/>
                <w:sz w:val="24"/>
                <w:szCs w:val="24"/>
                <w:u w:val="none"/>
              </w:rPr>
            </w:pPr>
            <w:r>
              <w:rPr>
                <w:rFonts w:ascii="Times New Roman" w:hAnsi="Times New Roman" w:cs="Times New Roman"/>
                <w:color w:val="auto"/>
                <w:sz w:val="24"/>
                <w:szCs w:val="24"/>
                <w:u w:val="none"/>
              </w:rPr>
              <w:t>（2）施工现场合理布局，以避免局部声级过高，施工单位应尽量将施工设备布置在场地中间，以减少对周围环境的影响，尽可能将施工阶段的噪声减至最小；</w:t>
            </w:r>
          </w:p>
          <w:p w14:paraId="4B4807AE">
            <w:pPr>
              <w:keepNext w:val="0"/>
              <w:keepLines w:val="0"/>
              <w:pageBreakBefore w:val="0"/>
              <w:widowControl/>
              <w:kinsoku/>
              <w:wordWrap/>
              <w:overflowPunct/>
              <w:topLinePunct w:val="0"/>
              <w:bidi w:val="0"/>
              <w:spacing w:line="500" w:lineRule="atLeast"/>
              <w:ind w:firstLine="480" w:firstLineChars="200"/>
              <w:jc w:val="left"/>
              <w:rPr>
                <w:rFonts w:ascii="Times New Roman" w:hAnsi="Times New Roman" w:cs="Times New Roman"/>
                <w:color w:val="auto"/>
                <w:sz w:val="24"/>
                <w:szCs w:val="24"/>
                <w:u w:val="none"/>
              </w:rPr>
            </w:pPr>
            <w:r>
              <w:rPr>
                <w:rFonts w:ascii="Times New Roman" w:hAnsi="Times New Roman" w:cs="Times New Roman"/>
                <w:color w:val="auto"/>
                <w:sz w:val="24"/>
                <w:szCs w:val="24"/>
                <w:u w:val="none"/>
              </w:rPr>
              <w:t>（3）施工单位采用先进的施工工艺，合理选用施工机械；</w:t>
            </w:r>
          </w:p>
          <w:p w14:paraId="6E89414B">
            <w:pPr>
              <w:keepNext w:val="0"/>
              <w:keepLines w:val="0"/>
              <w:pageBreakBefore w:val="0"/>
              <w:widowControl/>
              <w:kinsoku/>
              <w:wordWrap/>
              <w:overflowPunct/>
              <w:topLinePunct w:val="0"/>
              <w:bidi w:val="0"/>
              <w:spacing w:line="500" w:lineRule="atLeast"/>
              <w:ind w:firstLine="480" w:firstLineChars="200"/>
              <w:jc w:val="left"/>
              <w:rPr>
                <w:rFonts w:ascii="Times New Roman" w:hAnsi="Times New Roman" w:cs="Times New Roman"/>
                <w:color w:val="auto"/>
                <w:sz w:val="24"/>
                <w:szCs w:val="24"/>
                <w:u w:val="none"/>
              </w:rPr>
            </w:pPr>
            <w:r>
              <w:rPr>
                <w:rFonts w:ascii="Times New Roman" w:hAnsi="Times New Roman" w:cs="Times New Roman"/>
                <w:color w:val="auto"/>
                <w:sz w:val="24"/>
                <w:szCs w:val="24"/>
                <w:u w:val="none"/>
              </w:rPr>
              <w:t>（4）加强施工机械的维修、管理，保证施工机械处于低噪声、高效率的状态；</w:t>
            </w:r>
          </w:p>
          <w:p w14:paraId="2CAE5D51">
            <w:pPr>
              <w:keepNext w:val="0"/>
              <w:keepLines w:val="0"/>
              <w:pageBreakBefore w:val="0"/>
              <w:widowControl/>
              <w:kinsoku/>
              <w:wordWrap/>
              <w:overflowPunct/>
              <w:topLinePunct w:val="0"/>
              <w:bidi w:val="0"/>
              <w:spacing w:line="500" w:lineRule="atLeast"/>
              <w:ind w:firstLine="480" w:firstLineChars="200"/>
              <w:rPr>
                <w:rFonts w:ascii="Times New Roman" w:hAnsi="Times New Roman" w:cs="Times New Roman"/>
                <w:color w:val="auto"/>
                <w:spacing w:val="6"/>
                <w:sz w:val="24"/>
                <w:szCs w:val="24"/>
                <w:u w:val="none"/>
              </w:rPr>
            </w:pPr>
            <w:r>
              <w:rPr>
                <w:rFonts w:ascii="Times New Roman" w:hAnsi="Times New Roman" w:cs="Times New Roman"/>
                <w:color w:val="auto"/>
                <w:sz w:val="24"/>
                <w:szCs w:val="24"/>
                <w:u w:val="none"/>
              </w:rPr>
              <w:t>（5）合理安排施工时间，禁止在午间12时至14时和夜间22时至次日6时；</w:t>
            </w:r>
          </w:p>
          <w:p w14:paraId="451A2180">
            <w:pPr>
              <w:keepNext w:val="0"/>
              <w:keepLines w:val="0"/>
              <w:pageBreakBefore w:val="0"/>
              <w:widowControl/>
              <w:kinsoku/>
              <w:wordWrap/>
              <w:overflowPunct/>
              <w:topLinePunct w:val="0"/>
              <w:bidi w:val="0"/>
              <w:spacing w:line="500" w:lineRule="atLeast"/>
              <w:ind w:firstLine="480" w:firstLineChars="200"/>
              <w:jc w:val="left"/>
              <w:rPr>
                <w:rFonts w:ascii="Times New Roman" w:hAnsi="Times New Roman" w:cs="Times New Roman"/>
                <w:color w:val="auto"/>
                <w:sz w:val="24"/>
                <w:szCs w:val="24"/>
                <w:u w:val="none"/>
              </w:rPr>
            </w:pPr>
            <w:r>
              <w:rPr>
                <w:rFonts w:ascii="Times New Roman" w:hAnsi="Times New Roman" w:cs="Times New Roman"/>
                <w:color w:val="auto"/>
                <w:sz w:val="24"/>
                <w:szCs w:val="24"/>
                <w:u w:val="none"/>
              </w:rPr>
              <w:t>（6）现场施工人员要严加管理，拆卸模板时要防止模板互相撞击噪声扰民，要文明施工。</w:t>
            </w:r>
          </w:p>
          <w:p w14:paraId="190415D7">
            <w:pPr>
              <w:keepNext w:val="0"/>
              <w:keepLines w:val="0"/>
              <w:pageBreakBefore w:val="0"/>
              <w:kinsoku/>
              <w:wordWrap/>
              <w:overflowPunct/>
              <w:topLinePunct w:val="0"/>
              <w:bidi w:val="0"/>
              <w:spacing w:line="500" w:lineRule="atLeast"/>
              <w:ind w:firstLine="480" w:firstLineChars="200"/>
              <w:textAlignment w:val="baseline"/>
              <w:rPr>
                <w:rFonts w:ascii="Times New Roman" w:hAnsi="Times New Roman" w:cs="Times New Roman"/>
                <w:color w:val="auto"/>
                <w:sz w:val="24"/>
                <w:szCs w:val="24"/>
                <w:u w:val="none"/>
              </w:rPr>
            </w:pPr>
            <w:r>
              <w:rPr>
                <w:rFonts w:ascii="Times New Roman" w:hAnsi="Times New Roman" w:cs="Times New Roman"/>
                <w:color w:val="auto"/>
                <w:sz w:val="24"/>
                <w:szCs w:val="24"/>
                <w:u w:val="none"/>
              </w:rPr>
              <w:t>采取上述相应的措施后，施工噪声得到了有效控制，施工期噪声对周围环境影响较小。施工期噪声具有临时性、阶段性和不固定性等特点，随着施工的结束，项目施工期噪声对周围声环境的影响就会停止。</w:t>
            </w:r>
          </w:p>
          <w:p w14:paraId="231E1C5E">
            <w:pPr>
              <w:keepNext w:val="0"/>
              <w:keepLines w:val="0"/>
              <w:pageBreakBefore w:val="0"/>
              <w:kinsoku/>
              <w:wordWrap/>
              <w:overflowPunct/>
              <w:topLinePunct w:val="0"/>
              <w:autoSpaceDE w:val="0"/>
              <w:autoSpaceDN w:val="0"/>
              <w:bidi w:val="0"/>
              <w:adjustRightInd w:val="0"/>
              <w:spacing w:line="500" w:lineRule="atLeast"/>
              <w:ind w:firstLine="482" w:firstLineChars="200"/>
              <w:rPr>
                <w:rFonts w:ascii="Times New Roman" w:hAnsi="Times New Roman" w:cs="Times New Roman"/>
                <w:b/>
                <w:bCs/>
                <w:color w:val="auto"/>
                <w:sz w:val="24"/>
                <w:szCs w:val="24"/>
                <w:u w:val="none"/>
                <w:lang w:val="zh-CN"/>
              </w:rPr>
            </w:pPr>
            <w:r>
              <w:rPr>
                <w:rFonts w:ascii="Times New Roman" w:hAnsi="Times New Roman" w:cs="Times New Roman"/>
                <w:b/>
                <w:bCs/>
                <w:color w:val="auto"/>
                <w:sz w:val="24"/>
                <w:szCs w:val="24"/>
                <w:u w:val="none"/>
                <w:lang w:val="zh-CN"/>
              </w:rPr>
              <w:t>4</w:t>
            </w:r>
            <w:r>
              <w:rPr>
                <w:rFonts w:hint="eastAsia" w:cs="Times New Roman"/>
                <w:b/>
                <w:bCs/>
                <w:color w:val="auto"/>
                <w:sz w:val="24"/>
                <w:szCs w:val="24"/>
                <w:u w:val="none"/>
                <w:lang w:val="zh-CN"/>
              </w:rPr>
              <w:t>、</w:t>
            </w:r>
            <w:r>
              <w:rPr>
                <w:rFonts w:ascii="Times New Roman" w:hAnsi="Times New Roman" w:cs="Times New Roman"/>
                <w:b/>
                <w:bCs/>
                <w:color w:val="auto"/>
                <w:sz w:val="24"/>
                <w:szCs w:val="24"/>
                <w:u w:val="none"/>
                <w:lang w:val="zh-CN"/>
              </w:rPr>
              <w:t>固体废弃物</w:t>
            </w:r>
          </w:p>
          <w:p w14:paraId="193A3BFE">
            <w:pPr>
              <w:keepNext w:val="0"/>
              <w:keepLines w:val="0"/>
              <w:pageBreakBefore w:val="0"/>
              <w:kinsoku/>
              <w:wordWrap/>
              <w:overflowPunct/>
              <w:topLinePunct w:val="0"/>
              <w:autoSpaceDE w:val="0"/>
              <w:autoSpaceDN w:val="0"/>
              <w:bidi w:val="0"/>
              <w:adjustRightInd w:val="0"/>
              <w:snapToGrid w:val="0"/>
              <w:spacing w:line="500" w:lineRule="atLeast"/>
              <w:ind w:firstLine="480" w:firstLineChars="200"/>
              <w:jc w:val="left"/>
              <w:rPr>
                <w:rFonts w:ascii="Times New Roman" w:hAnsi="Times New Roman" w:cs="Times New Roman"/>
                <w:color w:val="auto"/>
                <w:sz w:val="24"/>
                <w:szCs w:val="24"/>
                <w:u w:val="none"/>
              </w:rPr>
            </w:pPr>
            <w:r>
              <w:rPr>
                <w:rFonts w:ascii="Times New Roman" w:hAnsi="Times New Roman" w:cs="Times New Roman"/>
                <w:color w:val="auto"/>
                <w:sz w:val="24"/>
                <w:szCs w:val="24"/>
                <w:u w:val="none"/>
              </w:rPr>
              <w:t>（1）建筑垃圾及土石方</w:t>
            </w:r>
          </w:p>
          <w:p w14:paraId="4A57EBC5">
            <w:pPr>
              <w:keepNext w:val="0"/>
              <w:keepLines w:val="0"/>
              <w:pageBreakBefore w:val="0"/>
              <w:kinsoku/>
              <w:wordWrap/>
              <w:overflowPunct/>
              <w:topLinePunct w:val="0"/>
              <w:bidi w:val="0"/>
              <w:snapToGrid w:val="0"/>
              <w:spacing w:line="500" w:lineRule="atLeast"/>
              <w:ind w:firstLine="480" w:firstLineChars="200"/>
              <w:jc w:val="left"/>
              <w:rPr>
                <w:rFonts w:hint="eastAsia" w:cs="Times New Roman"/>
                <w:color w:val="auto"/>
                <w:kern w:val="0"/>
                <w:sz w:val="24"/>
                <w:szCs w:val="24"/>
                <w:u w:val="none"/>
                <w:lang w:val="en-US" w:eastAsia="zh-CN"/>
              </w:rPr>
            </w:pPr>
            <w:r>
              <w:rPr>
                <w:rFonts w:ascii="Times New Roman" w:hAnsi="Times New Roman" w:cs="Times New Roman"/>
                <w:color w:val="auto"/>
                <w:sz w:val="24"/>
                <w:szCs w:val="24"/>
                <w:u w:val="none"/>
              </w:rPr>
              <w:t>本项目施工期会产生</w:t>
            </w:r>
            <w:r>
              <w:rPr>
                <w:rFonts w:ascii="Times New Roman" w:hAnsi="Times New Roman" w:cs="Times New Roman"/>
                <w:color w:val="auto"/>
                <w:kern w:val="0"/>
                <w:sz w:val="24"/>
                <w:szCs w:val="24"/>
                <w:u w:val="none"/>
              </w:rPr>
              <w:t>的废铁丝、废钢材等收集后外售，对周边环境影响很小。</w:t>
            </w:r>
            <w:r>
              <w:rPr>
                <w:rFonts w:hint="eastAsia" w:cs="Times New Roman"/>
                <w:color w:val="auto"/>
                <w:kern w:val="0"/>
                <w:sz w:val="24"/>
                <w:szCs w:val="24"/>
                <w:u w:val="none"/>
                <w:lang w:val="en-US" w:eastAsia="zh-CN"/>
              </w:rPr>
              <w:t>建筑垃圾统一收集后外售，将可利用的土石方及时回填，或运至需要填埋地进行填埋处理。</w:t>
            </w:r>
          </w:p>
          <w:p w14:paraId="738458D9">
            <w:pPr>
              <w:keepNext w:val="0"/>
              <w:keepLines w:val="0"/>
              <w:pageBreakBefore w:val="0"/>
              <w:kinsoku/>
              <w:wordWrap/>
              <w:overflowPunct/>
              <w:topLinePunct w:val="0"/>
              <w:bidi w:val="0"/>
              <w:snapToGrid w:val="0"/>
              <w:spacing w:line="500" w:lineRule="atLeast"/>
              <w:ind w:firstLine="480" w:firstLineChars="200"/>
              <w:jc w:val="left"/>
              <w:rPr>
                <w:rFonts w:ascii="Times New Roman" w:hAnsi="Times New Roman" w:cs="Times New Roman"/>
                <w:color w:val="auto"/>
                <w:sz w:val="24"/>
                <w:szCs w:val="24"/>
                <w:u w:val="none"/>
              </w:rPr>
            </w:pPr>
            <w:r>
              <w:rPr>
                <w:rFonts w:ascii="Times New Roman" w:hAnsi="Times New Roman" w:cs="Times New Roman"/>
                <w:color w:val="auto"/>
                <w:sz w:val="24"/>
                <w:szCs w:val="24"/>
                <w:u w:val="none"/>
              </w:rPr>
              <w:t>（2）施工人员生活垃圾</w:t>
            </w:r>
          </w:p>
          <w:p w14:paraId="1D64BA65">
            <w:pPr>
              <w:keepNext w:val="0"/>
              <w:keepLines w:val="0"/>
              <w:pageBreakBefore w:val="0"/>
              <w:kinsoku/>
              <w:wordWrap/>
              <w:overflowPunct/>
              <w:topLinePunct w:val="0"/>
              <w:bidi w:val="0"/>
              <w:spacing w:line="500" w:lineRule="atLeast"/>
              <w:ind w:firstLine="480" w:firstLineChars="200"/>
              <w:jc w:val="both"/>
              <w:rPr>
                <w:rFonts w:ascii="Times New Roman" w:hAnsi="Times New Roman" w:cs="Times New Roman"/>
                <w:color w:val="auto"/>
                <w:sz w:val="24"/>
                <w:u w:val="none"/>
              </w:rPr>
            </w:pPr>
            <w:r>
              <w:rPr>
                <w:rFonts w:ascii="Times New Roman" w:hAnsi="Times New Roman" w:cs="Times New Roman"/>
                <w:color w:val="auto"/>
                <w:sz w:val="24"/>
                <w:szCs w:val="24"/>
                <w:u w:val="none"/>
              </w:rPr>
              <w:t>本项目施工期生活垃圾产生量为</w:t>
            </w:r>
            <w:r>
              <w:rPr>
                <w:rStyle w:val="100"/>
                <w:rFonts w:hint="eastAsia" w:ascii="Times New Roman" w:hAnsi="Times New Roman" w:cs="Times New Roman"/>
                <w:color w:val="auto"/>
                <w:sz w:val="24"/>
                <w:szCs w:val="24"/>
                <w:u w:val="none"/>
                <w:lang w:val="en-US" w:eastAsia="zh-CN"/>
              </w:rPr>
              <w:t>20</w:t>
            </w:r>
            <w:r>
              <w:rPr>
                <w:rStyle w:val="100"/>
                <w:rFonts w:ascii="Times New Roman" w:hAnsi="Times New Roman" w:cs="Times New Roman"/>
                <w:color w:val="auto"/>
                <w:sz w:val="24"/>
                <w:szCs w:val="24"/>
                <w:u w:val="none"/>
              </w:rPr>
              <w:t>kg/d。生活垃圾集中收集到指定的垃圾箱内，并由环卫部门统一清运，不会对周围环境产生影响。</w:t>
            </w:r>
          </w:p>
        </w:tc>
      </w:tr>
      <w:tr w14:paraId="49F32E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29" w:hRule="atLeast"/>
          <w:jc w:val="center"/>
        </w:trPr>
        <w:tc>
          <w:tcPr>
            <w:tcW w:w="748" w:type="dxa"/>
            <w:tcMar>
              <w:left w:w="28" w:type="dxa"/>
              <w:right w:w="28" w:type="dxa"/>
            </w:tcMar>
            <w:vAlign w:val="center"/>
          </w:tcPr>
          <w:p w14:paraId="69F804BD">
            <w:pPr>
              <w:pStyle w:val="84"/>
              <w:adjustRightInd w:val="0"/>
              <w:spacing w:before="0" w:after="0"/>
              <w:ind w:right="0"/>
              <w:jc w:val="center"/>
              <w:rPr>
                <w:rFonts w:ascii="Times New Roman" w:hAnsi="Times New Roman" w:cs="Times New Roman"/>
                <w:color w:val="auto"/>
                <w:sz w:val="24"/>
                <w:szCs w:val="24"/>
                <w:u w:val="none"/>
              </w:rPr>
            </w:pPr>
            <w:r>
              <w:rPr>
                <w:rFonts w:ascii="Times New Roman" w:hAnsi="Times New Roman" w:cs="Times New Roman"/>
                <w:b/>
                <w:bCs/>
                <w:color w:val="auto"/>
                <w:sz w:val="24"/>
                <w:szCs w:val="24"/>
                <w:u w:val="none"/>
              </w:rPr>
              <w:t>营</w:t>
            </w:r>
            <w:r>
              <w:rPr>
                <w:rFonts w:ascii="Times New Roman" w:hAnsi="Times New Roman" w:eastAsia="宋体" w:cs="Times New Roman"/>
                <w:b/>
                <w:bCs/>
                <w:color w:val="auto"/>
                <w:kern w:val="2"/>
                <w:sz w:val="24"/>
                <w:szCs w:val="24"/>
                <w:u w:val="none"/>
                <w:lang w:val="en-US" w:eastAsia="zh-CN" w:bidi="ar-SA"/>
              </w:rPr>
              <w:t>期环境影响和保护措施</w:t>
            </w:r>
          </w:p>
        </w:tc>
        <w:tc>
          <w:tcPr>
            <w:tcW w:w="8459" w:type="dxa"/>
            <w:vAlign w:val="top"/>
          </w:tcPr>
          <w:p w14:paraId="11F3EB85">
            <w:pPr>
              <w:keepNext w:val="0"/>
              <w:keepLines w:val="0"/>
              <w:pageBreakBefore w:val="0"/>
              <w:widowControl w:val="0"/>
              <w:kinsoku/>
              <w:wordWrap/>
              <w:overflowPunct/>
              <w:topLinePunct w:val="0"/>
              <w:autoSpaceDE/>
              <w:autoSpaceDN/>
              <w:bidi w:val="0"/>
              <w:adjustRightInd/>
              <w:snapToGrid/>
              <w:spacing w:line="500" w:lineRule="exact"/>
              <w:ind w:firstLine="480" w:firstLineChars="200"/>
              <w:rPr>
                <w:rFonts w:ascii="Times New Roman" w:hAnsi="Times New Roman" w:cs="Times New Roman"/>
                <w:color w:val="auto"/>
                <w:sz w:val="24"/>
                <w:u w:val="none"/>
              </w:rPr>
            </w:pPr>
            <w:r>
              <w:rPr>
                <w:rFonts w:ascii="Times New Roman" w:hAnsi="Times New Roman" w:cs="Times New Roman"/>
                <w:color w:val="auto"/>
                <w:sz w:val="24"/>
                <w:u w:val="none"/>
              </w:rPr>
              <w:t>根据《污染源源强核算技术指南</w:t>
            </w:r>
            <w:r>
              <w:rPr>
                <w:rFonts w:hint="eastAsia" w:ascii="Times New Roman" w:hAnsi="Times New Roman" w:cs="Times New Roman"/>
                <w:color w:val="auto"/>
                <w:sz w:val="24"/>
                <w:u w:val="none"/>
              </w:rPr>
              <w:t>·</w:t>
            </w:r>
            <w:r>
              <w:rPr>
                <w:rFonts w:ascii="Times New Roman" w:hAnsi="Times New Roman" w:cs="Times New Roman"/>
                <w:color w:val="auto"/>
                <w:sz w:val="24"/>
                <w:u w:val="none"/>
              </w:rPr>
              <w:t>准则》（HJ884-2018），污染源核算可采用实测法、物料衡算法、产污系数法、排污系数法、类比法、试验法等方法。</w:t>
            </w:r>
          </w:p>
          <w:p w14:paraId="7B32366A">
            <w:pPr>
              <w:keepNext w:val="0"/>
              <w:keepLines w:val="0"/>
              <w:pageBreakBefore w:val="0"/>
              <w:widowControl w:val="0"/>
              <w:kinsoku/>
              <w:wordWrap/>
              <w:overflowPunct/>
              <w:topLinePunct w:val="0"/>
              <w:autoSpaceDE/>
              <w:autoSpaceDN/>
              <w:bidi w:val="0"/>
              <w:adjustRightInd/>
              <w:snapToGrid/>
              <w:spacing w:line="500" w:lineRule="exact"/>
              <w:ind w:firstLine="480" w:firstLineChars="200"/>
              <w:rPr>
                <w:rFonts w:ascii="Times New Roman" w:hAnsi="Times New Roman" w:cs="Times New Roman"/>
                <w:color w:val="auto"/>
                <w:sz w:val="24"/>
                <w:u w:val="none"/>
              </w:rPr>
            </w:pPr>
            <w:r>
              <w:rPr>
                <w:rFonts w:ascii="Times New Roman" w:hAnsi="Times New Roman" w:cs="Times New Roman"/>
                <w:color w:val="auto"/>
                <w:sz w:val="24"/>
                <w:u w:val="none"/>
              </w:rPr>
              <w:t>本项目运营期环境影响和保护措施分析如下：</w:t>
            </w:r>
          </w:p>
          <w:p w14:paraId="79E18ED1">
            <w:pPr>
              <w:keepNext w:val="0"/>
              <w:keepLines w:val="0"/>
              <w:pageBreakBefore w:val="0"/>
              <w:widowControl w:val="0"/>
              <w:kinsoku/>
              <w:wordWrap/>
              <w:overflowPunct/>
              <w:topLinePunct w:val="0"/>
              <w:autoSpaceDE/>
              <w:autoSpaceDN/>
              <w:bidi w:val="0"/>
              <w:adjustRightInd/>
              <w:snapToGrid/>
              <w:spacing w:line="500" w:lineRule="exact"/>
              <w:ind w:firstLine="482" w:firstLineChars="200"/>
              <w:rPr>
                <w:rFonts w:ascii="Times New Roman" w:hAnsi="Times New Roman" w:cs="Times New Roman"/>
                <w:b/>
                <w:bCs/>
                <w:color w:val="auto"/>
                <w:sz w:val="24"/>
                <w:u w:val="none"/>
              </w:rPr>
            </w:pPr>
            <w:r>
              <w:rPr>
                <w:rFonts w:hint="eastAsia" w:cs="Times New Roman"/>
                <w:b/>
                <w:bCs/>
                <w:color w:val="auto"/>
                <w:sz w:val="24"/>
                <w:u w:val="none"/>
                <w:lang w:val="en-US" w:eastAsia="zh-CN"/>
              </w:rPr>
              <w:t>1、</w:t>
            </w:r>
            <w:r>
              <w:rPr>
                <w:rFonts w:ascii="Times New Roman" w:hAnsi="Times New Roman" w:cs="Times New Roman"/>
                <w:b/>
                <w:bCs/>
                <w:color w:val="auto"/>
                <w:sz w:val="24"/>
                <w:u w:val="none"/>
              </w:rPr>
              <w:t>废气环境影响分析</w:t>
            </w:r>
          </w:p>
          <w:p w14:paraId="0AD9F788">
            <w:pPr>
              <w:pStyle w:val="13"/>
              <w:keepNext w:val="0"/>
              <w:keepLines w:val="0"/>
              <w:pageBreakBefore w:val="0"/>
              <w:widowControl w:val="0"/>
              <w:kinsoku/>
              <w:wordWrap/>
              <w:overflowPunct/>
              <w:topLinePunct w:val="0"/>
              <w:autoSpaceDE/>
              <w:autoSpaceDN/>
              <w:bidi w:val="0"/>
              <w:adjustRightInd/>
              <w:snapToGrid/>
              <w:spacing w:after="0" w:line="500" w:lineRule="exact"/>
              <w:ind w:left="0" w:leftChars="0" w:firstLine="482" w:firstLineChars="200"/>
              <w:rPr>
                <w:rFonts w:ascii="Times New Roman" w:hAnsi="Times New Roman" w:cs="Times New Roman"/>
                <w:b/>
                <w:color w:val="auto"/>
                <w:u w:val="none"/>
              </w:rPr>
            </w:pPr>
            <w:r>
              <w:rPr>
                <w:rFonts w:hint="eastAsia" w:cs="Times New Roman"/>
                <w:b/>
                <w:color w:val="auto"/>
                <w:u w:val="none"/>
                <w:lang w:val="en-US" w:eastAsia="zh-CN"/>
              </w:rPr>
              <w:t>1</w:t>
            </w:r>
            <w:r>
              <w:rPr>
                <w:rFonts w:hint="eastAsia" w:ascii="Times New Roman" w:hAnsi="Times New Roman" w:cs="Times New Roman"/>
                <w:b/>
                <w:color w:val="auto"/>
                <w:u w:val="none"/>
                <w:lang w:val="en-US" w:eastAsia="zh-CN"/>
              </w:rPr>
              <w:t>.1</w:t>
            </w:r>
            <w:r>
              <w:rPr>
                <w:rFonts w:ascii="Times New Roman" w:hAnsi="Times New Roman" w:cs="Times New Roman"/>
                <w:b/>
                <w:color w:val="auto"/>
                <w:u w:val="none"/>
              </w:rPr>
              <w:t>废气产排污节点、污染物及污染治理设施信息</w:t>
            </w:r>
          </w:p>
          <w:p w14:paraId="5FE99225">
            <w:pPr>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rPr>
                <w:rFonts w:hint="default" w:ascii="Times New Roman" w:hAnsi="Times New Roman" w:eastAsia="宋体" w:cs="Times New Roman"/>
                <w:color w:val="auto"/>
                <w:kern w:val="24"/>
                <w:sz w:val="24"/>
                <w:szCs w:val="24"/>
                <w:highlight w:val="none"/>
                <w:u w:val="none"/>
                <w:lang w:val="en-US" w:eastAsia="zh-CN" w:bidi="ar-SA"/>
              </w:rPr>
            </w:pPr>
            <w:r>
              <w:rPr>
                <w:rFonts w:hint="eastAsia" w:ascii="Times New Roman" w:hAnsi="Times New Roman" w:eastAsia="宋体" w:cs="Times New Roman"/>
                <w:color w:val="auto"/>
                <w:kern w:val="24"/>
                <w:sz w:val="24"/>
                <w:szCs w:val="24"/>
                <w:u w:val="none"/>
                <w:lang w:val="en-US" w:eastAsia="zh-CN" w:bidi="ar-SA"/>
              </w:rPr>
              <w:t>本项目运营期废气排放源为：</w:t>
            </w:r>
            <w:r>
              <w:rPr>
                <w:rFonts w:hint="eastAsia" w:ascii="Times New Roman" w:hAnsi="Times New Roman" w:cs="Times New Roman"/>
                <w:color w:val="auto"/>
                <w:kern w:val="24"/>
                <w:sz w:val="24"/>
                <w:szCs w:val="24"/>
                <w:u w:val="none"/>
                <w:lang w:val="en-US" w:eastAsia="zh-CN" w:bidi="ar-SA"/>
              </w:rPr>
              <w:t>发电机组排放的发电烟气，污染因子为</w:t>
            </w:r>
            <w:r>
              <w:rPr>
                <w:rFonts w:hint="eastAsia" w:ascii="Times New Roman" w:hAnsi="Times New Roman" w:eastAsia="宋体" w:cs="Times New Roman"/>
                <w:bCs/>
                <w:color w:val="auto"/>
                <w:kern w:val="2"/>
                <w:sz w:val="24"/>
                <w:szCs w:val="20"/>
                <w:u w:val="none"/>
                <w:lang w:val="en-US" w:eastAsia="zh-CN" w:bidi="ar-SA"/>
              </w:rPr>
              <w:t>颗粒物、NO</w:t>
            </w:r>
            <w:r>
              <w:rPr>
                <w:rFonts w:hint="eastAsia" w:ascii="Times New Roman" w:hAnsi="Times New Roman" w:eastAsia="宋体" w:cs="Times New Roman"/>
                <w:bCs/>
                <w:color w:val="auto"/>
                <w:kern w:val="2"/>
                <w:sz w:val="24"/>
                <w:szCs w:val="20"/>
                <w:u w:val="none"/>
                <w:vertAlign w:val="baseline"/>
                <w:lang w:val="en-US" w:eastAsia="zh-CN" w:bidi="ar-SA"/>
              </w:rPr>
              <w:t>x</w:t>
            </w:r>
            <w:r>
              <w:rPr>
                <w:rFonts w:hint="eastAsia" w:ascii="Times New Roman" w:hAnsi="Times New Roman" w:eastAsia="宋体" w:cs="Times New Roman"/>
                <w:bCs/>
                <w:color w:val="auto"/>
                <w:kern w:val="2"/>
                <w:sz w:val="24"/>
                <w:szCs w:val="20"/>
                <w:u w:val="none"/>
                <w:lang w:val="en-US" w:eastAsia="zh-CN" w:bidi="ar-SA"/>
              </w:rPr>
              <w:t>、CO、非甲烷总烃</w:t>
            </w:r>
            <w:r>
              <w:rPr>
                <w:rFonts w:hint="eastAsia" w:ascii="Times New Roman" w:hAnsi="Times New Roman" w:eastAsia="宋体" w:cs="Times New Roman"/>
                <w:color w:val="auto"/>
                <w:kern w:val="24"/>
                <w:sz w:val="24"/>
                <w:szCs w:val="24"/>
                <w:u w:val="none"/>
                <w:lang w:val="en-US" w:eastAsia="zh-CN" w:bidi="ar-SA"/>
              </w:rPr>
              <w:t>；</w:t>
            </w:r>
            <w:r>
              <w:rPr>
                <w:rFonts w:hint="eastAsia" w:cs="Times New Roman"/>
                <w:color w:val="auto"/>
                <w:kern w:val="24"/>
                <w:sz w:val="24"/>
                <w:szCs w:val="24"/>
                <w:highlight w:val="none"/>
                <w:u w:val="none"/>
                <w:lang w:val="en-US" w:eastAsia="zh-CN" w:bidi="ar-SA"/>
              </w:rPr>
              <w:t>四</w:t>
            </w:r>
            <w:r>
              <w:rPr>
                <w:rFonts w:hint="eastAsia" w:ascii="Times New Roman" w:hAnsi="Times New Roman" w:cs="Times New Roman"/>
                <w:color w:val="auto"/>
                <w:kern w:val="24"/>
                <w:sz w:val="24"/>
                <w:szCs w:val="24"/>
                <w:highlight w:val="none"/>
                <w:u w:val="none"/>
                <w:lang w:val="en-US" w:eastAsia="zh-CN" w:bidi="ar-SA"/>
              </w:rPr>
              <w:t>台发电机组发电烟气分别通过</w:t>
            </w:r>
            <w:r>
              <w:rPr>
                <w:rFonts w:hint="eastAsia" w:cs="Times New Roman"/>
                <w:color w:val="auto"/>
                <w:kern w:val="24"/>
                <w:sz w:val="24"/>
                <w:szCs w:val="24"/>
                <w:highlight w:val="none"/>
                <w:u w:val="none"/>
                <w:lang w:val="en-US" w:eastAsia="zh-CN" w:bidi="ar-SA"/>
              </w:rPr>
              <w:t>四</w:t>
            </w:r>
            <w:r>
              <w:rPr>
                <w:rFonts w:hint="eastAsia" w:ascii="Times New Roman" w:hAnsi="Times New Roman" w:cs="Times New Roman"/>
                <w:color w:val="auto"/>
                <w:kern w:val="24"/>
                <w:sz w:val="24"/>
                <w:szCs w:val="24"/>
                <w:highlight w:val="none"/>
                <w:u w:val="none"/>
                <w:lang w:val="en-US" w:eastAsia="zh-CN" w:bidi="ar-SA"/>
              </w:rPr>
              <w:t>根排气筒排放（编号分别为DA001、DA002</w:t>
            </w:r>
            <w:r>
              <w:rPr>
                <w:rFonts w:hint="eastAsia" w:cs="Times New Roman"/>
                <w:color w:val="auto"/>
                <w:kern w:val="24"/>
                <w:sz w:val="24"/>
                <w:szCs w:val="24"/>
                <w:highlight w:val="none"/>
                <w:u w:val="none"/>
                <w:lang w:val="en-US" w:eastAsia="zh-CN" w:bidi="ar-SA"/>
              </w:rPr>
              <w:t>、</w:t>
            </w:r>
            <w:r>
              <w:rPr>
                <w:rFonts w:hint="eastAsia" w:ascii="Times New Roman" w:hAnsi="Times New Roman" w:cs="Times New Roman"/>
                <w:color w:val="auto"/>
                <w:kern w:val="24"/>
                <w:sz w:val="24"/>
                <w:szCs w:val="24"/>
                <w:highlight w:val="none"/>
                <w:u w:val="none"/>
                <w:lang w:val="en-US" w:eastAsia="zh-CN" w:bidi="ar-SA"/>
              </w:rPr>
              <w:t>DA003、DA004）</w:t>
            </w:r>
            <w:r>
              <w:rPr>
                <w:rFonts w:hint="eastAsia" w:cs="Times New Roman"/>
                <w:color w:val="auto"/>
                <w:kern w:val="24"/>
                <w:sz w:val="24"/>
                <w:szCs w:val="24"/>
                <w:highlight w:val="none"/>
                <w:u w:val="none"/>
                <w:lang w:val="en-US" w:eastAsia="zh-CN" w:bidi="ar-SA"/>
              </w:rPr>
              <w:t>。</w:t>
            </w:r>
          </w:p>
          <w:p w14:paraId="12D312F6">
            <w:pPr>
              <w:pStyle w:val="87"/>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rPr>
                <w:rFonts w:ascii="Times New Roman" w:hAnsi="Times New Roman" w:cs="Times New Roman"/>
                <w:color w:val="auto"/>
                <w:sz w:val="24"/>
                <w:u w:val="none"/>
              </w:rPr>
            </w:pPr>
            <w:r>
              <w:rPr>
                <w:rFonts w:ascii="Times New Roman" w:hAnsi="Times New Roman" w:cs="Times New Roman"/>
                <w:color w:val="auto"/>
                <w:kern w:val="0"/>
                <w:sz w:val="24"/>
                <w:szCs w:val="24"/>
                <w:u w:val="none"/>
              </w:rPr>
              <w:t>本项目废气产排污节点、污染物及污染治理设施见下表。</w:t>
            </w:r>
          </w:p>
        </w:tc>
      </w:tr>
    </w:tbl>
    <w:p w14:paraId="7F7608DC">
      <w:pPr>
        <w:pStyle w:val="28"/>
        <w:numPr>
          <w:ilvl w:val="0"/>
          <w:numId w:val="0"/>
        </w:numPr>
        <w:spacing w:beforeLines="50" w:beforeAutospacing="0" w:afterLines="50" w:afterAutospacing="0"/>
        <w:jc w:val="both"/>
        <w:outlineLvl w:val="0"/>
        <w:rPr>
          <w:rFonts w:ascii="Times New Roman" w:hAnsi="Times New Roman" w:cs="Times New Roman"/>
          <w:b/>
          <w:bCs/>
          <w:color w:val="auto"/>
          <w:sz w:val="30"/>
          <w:szCs w:val="30"/>
          <w:u w:val="none"/>
        </w:rPr>
      </w:pPr>
    </w:p>
    <w:p w14:paraId="4D53B8F9">
      <w:pPr>
        <w:pStyle w:val="28"/>
        <w:widowControl/>
        <w:numPr>
          <w:ilvl w:val="0"/>
          <w:numId w:val="0"/>
        </w:numPr>
        <w:spacing w:before="100" w:beforeLines="50" w:beforeAutospacing="0" w:after="100" w:afterLines="50" w:afterAutospacing="0"/>
        <w:jc w:val="both"/>
        <w:outlineLvl w:val="0"/>
        <w:rPr>
          <w:rFonts w:ascii="Times New Roman" w:hAnsi="Times New Roman" w:cs="Times New Roman"/>
          <w:b/>
          <w:bCs/>
          <w:color w:val="auto"/>
          <w:sz w:val="30"/>
          <w:szCs w:val="30"/>
          <w:u w:val="none"/>
        </w:rPr>
        <w:sectPr>
          <w:pgSz w:w="11907" w:h="16840"/>
          <w:pgMar w:top="1134" w:right="1417" w:bottom="1134" w:left="1417"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32"/>
        <w:tblW w:w="1470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00"/>
        <w:gridCol w:w="14305"/>
      </w:tblGrid>
      <w:tr w14:paraId="650CE1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29" w:hRule="atLeast"/>
          <w:jc w:val="center"/>
        </w:trPr>
        <w:tc>
          <w:tcPr>
            <w:tcW w:w="400" w:type="dxa"/>
            <w:tcMar>
              <w:left w:w="28" w:type="dxa"/>
              <w:right w:w="28" w:type="dxa"/>
            </w:tcMar>
            <w:vAlign w:val="center"/>
          </w:tcPr>
          <w:p w14:paraId="4F1677D7">
            <w:pPr>
              <w:adjustRightInd w:val="0"/>
              <w:snapToGrid w:val="0"/>
              <w:jc w:val="center"/>
              <w:rPr>
                <w:rFonts w:ascii="Times New Roman" w:hAnsi="Times New Roman" w:cs="Times New Roman"/>
                <w:bCs/>
                <w:color w:val="auto"/>
                <w:szCs w:val="21"/>
                <w:u w:val="none"/>
              </w:rPr>
            </w:pPr>
            <w:r>
              <w:rPr>
                <w:rFonts w:ascii="Times New Roman" w:hAnsi="Times New Roman" w:cs="Times New Roman"/>
                <w:b/>
                <w:bCs/>
                <w:color w:val="auto"/>
                <w:sz w:val="24"/>
                <w:szCs w:val="24"/>
                <w:u w:val="none"/>
              </w:rPr>
              <w:t>运营期环境影响和保护措施</w:t>
            </w:r>
          </w:p>
        </w:tc>
        <w:tc>
          <w:tcPr>
            <w:tcW w:w="14305" w:type="dxa"/>
            <w:vAlign w:val="top"/>
          </w:tcPr>
          <w:p w14:paraId="3F1944B4">
            <w:pPr>
              <w:pStyle w:val="7"/>
              <w:widowControl w:val="0"/>
              <w:numPr>
                <w:ilvl w:val="0"/>
                <w:numId w:val="0"/>
              </w:numPr>
              <w:spacing w:line="520" w:lineRule="exact"/>
              <w:jc w:val="center"/>
              <w:rPr>
                <w:rFonts w:hint="eastAsia" w:ascii="Times New Roman" w:hAnsi="Times New Roman" w:eastAsia="黑体" w:cs="Times New Roman"/>
                <w:b w:val="0"/>
                <w:bCs w:val="0"/>
                <w:color w:val="auto"/>
                <w:sz w:val="24"/>
                <w:szCs w:val="24"/>
                <w:highlight w:val="none"/>
                <w:u w:val="none"/>
                <w:lang w:val="en-US" w:eastAsia="zh-CN"/>
              </w:rPr>
            </w:pPr>
            <w:r>
              <w:rPr>
                <w:rFonts w:hint="eastAsia" w:ascii="Times New Roman" w:hAnsi="Times New Roman" w:eastAsia="黑体" w:cs="Times New Roman"/>
                <w:b w:val="0"/>
                <w:bCs w:val="0"/>
                <w:color w:val="auto"/>
                <w:sz w:val="24"/>
                <w:szCs w:val="24"/>
                <w:highlight w:val="none"/>
                <w:u w:val="none"/>
                <w:lang w:val="en-US" w:eastAsia="zh-CN"/>
              </w:rPr>
              <w:t>表</w:t>
            </w:r>
            <w:r>
              <w:rPr>
                <w:rFonts w:hint="eastAsia" w:eastAsia="黑体" w:cs="Times New Roman"/>
                <w:b w:val="0"/>
                <w:bCs w:val="0"/>
                <w:color w:val="auto"/>
                <w:sz w:val="24"/>
                <w:szCs w:val="24"/>
                <w:highlight w:val="none"/>
                <w:u w:val="none"/>
                <w:lang w:val="en-US" w:eastAsia="zh-CN"/>
              </w:rPr>
              <w:t>4-1</w:t>
            </w:r>
            <w:r>
              <w:rPr>
                <w:rFonts w:hint="eastAsia" w:ascii="Times New Roman" w:hAnsi="Times New Roman" w:eastAsia="黑体" w:cs="Times New Roman"/>
                <w:b w:val="0"/>
                <w:bCs w:val="0"/>
                <w:color w:val="auto"/>
                <w:sz w:val="24"/>
                <w:szCs w:val="24"/>
                <w:highlight w:val="none"/>
                <w:u w:val="none"/>
                <w:lang w:val="en-US" w:eastAsia="zh-CN"/>
              </w:rPr>
              <w:t xml:space="preserve"> 本项目废气产排污节点、污染物及污染治理设施信息表</w:t>
            </w:r>
          </w:p>
          <w:tbl>
            <w:tblPr>
              <w:tblStyle w:val="32"/>
              <w:tblW w:w="14094" w:type="dxa"/>
              <w:tblInd w:w="-2" w:type="dxa"/>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Layout w:type="fixed"/>
              <w:tblCellMar>
                <w:top w:w="0" w:type="dxa"/>
                <w:left w:w="108" w:type="dxa"/>
                <w:bottom w:w="0" w:type="dxa"/>
                <w:right w:w="108" w:type="dxa"/>
              </w:tblCellMar>
            </w:tblPr>
            <w:tblGrid>
              <w:gridCol w:w="700"/>
              <w:gridCol w:w="672"/>
              <w:gridCol w:w="697"/>
              <w:gridCol w:w="895"/>
              <w:gridCol w:w="654"/>
              <w:gridCol w:w="709"/>
              <w:gridCol w:w="842"/>
              <w:gridCol w:w="918"/>
              <w:gridCol w:w="2167"/>
              <w:gridCol w:w="752"/>
              <w:gridCol w:w="833"/>
              <w:gridCol w:w="808"/>
              <w:gridCol w:w="822"/>
              <w:gridCol w:w="716"/>
              <w:gridCol w:w="1909"/>
            </w:tblGrid>
            <w:tr w14:paraId="3232D65C">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367" w:hRule="atLeast"/>
              </w:trPr>
              <w:tc>
                <w:tcPr>
                  <w:tcW w:w="700" w:type="dxa"/>
                  <w:vMerge w:val="restart"/>
                  <w:tcBorders>
                    <w:tl2br w:val="nil"/>
                    <w:tr2bl w:val="nil"/>
                  </w:tcBorders>
                  <w:vAlign w:val="center"/>
                </w:tcPr>
                <w:p w14:paraId="0EC2C57A">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val="0"/>
                      <w:color w:val="auto"/>
                      <w:sz w:val="21"/>
                      <w:szCs w:val="21"/>
                      <w:highlight w:val="none"/>
                      <w:u w:val="none"/>
                      <w:lang w:val="zh-CN"/>
                    </w:rPr>
                  </w:pPr>
                  <w:r>
                    <w:rPr>
                      <w:rFonts w:hint="eastAsia" w:ascii="Times New Roman" w:hAnsi="Times New Roman" w:eastAsia="宋体" w:cs="Times New Roman"/>
                      <w:b/>
                      <w:bCs w:val="0"/>
                      <w:color w:val="auto"/>
                      <w:sz w:val="21"/>
                      <w:szCs w:val="21"/>
                      <w:highlight w:val="none"/>
                      <w:u w:val="none"/>
                      <w:lang w:val="zh-CN"/>
                    </w:rPr>
                    <w:t>主要生产单元</w:t>
                  </w:r>
                </w:p>
              </w:tc>
              <w:tc>
                <w:tcPr>
                  <w:tcW w:w="672" w:type="dxa"/>
                  <w:vMerge w:val="restart"/>
                  <w:tcBorders>
                    <w:tl2br w:val="nil"/>
                    <w:tr2bl w:val="nil"/>
                  </w:tcBorders>
                  <w:vAlign w:val="center"/>
                </w:tcPr>
                <w:p w14:paraId="1EC484BA">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val="0"/>
                      <w:color w:val="auto"/>
                      <w:sz w:val="21"/>
                      <w:szCs w:val="21"/>
                      <w:highlight w:val="none"/>
                      <w:u w:val="none"/>
                      <w:lang w:val="zh-CN"/>
                    </w:rPr>
                  </w:pPr>
                  <w:r>
                    <w:rPr>
                      <w:rFonts w:ascii="Times New Roman" w:hAnsi="Times New Roman" w:eastAsia="宋体" w:cs="Times New Roman"/>
                      <w:b/>
                      <w:bCs w:val="0"/>
                      <w:color w:val="auto"/>
                      <w:sz w:val="21"/>
                      <w:szCs w:val="21"/>
                      <w:highlight w:val="none"/>
                      <w:u w:val="none"/>
                      <w:lang w:val="zh-CN"/>
                    </w:rPr>
                    <w:t>主要产污设施</w:t>
                  </w:r>
                </w:p>
              </w:tc>
              <w:tc>
                <w:tcPr>
                  <w:tcW w:w="697" w:type="dxa"/>
                  <w:vMerge w:val="restart"/>
                  <w:tcBorders>
                    <w:tl2br w:val="nil"/>
                    <w:tr2bl w:val="nil"/>
                  </w:tcBorders>
                  <w:vAlign w:val="center"/>
                </w:tcPr>
                <w:p w14:paraId="0DBF4212">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val="0"/>
                      <w:color w:val="auto"/>
                      <w:sz w:val="21"/>
                      <w:szCs w:val="21"/>
                      <w:highlight w:val="none"/>
                      <w:u w:val="none"/>
                      <w:lang w:val="zh-CN"/>
                    </w:rPr>
                  </w:pPr>
                  <w:r>
                    <w:rPr>
                      <w:rFonts w:ascii="Times New Roman" w:hAnsi="Times New Roman" w:eastAsia="宋体" w:cs="Times New Roman"/>
                      <w:b/>
                      <w:bCs w:val="0"/>
                      <w:color w:val="auto"/>
                      <w:sz w:val="21"/>
                      <w:szCs w:val="21"/>
                      <w:highlight w:val="none"/>
                      <w:u w:val="none"/>
                      <w:lang w:val="zh-CN"/>
                    </w:rPr>
                    <w:t>主要产污环节</w:t>
                  </w:r>
                </w:p>
              </w:tc>
              <w:tc>
                <w:tcPr>
                  <w:tcW w:w="895" w:type="dxa"/>
                  <w:vMerge w:val="restart"/>
                  <w:tcBorders>
                    <w:tl2br w:val="nil"/>
                    <w:tr2bl w:val="nil"/>
                  </w:tcBorders>
                  <w:vAlign w:val="center"/>
                </w:tcPr>
                <w:p w14:paraId="0A912666">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val="0"/>
                      <w:color w:val="auto"/>
                      <w:sz w:val="21"/>
                      <w:szCs w:val="21"/>
                      <w:highlight w:val="none"/>
                      <w:u w:val="none"/>
                      <w:lang w:val="zh-CN"/>
                    </w:rPr>
                  </w:pPr>
                  <w:r>
                    <w:rPr>
                      <w:rFonts w:ascii="Times New Roman" w:hAnsi="Times New Roman" w:eastAsia="宋体" w:cs="Times New Roman"/>
                      <w:b/>
                      <w:bCs w:val="0"/>
                      <w:color w:val="auto"/>
                      <w:sz w:val="21"/>
                      <w:szCs w:val="21"/>
                      <w:highlight w:val="none"/>
                      <w:u w:val="none"/>
                      <w:lang w:val="zh-CN"/>
                    </w:rPr>
                    <w:t>主要污染物</w:t>
                  </w:r>
                </w:p>
              </w:tc>
              <w:tc>
                <w:tcPr>
                  <w:tcW w:w="2205" w:type="dxa"/>
                  <w:gridSpan w:val="3"/>
                  <w:tcBorders>
                    <w:tl2br w:val="nil"/>
                    <w:tr2bl w:val="nil"/>
                  </w:tcBorders>
                  <w:vAlign w:val="center"/>
                </w:tcPr>
                <w:p w14:paraId="6647E30D">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val="0"/>
                      <w:color w:val="auto"/>
                      <w:sz w:val="21"/>
                      <w:szCs w:val="21"/>
                      <w:highlight w:val="none"/>
                      <w:u w:val="none"/>
                      <w:lang w:val="zh-CN"/>
                    </w:rPr>
                  </w:pPr>
                  <w:r>
                    <w:rPr>
                      <w:rFonts w:ascii="Times New Roman" w:hAnsi="Times New Roman" w:eastAsia="宋体" w:cs="Times New Roman"/>
                      <w:b/>
                      <w:bCs w:val="0"/>
                      <w:color w:val="auto"/>
                      <w:sz w:val="21"/>
                      <w:szCs w:val="21"/>
                      <w:highlight w:val="none"/>
                      <w:u w:val="none"/>
                      <w:lang w:val="zh-CN"/>
                    </w:rPr>
                    <w:t>污染物产生</w:t>
                  </w:r>
                </w:p>
              </w:tc>
              <w:tc>
                <w:tcPr>
                  <w:tcW w:w="918" w:type="dxa"/>
                  <w:vMerge w:val="restart"/>
                  <w:tcBorders>
                    <w:tl2br w:val="nil"/>
                    <w:tr2bl w:val="nil"/>
                  </w:tcBorders>
                  <w:vAlign w:val="center"/>
                </w:tcPr>
                <w:p w14:paraId="2C484771">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val="0"/>
                      <w:color w:val="auto"/>
                      <w:sz w:val="21"/>
                      <w:szCs w:val="21"/>
                      <w:highlight w:val="none"/>
                      <w:u w:val="none"/>
                      <w:lang w:val="zh-CN"/>
                    </w:rPr>
                  </w:pPr>
                  <w:r>
                    <w:rPr>
                      <w:rFonts w:ascii="Times New Roman" w:hAnsi="Times New Roman" w:eastAsia="宋体" w:cs="Times New Roman"/>
                      <w:b/>
                      <w:bCs w:val="0"/>
                      <w:color w:val="auto"/>
                      <w:sz w:val="21"/>
                      <w:szCs w:val="21"/>
                      <w:highlight w:val="none"/>
                      <w:u w:val="none"/>
                      <w:lang w:val="zh-CN"/>
                    </w:rPr>
                    <w:t>排放</w:t>
                  </w:r>
                </w:p>
                <w:p w14:paraId="6C50327C">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val="0"/>
                      <w:color w:val="auto"/>
                      <w:sz w:val="21"/>
                      <w:szCs w:val="21"/>
                      <w:highlight w:val="none"/>
                      <w:u w:val="none"/>
                      <w:lang w:val="zh-CN"/>
                    </w:rPr>
                  </w:pPr>
                  <w:r>
                    <w:rPr>
                      <w:rFonts w:ascii="Times New Roman" w:hAnsi="Times New Roman" w:eastAsia="宋体" w:cs="Times New Roman"/>
                      <w:b/>
                      <w:bCs w:val="0"/>
                      <w:color w:val="auto"/>
                      <w:sz w:val="21"/>
                      <w:szCs w:val="21"/>
                      <w:highlight w:val="none"/>
                      <w:u w:val="none"/>
                      <w:lang w:val="zh-CN"/>
                    </w:rPr>
                    <w:t>形式</w:t>
                  </w:r>
                </w:p>
              </w:tc>
              <w:tc>
                <w:tcPr>
                  <w:tcW w:w="2919" w:type="dxa"/>
                  <w:gridSpan w:val="2"/>
                  <w:tcBorders>
                    <w:tl2br w:val="nil"/>
                    <w:tr2bl w:val="nil"/>
                  </w:tcBorders>
                  <w:vAlign w:val="center"/>
                </w:tcPr>
                <w:p w14:paraId="34A2F2AF">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val="0"/>
                      <w:color w:val="auto"/>
                      <w:sz w:val="21"/>
                      <w:szCs w:val="21"/>
                      <w:highlight w:val="none"/>
                      <w:u w:val="none"/>
                      <w:lang w:val="zh-CN"/>
                    </w:rPr>
                  </w:pPr>
                  <w:r>
                    <w:rPr>
                      <w:rFonts w:ascii="Times New Roman" w:hAnsi="Times New Roman" w:eastAsia="宋体" w:cs="Times New Roman"/>
                      <w:b/>
                      <w:bCs w:val="0"/>
                      <w:color w:val="auto"/>
                      <w:sz w:val="21"/>
                      <w:szCs w:val="21"/>
                      <w:highlight w:val="none"/>
                      <w:u w:val="none"/>
                      <w:lang w:val="zh-CN"/>
                    </w:rPr>
                    <w:t>治理设施</w:t>
                  </w:r>
                </w:p>
              </w:tc>
              <w:tc>
                <w:tcPr>
                  <w:tcW w:w="2463" w:type="dxa"/>
                  <w:gridSpan w:val="3"/>
                  <w:tcBorders>
                    <w:tl2br w:val="nil"/>
                    <w:tr2bl w:val="nil"/>
                  </w:tcBorders>
                  <w:vAlign w:val="center"/>
                </w:tcPr>
                <w:p w14:paraId="7E5E18E8">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val="0"/>
                      <w:color w:val="auto"/>
                      <w:sz w:val="21"/>
                      <w:szCs w:val="21"/>
                      <w:highlight w:val="none"/>
                      <w:u w:val="none"/>
                      <w:lang w:val="zh-CN"/>
                    </w:rPr>
                  </w:pPr>
                  <w:r>
                    <w:rPr>
                      <w:rFonts w:ascii="Times New Roman" w:hAnsi="Times New Roman" w:eastAsia="宋体" w:cs="Times New Roman"/>
                      <w:b/>
                      <w:bCs w:val="0"/>
                      <w:color w:val="auto"/>
                      <w:sz w:val="21"/>
                      <w:szCs w:val="21"/>
                      <w:highlight w:val="none"/>
                      <w:u w:val="none"/>
                      <w:lang w:val="zh-CN"/>
                    </w:rPr>
                    <w:t>污染物排放</w:t>
                  </w:r>
                </w:p>
              </w:tc>
              <w:tc>
                <w:tcPr>
                  <w:tcW w:w="716" w:type="dxa"/>
                  <w:vMerge w:val="restart"/>
                  <w:tcBorders>
                    <w:tl2br w:val="nil"/>
                    <w:tr2bl w:val="nil"/>
                  </w:tcBorders>
                  <w:vAlign w:val="center"/>
                </w:tcPr>
                <w:p w14:paraId="5D9E8211">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val="0"/>
                      <w:color w:val="auto"/>
                      <w:sz w:val="21"/>
                      <w:szCs w:val="21"/>
                      <w:highlight w:val="none"/>
                      <w:u w:val="none"/>
                      <w:lang w:val="zh-CN"/>
                    </w:rPr>
                  </w:pPr>
                  <w:r>
                    <w:rPr>
                      <w:rFonts w:ascii="Times New Roman" w:hAnsi="Times New Roman" w:eastAsia="宋体" w:cs="Times New Roman"/>
                      <w:b/>
                      <w:bCs w:val="0"/>
                      <w:color w:val="auto"/>
                      <w:sz w:val="21"/>
                      <w:szCs w:val="21"/>
                      <w:highlight w:val="none"/>
                      <w:u w:val="none"/>
                    </w:rPr>
                    <w:t>核算排放时间h</w:t>
                  </w:r>
                </w:p>
              </w:tc>
              <w:tc>
                <w:tcPr>
                  <w:tcW w:w="1909" w:type="dxa"/>
                  <w:vMerge w:val="restart"/>
                  <w:tcBorders>
                    <w:tl2br w:val="nil"/>
                    <w:tr2bl w:val="nil"/>
                  </w:tcBorders>
                  <w:vAlign w:val="center"/>
                </w:tcPr>
                <w:p w14:paraId="24C82B31">
                  <w:pPr>
                    <w:pStyle w:val="88"/>
                    <w:keepNext w:val="0"/>
                    <w:keepLines w:val="0"/>
                    <w:pageBreakBefore w:val="0"/>
                    <w:kinsoku/>
                    <w:wordWrap/>
                    <w:overflowPunct/>
                    <w:topLinePunct w:val="0"/>
                    <w:autoSpaceDE/>
                    <w:autoSpaceDN/>
                    <w:bidi w:val="0"/>
                    <w:adjustRightInd/>
                    <w:snapToGrid/>
                    <w:spacing w:line="320" w:lineRule="exact"/>
                    <w:jc w:val="center"/>
                    <w:textAlignment w:val="auto"/>
                    <w:rPr>
                      <w:rFonts w:ascii="Times New Roman" w:hAnsi="Times New Roman" w:eastAsia="宋体" w:cs="Times New Roman"/>
                      <w:b/>
                      <w:bCs w:val="0"/>
                      <w:color w:val="auto"/>
                      <w:sz w:val="21"/>
                      <w:szCs w:val="21"/>
                      <w:highlight w:val="none"/>
                      <w:u w:val="none"/>
                      <w:lang w:val="zh-CN"/>
                    </w:rPr>
                  </w:pPr>
                  <w:r>
                    <w:rPr>
                      <w:rFonts w:ascii="Times New Roman" w:hAnsi="Times New Roman" w:eastAsia="宋体" w:cs="Times New Roman"/>
                      <w:b/>
                      <w:bCs w:val="0"/>
                      <w:color w:val="auto"/>
                      <w:sz w:val="21"/>
                      <w:szCs w:val="21"/>
                      <w:highlight w:val="none"/>
                      <w:u w:val="none"/>
                      <w:lang w:val="zh-CN"/>
                    </w:rPr>
                    <w:t>执行标准</w:t>
                  </w:r>
                </w:p>
              </w:tc>
            </w:tr>
            <w:tr w14:paraId="02B5DA94">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1078" w:hRule="atLeast"/>
              </w:trPr>
              <w:tc>
                <w:tcPr>
                  <w:tcW w:w="700" w:type="dxa"/>
                  <w:vMerge w:val="continue"/>
                  <w:tcBorders>
                    <w:tl2br w:val="nil"/>
                    <w:tr2bl w:val="nil"/>
                  </w:tcBorders>
                  <w:vAlign w:val="center"/>
                </w:tcPr>
                <w:p w14:paraId="77D7388F">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highlight w:val="none"/>
                      <w:u w:val="none"/>
                    </w:rPr>
                  </w:pPr>
                </w:p>
              </w:tc>
              <w:tc>
                <w:tcPr>
                  <w:tcW w:w="672" w:type="dxa"/>
                  <w:vMerge w:val="continue"/>
                  <w:tcBorders>
                    <w:tl2br w:val="nil"/>
                    <w:tr2bl w:val="nil"/>
                  </w:tcBorders>
                  <w:vAlign w:val="center"/>
                </w:tcPr>
                <w:p w14:paraId="7EBF6789">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highlight w:val="none"/>
                      <w:u w:val="none"/>
                    </w:rPr>
                  </w:pPr>
                </w:p>
              </w:tc>
              <w:tc>
                <w:tcPr>
                  <w:tcW w:w="697" w:type="dxa"/>
                  <w:vMerge w:val="continue"/>
                  <w:tcBorders>
                    <w:tl2br w:val="nil"/>
                    <w:tr2bl w:val="nil"/>
                  </w:tcBorders>
                  <w:vAlign w:val="center"/>
                </w:tcPr>
                <w:p w14:paraId="2FE0E0FD">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highlight w:val="none"/>
                      <w:u w:val="none"/>
                    </w:rPr>
                  </w:pPr>
                </w:p>
              </w:tc>
              <w:tc>
                <w:tcPr>
                  <w:tcW w:w="895" w:type="dxa"/>
                  <w:vMerge w:val="continue"/>
                  <w:tcBorders>
                    <w:tl2br w:val="nil"/>
                    <w:tr2bl w:val="nil"/>
                  </w:tcBorders>
                  <w:vAlign w:val="center"/>
                </w:tcPr>
                <w:p w14:paraId="6ED083E0">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highlight w:val="none"/>
                      <w:u w:val="none"/>
                    </w:rPr>
                  </w:pPr>
                </w:p>
              </w:tc>
              <w:tc>
                <w:tcPr>
                  <w:tcW w:w="654" w:type="dxa"/>
                  <w:tcBorders>
                    <w:tl2br w:val="nil"/>
                    <w:tr2bl w:val="nil"/>
                  </w:tcBorders>
                  <w:vAlign w:val="center"/>
                </w:tcPr>
                <w:p w14:paraId="0FE6412D">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val="0"/>
                      <w:color w:val="auto"/>
                      <w:sz w:val="21"/>
                      <w:szCs w:val="21"/>
                      <w:highlight w:val="none"/>
                      <w:u w:val="none"/>
                    </w:rPr>
                  </w:pPr>
                  <w:r>
                    <w:rPr>
                      <w:rFonts w:ascii="Times New Roman" w:hAnsi="Times New Roman" w:eastAsia="宋体" w:cs="Times New Roman"/>
                      <w:b/>
                      <w:bCs w:val="0"/>
                      <w:color w:val="auto"/>
                      <w:sz w:val="21"/>
                      <w:szCs w:val="21"/>
                      <w:highlight w:val="none"/>
                      <w:u w:val="none"/>
                    </w:rPr>
                    <w:t>核算方法</w:t>
                  </w:r>
                </w:p>
              </w:tc>
              <w:tc>
                <w:tcPr>
                  <w:tcW w:w="709" w:type="dxa"/>
                  <w:tcBorders>
                    <w:tl2br w:val="nil"/>
                    <w:tr2bl w:val="nil"/>
                  </w:tcBorders>
                  <w:vAlign w:val="center"/>
                </w:tcPr>
                <w:p w14:paraId="199CAC18">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val="0"/>
                      <w:color w:val="auto"/>
                      <w:sz w:val="21"/>
                      <w:szCs w:val="21"/>
                      <w:highlight w:val="none"/>
                      <w:u w:val="none"/>
                      <w:lang w:val="zh-CN"/>
                    </w:rPr>
                  </w:pPr>
                  <w:r>
                    <w:rPr>
                      <w:rFonts w:hint="eastAsia" w:ascii="Times New Roman" w:hAnsi="Times New Roman" w:eastAsia="宋体" w:cs="Times New Roman"/>
                      <w:b/>
                      <w:bCs w:val="0"/>
                      <w:color w:val="auto"/>
                      <w:sz w:val="21"/>
                      <w:szCs w:val="21"/>
                      <w:highlight w:val="none"/>
                      <w:u w:val="none"/>
                      <w:lang w:val="en-US" w:eastAsia="zh-CN"/>
                    </w:rPr>
                    <w:t>产生</w:t>
                  </w:r>
                  <w:r>
                    <w:rPr>
                      <w:rFonts w:ascii="Times New Roman" w:hAnsi="Times New Roman" w:eastAsia="宋体" w:cs="Times New Roman"/>
                      <w:b/>
                      <w:bCs w:val="0"/>
                      <w:color w:val="auto"/>
                      <w:sz w:val="21"/>
                      <w:szCs w:val="21"/>
                      <w:highlight w:val="none"/>
                      <w:u w:val="none"/>
                      <w:lang w:val="zh-CN"/>
                    </w:rPr>
                    <w:t>速率</w:t>
                  </w:r>
                  <w:r>
                    <w:rPr>
                      <w:rFonts w:ascii="Times New Roman" w:hAnsi="Times New Roman" w:eastAsia="宋体" w:cs="Times New Roman"/>
                      <w:b/>
                      <w:bCs w:val="0"/>
                      <w:color w:val="auto"/>
                      <w:sz w:val="21"/>
                      <w:szCs w:val="21"/>
                      <w:highlight w:val="none"/>
                      <w:u w:val="none"/>
                    </w:rPr>
                    <w:t>kg/h</w:t>
                  </w:r>
                </w:p>
              </w:tc>
              <w:tc>
                <w:tcPr>
                  <w:tcW w:w="842" w:type="dxa"/>
                  <w:tcBorders>
                    <w:tl2br w:val="nil"/>
                    <w:tr2bl w:val="nil"/>
                  </w:tcBorders>
                  <w:vAlign w:val="center"/>
                </w:tcPr>
                <w:p w14:paraId="0597F0A5">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val="0"/>
                      <w:color w:val="auto"/>
                      <w:sz w:val="21"/>
                      <w:szCs w:val="21"/>
                      <w:highlight w:val="none"/>
                      <w:u w:val="none"/>
                      <w:lang w:val="zh-CN"/>
                    </w:rPr>
                  </w:pPr>
                  <w:r>
                    <w:rPr>
                      <w:rFonts w:hint="eastAsia" w:ascii="Times New Roman" w:hAnsi="Times New Roman" w:eastAsia="宋体" w:cs="Times New Roman"/>
                      <w:b/>
                      <w:bCs w:val="0"/>
                      <w:color w:val="auto"/>
                      <w:sz w:val="21"/>
                      <w:szCs w:val="21"/>
                      <w:highlight w:val="none"/>
                      <w:u w:val="none"/>
                      <w:lang w:val="en-US" w:eastAsia="zh-CN"/>
                    </w:rPr>
                    <w:t>产生</w:t>
                  </w:r>
                  <w:r>
                    <w:rPr>
                      <w:rFonts w:ascii="Times New Roman" w:hAnsi="Times New Roman" w:eastAsia="宋体" w:cs="Times New Roman"/>
                      <w:b/>
                      <w:bCs w:val="0"/>
                      <w:color w:val="auto"/>
                      <w:sz w:val="21"/>
                      <w:szCs w:val="21"/>
                      <w:highlight w:val="none"/>
                      <w:u w:val="none"/>
                      <w:lang w:val="zh-CN"/>
                    </w:rPr>
                    <w:t>量t/a</w:t>
                  </w:r>
                </w:p>
              </w:tc>
              <w:tc>
                <w:tcPr>
                  <w:tcW w:w="918" w:type="dxa"/>
                  <w:vMerge w:val="continue"/>
                  <w:tcBorders>
                    <w:tl2br w:val="nil"/>
                    <w:tr2bl w:val="nil"/>
                  </w:tcBorders>
                  <w:vAlign w:val="center"/>
                </w:tcPr>
                <w:p w14:paraId="489E7051">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val="0"/>
                      <w:color w:val="auto"/>
                      <w:sz w:val="21"/>
                      <w:szCs w:val="21"/>
                      <w:highlight w:val="none"/>
                      <w:u w:val="none"/>
                    </w:rPr>
                  </w:pPr>
                </w:p>
              </w:tc>
              <w:tc>
                <w:tcPr>
                  <w:tcW w:w="2167" w:type="dxa"/>
                  <w:tcBorders>
                    <w:tl2br w:val="nil"/>
                    <w:tr2bl w:val="nil"/>
                  </w:tcBorders>
                  <w:vAlign w:val="center"/>
                </w:tcPr>
                <w:p w14:paraId="1A102A88">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val="0"/>
                      <w:color w:val="auto"/>
                      <w:sz w:val="21"/>
                      <w:szCs w:val="21"/>
                      <w:highlight w:val="none"/>
                      <w:u w:val="none"/>
                      <w:lang w:val="zh-CN"/>
                    </w:rPr>
                  </w:pPr>
                  <w:r>
                    <w:rPr>
                      <w:rFonts w:ascii="Times New Roman" w:hAnsi="Times New Roman" w:eastAsia="宋体" w:cs="Times New Roman"/>
                      <w:b/>
                      <w:bCs w:val="0"/>
                      <w:color w:val="auto"/>
                      <w:sz w:val="21"/>
                      <w:szCs w:val="21"/>
                      <w:highlight w:val="none"/>
                      <w:u w:val="none"/>
                      <w:lang w:val="zh-CN"/>
                    </w:rPr>
                    <w:t>名称、处理能力、收集效率、去除率</w:t>
                  </w:r>
                </w:p>
              </w:tc>
              <w:tc>
                <w:tcPr>
                  <w:tcW w:w="752" w:type="dxa"/>
                  <w:tcBorders>
                    <w:tl2br w:val="nil"/>
                    <w:tr2bl w:val="nil"/>
                  </w:tcBorders>
                  <w:vAlign w:val="center"/>
                </w:tcPr>
                <w:p w14:paraId="31D58BCD">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val="0"/>
                      <w:color w:val="auto"/>
                      <w:sz w:val="21"/>
                      <w:szCs w:val="21"/>
                      <w:highlight w:val="none"/>
                      <w:u w:val="none"/>
                      <w:lang w:val="zh-CN"/>
                    </w:rPr>
                  </w:pPr>
                  <w:r>
                    <w:rPr>
                      <w:rFonts w:ascii="Times New Roman" w:hAnsi="Times New Roman" w:eastAsia="宋体" w:cs="Times New Roman"/>
                      <w:b/>
                      <w:bCs w:val="0"/>
                      <w:color w:val="auto"/>
                      <w:sz w:val="21"/>
                      <w:szCs w:val="21"/>
                      <w:highlight w:val="none"/>
                      <w:u w:val="none"/>
                      <w:lang w:val="zh-CN"/>
                    </w:rPr>
                    <w:t>是否技术可行</w:t>
                  </w:r>
                </w:p>
              </w:tc>
              <w:tc>
                <w:tcPr>
                  <w:tcW w:w="833" w:type="dxa"/>
                  <w:tcBorders>
                    <w:tl2br w:val="nil"/>
                    <w:tr2bl w:val="nil"/>
                  </w:tcBorders>
                  <w:vAlign w:val="center"/>
                </w:tcPr>
                <w:p w14:paraId="5D634EC3">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val="0"/>
                      <w:color w:val="auto"/>
                      <w:sz w:val="21"/>
                      <w:szCs w:val="21"/>
                      <w:highlight w:val="none"/>
                      <w:u w:val="none"/>
                      <w:lang w:val="zh-CN"/>
                    </w:rPr>
                  </w:pPr>
                  <w:r>
                    <w:rPr>
                      <w:rFonts w:ascii="Times New Roman" w:hAnsi="Times New Roman" w:eastAsia="宋体" w:cs="Times New Roman"/>
                      <w:b/>
                      <w:bCs w:val="0"/>
                      <w:color w:val="auto"/>
                      <w:sz w:val="21"/>
                      <w:szCs w:val="21"/>
                      <w:highlight w:val="none"/>
                      <w:u w:val="none"/>
                      <w:lang w:val="zh-CN"/>
                    </w:rPr>
                    <w:t>排放</w:t>
                  </w:r>
                  <w:r>
                    <w:rPr>
                      <w:rFonts w:hint="eastAsia" w:ascii="Times New Roman" w:hAnsi="Times New Roman" w:eastAsia="宋体" w:cs="Times New Roman"/>
                      <w:b/>
                      <w:bCs w:val="0"/>
                      <w:color w:val="auto"/>
                      <w:sz w:val="21"/>
                      <w:szCs w:val="21"/>
                      <w:highlight w:val="none"/>
                      <w:u w:val="none"/>
                      <w:lang w:val="en-US" w:eastAsia="zh-CN"/>
                    </w:rPr>
                    <w:t>绩效mg/kwh</w:t>
                  </w:r>
                </w:p>
              </w:tc>
              <w:tc>
                <w:tcPr>
                  <w:tcW w:w="808" w:type="dxa"/>
                  <w:tcBorders>
                    <w:tl2br w:val="nil"/>
                    <w:tr2bl w:val="nil"/>
                  </w:tcBorders>
                  <w:vAlign w:val="center"/>
                </w:tcPr>
                <w:p w14:paraId="4951D08D">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val="0"/>
                      <w:color w:val="auto"/>
                      <w:sz w:val="21"/>
                      <w:szCs w:val="21"/>
                      <w:highlight w:val="none"/>
                      <w:u w:val="none"/>
                    </w:rPr>
                  </w:pPr>
                  <w:r>
                    <w:rPr>
                      <w:rFonts w:ascii="Times New Roman" w:hAnsi="Times New Roman" w:eastAsia="宋体" w:cs="Times New Roman"/>
                      <w:b/>
                      <w:bCs w:val="0"/>
                      <w:color w:val="auto"/>
                      <w:sz w:val="21"/>
                      <w:szCs w:val="21"/>
                      <w:highlight w:val="none"/>
                      <w:u w:val="none"/>
                      <w:lang w:val="zh-CN"/>
                    </w:rPr>
                    <w:t>排放速率</w:t>
                  </w:r>
                  <w:r>
                    <w:rPr>
                      <w:rFonts w:ascii="Times New Roman" w:hAnsi="Times New Roman" w:eastAsia="宋体" w:cs="Times New Roman"/>
                      <w:b/>
                      <w:bCs w:val="0"/>
                      <w:color w:val="auto"/>
                      <w:sz w:val="21"/>
                      <w:szCs w:val="21"/>
                      <w:highlight w:val="none"/>
                      <w:u w:val="none"/>
                    </w:rPr>
                    <w:t>kg/h</w:t>
                  </w:r>
                </w:p>
              </w:tc>
              <w:tc>
                <w:tcPr>
                  <w:tcW w:w="822" w:type="dxa"/>
                  <w:tcBorders>
                    <w:tl2br w:val="nil"/>
                    <w:tr2bl w:val="nil"/>
                  </w:tcBorders>
                  <w:vAlign w:val="center"/>
                </w:tcPr>
                <w:p w14:paraId="2932E239">
                  <w:pPr>
                    <w:pStyle w:val="88"/>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val="0"/>
                      <w:color w:val="auto"/>
                      <w:sz w:val="21"/>
                      <w:szCs w:val="21"/>
                      <w:highlight w:val="none"/>
                      <w:u w:val="none"/>
                      <w:lang w:val="zh-CN"/>
                    </w:rPr>
                  </w:pPr>
                  <w:r>
                    <w:rPr>
                      <w:rFonts w:ascii="Times New Roman" w:hAnsi="Times New Roman" w:eastAsia="宋体" w:cs="Times New Roman"/>
                      <w:b/>
                      <w:bCs w:val="0"/>
                      <w:color w:val="auto"/>
                      <w:sz w:val="21"/>
                      <w:szCs w:val="21"/>
                      <w:highlight w:val="none"/>
                      <w:u w:val="none"/>
                      <w:lang w:val="zh-CN"/>
                    </w:rPr>
                    <w:t>排放量t/a</w:t>
                  </w:r>
                </w:p>
              </w:tc>
              <w:tc>
                <w:tcPr>
                  <w:tcW w:w="716" w:type="dxa"/>
                  <w:vMerge w:val="continue"/>
                  <w:tcBorders>
                    <w:tl2br w:val="nil"/>
                    <w:tr2bl w:val="nil"/>
                  </w:tcBorders>
                  <w:vAlign w:val="center"/>
                </w:tcPr>
                <w:p w14:paraId="00062143">
                  <w:pPr>
                    <w:keepNext w:val="0"/>
                    <w:keepLines w:val="0"/>
                    <w:pageBreakBefore w:val="0"/>
                    <w:kinsoku/>
                    <w:wordWrap/>
                    <w:overflowPunct/>
                    <w:topLinePunct w:val="0"/>
                    <w:autoSpaceDE/>
                    <w:autoSpaceDN/>
                    <w:bidi w:val="0"/>
                    <w:spacing w:line="240" w:lineRule="auto"/>
                    <w:jc w:val="center"/>
                    <w:textAlignment w:val="auto"/>
                    <w:rPr>
                      <w:rFonts w:ascii="Times New Roman" w:hAnsi="Times New Roman" w:cs="Times New Roman"/>
                      <w:color w:val="auto"/>
                      <w:sz w:val="21"/>
                      <w:szCs w:val="21"/>
                      <w:highlight w:val="none"/>
                      <w:u w:val="none"/>
                      <w:lang w:val="zh-CN"/>
                    </w:rPr>
                  </w:pPr>
                </w:p>
              </w:tc>
              <w:tc>
                <w:tcPr>
                  <w:tcW w:w="1909" w:type="dxa"/>
                  <w:vMerge w:val="continue"/>
                  <w:tcBorders>
                    <w:tl2br w:val="nil"/>
                    <w:tr2bl w:val="nil"/>
                  </w:tcBorders>
                  <w:vAlign w:val="center"/>
                </w:tcPr>
                <w:p w14:paraId="2765D0DF">
                  <w:pPr>
                    <w:keepNext w:val="0"/>
                    <w:keepLines w:val="0"/>
                    <w:pageBreakBefore w:val="0"/>
                    <w:kinsoku/>
                    <w:wordWrap/>
                    <w:overflowPunct/>
                    <w:topLinePunct w:val="0"/>
                    <w:autoSpaceDE/>
                    <w:autoSpaceDN/>
                    <w:bidi w:val="0"/>
                    <w:spacing w:line="320" w:lineRule="exact"/>
                    <w:jc w:val="center"/>
                    <w:textAlignment w:val="auto"/>
                    <w:rPr>
                      <w:rFonts w:ascii="Times New Roman" w:hAnsi="Times New Roman" w:cs="Times New Roman"/>
                      <w:color w:val="auto"/>
                      <w:sz w:val="21"/>
                      <w:szCs w:val="21"/>
                      <w:highlight w:val="none"/>
                      <w:u w:val="none"/>
                      <w:lang w:val="zh-CN"/>
                    </w:rPr>
                  </w:pPr>
                </w:p>
              </w:tc>
            </w:tr>
            <w:tr w14:paraId="2419BC5A">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578" w:hRule="atLeast"/>
              </w:trPr>
              <w:tc>
                <w:tcPr>
                  <w:tcW w:w="700" w:type="dxa"/>
                  <w:vMerge w:val="restart"/>
                  <w:tcBorders>
                    <w:tl2br w:val="nil"/>
                    <w:tr2bl w:val="nil"/>
                  </w:tcBorders>
                  <w:vAlign w:val="center"/>
                </w:tcPr>
                <w:p w14:paraId="5B1C47E7">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r>
                    <w:rPr>
                      <w:rFonts w:hint="eastAsia" w:ascii="Times New Roman" w:hAnsi="Times New Roman" w:cs="Times New Roman"/>
                      <w:color w:val="auto"/>
                      <w:sz w:val="21"/>
                      <w:szCs w:val="21"/>
                      <w:highlight w:val="none"/>
                      <w:u w:val="none"/>
                      <w:lang w:val="en-US" w:eastAsia="zh-CN"/>
                    </w:rPr>
                    <w:t>瓦斯发电</w:t>
                  </w:r>
                </w:p>
              </w:tc>
              <w:tc>
                <w:tcPr>
                  <w:tcW w:w="672" w:type="dxa"/>
                  <w:vMerge w:val="restart"/>
                  <w:tcBorders>
                    <w:tl2br w:val="nil"/>
                    <w:tr2bl w:val="nil"/>
                  </w:tcBorders>
                  <w:vAlign w:val="center"/>
                </w:tcPr>
                <w:p w14:paraId="4E4CA9C5">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r>
                    <w:rPr>
                      <w:rFonts w:hint="eastAsia" w:ascii="Times New Roman" w:hAnsi="Times New Roman" w:cs="Times New Roman"/>
                      <w:color w:val="auto"/>
                      <w:sz w:val="21"/>
                      <w:szCs w:val="21"/>
                      <w:highlight w:val="none"/>
                      <w:u w:val="none"/>
                      <w:lang w:val="en-US" w:eastAsia="zh-CN"/>
                    </w:rPr>
                    <w:t>发电机组</w:t>
                  </w:r>
                  <w:r>
                    <w:rPr>
                      <w:rFonts w:hint="eastAsia" w:cs="Times New Roman"/>
                      <w:color w:val="auto"/>
                      <w:sz w:val="21"/>
                      <w:szCs w:val="21"/>
                      <w:highlight w:val="none"/>
                      <w:u w:val="none"/>
                      <w:lang w:val="en-US" w:eastAsia="zh-CN"/>
                    </w:rPr>
                    <w:t>（本项目的1台发电机组）</w:t>
                  </w:r>
                </w:p>
              </w:tc>
              <w:tc>
                <w:tcPr>
                  <w:tcW w:w="697" w:type="dxa"/>
                  <w:vMerge w:val="restart"/>
                  <w:tcBorders>
                    <w:tl2br w:val="nil"/>
                    <w:tr2bl w:val="nil"/>
                  </w:tcBorders>
                  <w:vAlign w:val="center"/>
                </w:tcPr>
                <w:p w14:paraId="721F4630">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发电</w:t>
                  </w:r>
                </w:p>
              </w:tc>
              <w:tc>
                <w:tcPr>
                  <w:tcW w:w="895" w:type="dxa"/>
                  <w:tcBorders>
                    <w:tl2br w:val="nil"/>
                    <w:tr2bl w:val="nil"/>
                  </w:tcBorders>
                  <w:vAlign w:val="center"/>
                </w:tcPr>
                <w:p w14:paraId="04E3AE11">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r>
                    <w:rPr>
                      <w:rFonts w:hint="eastAsia" w:ascii="Times New Roman" w:hAnsi="Times New Roman" w:cs="Times New Roman"/>
                      <w:color w:val="auto"/>
                      <w:sz w:val="21"/>
                      <w:szCs w:val="21"/>
                      <w:highlight w:val="none"/>
                      <w:u w:val="none"/>
                      <w:lang w:val="en-US" w:eastAsia="zh-CN"/>
                    </w:rPr>
                    <w:t>颗粒物</w:t>
                  </w:r>
                </w:p>
              </w:tc>
              <w:tc>
                <w:tcPr>
                  <w:tcW w:w="654" w:type="dxa"/>
                  <w:vMerge w:val="restart"/>
                  <w:tcBorders>
                    <w:tl2br w:val="nil"/>
                    <w:tr2bl w:val="nil"/>
                  </w:tcBorders>
                  <w:vAlign w:val="center"/>
                </w:tcPr>
                <w:p w14:paraId="207C11FD">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r>
                    <w:rPr>
                      <w:rFonts w:hint="eastAsia" w:ascii="Times New Roman" w:hAnsi="Times New Roman" w:cs="Times New Roman"/>
                      <w:color w:val="auto"/>
                      <w:sz w:val="21"/>
                      <w:szCs w:val="21"/>
                      <w:highlight w:val="none"/>
                      <w:u w:val="none"/>
                      <w:lang w:val="en-US" w:eastAsia="zh-CN"/>
                    </w:rPr>
                    <w:t>类比</w:t>
                  </w:r>
                  <w:r>
                    <w:rPr>
                      <w:rFonts w:hint="eastAsia" w:ascii="Times New Roman" w:hAnsi="Times New Roman" w:cs="Times New Roman"/>
                      <w:color w:val="auto"/>
                      <w:sz w:val="21"/>
                      <w:szCs w:val="21"/>
                      <w:highlight w:val="none"/>
                      <w:u w:val="none"/>
                      <w:lang w:eastAsia="zh-CN"/>
                    </w:rPr>
                    <w:t>法</w:t>
                  </w:r>
                </w:p>
              </w:tc>
              <w:tc>
                <w:tcPr>
                  <w:tcW w:w="709" w:type="dxa"/>
                  <w:tcBorders>
                    <w:tl2br w:val="nil"/>
                    <w:tr2bl w:val="nil"/>
                  </w:tcBorders>
                  <w:vAlign w:val="center"/>
                </w:tcPr>
                <w:p w14:paraId="0BFC9D9C">
                  <w:pPr>
                    <w:spacing w:line="240" w:lineRule="auto"/>
                    <w:jc w:val="center"/>
                    <w:rPr>
                      <w:rFonts w:hint="eastAsia" w:ascii="Times New Roman" w:hAnsi="Times New Roman" w:cs="Times New Roman"/>
                      <w:color w:val="auto"/>
                      <w:kern w:val="0"/>
                      <w:sz w:val="21"/>
                      <w:szCs w:val="21"/>
                      <w:highlight w:val="none"/>
                      <w:u w:val="none"/>
                      <w:lang w:val="en-US" w:eastAsia="zh-CN" w:bidi="ar-SA"/>
                    </w:rPr>
                  </w:pPr>
                  <w:r>
                    <w:rPr>
                      <w:rFonts w:hint="eastAsia" w:ascii="Times New Roman" w:hAnsi="Times New Roman" w:cs="Times New Roman"/>
                      <w:color w:val="auto"/>
                      <w:kern w:val="0"/>
                      <w:sz w:val="21"/>
                      <w:szCs w:val="21"/>
                      <w:highlight w:val="none"/>
                      <w:u w:val="none"/>
                      <w:lang w:val="en-US" w:eastAsia="zh-CN" w:bidi="ar-SA"/>
                    </w:rPr>
                    <w:t>/</w:t>
                  </w:r>
                </w:p>
              </w:tc>
              <w:tc>
                <w:tcPr>
                  <w:tcW w:w="842" w:type="dxa"/>
                  <w:tcBorders>
                    <w:tl2br w:val="nil"/>
                    <w:tr2bl w:val="nil"/>
                  </w:tcBorders>
                  <w:shd w:val="clear" w:color="auto" w:fill="auto"/>
                  <w:vAlign w:val="center"/>
                </w:tcPr>
                <w:p w14:paraId="083579A8">
                  <w:pPr>
                    <w:spacing w:line="240" w:lineRule="auto"/>
                    <w:jc w:val="center"/>
                    <w:rPr>
                      <w:rFonts w:hint="eastAsia" w:ascii="Times New Roman" w:hAnsi="Times New Roman" w:eastAsia="宋体" w:cs="Times New Roman"/>
                      <w:color w:val="auto"/>
                      <w:kern w:val="0"/>
                      <w:sz w:val="21"/>
                      <w:szCs w:val="21"/>
                      <w:highlight w:val="none"/>
                      <w:u w:val="none"/>
                      <w:lang w:val="en-US" w:eastAsia="zh-CN" w:bidi="ar-SA"/>
                    </w:rPr>
                  </w:pPr>
                  <w:r>
                    <w:rPr>
                      <w:rFonts w:hint="eastAsia" w:cs="Times New Roman"/>
                      <w:color w:val="auto"/>
                      <w:kern w:val="0"/>
                      <w:sz w:val="21"/>
                      <w:szCs w:val="21"/>
                      <w:highlight w:val="none"/>
                      <w:u w:val="none"/>
                      <w:lang w:val="en-US" w:eastAsia="zh-CN" w:bidi="ar-SA"/>
                    </w:rPr>
                    <w:t>0.0518</w:t>
                  </w:r>
                </w:p>
              </w:tc>
              <w:tc>
                <w:tcPr>
                  <w:tcW w:w="918" w:type="dxa"/>
                  <w:tcBorders>
                    <w:tl2br w:val="nil"/>
                    <w:tr2bl w:val="nil"/>
                  </w:tcBorders>
                  <w:vAlign w:val="center"/>
                </w:tcPr>
                <w:p w14:paraId="25FF884E">
                  <w:pPr>
                    <w:keepNext w:val="0"/>
                    <w:keepLines w:val="0"/>
                    <w:pageBreakBefore w:val="0"/>
                    <w:kinsoku/>
                    <w:wordWrap/>
                    <w:overflowPunct/>
                    <w:topLinePunct w:val="0"/>
                    <w:autoSpaceDE/>
                    <w:autoSpaceDN/>
                    <w:bidi w:val="0"/>
                    <w:spacing w:line="240" w:lineRule="auto"/>
                    <w:jc w:val="center"/>
                    <w:textAlignment w:val="auto"/>
                    <w:rPr>
                      <w:rFonts w:ascii="Times New Roman" w:hAnsi="Times New Roman" w:cs="Times New Roman"/>
                      <w:color w:val="auto"/>
                      <w:sz w:val="21"/>
                      <w:szCs w:val="21"/>
                      <w:highlight w:val="none"/>
                      <w:u w:val="none"/>
                    </w:rPr>
                  </w:pPr>
                  <w:r>
                    <w:rPr>
                      <w:rFonts w:ascii="Times New Roman" w:hAnsi="Times New Roman" w:cs="Times New Roman"/>
                      <w:color w:val="auto"/>
                      <w:sz w:val="21"/>
                      <w:szCs w:val="21"/>
                      <w:highlight w:val="none"/>
                      <w:u w:val="none"/>
                    </w:rPr>
                    <w:t>有组织</w:t>
                  </w:r>
                </w:p>
              </w:tc>
              <w:tc>
                <w:tcPr>
                  <w:tcW w:w="2167" w:type="dxa"/>
                  <w:tcBorders>
                    <w:tl2br w:val="nil"/>
                    <w:tr2bl w:val="nil"/>
                  </w:tcBorders>
                  <w:vAlign w:val="center"/>
                </w:tcPr>
                <w:p w14:paraId="33D3DFB5">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稀薄燃烧控制技术+15m高排气筒排放</w:t>
                  </w:r>
                </w:p>
              </w:tc>
              <w:tc>
                <w:tcPr>
                  <w:tcW w:w="752" w:type="dxa"/>
                  <w:tcBorders>
                    <w:tl2br w:val="nil"/>
                    <w:tr2bl w:val="nil"/>
                  </w:tcBorders>
                  <w:vAlign w:val="center"/>
                </w:tcPr>
                <w:p w14:paraId="79532287">
                  <w:pPr>
                    <w:keepNext w:val="0"/>
                    <w:keepLines w:val="0"/>
                    <w:pageBreakBefore w:val="0"/>
                    <w:kinsoku/>
                    <w:wordWrap/>
                    <w:overflowPunct/>
                    <w:topLinePunct w:val="0"/>
                    <w:autoSpaceDE/>
                    <w:autoSpaceDN/>
                    <w:bidi w:val="0"/>
                    <w:spacing w:line="240" w:lineRule="auto"/>
                    <w:jc w:val="center"/>
                    <w:textAlignment w:val="auto"/>
                    <w:rPr>
                      <w:rFonts w:ascii="Times New Roman" w:hAnsi="Times New Roman" w:cs="Times New Roman"/>
                      <w:color w:val="auto"/>
                      <w:sz w:val="21"/>
                      <w:szCs w:val="21"/>
                      <w:highlight w:val="none"/>
                      <w:u w:val="none"/>
                      <w:lang w:val="zh-CN"/>
                    </w:rPr>
                  </w:pPr>
                  <w:r>
                    <w:rPr>
                      <w:rFonts w:ascii="Times New Roman" w:hAnsi="Times New Roman" w:cs="Times New Roman"/>
                      <w:color w:val="auto"/>
                      <w:sz w:val="21"/>
                      <w:szCs w:val="21"/>
                      <w:highlight w:val="none"/>
                      <w:u w:val="none"/>
                      <w:lang w:val="zh-CN"/>
                    </w:rPr>
                    <w:t>可行</w:t>
                  </w:r>
                </w:p>
              </w:tc>
              <w:tc>
                <w:tcPr>
                  <w:tcW w:w="833" w:type="dxa"/>
                  <w:tcBorders>
                    <w:tl2br w:val="nil"/>
                    <w:tr2bl w:val="nil"/>
                  </w:tcBorders>
                  <w:shd w:val="clear" w:color="auto" w:fill="auto"/>
                  <w:vAlign w:val="center"/>
                </w:tcPr>
                <w:p w14:paraId="716E7767">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cs="Times New Roman"/>
                      <w:color w:val="auto"/>
                      <w:kern w:val="0"/>
                      <w:sz w:val="21"/>
                      <w:szCs w:val="21"/>
                      <w:highlight w:val="none"/>
                      <w:u w:val="none"/>
                      <w:lang w:val="en-US" w:eastAsia="zh-CN" w:bidi="ar-SA"/>
                    </w:rPr>
                    <w:t>9.0</w:t>
                  </w:r>
                </w:p>
              </w:tc>
              <w:tc>
                <w:tcPr>
                  <w:tcW w:w="808" w:type="dxa"/>
                  <w:tcBorders>
                    <w:tl2br w:val="nil"/>
                    <w:tr2bl w:val="nil"/>
                  </w:tcBorders>
                  <w:vAlign w:val="center"/>
                </w:tcPr>
                <w:p w14:paraId="0DAAC1BA">
                  <w:pPr>
                    <w:spacing w:line="240" w:lineRule="auto"/>
                    <w:jc w:val="center"/>
                    <w:rPr>
                      <w:rFonts w:hint="default" w:cs="Times New Roman"/>
                      <w:color w:val="auto"/>
                      <w:kern w:val="0"/>
                      <w:sz w:val="21"/>
                      <w:szCs w:val="21"/>
                      <w:highlight w:val="none"/>
                      <w:u w:val="none"/>
                      <w:lang w:val="en-US" w:eastAsia="zh-CN" w:bidi="ar-SA"/>
                    </w:rPr>
                  </w:pPr>
                  <w:r>
                    <w:rPr>
                      <w:rFonts w:hint="eastAsia" w:cs="Times New Roman"/>
                      <w:color w:val="auto"/>
                      <w:kern w:val="0"/>
                      <w:sz w:val="21"/>
                      <w:szCs w:val="21"/>
                      <w:highlight w:val="none"/>
                      <w:u w:val="none"/>
                      <w:lang w:val="en-US" w:eastAsia="zh-CN" w:bidi="ar-SA"/>
                    </w:rPr>
                    <w:t>0.006</w:t>
                  </w:r>
                </w:p>
              </w:tc>
              <w:tc>
                <w:tcPr>
                  <w:tcW w:w="822" w:type="dxa"/>
                  <w:tcBorders>
                    <w:tl2br w:val="nil"/>
                    <w:tr2bl w:val="nil"/>
                  </w:tcBorders>
                  <w:vAlign w:val="center"/>
                </w:tcPr>
                <w:p w14:paraId="632F102B">
                  <w:pPr>
                    <w:spacing w:line="240" w:lineRule="auto"/>
                    <w:jc w:val="center"/>
                    <w:rPr>
                      <w:rFonts w:hint="default" w:cs="Times New Roman"/>
                      <w:color w:val="auto"/>
                      <w:kern w:val="0"/>
                      <w:sz w:val="21"/>
                      <w:szCs w:val="21"/>
                      <w:highlight w:val="none"/>
                      <w:u w:val="none"/>
                      <w:lang w:val="en-US" w:eastAsia="zh-CN" w:bidi="ar-SA"/>
                    </w:rPr>
                  </w:pPr>
                  <w:r>
                    <w:rPr>
                      <w:rFonts w:hint="eastAsia" w:cs="Times New Roman"/>
                      <w:color w:val="auto"/>
                      <w:kern w:val="0"/>
                      <w:sz w:val="21"/>
                      <w:szCs w:val="21"/>
                      <w:highlight w:val="none"/>
                      <w:u w:val="none"/>
                      <w:lang w:val="en-US" w:eastAsia="zh-CN" w:bidi="ar-SA"/>
                    </w:rPr>
                    <w:t>0.0518</w:t>
                  </w:r>
                </w:p>
              </w:tc>
              <w:tc>
                <w:tcPr>
                  <w:tcW w:w="716" w:type="dxa"/>
                  <w:tcBorders>
                    <w:tl2br w:val="nil"/>
                    <w:tr2bl w:val="nil"/>
                  </w:tcBorders>
                  <w:vAlign w:val="center"/>
                </w:tcPr>
                <w:p w14:paraId="3BCE67B9">
                  <w:pPr>
                    <w:keepNext w:val="0"/>
                    <w:keepLines w:val="0"/>
                    <w:pageBreakBefore w:val="0"/>
                    <w:kinsoku/>
                    <w:wordWrap/>
                    <w:overflowPunct/>
                    <w:topLinePunct w:val="0"/>
                    <w:autoSpaceDE/>
                    <w:autoSpaceDN/>
                    <w:bidi w:val="0"/>
                    <w:snapToGrid/>
                    <w:spacing w:before="0" w:after="0" w:line="240" w:lineRule="auto"/>
                    <w:ind w:right="0" w:rightChars="0" w:firstLine="0" w:firstLineChars="0"/>
                    <w:jc w:val="center"/>
                    <w:textAlignment w:val="auto"/>
                    <w:rPr>
                      <w:rFonts w:hint="eastAsia" w:ascii="Times New Roman" w:hAnsi="Times New Roman"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8640</w:t>
                  </w:r>
                </w:p>
              </w:tc>
              <w:tc>
                <w:tcPr>
                  <w:tcW w:w="1909" w:type="dxa"/>
                  <w:vMerge w:val="restart"/>
                  <w:tcBorders>
                    <w:tl2br w:val="nil"/>
                    <w:tr2bl w:val="nil"/>
                  </w:tcBorders>
                  <w:vAlign w:val="center"/>
                </w:tcPr>
                <w:p w14:paraId="49F0B578">
                  <w:pPr>
                    <w:pStyle w:val="98"/>
                    <w:keepNext w:val="0"/>
                    <w:keepLines w:val="0"/>
                    <w:pageBreakBefore w:val="0"/>
                    <w:widowControl w:val="0"/>
                    <w:kinsoku/>
                    <w:wordWrap w:val="0"/>
                    <w:overflowPunct/>
                    <w:topLinePunct w:val="0"/>
                    <w:autoSpaceDE/>
                    <w:autoSpaceDN/>
                    <w:bidi w:val="0"/>
                    <w:adjustRightInd/>
                    <w:snapToGrid/>
                    <w:spacing w:line="276" w:lineRule="auto"/>
                    <w:ind w:firstLine="0" w:firstLineChars="0"/>
                    <w:jc w:val="center"/>
                    <w:textAlignment w:val="auto"/>
                    <w:rPr>
                      <w:rFonts w:ascii="Times New Roman" w:hAnsi="Times New Roman" w:cs="Times New Roman"/>
                      <w:color w:val="auto"/>
                      <w:sz w:val="21"/>
                      <w:szCs w:val="21"/>
                      <w:highlight w:val="none"/>
                      <w:u w:val="none"/>
                    </w:rPr>
                  </w:pPr>
                  <w:r>
                    <w:rPr>
                      <w:rFonts w:hint="eastAsia" w:ascii="Times New Roman" w:hAnsi="Times New Roman" w:eastAsia="宋体" w:cs="Times New Roman"/>
                      <w:color w:val="auto"/>
                      <w:sz w:val="21"/>
                      <w:szCs w:val="21"/>
                      <w:highlight w:val="none"/>
                      <w:u w:val="none"/>
                      <w:lang w:val="en-US" w:eastAsia="zh-CN"/>
                    </w:rPr>
                    <w:t>《重型柴油车污染物排放限值及测量方法（中国第六阶段）》GB 17691-2018</w:t>
                  </w:r>
                  <w:r>
                    <w:rPr>
                      <w:rFonts w:hint="eastAsia"/>
                      <w:highlight w:val="none"/>
                      <w:u w:val="none"/>
                      <w:lang w:eastAsia="zh-CN"/>
                    </w:rPr>
                    <w:t>（</w:t>
                  </w:r>
                  <w:r>
                    <w:rPr>
                      <w:rFonts w:hint="eastAsia" w:ascii="Times New Roman" w:hAnsi="Times New Roman" w:eastAsia="宋体" w:cs="Times New Roman"/>
                      <w:color w:val="auto"/>
                      <w:sz w:val="21"/>
                      <w:szCs w:val="21"/>
                      <w:highlight w:val="none"/>
                      <w:u w:val="none"/>
                      <w:lang w:val="en-US" w:eastAsia="zh-CN"/>
                    </w:rPr>
                    <w:t>颗粒物</w:t>
                  </w:r>
                  <w:r>
                    <w:rPr>
                      <w:rFonts w:hint="eastAsia" w:ascii="Times New Roman" w:hAnsi="Times New Roman" w:cs="Times New Roman"/>
                      <w:color w:val="auto"/>
                      <w:sz w:val="21"/>
                      <w:szCs w:val="21"/>
                      <w:highlight w:val="none"/>
                      <w:u w:val="none"/>
                      <w:lang w:val="en-US" w:eastAsia="zh-CN"/>
                    </w:rPr>
                    <w:t>：</w:t>
                  </w:r>
                  <w:r>
                    <w:rPr>
                      <w:rFonts w:hint="eastAsia" w:ascii="Times New Roman" w:hAnsi="Times New Roman" w:eastAsia="宋体" w:cs="Times New Roman"/>
                      <w:color w:val="auto"/>
                      <w:sz w:val="21"/>
                      <w:szCs w:val="21"/>
                      <w:highlight w:val="none"/>
                      <w:u w:val="none"/>
                      <w:lang w:val="en-US" w:eastAsia="zh-CN"/>
                    </w:rPr>
                    <w:t>16mg/kwh</w:t>
                  </w:r>
                  <w:r>
                    <w:rPr>
                      <w:rFonts w:hint="eastAsia" w:ascii="Times New Roman" w:hAnsi="Times New Roman" w:cs="Times New Roman"/>
                      <w:color w:val="auto"/>
                      <w:sz w:val="21"/>
                      <w:szCs w:val="21"/>
                      <w:highlight w:val="none"/>
                      <w:u w:val="none"/>
                      <w:lang w:val="en-US" w:eastAsia="zh-CN"/>
                    </w:rPr>
                    <w:t>、</w:t>
                  </w:r>
                  <w:r>
                    <w:rPr>
                      <w:rFonts w:hint="eastAsia" w:ascii="Times New Roman" w:hAnsi="Times New Roman" w:eastAsia="宋体" w:cs="Times New Roman"/>
                      <w:color w:val="auto"/>
                      <w:sz w:val="21"/>
                      <w:szCs w:val="21"/>
                      <w:highlight w:val="none"/>
                      <w:u w:val="none"/>
                      <w:lang w:val="en-US" w:eastAsia="zh-CN"/>
                    </w:rPr>
                    <w:t>一氧化碳2000mg/kwh</w:t>
                  </w:r>
                  <w:r>
                    <w:rPr>
                      <w:rFonts w:hint="eastAsia" w:ascii="Times New Roman" w:hAnsi="Times New Roman" w:cs="Times New Roman"/>
                      <w:color w:val="auto"/>
                      <w:sz w:val="21"/>
                      <w:szCs w:val="21"/>
                      <w:highlight w:val="none"/>
                      <w:u w:val="none"/>
                      <w:lang w:val="en-US" w:eastAsia="zh-CN"/>
                    </w:rPr>
                    <w:t>、</w:t>
                  </w:r>
                  <w:r>
                    <w:rPr>
                      <w:rFonts w:hint="eastAsia" w:ascii="Times New Roman" w:hAnsi="Times New Roman" w:eastAsia="宋体" w:cs="Times New Roman"/>
                      <w:color w:val="auto"/>
                      <w:sz w:val="21"/>
                      <w:szCs w:val="21"/>
                      <w:highlight w:val="none"/>
                      <w:u w:val="none"/>
                      <w:lang w:val="en-US" w:eastAsia="zh-CN"/>
                    </w:rPr>
                    <w:t>氮氧化物600mg/kwh</w:t>
                  </w:r>
                  <w:r>
                    <w:rPr>
                      <w:rFonts w:hint="eastAsia" w:ascii="Times New Roman" w:hAnsi="Times New Roman" w:cs="Times New Roman"/>
                      <w:color w:val="auto"/>
                      <w:sz w:val="21"/>
                      <w:szCs w:val="21"/>
                      <w:highlight w:val="none"/>
                      <w:u w:val="none"/>
                      <w:lang w:val="en-US" w:eastAsia="zh-CN"/>
                    </w:rPr>
                    <w:t>、</w:t>
                  </w:r>
                  <w:r>
                    <w:rPr>
                      <w:rFonts w:hint="eastAsia" w:ascii="Times New Roman" w:hAnsi="Times New Roman" w:eastAsia="宋体" w:cs="Times New Roman"/>
                      <w:color w:val="auto"/>
                      <w:sz w:val="21"/>
                      <w:szCs w:val="21"/>
                      <w:highlight w:val="none"/>
                      <w:u w:val="none"/>
                      <w:lang w:val="en-US" w:eastAsia="zh-CN"/>
                    </w:rPr>
                    <w:t>NMHC160mg/kwh</w:t>
                  </w:r>
                  <w:r>
                    <w:rPr>
                      <w:rFonts w:hint="eastAsia"/>
                      <w:highlight w:val="none"/>
                      <w:u w:val="none"/>
                      <w:lang w:eastAsia="zh-CN"/>
                    </w:rPr>
                    <w:t>）</w:t>
                  </w:r>
                </w:p>
              </w:tc>
            </w:tr>
            <w:tr w14:paraId="396C3BCE">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578" w:hRule="atLeast"/>
              </w:trPr>
              <w:tc>
                <w:tcPr>
                  <w:tcW w:w="700" w:type="dxa"/>
                  <w:vMerge w:val="continue"/>
                  <w:tcBorders>
                    <w:tl2br w:val="nil"/>
                    <w:tr2bl w:val="nil"/>
                  </w:tcBorders>
                  <w:vAlign w:val="center"/>
                </w:tcPr>
                <w:p w14:paraId="0A043DC4">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p>
              </w:tc>
              <w:tc>
                <w:tcPr>
                  <w:tcW w:w="672" w:type="dxa"/>
                  <w:vMerge w:val="continue"/>
                  <w:tcBorders>
                    <w:tl2br w:val="nil"/>
                    <w:tr2bl w:val="nil"/>
                  </w:tcBorders>
                  <w:vAlign w:val="center"/>
                </w:tcPr>
                <w:p w14:paraId="7C9DBE65">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p>
              </w:tc>
              <w:tc>
                <w:tcPr>
                  <w:tcW w:w="697" w:type="dxa"/>
                  <w:vMerge w:val="continue"/>
                  <w:tcBorders>
                    <w:tl2br w:val="nil"/>
                    <w:tr2bl w:val="nil"/>
                  </w:tcBorders>
                  <w:vAlign w:val="center"/>
                </w:tcPr>
                <w:p w14:paraId="56C7E341">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p>
              </w:tc>
              <w:tc>
                <w:tcPr>
                  <w:tcW w:w="895" w:type="dxa"/>
                  <w:tcBorders>
                    <w:tl2br w:val="nil"/>
                    <w:tr2bl w:val="nil"/>
                  </w:tcBorders>
                  <w:vAlign w:val="center"/>
                </w:tcPr>
                <w:p w14:paraId="349FF18B">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r>
                    <w:rPr>
                      <w:rFonts w:hint="eastAsia" w:ascii="Times New Roman" w:hAnsi="Times New Roman" w:cs="Times New Roman"/>
                      <w:color w:val="auto"/>
                      <w:sz w:val="21"/>
                      <w:szCs w:val="21"/>
                      <w:highlight w:val="none"/>
                      <w:u w:val="none"/>
                      <w:lang w:val="en-US" w:eastAsia="zh-CN"/>
                    </w:rPr>
                    <w:t>NO</w:t>
                  </w:r>
                  <w:r>
                    <w:rPr>
                      <w:rFonts w:hint="eastAsia" w:ascii="Times New Roman" w:hAnsi="Times New Roman" w:cs="Times New Roman"/>
                      <w:color w:val="auto"/>
                      <w:sz w:val="21"/>
                      <w:szCs w:val="21"/>
                      <w:highlight w:val="none"/>
                      <w:u w:val="none"/>
                      <w:vertAlign w:val="baseline"/>
                      <w:lang w:val="en-US" w:eastAsia="zh-CN"/>
                    </w:rPr>
                    <w:t>x</w:t>
                  </w:r>
                </w:p>
              </w:tc>
              <w:tc>
                <w:tcPr>
                  <w:tcW w:w="654" w:type="dxa"/>
                  <w:vMerge w:val="continue"/>
                  <w:tcBorders>
                    <w:tl2br w:val="nil"/>
                    <w:tr2bl w:val="nil"/>
                  </w:tcBorders>
                  <w:vAlign w:val="center"/>
                </w:tcPr>
                <w:p w14:paraId="29E84B4A">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p>
              </w:tc>
              <w:tc>
                <w:tcPr>
                  <w:tcW w:w="709" w:type="dxa"/>
                  <w:tcBorders>
                    <w:tl2br w:val="nil"/>
                    <w:tr2bl w:val="nil"/>
                  </w:tcBorders>
                  <w:vAlign w:val="center"/>
                </w:tcPr>
                <w:p w14:paraId="107B1B2A">
                  <w:pPr>
                    <w:spacing w:line="240" w:lineRule="auto"/>
                    <w:jc w:val="center"/>
                    <w:rPr>
                      <w:rFonts w:hint="eastAsia" w:ascii="Times New Roman" w:hAnsi="Times New Roman" w:cs="Times New Roman"/>
                      <w:color w:val="auto"/>
                      <w:kern w:val="0"/>
                      <w:sz w:val="21"/>
                      <w:szCs w:val="21"/>
                      <w:highlight w:val="none"/>
                      <w:u w:val="none"/>
                      <w:lang w:val="en-US" w:eastAsia="zh-CN" w:bidi="ar-SA"/>
                    </w:rPr>
                  </w:pPr>
                  <w:r>
                    <w:rPr>
                      <w:rFonts w:hint="eastAsia" w:ascii="Times New Roman" w:hAnsi="Times New Roman" w:cs="Times New Roman"/>
                      <w:color w:val="auto"/>
                      <w:kern w:val="0"/>
                      <w:sz w:val="21"/>
                      <w:szCs w:val="21"/>
                      <w:highlight w:val="none"/>
                      <w:u w:val="none"/>
                      <w:lang w:val="en-US" w:eastAsia="zh-CN" w:bidi="ar-SA"/>
                    </w:rPr>
                    <w:t>/</w:t>
                  </w:r>
                </w:p>
              </w:tc>
              <w:tc>
                <w:tcPr>
                  <w:tcW w:w="842" w:type="dxa"/>
                  <w:tcBorders>
                    <w:tl2br w:val="nil"/>
                    <w:tr2bl w:val="nil"/>
                  </w:tcBorders>
                  <w:shd w:val="clear" w:color="auto" w:fill="auto"/>
                  <w:vAlign w:val="center"/>
                </w:tcPr>
                <w:p w14:paraId="7E6B1E98">
                  <w:pPr>
                    <w:spacing w:line="240" w:lineRule="auto"/>
                    <w:jc w:val="center"/>
                    <w:rPr>
                      <w:rFonts w:hint="eastAsia" w:ascii="Times New Roman" w:hAnsi="Times New Roman" w:eastAsia="宋体" w:cs="Times New Roman"/>
                      <w:color w:val="auto"/>
                      <w:kern w:val="0"/>
                      <w:sz w:val="21"/>
                      <w:szCs w:val="21"/>
                      <w:highlight w:val="none"/>
                      <w:u w:val="none"/>
                      <w:lang w:val="en-US" w:eastAsia="zh-CN" w:bidi="ar-SA"/>
                    </w:rPr>
                  </w:pPr>
                  <w:r>
                    <w:rPr>
                      <w:rFonts w:hint="eastAsia" w:cs="Times New Roman"/>
                      <w:color w:val="auto"/>
                      <w:kern w:val="0"/>
                      <w:sz w:val="21"/>
                      <w:szCs w:val="21"/>
                      <w:highlight w:val="none"/>
                      <w:u w:val="none"/>
                      <w:lang w:val="en-US" w:eastAsia="zh-CN" w:bidi="ar-SA"/>
                    </w:rPr>
                    <w:t>2.0725</w:t>
                  </w:r>
                </w:p>
              </w:tc>
              <w:tc>
                <w:tcPr>
                  <w:tcW w:w="918" w:type="dxa"/>
                  <w:tcBorders>
                    <w:tl2br w:val="nil"/>
                    <w:tr2bl w:val="nil"/>
                  </w:tcBorders>
                  <w:vAlign w:val="center"/>
                </w:tcPr>
                <w:p w14:paraId="6ADE218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1"/>
                      <w:szCs w:val="21"/>
                      <w:highlight w:val="none"/>
                      <w:u w:val="none"/>
                    </w:rPr>
                  </w:pPr>
                  <w:r>
                    <w:rPr>
                      <w:rFonts w:ascii="Times New Roman" w:hAnsi="Times New Roman" w:cs="Times New Roman"/>
                      <w:color w:val="auto"/>
                      <w:sz w:val="21"/>
                      <w:szCs w:val="21"/>
                      <w:highlight w:val="none"/>
                      <w:u w:val="none"/>
                    </w:rPr>
                    <w:t>有组织</w:t>
                  </w:r>
                </w:p>
              </w:tc>
              <w:tc>
                <w:tcPr>
                  <w:tcW w:w="2167" w:type="dxa"/>
                  <w:tcBorders>
                    <w:tl2br w:val="nil"/>
                    <w:tr2bl w:val="nil"/>
                  </w:tcBorders>
                  <w:vAlign w:val="center"/>
                </w:tcPr>
                <w:p w14:paraId="4BBFCA0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稀薄燃烧控制技术+15m高排气筒排放</w:t>
                  </w:r>
                </w:p>
              </w:tc>
              <w:tc>
                <w:tcPr>
                  <w:tcW w:w="752" w:type="dxa"/>
                  <w:tcBorders>
                    <w:tl2br w:val="nil"/>
                    <w:tr2bl w:val="nil"/>
                  </w:tcBorders>
                  <w:vAlign w:val="center"/>
                </w:tcPr>
                <w:p w14:paraId="7262FA5E">
                  <w:pPr>
                    <w:keepNext w:val="0"/>
                    <w:keepLines w:val="0"/>
                    <w:pageBreakBefore w:val="0"/>
                    <w:kinsoku/>
                    <w:wordWrap/>
                    <w:overflowPunct/>
                    <w:topLinePunct w:val="0"/>
                    <w:autoSpaceDE/>
                    <w:autoSpaceDN/>
                    <w:bidi w:val="0"/>
                    <w:spacing w:line="240" w:lineRule="auto"/>
                    <w:jc w:val="center"/>
                    <w:textAlignment w:val="auto"/>
                    <w:rPr>
                      <w:rFonts w:ascii="Times New Roman" w:hAnsi="Times New Roman" w:cs="Times New Roman"/>
                      <w:color w:val="auto"/>
                      <w:sz w:val="21"/>
                      <w:szCs w:val="21"/>
                      <w:highlight w:val="none"/>
                      <w:u w:val="none"/>
                      <w:lang w:val="zh-CN"/>
                    </w:rPr>
                  </w:pPr>
                  <w:r>
                    <w:rPr>
                      <w:rFonts w:ascii="Times New Roman" w:hAnsi="Times New Roman" w:cs="Times New Roman"/>
                      <w:color w:val="auto"/>
                      <w:sz w:val="21"/>
                      <w:szCs w:val="21"/>
                      <w:highlight w:val="none"/>
                      <w:u w:val="none"/>
                      <w:lang w:val="zh-CN"/>
                    </w:rPr>
                    <w:t>可行</w:t>
                  </w:r>
                </w:p>
              </w:tc>
              <w:tc>
                <w:tcPr>
                  <w:tcW w:w="833" w:type="dxa"/>
                  <w:tcBorders>
                    <w:tl2br w:val="nil"/>
                    <w:tr2bl w:val="nil"/>
                  </w:tcBorders>
                  <w:shd w:val="clear" w:color="auto" w:fill="auto"/>
                  <w:vAlign w:val="center"/>
                </w:tcPr>
                <w:p w14:paraId="1005ADA1">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cs="Times New Roman"/>
                      <w:color w:val="auto"/>
                      <w:kern w:val="0"/>
                      <w:sz w:val="21"/>
                      <w:szCs w:val="21"/>
                      <w:highlight w:val="none"/>
                      <w:u w:val="none"/>
                      <w:lang w:val="en-US" w:eastAsia="zh-CN" w:bidi="ar-SA"/>
                    </w:rPr>
                    <w:t>360</w:t>
                  </w:r>
                </w:p>
              </w:tc>
              <w:tc>
                <w:tcPr>
                  <w:tcW w:w="808" w:type="dxa"/>
                  <w:tcBorders>
                    <w:tl2br w:val="nil"/>
                    <w:tr2bl w:val="nil"/>
                  </w:tcBorders>
                  <w:vAlign w:val="center"/>
                </w:tcPr>
                <w:p w14:paraId="231668C1">
                  <w:pPr>
                    <w:spacing w:line="240" w:lineRule="auto"/>
                    <w:jc w:val="center"/>
                    <w:rPr>
                      <w:rFonts w:hint="default" w:cs="Times New Roman"/>
                      <w:color w:val="auto"/>
                      <w:kern w:val="0"/>
                      <w:sz w:val="21"/>
                      <w:szCs w:val="21"/>
                      <w:highlight w:val="none"/>
                      <w:u w:val="none"/>
                      <w:lang w:val="en-US" w:eastAsia="zh-CN" w:bidi="ar-SA"/>
                    </w:rPr>
                  </w:pPr>
                  <w:r>
                    <w:rPr>
                      <w:rFonts w:hint="eastAsia" w:cs="Times New Roman"/>
                      <w:color w:val="auto"/>
                      <w:kern w:val="0"/>
                      <w:sz w:val="21"/>
                      <w:szCs w:val="21"/>
                      <w:highlight w:val="none"/>
                      <w:u w:val="none"/>
                      <w:lang w:val="en-US" w:eastAsia="zh-CN" w:bidi="ar-SA"/>
                    </w:rPr>
                    <w:t>0.24</w:t>
                  </w:r>
                </w:p>
              </w:tc>
              <w:tc>
                <w:tcPr>
                  <w:tcW w:w="822" w:type="dxa"/>
                  <w:tcBorders>
                    <w:tl2br w:val="nil"/>
                    <w:tr2bl w:val="nil"/>
                  </w:tcBorders>
                  <w:vAlign w:val="center"/>
                </w:tcPr>
                <w:p w14:paraId="35AF184E">
                  <w:pPr>
                    <w:spacing w:line="240" w:lineRule="auto"/>
                    <w:jc w:val="center"/>
                    <w:rPr>
                      <w:rFonts w:hint="default" w:cs="Times New Roman"/>
                      <w:color w:val="auto"/>
                      <w:kern w:val="0"/>
                      <w:sz w:val="21"/>
                      <w:szCs w:val="21"/>
                      <w:highlight w:val="none"/>
                      <w:u w:val="none"/>
                      <w:lang w:val="en-US" w:eastAsia="zh-CN" w:bidi="ar-SA"/>
                    </w:rPr>
                  </w:pPr>
                  <w:r>
                    <w:rPr>
                      <w:rFonts w:hint="eastAsia" w:cs="Times New Roman"/>
                      <w:color w:val="auto"/>
                      <w:kern w:val="0"/>
                      <w:sz w:val="21"/>
                      <w:szCs w:val="21"/>
                      <w:highlight w:val="none"/>
                      <w:u w:val="none"/>
                      <w:lang w:val="en-US" w:eastAsia="zh-CN" w:bidi="ar-SA"/>
                    </w:rPr>
                    <w:t>2.0725</w:t>
                  </w:r>
                </w:p>
              </w:tc>
              <w:tc>
                <w:tcPr>
                  <w:tcW w:w="716" w:type="dxa"/>
                  <w:tcBorders>
                    <w:tl2br w:val="nil"/>
                    <w:tr2bl w:val="nil"/>
                  </w:tcBorders>
                  <w:vAlign w:val="center"/>
                </w:tcPr>
                <w:p w14:paraId="19382D81">
                  <w:pPr>
                    <w:keepNext w:val="0"/>
                    <w:keepLines w:val="0"/>
                    <w:pageBreakBefore w:val="0"/>
                    <w:kinsoku/>
                    <w:wordWrap/>
                    <w:overflowPunct/>
                    <w:topLinePunct w:val="0"/>
                    <w:autoSpaceDE/>
                    <w:autoSpaceDN/>
                    <w:bidi w:val="0"/>
                    <w:snapToGrid/>
                    <w:spacing w:before="0" w:after="0" w:line="240" w:lineRule="auto"/>
                    <w:ind w:right="0" w:rightChars="0" w:firstLine="0" w:firstLineChars="0"/>
                    <w:jc w:val="center"/>
                    <w:textAlignment w:val="auto"/>
                    <w:rPr>
                      <w:rFonts w:hint="eastAsia" w:ascii="Times New Roman" w:hAnsi="Times New Roman"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8640</w:t>
                  </w:r>
                </w:p>
              </w:tc>
              <w:tc>
                <w:tcPr>
                  <w:tcW w:w="1909" w:type="dxa"/>
                  <w:vMerge w:val="continue"/>
                  <w:tcBorders>
                    <w:tl2br w:val="nil"/>
                    <w:tr2bl w:val="nil"/>
                  </w:tcBorders>
                  <w:vAlign w:val="center"/>
                </w:tcPr>
                <w:p w14:paraId="01AB5EC0">
                  <w:pPr>
                    <w:keepNext w:val="0"/>
                    <w:keepLines w:val="0"/>
                    <w:pageBreakBefore w:val="0"/>
                    <w:kinsoku/>
                    <w:wordWrap/>
                    <w:overflowPunct/>
                    <w:topLinePunct w:val="0"/>
                    <w:autoSpaceDE/>
                    <w:autoSpaceDN/>
                    <w:bidi w:val="0"/>
                    <w:spacing w:line="320" w:lineRule="exact"/>
                    <w:jc w:val="center"/>
                    <w:textAlignment w:val="auto"/>
                    <w:rPr>
                      <w:rFonts w:hint="eastAsia" w:ascii="Times New Roman" w:hAnsi="Times New Roman" w:eastAsia="宋体" w:cs="Times New Roman"/>
                      <w:color w:val="auto"/>
                      <w:sz w:val="21"/>
                      <w:szCs w:val="21"/>
                      <w:highlight w:val="none"/>
                      <w:u w:val="none"/>
                      <w:lang w:val="en-US" w:eastAsia="zh-CN"/>
                    </w:rPr>
                  </w:pPr>
                </w:p>
              </w:tc>
            </w:tr>
            <w:tr w14:paraId="0D542A5F">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578" w:hRule="atLeast"/>
              </w:trPr>
              <w:tc>
                <w:tcPr>
                  <w:tcW w:w="700" w:type="dxa"/>
                  <w:vMerge w:val="continue"/>
                  <w:tcBorders>
                    <w:tl2br w:val="nil"/>
                    <w:tr2bl w:val="nil"/>
                  </w:tcBorders>
                  <w:vAlign w:val="center"/>
                </w:tcPr>
                <w:p w14:paraId="0E7ABB97">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p>
              </w:tc>
              <w:tc>
                <w:tcPr>
                  <w:tcW w:w="672" w:type="dxa"/>
                  <w:vMerge w:val="continue"/>
                  <w:tcBorders>
                    <w:tl2br w:val="nil"/>
                    <w:tr2bl w:val="nil"/>
                  </w:tcBorders>
                  <w:vAlign w:val="center"/>
                </w:tcPr>
                <w:p w14:paraId="028126B3">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p>
              </w:tc>
              <w:tc>
                <w:tcPr>
                  <w:tcW w:w="697" w:type="dxa"/>
                  <w:vMerge w:val="continue"/>
                  <w:tcBorders>
                    <w:tl2br w:val="nil"/>
                    <w:tr2bl w:val="nil"/>
                  </w:tcBorders>
                  <w:vAlign w:val="center"/>
                </w:tcPr>
                <w:p w14:paraId="5EB878AF">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p>
              </w:tc>
              <w:tc>
                <w:tcPr>
                  <w:tcW w:w="895" w:type="dxa"/>
                  <w:tcBorders>
                    <w:tl2br w:val="nil"/>
                    <w:tr2bl w:val="nil"/>
                  </w:tcBorders>
                  <w:vAlign w:val="center"/>
                </w:tcPr>
                <w:p w14:paraId="6C913E3B">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r>
                    <w:rPr>
                      <w:rFonts w:hint="eastAsia" w:ascii="Times New Roman" w:hAnsi="Times New Roman" w:cs="Times New Roman"/>
                      <w:color w:val="auto"/>
                      <w:sz w:val="21"/>
                      <w:szCs w:val="21"/>
                      <w:highlight w:val="none"/>
                      <w:u w:val="none"/>
                      <w:lang w:val="en-US" w:eastAsia="zh-CN"/>
                    </w:rPr>
                    <w:t>CO</w:t>
                  </w:r>
                </w:p>
              </w:tc>
              <w:tc>
                <w:tcPr>
                  <w:tcW w:w="654" w:type="dxa"/>
                  <w:vMerge w:val="continue"/>
                  <w:tcBorders>
                    <w:tl2br w:val="nil"/>
                    <w:tr2bl w:val="nil"/>
                  </w:tcBorders>
                  <w:vAlign w:val="center"/>
                </w:tcPr>
                <w:p w14:paraId="79DE3755">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p>
              </w:tc>
              <w:tc>
                <w:tcPr>
                  <w:tcW w:w="709" w:type="dxa"/>
                  <w:tcBorders>
                    <w:tl2br w:val="nil"/>
                    <w:tr2bl w:val="nil"/>
                  </w:tcBorders>
                  <w:vAlign w:val="center"/>
                </w:tcPr>
                <w:p w14:paraId="745DFF70">
                  <w:pPr>
                    <w:spacing w:line="240" w:lineRule="auto"/>
                    <w:jc w:val="center"/>
                    <w:rPr>
                      <w:rFonts w:hint="eastAsia" w:ascii="Times New Roman" w:hAnsi="Times New Roman" w:cs="Times New Roman"/>
                      <w:color w:val="auto"/>
                      <w:kern w:val="0"/>
                      <w:sz w:val="21"/>
                      <w:szCs w:val="21"/>
                      <w:highlight w:val="none"/>
                      <w:u w:val="none"/>
                      <w:lang w:val="en-US" w:eastAsia="zh-CN" w:bidi="ar-SA"/>
                    </w:rPr>
                  </w:pPr>
                  <w:r>
                    <w:rPr>
                      <w:rFonts w:hint="eastAsia" w:ascii="Times New Roman" w:hAnsi="Times New Roman" w:cs="Times New Roman"/>
                      <w:color w:val="auto"/>
                      <w:kern w:val="0"/>
                      <w:sz w:val="21"/>
                      <w:szCs w:val="21"/>
                      <w:highlight w:val="none"/>
                      <w:u w:val="none"/>
                      <w:lang w:val="en-US" w:eastAsia="zh-CN" w:bidi="ar-SA"/>
                    </w:rPr>
                    <w:t>/</w:t>
                  </w:r>
                </w:p>
              </w:tc>
              <w:tc>
                <w:tcPr>
                  <w:tcW w:w="842" w:type="dxa"/>
                  <w:tcBorders>
                    <w:tl2br w:val="nil"/>
                    <w:tr2bl w:val="nil"/>
                  </w:tcBorders>
                  <w:shd w:val="clear" w:color="auto" w:fill="auto"/>
                  <w:vAlign w:val="center"/>
                </w:tcPr>
                <w:p w14:paraId="4E7C90AE">
                  <w:pPr>
                    <w:spacing w:line="240" w:lineRule="auto"/>
                    <w:jc w:val="center"/>
                    <w:rPr>
                      <w:rFonts w:hint="eastAsia" w:ascii="Times New Roman" w:hAnsi="Times New Roman" w:eastAsia="宋体" w:cs="Times New Roman"/>
                      <w:color w:val="auto"/>
                      <w:kern w:val="0"/>
                      <w:sz w:val="21"/>
                      <w:szCs w:val="21"/>
                      <w:highlight w:val="none"/>
                      <w:u w:val="none"/>
                      <w:lang w:val="en-US" w:eastAsia="zh-CN" w:bidi="ar-SA"/>
                    </w:rPr>
                  </w:pPr>
                  <w:r>
                    <w:rPr>
                      <w:rFonts w:hint="eastAsia" w:cs="Times New Roman"/>
                      <w:color w:val="auto"/>
                      <w:kern w:val="0"/>
                      <w:sz w:val="21"/>
                      <w:szCs w:val="21"/>
                      <w:highlight w:val="none"/>
                      <w:u w:val="none"/>
                      <w:lang w:val="en-US" w:eastAsia="zh-CN" w:bidi="ar-SA"/>
                    </w:rPr>
                    <w:t>2.419</w:t>
                  </w:r>
                </w:p>
              </w:tc>
              <w:tc>
                <w:tcPr>
                  <w:tcW w:w="918" w:type="dxa"/>
                  <w:tcBorders>
                    <w:tl2br w:val="nil"/>
                    <w:tr2bl w:val="nil"/>
                  </w:tcBorders>
                  <w:vAlign w:val="center"/>
                </w:tcPr>
                <w:p w14:paraId="4B0A055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1"/>
                      <w:szCs w:val="21"/>
                      <w:highlight w:val="none"/>
                      <w:u w:val="none"/>
                    </w:rPr>
                  </w:pPr>
                  <w:r>
                    <w:rPr>
                      <w:rFonts w:ascii="Times New Roman" w:hAnsi="Times New Roman" w:cs="Times New Roman"/>
                      <w:color w:val="auto"/>
                      <w:sz w:val="21"/>
                      <w:szCs w:val="21"/>
                      <w:highlight w:val="none"/>
                      <w:u w:val="none"/>
                    </w:rPr>
                    <w:t>有组织</w:t>
                  </w:r>
                </w:p>
              </w:tc>
              <w:tc>
                <w:tcPr>
                  <w:tcW w:w="2167" w:type="dxa"/>
                  <w:tcBorders>
                    <w:tl2br w:val="nil"/>
                    <w:tr2bl w:val="nil"/>
                  </w:tcBorders>
                  <w:vAlign w:val="center"/>
                </w:tcPr>
                <w:p w14:paraId="1E0C35C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稀薄燃烧控制技术+15m高排气筒排放</w:t>
                  </w:r>
                </w:p>
              </w:tc>
              <w:tc>
                <w:tcPr>
                  <w:tcW w:w="752" w:type="dxa"/>
                  <w:tcBorders>
                    <w:tl2br w:val="nil"/>
                    <w:tr2bl w:val="nil"/>
                  </w:tcBorders>
                  <w:vAlign w:val="center"/>
                </w:tcPr>
                <w:p w14:paraId="6C6E29BD">
                  <w:pPr>
                    <w:keepNext w:val="0"/>
                    <w:keepLines w:val="0"/>
                    <w:pageBreakBefore w:val="0"/>
                    <w:kinsoku/>
                    <w:wordWrap/>
                    <w:overflowPunct/>
                    <w:topLinePunct w:val="0"/>
                    <w:autoSpaceDE/>
                    <w:autoSpaceDN/>
                    <w:bidi w:val="0"/>
                    <w:spacing w:line="240" w:lineRule="auto"/>
                    <w:jc w:val="center"/>
                    <w:textAlignment w:val="auto"/>
                    <w:rPr>
                      <w:rFonts w:ascii="Times New Roman" w:hAnsi="Times New Roman" w:cs="Times New Roman"/>
                      <w:color w:val="auto"/>
                      <w:sz w:val="21"/>
                      <w:szCs w:val="21"/>
                      <w:highlight w:val="none"/>
                      <w:u w:val="none"/>
                      <w:lang w:val="zh-CN"/>
                    </w:rPr>
                  </w:pPr>
                  <w:r>
                    <w:rPr>
                      <w:rFonts w:ascii="Times New Roman" w:hAnsi="Times New Roman" w:cs="Times New Roman"/>
                      <w:color w:val="auto"/>
                      <w:sz w:val="21"/>
                      <w:szCs w:val="21"/>
                      <w:highlight w:val="none"/>
                      <w:u w:val="none"/>
                      <w:lang w:val="zh-CN"/>
                    </w:rPr>
                    <w:t>可行</w:t>
                  </w:r>
                </w:p>
              </w:tc>
              <w:tc>
                <w:tcPr>
                  <w:tcW w:w="833" w:type="dxa"/>
                  <w:tcBorders>
                    <w:tl2br w:val="nil"/>
                    <w:tr2bl w:val="nil"/>
                  </w:tcBorders>
                  <w:shd w:val="clear" w:color="auto" w:fill="auto"/>
                  <w:vAlign w:val="center"/>
                </w:tcPr>
                <w:p w14:paraId="455280A0">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cs="Times New Roman"/>
                      <w:color w:val="auto"/>
                      <w:kern w:val="0"/>
                      <w:sz w:val="21"/>
                      <w:szCs w:val="21"/>
                      <w:highlight w:val="none"/>
                      <w:u w:val="none"/>
                      <w:lang w:val="en-US" w:eastAsia="zh-CN" w:bidi="ar-SA"/>
                    </w:rPr>
                    <w:t>420</w:t>
                  </w:r>
                </w:p>
              </w:tc>
              <w:tc>
                <w:tcPr>
                  <w:tcW w:w="808" w:type="dxa"/>
                  <w:tcBorders>
                    <w:tl2br w:val="nil"/>
                    <w:tr2bl w:val="nil"/>
                  </w:tcBorders>
                  <w:vAlign w:val="center"/>
                </w:tcPr>
                <w:p w14:paraId="4CBA40B2">
                  <w:pPr>
                    <w:spacing w:line="240" w:lineRule="auto"/>
                    <w:jc w:val="center"/>
                    <w:rPr>
                      <w:rFonts w:hint="default" w:cs="Times New Roman"/>
                      <w:color w:val="auto"/>
                      <w:kern w:val="0"/>
                      <w:sz w:val="21"/>
                      <w:szCs w:val="21"/>
                      <w:highlight w:val="none"/>
                      <w:u w:val="none"/>
                      <w:lang w:val="en-US" w:eastAsia="zh-CN" w:bidi="ar-SA"/>
                    </w:rPr>
                  </w:pPr>
                  <w:r>
                    <w:rPr>
                      <w:rFonts w:hint="eastAsia" w:cs="Times New Roman"/>
                      <w:color w:val="auto"/>
                      <w:kern w:val="0"/>
                      <w:sz w:val="21"/>
                      <w:szCs w:val="21"/>
                      <w:highlight w:val="none"/>
                      <w:u w:val="none"/>
                      <w:lang w:val="en-US" w:eastAsia="zh-CN" w:bidi="ar-SA"/>
                    </w:rPr>
                    <w:t>0.28</w:t>
                  </w:r>
                </w:p>
              </w:tc>
              <w:tc>
                <w:tcPr>
                  <w:tcW w:w="822" w:type="dxa"/>
                  <w:tcBorders>
                    <w:tl2br w:val="nil"/>
                    <w:tr2bl w:val="nil"/>
                  </w:tcBorders>
                  <w:vAlign w:val="center"/>
                </w:tcPr>
                <w:p w14:paraId="3A0A2DBB">
                  <w:pPr>
                    <w:spacing w:line="240" w:lineRule="auto"/>
                    <w:jc w:val="center"/>
                    <w:rPr>
                      <w:rFonts w:hint="default" w:cs="Times New Roman"/>
                      <w:color w:val="auto"/>
                      <w:kern w:val="0"/>
                      <w:sz w:val="21"/>
                      <w:szCs w:val="21"/>
                      <w:highlight w:val="none"/>
                      <w:u w:val="none"/>
                      <w:lang w:val="en-US" w:eastAsia="zh-CN" w:bidi="ar-SA"/>
                    </w:rPr>
                  </w:pPr>
                  <w:r>
                    <w:rPr>
                      <w:rFonts w:hint="eastAsia" w:cs="Times New Roman"/>
                      <w:color w:val="auto"/>
                      <w:kern w:val="0"/>
                      <w:sz w:val="21"/>
                      <w:szCs w:val="21"/>
                      <w:highlight w:val="none"/>
                      <w:u w:val="none"/>
                      <w:lang w:val="en-US" w:eastAsia="zh-CN" w:bidi="ar-SA"/>
                    </w:rPr>
                    <w:t>2.419</w:t>
                  </w:r>
                </w:p>
              </w:tc>
              <w:tc>
                <w:tcPr>
                  <w:tcW w:w="716" w:type="dxa"/>
                  <w:tcBorders>
                    <w:tl2br w:val="nil"/>
                    <w:tr2bl w:val="nil"/>
                  </w:tcBorders>
                  <w:vAlign w:val="center"/>
                </w:tcPr>
                <w:p w14:paraId="16ED2CBE">
                  <w:pPr>
                    <w:keepNext w:val="0"/>
                    <w:keepLines w:val="0"/>
                    <w:pageBreakBefore w:val="0"/>
                    <w:kinsoku/>
                    <w:wordWrap/>
                    <w:overflowPunct/>
                    <w:topLinePunct w:val="0"/>
                    <w:autoSpaceDE/>
                    <w:autoSpaceDN/>
                    <w:bidi w:val="0"/>
                    <w:snapToGrid/>
                    <w:spacing w:before="0" w:after="0" w:line="240" w:lineRule="auto"/>
                    <w:ind w:right="0" w:rightChars="0" w:firstLine="0" w:firstLineChars="0"/>
                    <w:jc w:val="center"/>
                    <w:textAlignment w:val="auto"/>
                    <w:rPr>
                      <w:rFonts w:hint="eastAsia" w:ascii="Times New Roman" w:hAnsi="Times New Roman"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8640</w:t>
                  </w:r>
                </w:p>
              </w:tc>
              <w:tc>
                <w:tcPr>
                  <w:tcW w:w="1909" w:type="dxa"/>
                  <w:vMerge w:val="continue"/>
                  <w:tcBorders>
                    <w:tl2br w:val="nil"/>
                    <w:tr2bl w:val="nil"/>
                  </w:tcBorders>
                  <w:vAlign w:val="center"/>
                </w:tcPr>
                <w:p w14:paraId="15EBED61">
                  <w:pPr>
                    <w:keepNext w:val="0"/>
                    <w:keepLines w:val="0"/>
                    <w:pageBreakBefore w:val="0"/>
                    <w:kinsoku/>
                    <w:wordWrap/>
                    <w:overflowPunct/>
                    <w:topLinePunct w:val="0"/>
                    <w:autoSpaceDE/>
                    <w:autoSpaceDN/>
                    <w:bidi w:val="0"/>
                    <w:spacing w:line="320" w:lineRule="exact"/>
                    <w:jc w:val="center"/>
                    <w:textAlignment w:val="auto"/>
                    <w:rPr>
                      <w:rFonts w:hint="eastAsia" w:ascii="Times New Roman" w:hAnsi="Times New Roman" w:eastAsia="宋体" w:cs="Times New Roman"/>
                      <w:color w:val="auto"/>
                      <w:sz w:val="21"/>
                      <w:szCs w:val="21"/>
                      <w:highlight w:val="none"/>
                      <w:u w:val="none"/>
                      <w:lang w:val="en-US" w:eastAsia="zh-CN"/>
                    </w:rPr>
                  </w:pPr>
                </w:p>
              </w:tc>
            </w:tr>
            <w:tr w14:paraId="6A971303">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578" w:hRule="atLeast"/>
              </w:trPr>
              <w:tc>
                <w:tcPr>
                  <w:tcW w:w="700" w:type="dxa"/>
                  <w:vMerge w:val="continue"/>
                  <w:tcBorders>
                    <w:tl2br w:val="nil"/>
                    <w:tr2bl w:val="nil"/>
                  </w:tcBorders>
                  <w:vAlign w:val="center"/>
                </w:tcPr>
                <w:p w14:paraId="2980ED69">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p>
              </w:tc>
              <w:tc>
                <w:tcPr>
                  <w:tcW w:w="672" w:type="dxa"/>
                  <w:vMerge w:val="continue"/>
                  <w:tcBorders>
                    <w:tl2br w:val="nil"/>
                    <w:tr2bl w:val="nil"/>
                  </w:tcBorders>
                  <w:vAlign w:val="center"/>
                </w:tcPr>
                <w:p w14:paraId="579B0F02">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p>
              </w:tc>
              <w:tc>
                <w:tcPr>
                  <w:tcW w:w="697" w:type="dxa"/>
                  <w:vMerge w:val="continue"/>
                  <w:tcBorders>
                    <w:tl2br w:val="nil"/>
                    <w:tr2bl w:val="nil"/>
                  </w:tcBorders>
                  <w:vAlign w:val="center"/>
                </w:tcPr>
                <w:p w14:paraId="3F065CDC">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p>
              </w:tc>
              <w:tc>
                <w:tcPr>
                  <w:tcW w:w="895" w:type="dxa"/>
                  <w:tcBorders>
                    <w:tl2br w:val="nil"/>
                    <w:tr2bl w:val="nil"/>
                  </w:tcBorders>
                  <w:vAlign w:val="center"/>
                </w:tcPr>
                <w:p w14:paraId="36DF6527">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r>
                    <w:rPr>
                      <w:rFonts w:hint="eastAsia" w:ascii="Times New Roman" w:hAnsi="Times New Roman" w:cs="Times New Roman"/>
                      <w:color w:val="auto"/>
                      <w:sz w:val="21"/>
                      <w:szCs w:val="21"/>
                      <w:highlight w:val="none"/>
                      <w:u w:val="none"/>
                      <w:lang w:val="en-US" w:eastAsia="zh-CN"/>
                    </w:rPr>
                    <w:t>非甲烷总烃</w:t>
                  </w:r>
                </w:p>
              </w:tc>
              <w:tc>
                <w:tcPr>
                  <w:tcW w:w="654" w:type="dxa"/>
                  <w:vMerge w:val="continue"/>
                  <w:tcBorders>
                    <w:tl2br w:val="nil"/>
                    <w:tr2bl w:val="nil"/>
                  </w:tcBorders>
                  <w:vAlign w:val="center"/>
                </w:tcPr>
                <w:p w14:paraId="44664A5D">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p>
              </w:tc>
              <w:tc>
                <w:tcPr>
                  <w:tcW w:w="709" w:type="dxa"/>
                  <w:tcBorders>
                    <w:tl2br w:val="nil"/>
                    <w:tr2bl w:val="nil"/>
                  </w:tcBorders>
                  <w:vAlign w:val="center"/>
                </w:tcPr>
                <w:p w14:paraId="621E1FE8">
                  <w:pPr>
                    <w:spacing w:line="240" w:lineRule="auto"/>
                    <w:jc w:val="center"/>
                    <w:rPr>
                      <w:rFonts w:hint="eastAsia" w:ascii="Times New Roman" w:hAnsi="Times New Roman" w:cs="Times New Roman"/>
                      <w:color w:val="auto"/>
                      <w:kern w:val="0"/>
                      <w:sz w:val="21"/>
                      <w:szCs w:val="21"/>
                      <w:highlight w:val="none"/>
                      <w:u w:val="none"/>
                      <w:lang w:val="en-US" w:eastAsia="zh-CN" w:bidi="ar-SA"/>
                    </w:rPr>
                  </w:pPr>
                  <w:r>
                    <w:rPr>
                      <w:rFonts w:hint="eastAsia" w:ascii="Times New Roman" w:hAnsi="Times New Roman" w:cs="Times New Roman"/>
                      <w:color w:val="auto"/>
                      <w:kern w:val="0"/>
                      <w:sz w:val="21"/>
                      <w:szCs w:val="21"/>
                      <w:highlight w:val="none"/>
                      <w:u w:val="none"/>
                      <w:lang w:val="en-US" w:eastAsia="zh-CN"/>
                    </w:rPr>
                    <w:t>/</w:t>
                  </w:r>
                </w:p>
              </w:tc>
              <w:tc>
                <w:tcPr>
                  <w:tcW w:w="842" w:type="dxa"/>
                  <w:tcBorders>
                    <w:tl2br w:val="nil"/>
                    <w:tr2bl w:val="nil"/>
                  </w:tcBorders>
                  <w:shd w:val="clear" w:color="auto" w:fill="auto"/>
                  <w:vAlign w:val="center"/>
                </w:tcPr>
                <w:p w14:paraId="015ED8E8">
                  <w:pPr>
                    <w:spacing w:line="240" w:lineRule="auto"/>
                    <w:jc w:val="center"/>
                    <w:rPr>
                      <w:rFonts w:hint="eastAsia" w:ascii="Times New Roman" w:hAnsi="Times New Roman" w:eastAsia="宋体" w:cs="Times New Roman"/>
                      <w:color w:val="auto"/>
                      <w:kern w:val="0"/>
                      <w:sz w:val="21"/>
                      <w:szCs w:val="21"/>
                      <w:highlight w:val="none"/>
                      <w:u w:val="none"/>
                      <w:lang w:val="en-US" w:eastAsia="zh-CN" w:bidi="ar-SA"/>
                    </w:rPr>
                  </w:pPr>
                  <w:r>
                    <w:rPr>
                      <w:rFonts w:hint="eastAsia" w:cs="Times New Roman"/>
                      <w:color w:val="auto"/>
                      <w:kern w:val="0"/>
                      <w:sz w:val="21"/>
                      <w:szCs w:val="21"/>
                      <w:highlight w:val="none"/>
                      <w:u w:val="none"/>
                      <w:lang w:val="en-US" w:eastAsia="zh-CN" w:bidi="ar-SA"/>
                    </w:rPr>
                    <w:t>0.3975</w:t>
                  </w:r>
                </w:p>
              </w:tc>
              <w:tc>
                <w:tcPr>
                  <w:tcW w:w="918" w:type="dxa"/>
                  <w:tcBorders>
                    <w:tl2br w:val="nil"/>
                    <w:tr2bl w:val="nil"/>
                  </w:tcBorders>
                  <w:vAlign w:val="center"/>
                </w:tcPr>
                <w:p w14:paraId="75549C3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1"/>
                      <w:szCs w:val="21"/>
                      <w:highlight w:val="none"/>
                      <w:u w:val="none"/>
                    </w:rPr>
                  </w:pPr>
                  <w:r>
                    <w:rPr>
                      <w:rFonts w:ascii="Times New Roman" w:hAnsi="Times New Roman" w:cs="Times New Roman"/>
                      <w:color w:val="auto"/>
                      <w:sz w:val="21"/>
                      <w:szCs w:val="21"/>
                      <w:highlight w:val="none"/>
                      <w:u w:val="none"/>
                    </w:rPr>
                    <w:t>有组织</w:t>
                  </w:r>
                </w:p>
              </w:tc>
              <w:tc>
                <w:tcPr>
                  <w:tcW w:w="2167" w:type="dxa"/>
                  <w:tcBorders>
                    <w:tl2br w:val="nil"/>
                    <w:tr2bl w:val="nil"/>
                  </w:tcBorders>
                  <w:vAlign w:val="center"/>
                </w:tcPr>
                <w:p w14:paraId="715C3E8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稀薄燃烧控制技术+15m高排气筒排放</w:t>
                  </w:r>
                </w:p>
              </w:tc>
              <w:tc>
                <w:tcPr>
                  <w:tcW w:w="752" w:type="dxa"/>
                  <w:tcBorders>
                    <w:tl2br w:val="nil"/>
                    <w:tr2bl w:val="nil"/>
                  </w:tcBorders>
                  <w:vAlign w:val="center"/>
                </w:tcPr>
                <w:p w14:paraId="2210B39E">
                  <w:pPr>
                    <w:keepNext w:val="0"/>
                    <w:keepLines w:val="0"/>
                    <w:pageBreakBefore w:val="0"/>
                    <w:kinsoku/>
                    <w:wordWrap/>
                    <w:overflowPunct/>
                    <w:topLinePunct w:val="0"/>
                    <w:autoSpaceDE/>
                    <w:autoSpaceDN/>
                    <w:bidi w:val="0"/>
                    <w:spacing w:line="240" w:lineRule="auto"/>
                    <w:jc w:val="center"/>
                    <w:textAlignment w:val="auto"/>
                    <w:rPr>
                      <w:rFonts w:ascii="Times New Roman" w:hAnsi="Times New Roman" w:cs="Times New Roman"/>
                      <w:color w:val="auto"/>
                      <w:sz w:val="21"/>
                      <w:szCs w:val="21"/>
                      <w:highlight w:val="none"/>
                      <w:u w:val="none"/>
                      <w:lang w:val="zh-CN"/>
                    </w:rPr>
                  </w:pPr>
                  <w:r>
                    <w:rPr>
                      <w:rFonts w:ascii="Times New Roman" w:hAnsi="Times New Roman" w:cs="Times New Roman"/>
                      <w:color w:val="auto"/>
                      <w:sz w:val="21"/>
                      <w:szCs w:val="21"/>
                      <w:highlight w:val="none"/>
                      <w:u w:val="none"/>
                      <w:lang w:val="zh-CN"/>
                    </w:rPr>
                    <w:t>可行</w:t>
                  </w:r>
                </w:p>
              </w:tc>
              <w:tc>
                <w:tcPr>
                  <w:tcW w:w="833" w:type="dxa"/>
                  <w:tcBorders>
                    <w:tl2br w:val="nil"/>
                    <w:tr2bl w:val="nil"/>
                  </w:tcBorders>
                  <w:shd w:val="clear" w:color="auto" w:fill="auto"/>
                  <w:vAlign w:val="center"/>
                </w:tcPr>
                <w:p w14:paraId="2D0E2E60">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color w:val="auto"/>
                      <w:kern w:val="0"/>
                      <w:sz w:val="21"/>
                      <w:szCs w:val="21"/>
                      <w:highlight w:val="none"/>
                      <w:u w:val="none"/>
                      <w:lang w:val="en-US" w:eastAsia="zh-CN"/>
                    </w:rPr>
                    <w:t>69</w:t>
                  </w:r>
                </w:p>
              </w:tc>
              <w:tc>
                <w:tcPr>
                  <w:tcW w:w="808" w:type="dxa"/>
                  <w:tcBorders>
                    <w:tl2br w:val="nil"/>
                    <w:tr2bl w:val="nil"/>
                  </w:tcBorders>
                  <w:vAlign w:val="center"/>
                </w:tcPr>
                <w:p w14:paraId="6837851E">
                  <w:pPr>
                    <w:spacing w:line="240" w:lineRule="auto"/>
                    <w:jc w:val="center"/>
                    <w:rPr>
                      <w:rFonts w:hint="default" w:cs="Times New Roman"/>
                      <w:color w:val="auto"/>
                      <w:kern w:val="0"/>
                      <w:sz w:val="21"/>
                      <w:szCs w:val="21"/>
                      <w:highlight w:val="none"/>
                      <w:u w:val="none"/>
                      <w:lang w:val="en-US" w:eastAsia="zh-CN" w:bidi="ar-SA"/>
                    </w:rPr>
                  </w:pPr>
                  <w:r>
                    <w:rPr>
                      <w:rFonts w:hint="eastAsia" w:cs="Times New Roman"/>
                      <w:color w:val="auto"/>
                      <w:kern w:val="0"/>
                      <w:sz w:val="21"/>
                      <w:szCs w:val="21"/>
                      <w:highlight w:val="none"/>
                      <w:u w:val="none"/>
                      <w:lang w:val="en-US" w:eastAsia="zh-CN" w:bidi="ar-SA"/>
                    </w:rPr>
                    <w:t>0.046</w:t>
                  </w:r>
                </w:p>
              </w:tc>
              <w:tc>
                <w:tcPr>
                  <w:tcW w:w="822" w:type="dxa"/>
                  <w:tcBorders>
                    <w:tl2br w:val="nil"/>
                    <w:tr2bl w:val="nil"/>
                  </w:tcBorders>
                  <w:vAlign w:val="center"/>
                </w:tcPr>
                <w:p w14:paraId="2E8021D0">
                  <w:pPr>
                    <w:spacing w:line="240" w:lineRule="auto"/>
                    <w:jc w:val="center"/>
                    <w:rPr>
                      <w:rFonts w:hint="default" w:cs="Times New Roman"/>
                      <w:color w:val="auto"/>
                      <w:kern w:val="0"/>
                      <w:sz w:val="21"/>
                      <w:szCs w:val="21"/>
                      <w:highlight w:val="none"/>
                      <w:u w:val="none"/>
                      <w:lang w:val="en-US" w:eastAsia="zh-CN" w:bidi="ar-SA"/>
                    </w:rPr>
                  </w:pPr>
                  <w:r>
                    <w:rPr>
                      <w:rFonts w:hint="eastAsia" w:cs="Times New Roman"/>
                      <w:color w:val="auto"/>
                      <w:kern w:val="0"/>
                      <w:sz w:val="21"/>
                      <w:szCs w:val="21"/>
                      <w:highlight w:val="none"/>
                      <w:u w:val="none"/>
                      <w:lang w:val="en-US" w:eastAsia="zh-CN" w:bidi="ar-SA"/>
                    </w:rPr>
                    <w:t>0.3975</w:t>
                  </w:r>
                </w:p>
              </w:tc>
              <w:tc>
                <w:tcPr>
                  <w:tcW w:w="716" w:type="dxa"/>
                  <w:tcBorders>
                    <w:tl2br w:val="nil"/>
                    <w:tr2bl w:val="nil"/>
                  </w:tcBorders>
                  <w:vAlign w:val="center"/>
                </w:tcPr>
                <w:p w14:paraId="1E9EC2BD">
                  <w:pPr>
                    <w:keepNext w:val="0"/>
                    <w:keepLines w:val="0"/>
                    <w:pageBreakBefore w:val="0"/>
                    <w:kinsoku/>
                    <w:wordWrap/>
                    <w:overflowPunct/>
                    <w:topLinePunct w:val="0"/>
                    <w:autoSpaceDE/>
                    <w:autoSpaceDN/>
                    <w:bidi w:val="0"/>
                    <w:snapToGrid/>
                    <w:spacing w:before="0" w:after="0" w:line="240" w:lineRule="auto"/>
                    <w:ind w:right="0" w:rightChars="0" w:firstLine="0" w:firstLineChars="0"/>
                    <w:jc w:val="center"/>
                    <w:textAlignment w:val="auto"/>
                    <w:rPr>
                      <w:rFonts w:hint="eastAsia" w:ascii="Times New Roman" w:hAnsi="Times New Roman"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8640</w:t>
                  </w:r>
                </w:p>
              </w:tc>
              <w:tc>
                <w:tcPr>
                  <w:tcW w:w="1909" w:type="dxa"/>
                  <w:vMerge w:val="continue"/>
                  <w:tcBorders>
                    <w:tl2br w:val="nil"/>
                    <w:tr2bl w:val="nil"/>
                  </w:tcBorders>
                  <w:vAlign w:val="center"/>
                </w:tcPr>
                <w:p w14:paraId="3D5D90FC">
                  <w:pPr>
                    <w:keepNext w:val="0"/>
                    <w:keepLines w:val="0"/>
                    <w:pageBreakBefore w:val="0"/>
                    <w:kinsoku/>
                    <w:wordWrap/>
                    <w:overflowPunct/>
                    <w:topLinePunct w:val="0"/>
                    <w:autoSpaceDE/>
                    <w:autoSpaceDN/>
                    <w:bidi w:val="0"/>
                    <w:spacing w:line="320" w:lineRule="exact"/>
                    <w:jc w:val="center"/>
                    <w:textAlignment w:val="auto"/>
                    <w:rPr>
                      <w:rFonts w:hint="eastAsia" w:ascii="Times New Roman" w:hAnsi="Times New Roman" w:eastAsia="宋体" w:cs="Times New Roman"/>
                      <w:color w:val="auto"/>
                      <w:sz w:val="21"/>
                      <w:szCs w:val="21"/>
                      <w:highlight w:val="none"/>
                      <w:u w:val="none"/>
                      <w:lang w:val="en-US" w:eastAsia="zh-CN"/>
                    </w:rPr>
                  </w:pPr>
                </w:p>
              </w:tc>
            </w:tr>
            <w:tr w14:paraId="09A2513A">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578" w:hRule="atLeast"/>
              </w:trPr>
              <w:tc>
                <w:tcPr>
                  <w:tcW w:w="700" w:type="dxa"/>
                  <w:vMerge w:val="restart"/>
                  <w:tcBorders>
                    <w:tl2br w:val="nil"/>
                    <w:tr2bl w:val="nil"/>
                  </w:tcBorders>
                  <w:vAlign w:val="center"/>
                </w:tcPr>
                <w:p w14:paraId="1CFD3ECA">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瓦斯发电</w:t>
                  </w:r>
                </w:p>
              </w:tc>
              <w:tc>
                <w:tcPr>
                  <w:tcW w:w="672" w:type="dxa"/>
                  <w:vMerge w:val="restart"/>
                  <w:tcBorders>
                    <w:tl2br w:val="nil"/>
                    <w:tr2bl w:val="nil"/>
                  </w:tcBorders>
                  <w:vAlign w:val="center"/>
                </w:tcPr>
                <w:p w14:paraId="2766AAA5">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发电机组</w:t>
                  </w:r>
                  <w:r>
                    <w:rPr>
                      <w:rFonts w:hint="eastAsia" w:cs="Times New Roman"/>
                      <w:color w:val="auto"/>
                      <w:sz w:val="21"/>
                      <w:szCs w:val="21"/>
                      <w:u w:val="none"/>
                      <w:lang w:val="en-US" w:eastAsia="zh-CN"/>
                    </w:rPr>
                    <w:t>（本项目的4台发电机组）</w:t>
                  </w:r>
                </w:p>
              </w:tc>
              <w:tc>
                <w:tcPr>
                  <w:tcW w:w="697" w:type="dxa"/>
                  <w:vMerge w:val="restart"/>
                  <w:tcBorders>
                    <w:tl2br w:val="nil"/>
                    <w:tr2bl w:val="nil"/>
                  </w:tcBorders>
                  <w:vAlign w:val="center"/>
                </w:tcPr>
                <w:p w14:paraId="44A44ED2">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2"/>
                      <w:sz w:val="21"/>
                      <w:szCs w:val="21"/>
                      <w:u w:val="none"/>
                      <w:lang w:val="en-US" w:eastAsia="zh-CN" w:bidi="ar-SA"/>
                    </w:rPr>
                  </w:pPr>
                  <w:r>
                    <w:rPr>
                      <w:rFonts w:hint="eastAsia" w:ascii="Times New Roman" w:hAnsi="Times New Roman" w:cs="Times New Roman"/>
                      <w:color w:val="auto"/>
                      <w:sz w:val="21"/>
                      <w:szCs w:val="21"/>
                      <w:u w:val="none"/>
                      <w:lang w:val="en-US" w:eastAsia="zh-CN"/>
                    </w:rPr>
                    <w:t>发电</w:t>
                  </w:r>
                </w:p>
              </w:tc>
              <w:tc>
                <w:tcPr>
                  <w:tcW w:w="895" w:type="dxa"/>
                  <w:tcBorders>
                    <w:tl2br w:val="nil"/>
                    <w:tr2bl w:val="nil"/>
                  </w:tcBorders>
                  <w:vAlign w:val="center"/>
                </w:tcPr>
                <w:p w14:paraId="65B4293D">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u w:val="none"/>
                      <w:lang w:val="zh-CN" w:eastAsia="zh-CN"/>
                    </w:rPr>
                  </w:pPr>
                  <w:r>
                    <w:rPr>
                      <w:rFonts w:hint="eastAsia" w:ascii="Times New Roman" w:hAnsi="Times New Roman" w:cs="Times New Roman"/>
                      <w:color w:val="auto"/>
                      <w:sz w:val="21"/>
                      <w:szCs w:val="21"/>
                      <w:u w:val="none"/>
                      <w:lang w:val="en-US" w:eastAsia="zh-CN"/>
                    </w:rPr>
                    <w:t>颗粒物</w:t>
                  </w:r>
                </w:p>
              </w:tc>
              <w:tc>
                <w:tcPr>
                  <w:tcW w:w="654" w:type="dxa"/>
                  <w:vMerge w:val="restart"/>
                  <w:tcBorders>
                    <w:tl2br w:val="nil"/>
                    <w:tr2bl w:val="nil"/>
                  </w:tcBorders>
                  <w:vAlign w:val="center"/>
                </w:tcPr>
                <w:p w14:paraId="51D7D218">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sz w:val="21"/>
                      <w:szCs w:val="21"/>
                      <w:u w:val="none"/>
                      <w:lang w:eastAsia="zh-CN"/>
                    </w:rPr>
                  </w:pPr>
                  <w:r>
                    <w:rPr>
                      <w:rFonts w:hint="eastAsia" w:ascii="Times New Roman" w:hAnsi="Times New Roman" w:cs="Times New Roman"/>
                      <w:color w:val="auto"/>
                      <w:sz w:val="21"/>
                      <w:szCs w:val="21"/>
                      <w:u w:val="none"/>
                      <w:lang w:val="en-US" w:eastAsia="zh-CN"/>
                    </w:rPr>
                    <w:t>类比</w:t>
                  </w:r>
                  <w:r>
                    <w:rPr>
                      <w:rFonts w:hint="eastAsia" w:ascii="Times New Roman" w:hAnsi="Times New Roman" w:cs="Times New Roman"/>
                      <w:color w:val="auto"/>
                      <w:sz w:val="21"/>
                      <w:szCs w:val="21"/>
                      <w:u w:val="none"/>
                      <w:lang w:eastAsia="zh-CN"/>
                    </w:rPr>
                    <w:t>法</w:t>
                  </w:r>
                </w:p>
              </w:tc>
              <w:tc>
                <w:tcPr>
                  <w:tcW w:w="709" w:type="dxa"/>
                  <w:tcBorders>
                    <w:tl2br w:val="nil"/>
                    <w:tr2bl w:val="nil"/>
                  </w:tcBorders>
                  <w:vAlign w:val="center"/>
                </w:tcPr>
                <w:p w14:paraId="6DF0494F">
                  <w:pPr>
                    <w:spacing w:line="240" w:lineRule="auto"/>
                    <w:jc w:val="center"/>
                    <w:rPr>
                      <w:rFonts w:ascii="Times New Roman" w:hAnsi="Times New Roman" w:eastAsia="宋体" w:cs="Times New Roman"/>
                      <w:color w:val="auto"/>
                      <w:kern w:val="0"/>
                      <w:sz w:val="21"/>
                      <w:szCs w:val="21"/>
                      <w:u w:val="none"/>
                      <w:lang w:val="en-US" w:eastAsia="zh-CN" w:bidi="ar-SA"/>
                    </w:rPr>
                  </w:pPr>
                  <w:r>
                    <w:rPr>
                      <w:rFonts w:hint="eastAsia" w:ascii="Times New Roman" w:hAnsi="Times New Roman" w:cs="Times New Roman"/>
                      <w:color w:val="auto"/>
                      <w:kern w:val="0"/>
                      <w:sz w:val="21"/>
                      <w:szCs w:val="21"/>
                      <w:u w:val="none"/>
                      <w:lang w:val="en-US" w:eastAsia="zh-CN" w:bidi="ar-SA"/>
                    </w:rPr>
                    <w:t>/</w:t>
                  </w:r>
                </w:p>
              </w:tc>
              <w:tc>
                <w:tcPr>
                  <w:tcW w:w="842" w:type="dxa"/>
                  <w:tcBorders>
                    <w:tl2br w:val="nil"/>
                    <w:tr2bl w:val="nil"/>
                  </w:tcBorders>
                  <w:shd w:val="clear" w:color="auto" w:fill="auto"/>
                  <w:vAlign w:val="center"/>
                </w:tcPr>
                <w:p w14:paraId="3B5BFB0C">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u w:val="none"/>
                      <w:lang w:val="en-US" w:eastAsia="zh-CN" w:bidi="ar-SA"/>
                    </w:rPr>
                  </w:pPr>
                  <w:r>
                    <w:rPr>
                      <w:rFonts w:hint="eastAsia" w:cs="Times New Roman"/>
                      <w:color w:val="auto"/>
                      <w:kern w:val="0"/>
                      <w:sz w:val="21"/>
                      <w:szCs w:val="21"/>
                      <w:u w:val="none"/>
                      <w:lang w:val="en-US" w:eastAsia="zh-CN" w:bidi="ar-SA"/>
                    </w:rPr>
                    <w:t>0.207</w:t>
                  </w:r>
                </w:p>
              </w:tc>
              <w:tc>
                <w:tcPr>
                  <w:tcW w:w="918" w:type="dxa"/>
                  <w:tcBorders>
                    <w:tl2br w:val="nil"/>
                    <w:tr2bl w:val="nil"/>
                  </w:tcBorders>
                  <w:vAlign w:val="center"/>
                </w:tcPr>
                <w:p w14:paraId="2441A7E2">
                  <w:pPr>
                    <w:keepNext w:val="0"/>
                    <w:keepLines w:val="0"/>
                    <w:pageBreakBefore w:val="0"/>
                    <w:kinsoku/>
                    <w:wordWrap/>
                    <w:overflowPunct/>
                    <w:topLinePunct w:val="0"/>
                    <w:autoSpaceDE/>
                    <w:autoSpaceDN/>
                    <w:bidi w:val="0"/>
                    <w:spacing w:line="240" w:lineRule="auto"/>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有组织</w:t>
                  </w:r>
                </w:p>
              </w:tc>
              <w:tc>
                <w:tcPr>
                  <w:tcW w:w="2167" w:type="dxa"/>
                  <w:tcBorders>
                    <w:tl2br w:val="nil"/>
                    <w:tr2bl w:val="nil"/>
                  </w:tcBorders>
                  <w:vAlign w:val="center"/>
                </w:tcPr>
                <w:p w14:paraId="33757A7F">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稀薄燃烧控制技术+15m高排气筒排放</w:t>
                  </w:r>
                </w:p>
              </w:tc>
              <w:tc>
                <w:tcPr>
                  <w:tcW w:w="752" w:type="dxa"/>
                  <w:tcBorders>
                    <w:tl2br w:val="nil"/>
                    <w:tr2bl w:val="nil"/>
                  </w:tcBorders>
                  <w:vAlign w:val="center"/>
                </w:tcPr>
                <w:p w14:paraId="7AB8CDD2">
                  <w:pPr>
                    <w:keepNext w:val="0"/>
                    <w:keepLines w:val="0"/>
                    <w:pageBreakBefore w:val="0"/>
                    <w:kinsoku/>
                    <w:wordWrap/>
                    <w:overflowPunct/>
                    <w:topLinePunct w:val="0"/>
                    <w:autoSpaceDE/>
                    <w:autoSpaceDN/>
                    <w:bidi w:val="0"/>
                    <w:spacing w:line="240" w:lineRule="auto"/>
                    <w:jc w:val="center"/>
                    <w:textAlignment w:val="auto"/>
                    <w:rPr>
                      <w:rFonts w:ascii="Times New Roman" w:hAnsi="Times New Roman" w:cs="Times New Roman"/>
                      <w:color w:val="auto"/>
                      <w:sz w:val="21"/>
                      <w:szCs w:val="21"/>
                      <w:u w:val="none"/>
                      <w:lang w:val="zh-CN"/>
                    </w:rPr>
                  </w:pPr>
                  <w:r>
                    <w:rPr>
                      <w:rFonts w:ascii="Times New Roman" w:hAnsi="Times New Roman" w:cs="Times New Roman"/>
                      <w:color w:val="auto"/>
                      <w:sz w:val="21"/>
                      <w:szCs w:val="21"/>
                      <w:u w:val="none"/>
                      <w:lang w:val="zh-CN"/>
                    </w:rPr>
                    <w:t>可行</w:t>
                  </w:r>
                </w:p>
              </w:tc>
              <w:tc>
                <w:tcPr>
                  <w:tcW w:w="833" w:type="dxa"/>
                  <w:tcBorders>
                    <w:tl2br w:val="nil"/>
                    <w:tr2bl w:val="nil"/>
                  </w:tcBorders>
                  <w:shd w:val="clear" w:color="auto" w:fill="auto"/>
                  <w:vAlign w:val="center"/>
                </w:tcPr>
                <w:p w14:paraId="0F28505D">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u w:val="none"/>
                      <w:lang w:val="en-US" w:eastAsia="zh-CN" w:bidi="ar-SA"/>
                    </w:rPr>
                  </w:pPr>
                  <w:r>
                    <w:rPr>
                      <w:rFonts w:hint="eastAsia" w:cs="Times New Roman"/>
                      <w:color w:val="auto"/>
                      <w:kern w:val="0"/>
                      <w:sz w:val="21"/>
                      <w:szCs w:val="21"/>
                      <w:u w:val="none"/>
                      <w:lang w:val="en-US" w:eastAsia="zh-CN" w:bidi="ar-SA"/>
                    </w:rPr>
                    <w:t>9.0</w:t>
                  </w:r>
                </w:p>
              </w:tc>
              <w:tc>
                <w:tcPr>
                  <w:tcW w:w="808" w:type="dxa"/>
                  <w:tcBorders>
                    <w:tl2br w:val="nil"/>
                    <w:tr2bl w:val="nil"/>
                  </w:tcBorders>
                  <w:shd w:val="clear" w:color="auto" w:fill="auto"/>
                  <w:vAlign w:val="center"/>
                </w:tcPr>
                <w:p w14:paraId="6FF543FF">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u w:val="none"/>
                      <w:lang w:val="en-US" w:eastAsia="zh-CN" w:bidi="ar-SA"/>
                    </w:rPr>
                  </w:pPr>
                  <w:r>
                    <w:rPr>
                      <w:rFonts w:hint="eastAsia" w:cs="Times New Roman"/>
                      <w:color w:val="auto"/>
                      <w:kern w:val="0"/>
                      <w:sz w:val="21"/>
                      <w:szCs w:val="21"/>
                      <w:u w:val="none"/>
                      <w:lang w:val="en-US" w:eastAsia="zh-CN"/>
                    </w:rPr>
                    <w:t>0.024</w:t>
                  </w:r>
                </w:p>
              </w:tc>
              <w:tc>
                <w:tcPr>
                  <w:tcW w:w="822" w:type="dxa"/>
                  <w:tcBorders>
                    <w:tl2br w:val="nil"/>
                    <w:tr2bl w:val="nil"/>
                  </w:tcBorders>
                  <w:shd w:val="clear" w:color="auto" w:fill="auto"/>
                  <w:vAlign w:val="center"/>
                </w:tcPr>
                <w:p w14:paraId="49519E44">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u w:val="none"/>
                      <w:lang w:val="en-US" w:eastAsia="zh-CN" w:bidi="ar-SA"/>
                    </w:rPr>
                  </w:pPr>
                  <w:r>
                    <w:rPr>
                      <w:rFonts w:hint="eastAsia" w:cs="Times New Roman"/>
                      <w:color w:val="auto"/>
                      <w:kern w:val="0"/>
                      <w:sz w:val="21"/>
                      <w:szCs w:val="21"/>
                      <w:u w:val="none"/>
                      <w:lang w:val="en-US" w:eastAsia="zh-CN" w:bidi="ar-SA"/>
                    </w:rPr>
                    <w:t>0.207</w:t>
                  </w:r>
                </w:p>
              </w:tc>
              <w:tc>
                <w:tcPr>
                  <w:tcW w:w="716" w:type="dxa"/>
                  <w:tcBorders>
                    <w:tl2br w:val="nil"/>
                    <w:tr2bl w:val="nil"/>
                  </w:tcBorders>
                  <w:vAlign w:val="center"/>
                </w:tcPr>
                <w:p w14:paraId="551A6E4E">
                  <w:pPr>
                    <w:pStyle w:val="84"/>
                    <w:keepNext w:val="0"/>
                    <w:keepLines w:val="0"/>
                    <w:pageBreakBefore w:val="0"/>
                    <w:kinsoku/>
                    <w:wordWrap/>
                    <w:overflowPunct/>
                    <w:topLinePunct w:val="0"/>
                    <w:autoSpaceDE/>
                    <w:autoSpaceDN/>
                    <w:bidi w:val="0"/>
                    <w:snapToGrid/>
                    <w:spacing w:before="0" w:after="0" w:line="240" w:lineRule="auto"/>
                    <w:ind w:right="0"/>
                    <w:jc w:val="center"/>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8640</w:t>
                  </w:r>
                </w:p>
              </w:tc>
              <w:tc>
                <w:tcPr>
                  <w:tcW w:w="1909" w:type="dxa"/>
                  <w:vMerge w:val="continue"/>
                  <w:tcBorders>
                    <w:tl2br w:val="nil"/>
                    <w:tr2bl w:val="nil"/>
                  </w:tcBorders>
                  <w:vAlign w:val="center"/>
                </w:tcPr>
                <w:p w14:paraId="3B68ABD9">
                  <w:pPr>
                    <w:keepNext w:val="0"/>
                    <w:keepLines w:val="0"/>
                    <w:pageBreakBefore w:val="0"/>
                    <w:kinsoku/>
                    <w:wordWrap/>
                    <w:overflowPunct/>
                    <w:topLinePunct w:val="0"/>
                    <w:autoSpaceDE/>
                    <w:autoSpaceDN/>
                    <w:bidi w:val="0"/>
                    <w:spacing w:line="320" w:lineRule="exact"/>
                    <w:jc w:val="center"/>
                    <w:textAlignment w:val="auto"/>
                    <w:rPr>
                      <w:rFonts w:ascii="Times New Roman" w:hAnsi="Times New Roman" w:cs="Times New Roman"/>
                      <w:color w:val="auto"/>
                      <w:sz w:val="21"/>
                      <w:szCs w:val="21"/>
                      <w:u w:val="none"/>
                    </w:rPr>
                  </w:pPr>
                </w:p>
              </w:tc>
            </w:tr>
            <w:tr w14:paraId="1D945631">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578" w:hRule="atLeast"/>
              </w:trPr>
              <w:tc>
                <w:tcPr>
                  <w:tcW w:w="700" w:type="dxa"/>
                  <w:vMerge w:val="continue"/>
                  <w:tcBorders>
                    <w:tl2br w:val="nil"/>
                    <w:tr2bl w:val="nil"/>
                  </w:tcBorders>
                  <w:vAlign w:val="center"/>
                </w:tcPr>
                <w:p w14:paraId="13CC026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p>
              </w:tc>
              <w:tc>
                <w:tcPr>
                  <w:tcW w:w="672" w:type="dxa"/>
                  <w:vMerge w:val="continue"/>
                  <w:tcBorders>
                    <w:tl2br w:val="nil"/>
                    <w:tr2bl w:val="nil"/>
                  </w:tcBorders>
                  <w:vAlign w:val="center"/>
                </w:tcPr>
                <w:p w14:paraId="5338675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p>
              </w:tc>
              <w:tc>
                <w:tcPr>
                  <w:tcW w:w="697" w:type="dxa"/>
                  <w:vMerge w:val="continue"/>
                  <w:tcBorders>
                    <w:tl2br w:val="nil"/>
                    <w:tr2bl w:val="nil"/>
                  </w:tcBorders>
                  <w:vAlign w:val="center"/>
                </w:tcPr>
                <w:p w14:paraId="1B00CFC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p>
              </w:tc>
              <w:tc>
                <w:tcPr>
                  <w:tcW w:w="895" w:type="dxa"/>
                  <w:tcBorders>
                    <w:tl2br w:val="nil"/>
                    <w:tr2bl w:val="nil"/>
                  </w:tcBorders>
                  <w:vAlign w:val="center"/>
                </w:tcPr>
                <w:p w14:paraId="625D62AD">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NOx</w:t>
                  </w:r>
                </w:p>
              </w:tc>
              <w:tc>
                <w:tcPr>
                  <w:tcW w:w="654" w:type="dxa"/>
                  <w:vMerge w:val="continue"/>
                  <w:tcBorders>
                    <w:tl2br w:val="nil"/>
                    <w:tr2bl w:val="nil"/>
                  </w:tcBorders>
                  <w:vAlign w:val="center"/>
                </w:tcPr>
                <w:p w14:paraId="77A0228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p>
              </w:tc>
              <w:tc>
                <w:tcPr>
                  <w:tcW w:w="709" w:type="dxa"/>
                  <w:tcBorders>
                    <w:tl2br w:val="nil"/>
                    <w:tr2bl w:val="nil"/>
                  </w:tcBorders>
                  <w:vAlign w:val="center"/>
                </w:tcPr>
                <w:p w14:paraId="42A2F38E">
                  <w:pPr>
                    <w:spacing w:line="240" w:lineRule="auto"/>
                    <w:jc w:val="center"/>
                    <w:rPr>
                      <w:rFonts w:ascii="Times New Roman" w:hAnsi="Times New Roman" w:cs="Times New Roman"/>
                      <w:color w:val="auto"/>
                      <w:kern w:val="0"/>
                      <w:sz w:val="21"/>
                      <w:szCs w:val="21"/>
                      <w:u w:val="none"/>
                    </w:rPr>
                  </w:pPr>
                  <w:r>
                    <w:rPr>
                      <w:rFonts w:hint="eastAsia" w:ascii="Times New Roman" w:hAnsi="Times New Roman" w:cs="Times New Roman"/>
                      <w:color w:val="auto"/>
                      <w:kern w:val="0"/>
                      <w:sz w:val="21"/>
                      <w:szCs w:val="21"/>
                      <w:u w:val="none"/>
                      <w:lang w:val="en-US" w:eastAsia="zh-CN" w:bidi="ar-SA"/>
                    </w:rPr>
                    <w:t>/</w:t>
                  </w:r>
                </w:p>
              </w:tc>
              <w:tc>
                <w:tcPr>
                  <w:tcW w:w="842" w:type="dxa"/>
                  <w:tcBorders>
                    <w:tl2br w:val="nil"/>
                    <w:tr2bl w:val="nil"/>
                  </w:tcBorders>
                  <w:shd w:val="clear" w:color="auto" w:fill="auto"/>
                  <w:vAlign w:val="center"/>
                </w:tcPr>
                <w:p w14:paraId="569A542E">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u w:val="none"/>
                      <w:lang w:val="en-US" w:eastAsia="zh-CN" w:bidi="ar-SA"/>
                    </w:rPr>
                  </w:pPr>
                  <w:r>
                    <w:rPr>
                      <w:rFonts w:hint="eastAsia"/>
                      <w:color w:val="auto"/>
                      <w:kern w:val="0"/>
                      <w:sz w:val="21"/>
                      <w:szCs w:val="21"/>
                      <w:u w:val="none"/>
                      <w:lang w:val="en-US" w:eastAsia="zh-CN"/>
                    </w:rPr>
                    <w:t>8.29</w:t>
                  </w:r>
                </w:p>
              </w:tc>
              <w:tc>
                <w:tcPr>
                  <w:tcW w:w="918" w:type="dxa"/>
                  <w:tcBorders>
                    <w:tl2br w:val="nil"/>
                    <w:tr2bl w:val="nil"/>
                  </w:tcBorders>
                  <w:vAlign w:val="center"/>
                </w:tcPr>
                <w:p w14:paraId="31C3260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u w:val="none"/>
                      <w:lang w:eastAsia="zh-CN"/>
                    </w:rPr>
                  </w:pPr>
                  <w:r>
                    <w:rPr>
                      <w:rFonts w:ascii="Times New Roman" w:hAnsi="Times New Roman" w:cs="Times New Roman"/>
                      <w:color w:val="auto"/>
                      <w:sz w:val="21"/>
                      <w:szCs w:val="21"/>
                      <w:u w:val="none"/>
                    </w:rPr>
                    <w:t>有组织</w:t>
                  </w:r>
                </w:p>
              </w:tc>
              <w:tc>
                <w:tcPr>
                  <w:tcW w:w="2167" w:type="dxa"/>
                  <w:tcBorders>
                    <w:tl2br w:val="nil"/>
                    <w:tr2bl w:val="nil"/>
                  </w:tcBorders>
                  <w:vAlign w:val="center"/>
                </w:tcPr>
                <w:p w14:paraId="41393B29">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u w:val="none"/>
                      <w:lang w:eastAsia="zh-CN"/>
                    </w:rPr>
                  </w:pPr>
                  <w:r>
                    <w:rPr>
                      <w:rFonts w:hint="eastAsia" w:cs="Times New Roman"/>
                      <w:color w:val="auto"/>
                      <w:sz w:val="21"/>
                      <w:szCs w:val="21"/>
                      <w:u w:val="none"/>
                      <w:lang w:val="en-US" w:eastAsia="zh-CN"/>
                    </w:rPr>
                    <w:t>稀薄燃烧控制技术+15m高排气筒排放</w:t>
                  </w:r>
                </w:p>
              </w:tc>
              <w:tc>
                <w:tcPr>
                  <w:tcW w:w="752" w:type="dxa"/>
                  <w:tcBorders>
                    <w:tl2br w:val="nil"/>
                    <w:tr2bl w:val="nil"/>
                  </w:tcBorders>
                  <w:vAlign w:val="center"/>
                </w:tcPr>
                <w:p w14:paraId="6B6F245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1"/>
                      <w:szCs w:val="21"/>
                      <w:u w:val="none"/>
                      <w:lang w:val="zh-CN"/>
                    </w:rPr>
                  </w:pPr>
                  <w:r>
                    <w:rPr>
                      <w:rFonts w:ascii="Times New Roman" w:hAnsi="Times New Roman" w:cs="Times New Roman"/>
                      <w:color w:val="auto"/>
                      <w:sz w:val="21"/>
                      <w:szCs w:val="21"/>
                      <w:u w:val="none"/>
                      <w:lang w:val="zh-CN"/>
                    </w:rPr>
                    <w:t>可行</w:t>
                  </w:r>
                </w:p>
              </w:tc>
              <w:tc>
                <w:tcPr>
                  <w:tcW w:w="833" w:type="dxa"/>
                  <w:tcBorders>
                    <w:tl2br w:val="nil"/>
                    <w:tr2bl w:val="nil"/>
                  </w:tcBorders>
                  <w:shd w:val="clear" w:color="auto" w:fill="auto"/>
                  <w:vAlign w:val="center"/>
                </w:tcPr>
                <w:p w14:paraId="6935FB57">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1"/>
                      <w:u w:val="none"/>
                      <w:lang w:val="en-US" w:eastAsia="zh-CN" w:bidi="ar-SA"/>
                    </w:rPr>
                  </w:pPr>
                  <w:r>
                    <w:rPr>
                      <w:rFonts w:hint="eastAsia" w:cs="Times New Roman"/>
                      <w:color w:val="auto"/>
                      <w:kern w:val="0"/>
                      <w:sz w:val="21"/>
                      <w:szCs w:val="21"/>
                      <w:u w:val="none"/>
                      <w:lang w:val="en-US" w:eastAsia="zh-CN" w:bidi="ar-SA"/>
                    </w:rPr>
                    <w:t>360</w:t>
                  </w:r>
                </w:p>
              </w:tc>
              <w:tc>
                <w:tcPr>
                  <w:tcW w:w="808" w:type="dxa"/>
                  <w:tcBorders>
                    <w:tl2br w:val="nil"/>
                    <w:tr2bl w:val="nil"/>
                  </w:tcBorders>
                  <w:shd w:val="clear" w:color="auto" w:fill="auto"/>
                  <w:vAlign w:val="center"/>
                </w:tcPr>
                <w:p w14:paraId="4180BC10">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u w:val="none"/>
                      <w:lang w:val="en-US" w:eastAsia="zh-CN" w:bidi="ar-SA"/>
                    </w:rPr>
                  </w:pPr>
                  <w:r>
                    <w:rPr>
                      <w:rFonts w:hint="eastAsia" w:cs="Times New Roman"/>
                      <w:color w:val="auto"/>
                      <w:kern w:val="0"/>
                      <w:sz w:val="21"/>
                      <w:szCs w:val="21"/>
                      <w:u w:val="none"/>
                      <w:lang w:val="en-US" w:eastAsia="zh-CN"/>
                    </w:rPr>
                    <w:t>0.96</w:t>
                  </w:r>
                </w:p>
              </w:tc>
              <w:tc>
                <w:tcPr>
                  <w:tcW w:w="822" w:type="dxa"/>
                  <w:tcBorders>
                    <w:tl2br w:val="nil"/>
                    <w:tr2bl w:val="nil"/>
                  </w:tcBorders>
                  <w:shd w:val="clear" w:color="auto" w:fill="auto"/>
                  <w:vAlign w:val="center"/>
                </w:tcPr>
                <w:p w14:paraId="4C24F304">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u w:val="none"/>
                      <w:lang w:val="en-US" w:eastAsia="zh-CN" w:bidi="ar-SA"/>
                    </w:rPr>
                  </w:pPr>
                  <w:r>
                    <w:rPr>
                      <w:rFonts w:hint="eastAsia"/>
                      <w:color w:val="auto"/>
                      <w:kern w:val="0"/>
                      <w:sz w:val="21"/>
                      <w:szCs w:val="21"/>
                      <w:u w:val="none"/>
                      <w:lang w:val="en-US" w:eastAsia="zh-CN"/>
                    </w:rPr>
                    <w:t>8.29</w:t>
                  </w:r>
                </w:p>
              </w:tc>
              <w:tc>
                <w:tcPr>
                  <w:tcW w:w="716" w:type="dxa"/>
                  <w:tcBorders>
                    <w:tl2br w:val="nil"/>
                    <w:tr2bl w:val="nil"/>
                  </w:tcBorders>
                  <w:vAlign w:val="center"/>
                </w:tcPr>
                <w:p w14:paraId="3604830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8640</w:t>
                  </w:r>
                </w:p>
              </w:tc>
              <w:tc>
                <w:tcPr>
                  <w:tcW w:w="1909" w:type="dxa"/>
                  <w:vMerge w:val="continue"/>
                  <w:tcBorders>
                    <w:tl2br w:val="nil"/>
                    <w:tr2bl w:val="nil"/>
                  </w:tcBorders>
                  <w:vAlign w:val="center"/>
                </w:tcPr>
                <w:p w14:paraId="0A6728E0">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ascii="Times New Roman" w:hAnsi="Times New Roman" w:cs="Times New Roman"/>
                      <w:color w:val="auto"/>
                      <w:sz w:val="21"/>
                      <w:szCs w:val="21"/>
                      <w:u w:val="none"/>
                    </w:rPr>
                  </w:pPr>
                </w:p>
              </w:tc>
            </w:tr>
            <w:tr w14:paraId="674C7DBB">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578" w:hRule="atLeast"/>
              </w:trPr>
              <w:tc>
                <w:tcPr>
                  <w:tcW w:w="700" w:type="dxa"/>
                  <w:vMerge w:val="continue"/>
                  <w:tcBorders>
                    <w:tl2br w:val="nil"/>
                    <w:tr2bl w:val="nil"/>
                  </w:tcBorders>
                  <w:vAlign w:val="center"/>
                </w:tcPr>
                <w:p w14:paraId="1B46C18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p>
              </w:tc>
              <w:tc>
                <w:tcPr>
                  <w:tcW w:w="672" w:type="dxa"/>
                  <w:vMerge w:val="continue"/>
                  <w:tcBorders>
                    <w:tl2br w:val="nil"/>
                    <w:tr2bl w:val="nil"/>
                  </w:tcBorders>
                  <w:vAlign w:val="center"/>
                </w:tcPr>
                <w:p w14:paraId="1CC04D6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p>
              </w:tc>
              <w:tc>
                <w:tcPr>
                  <w:tcW w:w="697" w:type="dxa"/>
                  <w:vMerge w:val="continue"/>
                  <w:tcBorders>
                    <w:tl2br w:val="nil"/>
                    <w:tr2bl w:val="nil"/>
                  </w:tcBorders>
                  <w:vAlign w:val="center"/>
                </w:tcPr>
                <w:p w14:paraId="109F57E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p>
              </w:tc>
              <w:tc>
                <w:tcPr>
                  <w:tcW w:w="895" w:type="dxa"/>
                  <w:tcBorders>
                    <w:tl2br w:val="nil"/>
                    <w:tr2bl w:val="nil"/>
                  </w:tcBorders>
                  <w:vAlign w:val="center"/>
                </w:tcPr>
                <w:p w14:paraId="6A6F1A1F">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CO</w:t>
                  </w:r>
                </w:p>
              </w:tc>
              <w:tc>
                <w:tcPr>
                  <w:tcW w:w="654" w:type="dxa"/>
                  <w:vMerge w:val="continue"/>
                  <w:tcBorders>
                    <w:tl2br w:val="nil"/>
                    <w:tr2bl w:val="nil"/>
                  </w:tcBorders>
                  <w:vAlign w:val="center"/>
                </w:tcPr>
                <w:p w14:paraId="39674BA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p>
              </w:tc>
              <w:tc>
                <w:tcPr>
                  <w:tcW w:w="709" w:type="dxa"/>
                  <w:tcBorders>
                    <w:tl2br w:val="nil"/>
                    <w:tr2bl w:val="nil"/>
                  </w:tcBorders>
                  <w:vAlign w:val="center"/>
                </w:tcPr>
                <w:p w14:paraId="70B5FF7B">
                  <w:pPr>
                    <w:spacing w:line="240" w:lineRule="auto"/>
                    <w:jc w:val="center"/>
                    <w:rPr>
                      <w:rFonts w:ascii="Times New Roman" w:hAnsi="Times New Roman" w:cs="Times New Roman"/>
                      <w:color w:val="auto"/>
                      <w:kern w:val="0"/>
                      <w:sz w:val="21"/>
                      <w:szCs w:val="21"/>
                      <w:u w:val="none"/>
                    </w:rPr>
                  </w:pPr>
                  <w:r>
                    <w:rPr>
                      <w:rFonts w:hint="eastAsia" w:ascii="Times New Roman" w:hAnsi="Times New Roman" w:cs="Times New Roman"/>
                      <w:color w:val="auto"/>
                      <w:kern w:val="0"/>
                      <w:sz w:val="21"/>
                      <w:szCs w:val="21"/>
                      <w:u w:val="none"/>
                      <w:lang w:val="en-US" w:eastAsia="zh-CN" w:bidi="ar-SA"/>
                    </w:rPr>
                    <w:t>/</w:t>
                  </w:r>
                </w:p>
              </w:tc>
              <w:tc>
                <w:tcPr>
                  <w:tcW w:w="842" w:type="dxa"/>
                  <w:tcBorders>
                    <w:tl2br w:val="nil"/>
                    <w:tr2bl w:val="nil"/>
                  </w:tcBorders>
                  <w:shd w:val="clear" w:color="auto" w:fill="auto"/>
                  <w:vAlign w:val="center"/>
                </w:tcPr>
                <w:p w14:paraId="1BB9832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eastAsia" w:cs="Times New Roman"/>
                      <w:color w:val="auto"/>
                      <w:kern w:val="0"/>
                      <w:sz w:val="21"/>
                      <w:szCs w:val="21"/>
                      <w:highlight w:val="none"/>
                      <w:u w:val="none"/>
                      <w:lang w:val="en-US" w:eastAsia="zh-CN" w:bidi="ar-SA"/>
                    </w:rPr>
                    <w:t>9.676</w:t>
                  </w:r>
                </w:p>
              </w:tc>
              <w:tc>
                <w:tcPr>
                  <w:tcW w:w="918" w:type="dxa"/>
                  <w:tcBorders>
                    <w:tl2br w:val="nil"/>
                    <w:tr2bl w:val="nil"/>
                  </w:tcBorders>
                  <w:vAlign w:val="center"/>
                </w:tcPr>
                <w:p w14:paraId="7BB2F3D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u w:val="none"/>
                      <w:lang w:eastAsia="zh-CN"/>
                    </w:rPr>
                  </w:pPr>
                  <w:r>
                    <w:rPr>
                      <w:rFonts w:ascii="Times New Roman" w:hAnsi="Times New Roman" w:cs="Times New Roman"/>
                      <w:color w:val="auto"/>
                      <w:sz w:val="21"/>
                      <w:szCs w:val="21"/>
                      <w:u w:val="none"/>
                    </w:rPr>
                    <w:t>有组织</w:t>
                  </w:r>
                </w:p>
              </w:tc>
              <w:tc>
                <w:tcPr>
                  <w:tcW w:w="2167" w:type="dxa"/>
                  <w:tcBorders>
                    <w:tl2br w:val="nil"/>
                    <w:tr2bl w:val="nil"/>
                  </w:tcBorders>
                  <w:vAlign w:val="center"/>
                </w:tcPr>
                <w:p w14:paraId="116A913D">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u w:val="none"/>
                      <w:lang w:eastAsia="zh-CN"/>
                    </w:rPr>
                  </w:pPr>
                  <w:r>
                    <w:rPr>
                      <w:rFonts w:hint="eastAsia" w:cs="Times New Roman"/>
                      <w:color w:val="auto"/>
                      <w:sz w:val="21"/>
                      <w:szCs w:val="21"/>
                      <w:u w:val="none"/>
                      <w:lang w:val="en-US" w:eastAsia="zh-CN"/>
                    </w:rPr>
                    <w:t>稀薄燃烧控制技术+15m高排气筒排放</w:t>
                  </w:r>
                </w:p>
              </w:tc>
              <w:tc>
                <w:tcPr>
                  <w:tcW w:w="752" w:type="dxa"/>
                  <w:tcBorders>
                    <w:tl2br w:val="nil"/>
                    <w:tr2bl w:val="nil"/>
                  </w:tcBorders>
                  <w:vAlign w:val="center"/>
                </w:tcPr>
                <w:p w14:paraId="1D0C229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1"/>
                      <w:szCs w:val="21"/>
                      <w:u w:val="none"/>
                      <w:lang w:val="zh-CN"/>
                    </w:rPr>
                  </w:pPr>
                  <w:r>
                    <w:rPr>
                      <w:rFonts w:ascii="Times New Roman" w:hAnsi="Times New Roman" w:cs="Times New Roman"/>
                      <w:color w:val="auto"/>
                      <w:sz w:val="21"/>
                      <w:szCs w:val="21"/>
                      <w:u w:val="none"/>
                      <w:lang w:val="zh-CN"/>
                    </w:rPr>
                    <w:t>可行</w:t>
                  </w:r>
                </w:p>
              </w:tc>
              <w:tc>
                <w:tcPr>
                  <w:tcW w:w="833" w:type="dxa"/>
                  <w:tcBorders>
                    <w:tl2br w:val="nil"/>
                    <w:tr2bl w:val="nil"/>
                  </w:tcBorders>
                  <w:shd w:val="clear" w:color="auto" w:fill="auto"/>
                  <w:vAlign w:val="center"/>
                </w:tcPr>
                <w:p w14:paraId="585209D3">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cs="Times New Roman"/>
                      <w:color w:val="auto"/>
                      <w:kern w:val="0"/>
                      <w:sz w:val="21"/>
                      <w:szCs w:val="21"/>
                      <w:highlight w:val="none"/>
                      <w:u w:val="none"/>
                      <w:lang w:val="en-US" w:eastAsia="zh-CN" w:bidi="ar-SA"/>
                    </w:rPr>
                    <w:t>420</w:t>
                  </w:r>
                </w:p>
              </w:tc>
              <w:tc>
                <w:tcPr>
                  <w:tcW w:w="808" w:type="dxa"/>
                  <w:tcBorders>
                    <w:tl2br w:val="nil"/>
                    <w:tr2bl w:val="nil"/>
                  </w:tcBorders>
                  <w:shd w:val="clear" w:color="auto" w:fill="auto"/>
                  <w:vAlign w:val="center"/>
                </w:tcPr>
                <w:p w14:paraId="25233635">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eastAsia" w:cs="Times New Roman"/>
                      <w:color w:val="auto"/>
                      <w:kern w:val="0"/>
                      <w:sz w:val="21"/>
                      <w:szCs w:val="21"/>
                      <w:highlight w:val="none"/>
                      <w:u w:val="none"/>
                      <w:lang w:val="en-US" w:eastAsia="zh-CN"/>
                    </w:rPr>
                    <w:t>1.12</w:t>
                  </w:r>
                </w:p>
              </w:tc>
              <w:tc>
                <w:tcPr>
                  <w:tcW w:w="822" w:type="dxa"/>
                  <w:tcBorders>
                    <w:tl2br w:val="nil"/>
                    <w:tr2bl w:val="nil"/>
                  </w:tcBorders>
                  <w:shd w:val="clear" w:color="auto" w:fill="auto"/>
                  <w:vAlign w:val="center"/>
                </w:tcPr>
                <w:p w14:paraId="2F1EF643">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eastAsia" w:cs="Times New Roman"/>
                      <w:color w:val="auto"/>
                      <w:kern w:val="0"/>
                      <w:sz w:val="21"/>
                      <w:szCs w:val="21"/>
                      <w:highlight w:val="none"/>
                      <w:u w:val="none"/>
                      <w:lang w:val="en-US" w:eastAsia="zh-CN" w:bidi="ar-SA"/>
                    </w:rPr>
                    <w:t>9.676</w:t>
                  </w:r>
                </w:p>
              </w:tc>
              <w:tc>
                <w:tcPr>
                  <w:tcW w:w="716" w:type="dxa"/>
                  <w:tcBorders>
                    <w:tl2br w:val="nil"/>
                    <w:tr2bl w:val="nil"/>
                  </w:tcBorders>
                  <w:vAlign w:val="center"/>
                </w:tcPr>
                <w:p w14:paraId="566CEAC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8640</w:t>
                  </w:r>
                </w:p>
              </w:tc>
              <w:tc>
                <w:tcPr>
                  <w:tcW w:w="1909" w:type="dxa"/>
                  <w:vMerge w:val="continue"/>
                  <w:tcBorders>
                    <w:tl2br w:val="nil"/>
                    <w:tr2bl w:val="nil"/>
                  </w:tcBorders>
                  <w:vAlign w:val="center"/>
                </w:tcPr>
                <w:p w14:paraId="69680843">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ascii="Times New Roman" w:hAnsi="Times New Roman" w:cs="Times New Roman"/>
                      <w:color w:val="auto"/>
                      <w:sz w:val="21"/>
                      <w:szCs w:val="21"/>
                      <w:u w:val="none"/>
                    </w:rPr>
                  </w:pPr>
                </w:p>
              </w:tc>
            </w:tr>
            <w:tr w14:paraId="65D91D53">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594" w:hRule="atLeast"/>
              </w:trPr>
              <w:tc>
                <w:tcPr>
                  <w:tcW w:w="700" w:type="dxa"/>
                  <w:vMerge w:val="continue"/>
                  <w:tcBorders>
                    <w:tl2br w:val="nil"/>
                    <w:tr2bl w:val="nil"/>
                  </w:tcBorders>
                  <w:vAlign w:val="center"/>
                </w:tcPr>
                <w:p w14:paraId="543AA83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p>
              </w:tc>
              <w:tc>
                <w:tcPr>
                  <w:tcW w:w="672" w:type="dxa"/>
                  <w:vMerge w:val="continue"/>
                  <w:tcBorders>
                    <w:tl2br w:val="nil"/>
                    <w:tr2bl w:val="nil"/>
                  </w:tcBorders>
                  <w:vAlign w:val="center"/>
                </w:tcPr>
                <w:p w14:paraId="58D8EE4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p>
              </w:tc>
              <w:tc>
                <w:tcPr>
                  <w:tcW w:w="697" w:type="dxa"/>
                  <w:vMerge w:val="continue"/>
                  <w:tcBorders>
                    <w:tl2br w:val="nil"/>
                    <w:tr2bl w:val="nil"/>
                  </w:tcBorders>
                  <w:vAlign w:val="center"/>
                </w:tcPr>
                <w:p w14:paraId="67DFCC7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p>
              </w:tc>
              <w:tc>
                <w:tcPr>
                  <w:tcW w:w="895" w:type="dxa"/>
                  <w:tcBorders>
                    <w:tl2br w:val="nil"/>
                    <w:tr2bl w:val="nil"/>
                  </w:tcBorders>
                  <w:vAlign w:val="center"/>
                </w:tcPr>
                <w:p w14:paraId="6E84A7D5">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非甲烷总烃</w:t>
                  </w:r>
                </w:p>
              </w:tc>
              <w:tc>
                <w:tcPr>
                  <w:tcW w:w="654" w:type="dxa"/>
                  <w:vMerge w:val="continue"/>
                  <w:tcBorders>
                    <w:tl2br w:val="nil"/>
                    <w:tr2bl w:val="nil"/>
                  </w:tcBorders>
                  <w:vAlign w:val="center"/>
                </w:tcPr>
                <w:p w14:paraId="428CD76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1"/>
                      <w:szCs w:val="21"/>
                      <w:u w:val="none"/>
                    </w:rPr>
                  </w:pPr>
                </w:p>
              </w:tc>
              <w:tc>
                <w:tcPr>
                  <w:tcW w:w="709" w:type="dxa"/>
                  <w:tcBorders>
                    <w:tl2br w:val="nil"/>
                    <w:tr2bl w:val="nil"/>
                  </w:tcBorders>
                  <w:vAlign w:val="center"/>
                </w:tcPr>
                <w:p w14:paraId="1D62B0F1">
                  <w:pPr>
                    <w:spacing w:line="240" w:lineRule="auto"/>
                    <w:jc w:val="center"/>
                    <w:rPr>
                      <w:rFonts w:ascii="Times New Roman" w:hAnsi="Times New Roman" w:cs="Times New Roman"/>
                      <w:color w:val="auto"/>
                      <w:kern w:val="0"/>
                      <w:sz w:val="21"/>
                      <w:szCs w:val="21"/>
                      <w:u w:val="none"/>
                    </w:rPr>
                  </w:pPr>
                  <w:r>
                    <w:rPr>
                      <w:rFonts w:hint="eastAsia" w:ascii="Times New Roman" w:hAnsi="Times New Roman" w:cs="Times New Roman"/>
                      <w:color w:val="auto"/>
                      <w:kern w:val="0"/>
                      <w:sz w:val="21"/>
                      <w:szCs w:val="21"/>
                      <w:u w:val="none"/>
                      <w:lang w:val="en-US" w:eastAsia="zh-CN"/>
                    </w:rPr>
                    <w:t>/</w:t>
                  </w:r>
                </w:p>
              </w:tc>
              <w:tc>
                <w:tcPr>
                  <w:tcW w:w="842" w:type="dxa"/>
                  <w:tcBorders>
                    <w:tl2br w:val="nil"/>
                    <w:tr2bl w:val="nil"/>
                  </w:tcBorders>
                  <w:shd w:val="clear" w:color="auto" w:fill="auto"/>
                  <w:vAlign w:val="center"/>
                </w:tcPr>
                <w:p w14:paraId="1C4DDC35">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u w:val="none"/>
                      <w:lang w:val="en-US" w:eastAsia="zh-CN" w:bidi="ar-SA"/>
                    </w:rPr>
                  </w:pPr>
                  <w:r>
                    <w:rPr>
                      <w:rFonts w:hint="eastAsia"/>
                      <w:color w:val="auto"/>
                      <w:kern w:val="0"/>
                      <w:sz w:val="21"/>
                      <w:szCs w:val="21"/>
                      <w:u w:val="none"/>
                      <w:lang w:val="en-US" w:eastAsia="zh-CN"/>
                    </w:rPr>
                    <w:t>1.59</w:t>
                  </w:r>
                </w:p>
              </w:tc>
              <w:tc>
                <w:tcPr>
                  <w:tcW w:w="918" w:type="dxa"/>
                  <w:tcBorders>
                    <w:tl2br w:val="nil"/>
                    <w:tr2bl w:val="nil"/>
                  </w:tcBorders>
                  <w:vAlign w:val="center"/>
                </w:tcPr>
                <w:p w14:paraId="61BA876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u w:val="none"/>
                      <w:lang w:eastAsia="zh-CN"/>
                    </w:rPr>
                  </w:pPr>
                  <w:r>
                    <w:rPr>
                      <w:rFonts w:ascii="Times New Roman" w:hAnsi="Times New Roman" w:cs="Times New Roman"/>
                      <w:color w:val="auto"/>
                      <w:sz w:val="21"/>
                      <w:szCs w:val="21"/>
                      <w:u w:val="none"/>
                    </w:rPr>
                    <w:t>有组织</w:t>
                  </w:r>
                </w:p>
              </w:tc>
              <w:tc>
                <w:tcPr>
                  <w:tcW w:w="2167" w:type="dxa"/>
                  <w:tcBorders>
                    <w:tl2br w:val="nil"/>
                    <w:tr2bl w:val="nil"/>
                  </w:tcBorders>
                  <w:vAlign w:val="center"/>
                </w:tcPr>
                <w:p w14:paraId="228253CA">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cs="Times New Roman"/>
                      <w:color w:val="auto"/>
                      <w:sz w:val="21"/>
                      <w:szCs w:val="21"/>
                      <w:u w:val="none"/>
                      <w:lang w:eastAsia="zh-CN"/>
                    </w:rPr>
                  </w:pPr>
                  <w:r>
                    <w:rPr>
                      <w:rFonts w:hint="eastAsia" w:cs="Times New Roman"/>
                      <w:color w:val="auto"/>
                      <w:sz w:val="21"/>
                      <w:szCs w:val="21"/>
                      <w:u w:val="none"/>
                      <w:lang w:val="en-US" w:eastAsia="zh-CN"/>
                    </w:rPr>
                    <w:t>稀薄燃烧控制技术+15m高排气筒排放</w:t>
                  </w:r>
                </w:p>
              </w:tc>
              <w:tc>
                <w:tcPr>
                  <w:tcW w:w="752" w:type="dxa"/>
                  <w:tcBorders>
                    <w:tl2br w:val="nil"/>
                    <w:tr2bl w:val="nil"/>
                  </w:tcBorders>
                  <w:vAlign w:val="center"/>
                </w:tcPr>
                <w:p w14:paraId="4E86BDF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1"/>
                      <w:szCs w:val="21"/>
                      <w:u w:val="none"/>
                      <w:lang w:val="zh-CN"/>
                    </w:rPr>
                  </w:pPr>
                  <w:r>
                    <w:rPr>
                      <w:rFonts w:ascii="Times New Roman" w:hAnsi="Times New Roman" w:cs="Times New Roman"/>
                      <w:color w:val="auto"/>
                      <w:sz w:val="21"/>
                      <w:szCs w:val="21"/>
                      <w:u w:val="none"/>
                      <w:lang w:val="zh-CN"/>
                    </w:rPr>
                    <w:t>可行</w:t>
                  </w:r>
                </w:p>
              </w:tc>
              <w:tc>
                <w:tcPr>
                  <w:tcW w:w="833" w:type="dxa"/>
                  <w:tcBorders>
                    <w:tl2br w:val="nil"/>
                    <w:tr2bl w:val="nil"/>
                  </w:tcBorders>
                  <w:shd w:val="clear" w:color="auto" w:fill="auto"/>
                  <w:vAlign w:val="center"/>
                </w:tcPr>
                <w:p w14:paraId="4AC6937F">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1"/>
                      <w:u w:val="none"/>
                      <w:lang w:val="en-US" w:eastAsia="zh-CN" w:bidi="ar-SA"/>
                    </w:rPr>
                  </w:pPr>
                  <w:r>
                    <w:rPr>
                      <w:rFonts w:hint="eastAsia"/>
                      <w:color w:val="auto"/>
                      <w:kern w:val="0"/>
                      <w:sz w:val="21"/>
                      <w:szCs w:val="21"/>
                      <w:u w:val="none"/>
                      <w:lang w:val="en-US" w:eastAsia="zh-CN"/>
                    </w:rPr>
                    <w:t>69</w:t>
                  </w:r>
                </w:p>
              </w:tc>
              <w:tc>
                <w:tcPr>
                  <w:tcW w:w="808" w:type="dxa"/>
                  <w:tcBorders>
                    <w:tl2br w:val="nil"/>
                    <w:tr2bl w:val="nil"/>
                  </w:tcBorders>
                  <w:shd w:val="clear" w:color="auto" w:fill="auto"/>
                  <w:vAlign w:val="center"/>
                </w:tcPr>
                <w:p w14:paraId="03DD1084">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u w:val="none"/>
                      <w:lang w:val="en-US" w:eastAsia="zh-CN" w:bidi="ar-SA"/>
                    </w:rPr>
                  </w:pPr>
                  <w:r>
                    <w:rPr>
                      <w:rFonts w:hint="eastAsia" w:cs="Times New Roman"/>
                      <w:color w:val="auto"/>
                      <w:kern w:val="0"/>
                      <w:sz w:val="21"/>
                      <w:szCs w:val="21"/>
                      <w:u w:val="none"/>
                      <w:lang w:val="en-US" w:eastAsia="zh-CN"/>
                    </w:rPr>
                    <w:t>0.18</w:t>
                  </w:r>
                </w:p>
              </w:tc>
              <w:tc>
                <w:tcPr>
                  <w:tcW w:w="822" w:type="dxa"/>
                  <w:tcBorders>
                    <w:tl2br w:val="nil"/>
                    <w:tr2bl w:val="nil"/>
                  </w:tcBorders>
                  <w:shd w:val="clear" w:color="auto" w:fill="auto"/>
                  <w:vAlign w:val="center"/>
                </w:tcPr>
                <w:p w14:paraId="00EDCB2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u w:val="none"/>
                      <w:lang w:val="en-US" w:eastAsia="zh-CN" w:bidi="ar-SA"/>
                    </w:rPr>
                  </w:pPr>
                  <w:r>
                    <w:rPr>
                      <w:rFonts w:hint="eastAsia"/>
                      <w:color w:val="auto"/>
                      <w:kern w:val="0"/>
                      <w:sz w:val="21"/>
                      <w:szCs w:val="21"/>
                      <w:u w:val="none"/>
                      <w:lang w:val="en-US" w:eastAsia="zh-CN"/>
                    </w:rPr>
                    <w:t>1.59</w:t>
                  </w:r>
                </w:p>
              </w:tc>
              <w:tc>
                <w:tcPr>
                  <w:tcW w:w="716" w:type="dxa"/>
                  <w:tcBorders>
                    <w:tl2br w:val="nil"/>
                    <w:tr2bl w:val="nil"/>
                  </w:tcBorders>
                  <w:vAlign w:val="center"/>
                </w:tcPr>
                <w:p w14:paraId="6628514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8640</w:t>
                  </w:r>
                </w:p>
              </w:tc>
              <w:tc>
                <w:tcPr>
                  <w:tcW w:w="1909" w:type="dxa"/>
                  <w:vMerge w:val="continue"/>
                  <w:tcBorders>
                    <w:tl2br w:val="nil"/>
                    <w:tr2bl w:val="nil"/>
                  </w:tcBorders>
                  <w:vAlign w:val="center"/>
                </w:tcPr>
                <w:p w14:paraId="2117507A">
                  <w:pPr>
                    <w:keepNext w:val="0"/>
                    <w:keepLines w:val="0"/>
                    <w:pageBreakBefore w:val="0"/>
                    <w:kinsoku/>
                    <w:wordWrap/>
                    <w:overflowPunct/>
                    <w:topLinePunct w:val="0"/>
                    <w:autoSpaceDE/>
                    <w:autoSpaceDN/>
                    <w:bidi w:val="0"/>
                    <w:adjustRightInd w:val="0"/>
                    <w:snapToGrid w:val="0"/>
                    <w:spacing w:line="320" w:lineRule="exact"/>
                    <w:jc w:val="center"/>
                    <w:textAlignment w:val="auto"/>
                    <w:rPr>
                      <w:rFonts w:ascii="Times New Roman" w:hAnsi="Times New Roman" w:cs="Times New Roman"/>
                      <w:color w:val="auto"/>
                      <w:sz w:val="21"/>
                      <w:szCs w:val="21"/>
                      <w:u w:val="none"/>
                    </w:rPr>
                  </w:pPr>
                </w:p>
              </w:tc>
            </w:tr>
          </w:tbl>
          <w:p w14:paraId="528B9400">
            <w:pPr>
              <w:spacing w:before="120" w:beforeLines="50" w:line="360" w:lineRule="auto"/>
              <w:ind w:firstLine="420" w:firstLineChars="200"/>
              <w:rPr>
                <w:rFonts w:ascii="Times New Roman" w:hAnsi="Times New Roman" w:cs="Times New Roman"/>
                <w:color w:val="auto"/>
                <w:u w:val="none"/>
              </w:rPr>
            </w:pPr>
          </w:p>
        </w:tc>
      </w:tr>
    </w:tbl>
    <w:p w14:paraId="72CF56B3">
      <w:pPr>
        <w:pStyle w:val="28"/>
        <w:widowControl/>
        <w:numPr>
          <w:ilvl w:val="0"/>
          <w:numId w:val="0"/>
        </w:numPr>
        <w:spacing w:before="100" w:beforeLines="50" w:beforeAutospacing="0" w:after="100" w:afterLines="50" w:afterAutospacing="0"/>
        <w:jc w:val="both"/>
        <w:outlineLvl w:val="0"/>
        <w:rPr>
          <w:rFonts w:ascii="Times New Roman" w:hAnsi="Times New Roman" w:cs="Times New Roman"/>
          <w:b/>
          <w:bCs/>
          <w:color w:val="auto"/>
          <w:sz w:val="30"/>
          <w:szCs w:val="30"/>
          <w:u w:val="none"/>
        </w:rPr>
        <w:sectPr>
          <w:pgSz w:w="16840" w:h="11907" w:orient="landscape"/>
          <w:pgMar w:top="1417" w:right="1134" w:bottom="1417" w:left="1134"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32"/>
        <w:tblW w:w="920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68"/>
        <w:gridCol w:w="8739"/>
      </w:tblGrid>
      <w:tr w14:paraId="545692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138" w:hRule="atLeast"/>
          <w:jc w:val="center"/>
        </w:trPr>
        <w:tc>
          <w:tcPr>
            <w:tcW w:w="468" w:type="dxa"/>
            <w:tcMar>
              <w:left w:w="28" w:type="dxa"/>
              <w:right w:w="28" w:type="dxa"/>
            </w:tcMar>
            <w:vAlign w:val="center"/>
          </w:tcPr>
          <w:p w14:paraId="10E9D2C6">
            <w:pPr>
              <w:spacing w:line="400" w:lineRule="exact"/>
              <w:jc w:val="center"/>
              <w:rPr>
                <w:rFonts w:hint="default" w:ascii="Times New Roman" w:hAnsi="Times New Roman" w:eastAsia="宋体" w:cs="Times New Roman"/>
                <w:b/>
                <w:bCs/>
                <w:color w:val="auto"/>
                <w:sz w:val="24"/>
                <w:u w:val="none"/>
              </w:rPr>
            </w:pPr>
            <w:r>
              <w:rPr>
                <w:rFonts w:hint="default" w:ascii="Times New Roman" w:hAnsi="Times New Roman" w:eastAsia="宋体" w:cs="Times New Roman"/>
                <w:b/>
                <w:bCs/>
                <w:color w:val="auto"/>
                <w:sz w:val="24"/>
                <w:u w:val="none"/>
              </w:rPr>
              <w:t>运营</w:t>
            </w:r>
          </w:p>
          <w:p w14:paraId="47B6A8AC">
            <w:pPr>
              <w:spacing w:line="400" w:lineRule="exact"/>
              <w:jc w:val="center"/>
              <w:rPr>
                <w:rFonts w:hint="default" w:ascii="Times New Roman" w:hAnsi="Times New Roman" w:eastAsia="宋体" w:cs="Times New Roman"/>
                <w:b/>
                <w:bCs/>
                <w:color w:val="auto"/>
                <w:sz w:val="24"/>
                <w:u w:val="none"/>
              </w:rPr>
            </w:pPr>
            <w:r>
              <w:rPr>
                <w:rFonts w:hint="default" w:ascii="Times New Roman" w:hAnsi="Times New Roman" w:eastAsia="宋体" w:cs="Times New Roman"/>
                <w:b/>
                <w:bCs/>
                <w:color w:val="auto"/>
                <w:sz w:val="24"/>
                <w:u w:val="none"/>
              </w:rPr>
              <w:t>期环</w:t>
            </w:r>
          </w:p>
          <w:p w14:paraId="6415144B">
            <w:pPr>
              <w:spacing w:line="400" w:lineRule="exact"/>
              <w:jc w:val="center"/>
              <w:rPr>
                <w:rFonts w:hint="default" w:ascii="Times New Roman" w:hAnsi="Times New Roman" w:eastAsia="宋体" w:cs="Times New Roman"/>
                <w:b/>
                <w:bCs/>
                <w:color w:val="auto"/>
                <w:sz w:val="24"/>
                <w:u w:val="none"/>
              </w:rPr>
            </w:pPr>
            <w:r>
              <w:rPr>
                <w:rFonts w:hint="default" w:ascii="Times New Roman" w:hAnsi="Times New Roman" w:eastAsia="宋体" w:cs="Times New Roman"/>
                <w:b/>
                <w:bCs/>
                <w:color w:val="auto"/>
                <w:sz w:val="24"/>
                <w:u w:val="none"/>
              </w:rPr>
              <w:t>境影</w:t>
            </w:r>
          </w:p>
          <w:p w14:paraId="42D37F32">
            <w:pPr>
              <w:spacing w:line="400" w:lineRule="exact"/>
              <w:jc w:val="center"/>
              <w:rPr>
                <w:rFonts w:hint="default" w:ascii="Times New Roman" w:hAnsi="Times New Roman" w:eastAsia="宋体" w:cs="Times New Roman"/>
                <w:b/>
                <w:bCs/>
                <w:color w:val="auto"/>
                <w:sz w:val="24"/>
                <w:u w:val="none"/>
              </w:rPr>
            </w:pPr>
            <w:r>
              <w:rPr>
                <w:rFonts w:hint="default" w:ascii="Times New Roman" w:hAnsi="Times New Roman" w:eastAsia="宋体" w:cs="Times New Roman"/>
                <w:b/>
                <w:bCs/>
                <w:color w:val="auto"/>
                <w:sz w:val="24"/>
                <w:u w:val="none"/>
              </w:rPr>
              <w:t>响和</w:t>
            </w:r>
          </w:p>
          <w:p w14:paraId="2CB0342F">
            <w:pPr>
              <w:spacing w:line="400" w:lineRule="exact"/>
              <w:jc w:val="center"/>
              <w:rPr>
                <w:rFonts w:hint="default" w:ascii="Times New Roman" w:hAnsi="Times New Roman" w:eastAsia="宋体" w:cs="Times New Roman"/>
                <w:b/>
                <w:bCs/>
                <w:color w:val="auto"/>
                <w:sz w:val="24"/>
                <w:u w:val="none"/>
              </w:rPr>
            </w:pPr>
            <w:r>
              <w:rPr>
                <w:rFonts w:hint="default" w:ascii="Times New Roman" w:hAnsi="Times New Roman" w:eastAsia="宋体" w:cs="Times New Roman"/>
                <w:b/>
                <w:bCs/>
                <w:color w:val="auto"/>
                <w:sz w:val="24"/>
                <w:u w:val="none"/>
              </w:rPr>
              <w:t>保护</w:t>
            </w:r>
          </w:p>
          <w:p w14:paraId="2ABC0B08">
            <w:pPr>
              <w:spacing w:line="400" w:lineRule="exact"/>
              <w:jc w:val="center"/>
              <w:rPr>
                <w:rFonts w:hint="default" w:ascii="Times New Roman" w:hAnsi="Times New Roman" w:eastAsia="宋体" w:cs="Times New Roman"/>
                <w:b/>
                <w:bCs/>
                <w:color w:val="auto"/>
                <w:sz w:val="24"/>
                <w:u w:val="none"/>
              </w:rPr>
            </w:pPr>
            <w:r>
              <w:rPr>
                <w:rFonts w:hint="default" w:ascii="Times New Roman" w:hAnsi="Times New Roman" w:eastAsia="宋体" w:cs="Times New Roman"/>
                <w:b/>
                <w:bCs/>
                <w:color w:val="auto"/>
                <w:sz w:val="24"/>
                <w:u w:val="none"/>
              </w:rPr>
              <w:t>措施</w:t>
            </w:r>
          </w:p>
        </w:tc>
        <w:tc>
          <w:tcPr>
            <w:tcW w:w="8739" w:type="dxa"/>
            <w:vAlign w:val="center"/>
          </w:tcPr>
          <w:p w14:paraId="71A7DB84">
            <w:pPr>
              <w:keepNext w:val="0"/>
              <w:keepLines w:val="0"/>
              <w:pageBreakBefore w:val="0"/>
              <w:kinsoku/>
              <w:wordWrap/>
              <w:overflowPunct/>
              <w:topLinePunct w:val="0"/>
              <w:autoSpaceDE/>
              <w:autoSpaceDN/>
              <w:bidi w:val="0"/>
              <w:adjustRightInd/>
              <w:spacing w:line="500" w:lineRule="exact"/>
              <w:ind w:firstLine="482" w:firstLineChars="200"/>
              <w:textAlignment w:val="auto"/>
              <w:rPr>
                <w:rFonts w:ascii="Times New Roman" w:hAnsi="Times New Roman" w:cs="Times New Roman"/>
                <w:color w:val="auto"/>
                <w:sz w:val="24"/>
                <w:highlight w:val="none"/>
                <w:u w:val="none"/>
              </w:rPr>
            </w:pPr>
            <w:r>
              <w:rPr>
                <w:rFonts w:hint="eastAsia" w:cs="Times New Roman"/>
                <w:b/>
                <w:bCs/>
                <w:color w:val="auto"/>
                <w:sz w:val="24"/>
                <w:highlight w:val="none"/>
                <w:u w:val="none"/>
                <w:lang w:val="en-US" w:eastAsia="zh-CN"/>
              </w:rPr>
              <w:t>1.2</w:t>
            </w:r>
            <w:r>
              <w:rPr>
                <w:rFonts w:ascii="Times New Roman" w:hAnsi="Times New Roman" w:cs="Times New Roman"/>
                <w:b/>
                <w:bCs/>
                <w:color w:val="auto"/>
                <w:sz w:val="24"/>
                <w:highlight w:val="none"/>
                <w:u w:val="none"/>
              </w:rPr>
              <w:t>大气污染物</w:t>
            </w:r>
          </w:p>
          <w:p w14:paraId="242E7DEC">
            <w:pPr>
              <w:pStyle w:val="28"/>
              <w:keepNext w:val="0"/>
              <w:keepLines w:val="0"/>
              <w:pageBreakBefore w:val="0"/>
              <w:widowControl/>
              <w:suppressLineNumbers w:val="0"/>
              <w:kinsoku/>
              <w:wordWrap/>
              <w:overflowPunct/>
              <w:topLinePunct w:val="0"/>
              <w:autoSpaceDE/>
              <w:autoSpaceDN/>
              <w:bidi w:val="0"/>
              <w:adjustRightInd/>
              <w:spacing w:before="0" w:beforeAutospacing="0" w:after="0" w:afterAutospacing="0" w:line="500" w:lineRule="exact"/>
              <w:ind w:left="0" w:right="0" w:firstLine="480" w:firstLineChars="200"/>
              <w:textAlignment w:val="auto"/>
              <w:rPr>
                <w:rFonts w:hint="eastAsia" w:ascii="Times New Roman" w:hAnsi="Times New Roman" w:eastAsia="宋体" w:cs="Times New Roman"/>
                <w:b w:val="0"/>
                <w:bCs w:val="0"/>
                <w:color w:val="auto"/>
                <w:kern w:val="2"/>
                <w:sz w:val="24"/>
                <w:szCs w:val="24"/>
                <w:highlight w:val="none"/>
                <w:u w:val="none"/>
                <w:lang w:val="en-US" w:eastAsia="zh-CN" w:bidi="ar-SA"/>
              </w:rPr>
            </w:pPr>
            <w:r>
              <w:rPr>
                <w:rFonts w:hint="eastAsia" w:ascii="Times New Roman" w:hAnsi="Times New Roman" w:eastAsia="宋体" w:cs="Times New Roman"/>
                <w:b w:val="0"/>
                <w:bCs w:val="0"/>
                <w:color w:val="auto"/>
                <w:kern w:val="2"/>
                <w:sz w:val="24"/>
                <w:szCs w:val="24"/>
                <w:highlight w:val="none"/>
                <w:u w:val="none"/>
                <w:lang w:val="en-US" w:eastAsia="zh-CN" w:bidi="ar-SA"/>
              </w:rPr>
              <w:t>本项目营运期主要是发电机正常运行时产生的烟气。</w:t>
            </w:r>
          </w:p>
          <w:p w14:paraId="48BEF742">
            <w:pPr>
              <w:pStyle w:val="28"/>
              <w:keepNext w:val="0"/>
              <w:keepLines w:val="0"/>
              <w:pageBreakBefore w:val="0"/>
              <w:widowControl/>
              <w:suppressLineNumbers w:val="0"/>
              <w:kinsoku/>
              <w:wordWrap/>
              <w:overflowPunct/>
              <w:topLinePunct w:val="0"/>
              <w:autoSpaceDE/>
              <w:autoSpaceDN/>
              <w:bidi w:val="0"/>
              <w:adjustRightInd/>
              <w:spacing w:before="0" w:beforeAutospacing="0" w:after="0" w:afterAutospacing="0" w:line="500" w:lineRule="exact"/>
              <w:ind w:left="0" w:right="0" w:firstLine="482" w:firstLineChars="200"/>
              <w:textAlignment w:val="auto"/>
              <w:rPr>
                <w:rFonts w:hint="eastAsia" w:ascii="Times New Roman" w:hAnsi="Times New Roman" w:eastAsia="宋体" w:cs="Times New Roman"/>
                <w:b w:val="0"/>
                <w:bCs w:val="0"/>
                <w:color w:val="auto"/>
                <w:kern w:val="2"/>
                <w:sz w:val="24"/>
                <w:szCs w:val="24"/>
                <w:highlight w:val="none"/>
                <w:u w:val="none"/>
                <w:lang w:val="en-US" w:eastAsia="zh-CN" w:bidi="ar-SA"/>
              </w:rPr>
            </w:pPr>
            <w:r>
              <w:rPr>
                <w:rFonts w:hint="eastAsia" w:ascii="Times New Roman" w:hAnsi="Times New Roman" w:cs="Times New Roman"/>
                <w:b/>
                <w:bCs/>
                <w:color w:val="auto"/>
                <w:kern w:val="2"/>
                <w:sz w:val="24"/>
                <w:szCs w:val="24"/>
                <w:highlight w:val="none"/>
                <w:u w:val="none"/>
                <w:lang w:val="en-US" w:eastAsia="zh-CN" w:bidi="ar-SA"/>
              </w:rPr>
              <w:t>1.2.1</w:t>
            </w:r>
            <w:r>
              <w:rPr>
                <w:rFonts w:hint="eastAsia" w:ascii="Times New Roman" w:hAnsi="Times New Roman" w:eastAsia="宋体" w:cs="Times New Roman"/>
                <w:b/>
                <w:bCs/>
                <w:color w:val="auto"/>
                <w:kern w:val="2"/>
                <w:sz w:val="24"/>
                <w:szCs w:val="24"/>
                <w:highlight w:val="none"/>
                <w:u w:val="none"/>
                <w:lang w:val="en-US" w:eastAsia="zh-CN" w:bidi="ar-SA"/>
              </w:rPr>
              <w:t>废气正常排放</w:t>
            </w:r>
          </w:p>
          <w:p w14:paraId="67CFED65">
            <w:pPr>
              <w:pStyle w:val="28"/>
              <w:keepNext w:val="0"/>
              <w:keepLines w:val="0"/>
              <w:pageBreakBefore w:val="0"/>
              <w:widowControl/>
              <w:suppressLineNumbers w:val="0"/>
              <w:kinsoku/>
              <w:wordWrap/>
              <w:overflowPunct/>
              <w:topLinePunct w:val="0"/>
              <w:autoSpaceDE/>
              <w:autoSpaceDN/>
              <w:bidi w:val="0"/>
              <w:adjustRightInd/>
              <w:spacing w:before="0" w:beforeAutospacing="0" w:after="0" w:afterAutospacing="0" w:line="500" w:lineRule="exact"/>
              <w:ind w:left="0" w:right="0" w:firstLine="480" w:firstLineChars="200"/>
              <w:textAlignment w:val="auto"/>
              <w:rPr>
                <w:rFonts w:hint="eastAsia" w:ascii="Times New Roman" w:hAnsi="Times New Roman" w:eastAsia="宋体" w:cs="Times New Roman"/>
                <w:bCs/>
                <w:color w:val="auto"/>
                <w:kern w:val="2"/>
                <w:sz w:val="24"/>
                <w:highlight w:val="none"/>
                <w:u w:val="none"/>
                <w:lang w:val="en-US" w:eastAsia="zh-CN" w:bidi="ar-SA"/>
              </w:rPr>
            </w:pPr>
            <w:r>
              <w:rPr>
                <w:rFonts w:hint="eastAsia" w:ascii="Times New Roman" w:hAnsi="Times New Roman" w:eastAsia="宋体" w:cs="Times New Roman"/>
                <w:bCs/>
                <w:color w:val="auto"/>
                <w:kern w:val="2"/>
                <w:sz w:val="24"/>
                <w:highlight w:val="none"/>
                <w:u w:val="none"/>
                <w:lang w:val="en-US" w:eastAsia="zh-CN" w:bidi="ar-SA"/>
              </w:rPr>
              <w:t>本项目设计</w:t>
            </w:r>
            <w:r>
              <w:rPr>
                <w:rFonts w:hint="eastAsia" w:ascii="Times New Roman" w:hAnsi="Times New Roman" w:cs="Times New Roman"/>
                <w:bCs/>
                <w:color w:val="auto"/>
                <w:kern w:val="2"/>
                <w:sz w:val="24"/>
                <w:highlight w:val="none"/>
                <w:u w:val="none"/>
                <w:lang w:val="en-US" w:eastAsia="zh-CN" w:bidi="ar-SA"/>
              </w:rPr>
              <w:t>4</w:t>
            </w:r>
            <w:r>
              <w:rPr>
                <w:rFonts w:hint="eastAsia" w:ascii="Times New Roman" w:hAnsi="Times New Roman" w:eastAsia="宋体" w:cs="Times New Roman"/>
                <w:bCs/>
                <w:color w:val="auto"/>
                <w:kern w:val="2"/>
                <w:sz w:val="24"/>
                <w:highlight w:val="none"/>
                <w:u w:val="none"/>
                <w:lang w:val="en-US" w:eastAsia="zh-CN" w:bidi="ar-SA"/>
              </w:rPr>
              <w:t>台瓦斯发电机组。瓦斯发电机组以矿井瓦斯气为燃料，抽采的瓦斯气体经发电机组燃烧后</w:t>
            </w:r>
            <w:r>
              <w:rPr>
                <w:rFonts w:hint="eastAsia" w:ascii="Times New Roman" w:hAnsi="Times New Roman" w:cs="Times New Roman"/>
                <w:bCs/>
                <w:color w:val="auto"/>
                <w:kern w:val="2"/>
                <w:sz w:val="24"/>
                <w:highlight w:val="none"/>
                <w:u w:val="none"/>
                <w:lang w:val="en-US" w:eastAsia="zh-CN" w:bidi="ar-SA"/>
              </w:rPr>
              <w:t>（稀薄燃烧控制技术）</w:t>
            </w:r>
            <w:r>
              <w:rPr>
                <w:rFonts w:hint="eastAsia" w:ascii="Times New Roman" w:hAnsi="Times New Roman" w:eastAsia="宋体" w:cs="Times New Roman"/>
                <w:bCs/>
                <w:color w:val="auto"/>
                <w:kern w:val="2"/>
                <w:sz w:val="24"/>
                <w:highlight w:val="none"/>
                <w:u w:val="none"/>
                <w:lang w:val="en-US" w:eastAsia="zh-CN" w:bidi="ar-SA"/>
              </w:rPr>
              <w:t>，产生的烟气通过</w:t>
            </w:r>
            <w:r>
              <w:rPr>
                <w:rFonts w:hint="eastAsia" w:ascii="Times New Roman" w:hAnsi="Times New Roman" w:cs="Times New Roman"/>
                <w:bCs/>
                <w:color w:val="auto"/>
                <w:kern w:val="2"/>
                <w:sz w:val="24"/>
                <w:highlight w:val="none"/>
                <w:u w:val="none"/>
                <w:lang w:val="en-US" w:eastAsia="zh-CN" w:bidi="ar-SA"/>
              </w:rPr>
              <w:t>15m</w:t>
            </w:r>
            <w:r>
              <w:rPr>
                <w:rFonts w:hint="eastAsia" w:ascii="Times New Roman" w:hAnsi="Times New Roman" w:eastAsia="宋体" w:cs="Times New Roman"/>
                <w:bCs/>
                <w:color w:val="auto"/>
                <w:kern w:val="2"/>
                <w:sz w:val="24"/>
                <w:highlight w:val="none"/>
                <w:u w:val="none"/>
                <w:lang w:val="en-US" w:eastAsia="zh-CN" w:bidi="ar-SA"/>
              </w:rPr>
              <w:t>（管径为0.3m）高的排气筒排放。</w:t>
            </w:r>
          </w:p>
          <w:p w14:paraId="5FD3F86D">
            <w:pPr>
              <w:pStyle w:val="28"/>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Times New Roman" w:eastAsia="宋体" w:cs="Times New Roman"/>
                <w:bCs/>
                <w:color w:val="auto"/>
                <w:kern w:val="2"/>
                <w:sz w:val="24"/>
                <w:highlight w:val="none"/>
                <w:u w:val="none"/>
                <w:lang w:val="en-US" w:eastAsia="zh-CN" w:bidi="ar-SA"/>
              </w:rPr>
            </w:pPr>
            <w:r>
              <w:rPr>
                <w:rFonts w:hint="eastAsia" w:ascii="Times New Roman" w:hAnsi="Times New Roman" w:cs="Times New Roman"/>
                <w:bCs/>
                <w:color w:val="auto"/>
                <w:kern w:val="2"/>
                <w:sz w:val="24"/>
                <w:highlight w:val="none"/>
                <w:u w:val="none"/>
                <w:lang w:val="en-US" w:eastAsia="zh-CN" w:bidi="ar-SA"/>
              </w:rPr>
              <w:t>本项目所采用的</w:t>
            </w:r>
            <w:r>
              <w:rPr>
                <w:rFonts w:hint="eastAsia" w:ascii="Times New Roman" w:hAnsi="Times New Roman" w:eastAsia="宋体" w:cs="Times New Roman"/>
                <w:bCs/>
                <w:color w:val="auto"/>
                <w:kern w:val="2"/>
                <w:sz w:val="24"/>
                <w:highlight w:val="none"/>
                <w:u w:val="none"/>
                <w:lang w:val="en-US" w:eastAsia="zh-CN" w:bidi="ar-SA"/>
              </w:rPr>
              <w:t>稀薄燃烧控制技术，主要实现较低的缸内燃烧温度和排气温度，最大限度保证较低的氮氧化物排放。主要技术手段如下：采用强挤流高湍流燃烧室结构和稀薄燃烧技术，提升缸内混合气体燃烧效率，使发动机具有较高的经济性。通过米勒循环技术，配合高效涡轮增压技术，提高气体机平均有效压力和有效功转化，降低燃料消耗率。采用高能点火技术实现大能量点火，使燃烧速度加快，燃烧更充分，满足高效率输出和低排放输出。通过高效空燃比闭环、压气机再循环等控制策略，提高过量空气系数和充气效率，降低污染物排放、提高动力性。</w:t>
            </w:r>
          </w:p>
          <w:p w14:paraId="6090D905">
            <w:pPr>
              <w:pStyle w:val="103"/>
              <w:keepNext w:val="0"/>
              <w:keepLines w:val="0"/>
              <w:pageBreakBefore w:val="0"/>
              <w:kinsoku/>
              <w:wordWrap/>
              <w:overflowPunct/>
              <w:topLinePunct w:val="0"/>
              <w:autoSpaceDE/>
              <w:autoSpaceDN/>
              <w:bidi w:val="0"/>
              <w:adjustRightInd/>
              <w:spacing w:before="0" w:beforeLines="0" w:after="0" w:afterLines="0" w:line="500" w:lineRule="exact"/>
              <w:ind w:firstLine="480" w:firstLineChars="200"/>
              <w:textAlignment w:val="auto"/>
              <w:rPr>
                <w:rFonts w:hint="eastAsia" w:ascii="Times New Roman" w:hAnsi="Times New Roman" w:eastAsia="宋体" w:cs="Times New Roman"/>
                <w:bCs/>
                <w:color w:val="auto"/>
                <w:kern w:val="2"/>
                <w:sz w:val="24"/>
                <w:szCs w:val="20"/>
                <w:u w:val="none"/>
                <w:lang w:val="en-US" w:eastAsia="zh-CN" w:bidi="ar-SA"/>
              </w:rPr>
            </w:pPr>
            <w:r>
              <w:rPr>
                <w:rFonts w:hint="eastAsia" w:ascii="Times New Roman" w:hAnsi="Times New Roman" w:eastAsia="宋体" w:cs="Times New Roman"/>
                <w:bCs/>
                <w:color w:val="auto"/>
                <w:kern w:val="2"/>
                <w:sz w:val="24"/>
                <w:szCs w:val="20"/>
                <w:u w:val="none"/>
                <w:lang w:val="en-US" w:eastAsia="zh-CN" w:bidi="ar-SA"/>
              </w:rPr>
              <w:t>项目营运期废气主要为矿井瓦斯气燃烧过程中产生的颗粒物、NOx、CO、非甲烷总烃。经现场调查，项目所用工艺与本公司十二矿瓦斯发电站机组升级改造后瓦斯发电工艺相同，所用瓦斯相同，发电机组与十二矿瓦斯发电站机组升级改造项目</w:t>
            </w:r>
            <w:r>
              <w:rPr>
                <w:rFonts w:hint="eastAsia" w:ascii="Times New Roman" w:hAnsi="Times New Roman" w:eastAsia="宋体" w:cs="Times New Roman"/>
                <w:bCs/>
                <w:color w:val="auto"/>
                <w:kern w:val="2"/>
                <w:sz w:val="24"/>
                <w:szCs w:val="20"/>
                <w:highlight w:val="none"/>
                <w:u w:val="none"/>
                <w:lang w:val="en-US" w:eastAsia="zh-CN" w:bidi="ar-SA"/>
              </w:rPr>
              <w:t>5#、6#机</w:t>
            </w:r>
            <w:r>
              <w:rPr>
                <w:rFonts w:hint="eastAsia" w:ascii="Times New Roman" w:hAnsi="Times New Roman" w:eastAsia="宋体" w:cs="Times New Roman"/>
                <w:bCs/>
                <w:color w:val="auto"/>
                <w:kern w:val="2"/>
                <w:sz w:val="24"/>
                <w:szCs w:val="20"/>
                <w:u w:val="none"/>
                <w:lang w:val="en-US" w:eastAsia="zh-CN" w:bidi="ar-SA"/>
              </w:rPr>
              <w:t>组型号一致，故采用类比法对项目污染源强进行计算，平煤煌龙新能源有限公司十二矿瓦斯发电站升级改造项目</w:t>
            </w:r>
            <w:r>
              <w:rPr>
                <w:rFonts w:hint="eastAsia" w:ascii="Times New Roman" w:hAnsi="Times New Roman" w:eastAsia="宋体" w:cs="Times New Roman"/>
                <w:bCs/>
                <w:color w:val="auto"/>
                <w:kern w:val="2"/>
                <w:sz w:val="24"/>
                <w:szCs w:val="20"/>
                <w:u w:val="none"/>
                <w:lang w:val="zh-CN" w:eastAsia="zh-CN" w:bidi="ar-SA"/>
              </w:rPr>
              <w:t>竣工环境保护验收监测</w:t>
            </w:r>
            <w:r>
              <w:rPr>
                <w:rFonts w:hint="eastAsia" w:ascii="Times New Roman" w:hAnsi="Times New Roman" w:eastAsia="宋体" w:cs="Times New Roman"/>
                <w:bCs/>
                <w:color w:val="auto"/>
                <w:kern w:val="2"/>
                <w:sz w:val="24"/>
                <w:szCs w:val="20"/>
                <w:u w:val="none"/>
                <w:lang w:val="en-US" w:eastAsia="zh-CN" w:bidi="ar-SA"/>
              </w:rPr>
              <w:t>结果见下表。</w:t>
            </w:r>
          </w:p>
          <w:p w14:paraId="2297D8BB">
            <w:pPr>
              <w:pStyle w:val="86"/>
              <w:keepNext w:val="0"/>
              <w:keepLines w:val="0"/>
              <w:pageBreakBefore/>
              <w:widowControl/>
              <w:kinsoku/>
              <w:wordWrap/>
              <w:overflowPunct/>
              <w:topLinePunct w:val="0"/>
              <w:autoSpaceDE/>
              <w:autoSpaceDN/>
              <w:bidi w:val="0"/>
              <w:adjustRightInd/>
              <w:snapToGrid/>
              <w:spacing w:line="240" w:lineRule="auto"/>
              <w:jc w:val="center"/>
              <w:textAlignment w:val="auto"/>
              <w:rPr>
                <w:rFonts w:hint="eastAsia"/>
                <w:highlight w:val="none"/>
                <w:lang w:val="en-US" w:eastAsia="zh-CN"/>
              </w:rPr>
            </w:pPr>
            <w:r>
              <w:rPr>
                <w:rFonts w:hint="eastAsia"/>
                <w:highlight w:val="none"/>
                <w:lang w:val="zh-CN" w:eastAsia="zh-CN"/>
              </w:rPr>
              <w:t>表</w:t>
            </w:r>
            <w:r>
              <w:rPr>
                <w:rFonts w:hint="eastAsia"/>
                <w:highlight w:val="none"/>
                <w:lang w:val="en-US" w:eastAsia="zh-CN"/>
              </w:rPr>
              <w:t xml:space="preserve">4-2 </w:t>
            </w:r>
            <w:r>
              <w:rPr>
                <w:highlight w:val="none"/>
              </w:rPr>
              <w:t>有组织排放废气检测结果表</w:t>
            </w:r>
          </w:p>
          <w:tbl>
            <w:tblPr>
              <w:tblStyle w:val="32"/>
              <w:tblW w:w="8595"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30"/>
              <w:gridCol w:w="797"/>
              <w:gridCol w:w="840"/>
              <w:gridCol w:w="844"/>
              <w:gridCol w:w="748"/>
              <w:gridCol w:w="829"/>
              <w:gridCol w:w="748"/>
              <w:gridCol w:w="829"/>
              <w:gridCol w:w="750"/>
              <w:gridCol w:w="829"/>
              <w:gridCol w:w="751"/>
            </w:tblGrid>
            <w:tr w14:paraId="306595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08" w:hRule="atLeast"/>
                <w:tblHeader/>
                <w:jc w:val="center"/>
              </w:trPr>
              <w:tc>
                <w:tcPr>
                  <w:tcW w:w="630" w:type="dxa"/>
                  <w:vMerge w:val="restart"/>
                  <w:tcBorders>
                    <w:tl2br w:val="nil"/>
                    <w:tr2bl w:val="nil"/>
                  </w:tcBorders>
                  <w:vAlign w:val="center"/>
                </w:tcPr>
                <w:p w14:paraId="01C6E764">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highlight w:val="none"/>
                      <w:u w:val="none"/>
                    </w:rPr>
                  </w:pPr>
                  <w:r>
                    <w:rPr>
                      <w:rFonts w:ascii="Times New Roman" w:hAnsi="Times New Roman" w:cs="Times New Roman"/>
                      <w:b/>
                      <w:bCs/>
                      <w:color w:val="auto"/>
                      <w:sz w:val="21"/>
                      <w:szCs w:val="21"/>
                      <w:highlight w:val="none"/>
                      <w:u w:val="none"/>
                    </w:rPr>
                    <w:t>采样日期</w:t>
                  </w:r>
                </w:p>
              </w:tc>
              <w:tc>
                <w:tcPr>
                  <w:tcW w:w="797" w:type="dxa"/>
                  <w:vMerge w:val="restart"/>
                  <w:tcBorders>
                    <w:tl2br w:val="nil"/>
                    <w:tr2bl w:val="nil"/>
                  </w:tcBorders>
                  <w:vAlign w:val="center"/>
                </w:tcPr>
                <w:p w14:paraId="78756808">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highlight w:val="none"/>
                      <w:u w:val="none"/>
                    </w:rPr>
                  </w:pPr>
                  <w:r>
                    <w:rPr>
                      <w:rFonts w:ascii="Times New Roman" w:hAnsi="Times New Roman" w:cs="Times New Roman"/>
                      <w:b/>
                      <w:bCs/>
                      <w:color w:val="auto"/>
                      <w:sz w:val="21"/>
                      <w:szCs w:val="21"/>
                      <w:highlight w:val="none"/>
                      <w:u w:val="none"/>
                    </w:rPr>
                    <w:t>检测点位</w:t>
                  </w:r>
                </w:p>
              </w:tc>
              <w:tc>
                <w:tcPr>
                  <w:tcW w:w="840" w:type="dxa"/>
                  <w:vMerge w:val="restart"/>
                  <w:tcBorders>
                    <w:tl2br w:val="nil"/>
                    <w:tr2bl w:val="nil"/>
                  </w:tcBorders>
                  <w:vAlign w:val="center"/>
                </w:tcPr>
                <w:p w14:paraId="500851DD">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highlight w:val="none"/>
                      <w:u w:val="none"/>
                    </w:rPr>
                  </w:pPr>
                  <w:r>
                    <w:rPr>
                      <w:rFonts w:ascii="Times New Roman" w:hAnsi="Times New Roman" w:cs="Times New Roman"/>
                      <w:b/>
                      <w:bCs/>
                      <w:color w:val="auto"/>
                      <w:sz w:val="21"/>
                      <w:szCs w:val="21"/>
                      <w:highlight w:val="none"/>
                      <w:u w:val="none"/>
                    </w:rPr>
                    <w:t>废气流量</w:t>
                  </w:r>
                </w:p>
                <w:p w14:paraId="2058F5C9">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highlight w:val="none"/>
                      <w:u w:val="none"/>
                    </w:rPr>
                  </w:pPr>
                  <w:r>
                    <w:rPr>
                      <w:rFonts w:ascii="Times New Roman" w:hAnsi="Times New Roman" w:cs="Times New Roman"/>
                      <w:b/>
                      <w:bCs/>
                      <w:color w:val="auto"/>
                      <w:sz w:val="21"/>
                      <w:szCs w:val="21"/>
                      <w:highlight w:val="none"/>
                      <w:u w:val="none"/>
                    </w:rPr>
                    <w:t>m</w:t>
                  </w:r>
                  <w:r>
                    <w:rPr>
                      <w:rFonts w:ascii="Times New Roman" w:hAnsi="Times New Roman" w:cs="Times New Roman"/>
                      <w:b/>
                      <w:bCs/>
                      <w:color w:val="auto"/>
                      <w:sz w:val="21"/>
                      <w:szCs w:val="21"/>
                      <w:highlight w:val="none"/>
                      <w:u w:val="none"/>
                      <w:vertAlign w:val="superscript"/>
                    </w:rPr>
                    <w:t>3</w:t>
                  </w:r>
                  <w:r>
                    <w:rPr>
                      <w:rFonts w:ascii="Times New Roman" w:hAnsi="Times New Roman" w:cs="Times New Roman"/>
                      <w:b/>
                      <w:bCs/>
                      <w:color w:val="auto"/>
                      <w:sz w:val="21"/>
                      <w:szCs w:val="21"/>
                      <w:highlight w:val="none"/>
                      <w:u w:val="none"/>
                    </w:rPr>
                    <w:t>/h</w:t>
                  </w:r>
                </w:p>
              </w:tc>
              <w:tc>
                <w:tcPr>
                  <w:tcW w:w="1592" w:type="dxa"/>
                  <w:gridSpan w:val="2"/>
                  <w:tcBorders>
                    <w:tl2br w:val="nil"/>
                    <w:tr2bl w:val="nil"/>
                  </w:tcBorders>
                  <w:vAlign w:val="center"/>
                </w:tcPr>
                <w:p w14:paraId="2380D6C7">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highlight w:val="none"/>
                      <w:u w:val="none"/>
                    </w:rPr>
                  </w:pPr>
                  <w:r>
                    <w:rPr>
                      <w:rFonts w:ascii="Times New Roman" w:hAnsi="Times New Roman" w:cs="Times New Roman"/>
                      <w:b/>
                      <w:bCs/>
                      <w:color w:val="auto"/>
                      <w:sz w:val="21"/>
                      <w:szCs w:val="21"/>
                      <w:highlight w:val="none"/>
                      <w:u w:val="none"/>
                    </w:rPr>
                    <w:t>颗粒物</w:t>
                  </w:r>
                </w:p>
              </w:tc>
              <w:tc>
                <w:tcPr>
                  <w:tcW w:w="1577" w:type="dxa"/>
                  <w:gridSpan w:val="2"/>
                  <w:tcBorders>
                    <w:tl2br w:val="nil"/>
                    <w:tr2bl w:val="nil"/>
                  </w:tcBorders>
                  <w:vAlign w:val="center"/>
                </w:tcPr>
                <w:p w14:paraId="242EB260">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highlight w:val="none"/>
                      <w:u w:val="none"/>
                    </w:rPr>
                  </w:pPr>
                  <w:r>
                    <w:rPr>
                      <w:rFonts w:ascii="Times New Roman" w:hAnsi="Times New Roman" w:cs="Times New Roman"/>
                      <w:b/>
                      <w:bCs/>
                      <w:color w:val="auto"/>
                      <w:sz w:val="21"/>
                      <w:szCs w:val="21"/>
                      <w:highlight w:val="none"/>
                      <w:u w:val="none"/>
                    </w:rPr>
                    <w:t>氮氧化物</w:t>
                  </w:r>
                </w:p>
              </w:tc>
              <w:tc>
                <w:tcPr>
                  <w:tcW w:w="1579" w:type="dxa"/>
                  <w:gridSpan w:val="2"/>
                  <w:tcBorders>
                    <w:tl2br w:val="nil"/>
                    <w:tr2bl w:val="nil"/>
                  </w:tcBorders>
                  <w:vAlign w:val="center"/>
                </w:tcPr>
                <w:p w14:paraId="3C12FF1F">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highlight w:val="none"/>
                      <w:u w:val="none"/>
                    </w:rPr>
                  </w:pPr>
                  <w:r>
                    <w:rPr>
                      <w:rFonts w:ascii="Times New Roman" w:hAnsi="Times New Roman" w:cs="Times New Roman"/>
                      <w:b/>
                      <w:bCs/>
                      <w:color w:val="auto"/>
                      <w:sz w:val="21"/>
                      <w:szCs w:val="21"/>
                      <w:highlight w:val="none"/>
                      <w:u w:val="none"/>
                    </w:rPr>
                    <w:t>非甲烷总烃</w:t>
                  </w:r>
                </w:p>
                <w:p w14:paraId="1D803274">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highlight w:val="none"/>
                      <w:u w:val="none"/>
                    </w:rPr>
                  </w:pPr>
                  <w:r>
                    <w:rPr>
                      <w:rFonts w:ascii="Times New Roman" w:hAnsi="Times New Roman" w:cs="Times New Roman"/>
                      <w:b/>
                      <w:bCs/>
                      <w:color w:val="auto"/>
                      <w:sz w:val="21"/>
                      <w:szCs w:val="21"/>
                      <w:highlight w:val="none"/>
                      <w:u w:val="none"/>
                    </w:rPr>
                    <w:t>(以碳计)</w:t>
                  </w:r>
                </w:p>
              </w:tc>
              <w:tc>
                <w:tcPr>
                  <w:tcW w:w="1580" w:type="dxa"/>
                  <w:gridSpan w:val="2"/>
                  <w:tcBorders>
                    <w:tl2br w:val="nil"/>
                    <w:tr2bl w:val="nil"/>
                  </w:tcBorders>
                  <w:vAlign w:val="center"/>
                </w:tcPr>
                <w:p w14:paraId="77B22A81">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highlight w:val="none"/>
                      <w:u w:val="none"/>
                    </w:rPr>
                  </w:pPr>
                  <w:r>
                    <w:rPr>
                      <w:rFonts w:ascii="Times New Roman" w:hAnsi="Times New Roman" w:cs="Times New Roman"/>
                      <w:b/>
                      <w:bCs/>
                      <w:color w:val="auto"/>
                      <w:sz w:val="21"/>
                      <w:szCs w:val="21"/>
                      <w:highlight w:val="none"/>
                      <w:u w:val="none"/>
                    </w:rPr>
                    <w:t>一氧化碳</w:t>
                  </w:r>
                </w:p>
              </w:tc>
            </w:tr>
            <w:tr w14:paraId="072421C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01" w:hRule="atLeast"/>
                <w:tblHeader/>
                <w:jc w:val="center"/>
              </w:trPr>
              <w:tc>
                <w:tcPr>
                  <w:tcW w:w="630" w:type="dxa"/>
                  <w:vMerge w:val="continue"/>
                  <w:tcBorders>
                    <w:tl2br w:val="nil"/>
                    <w:tr2bl w:val="nil"/>
                  </w:tcBorders>
                  <w:vAlign w:val="center"/>
                </w:tcPr>
                <w:p w14:paraId="7A2223F6">
                  <w:pPr>
                    <w:keepNext w:val="0"/>
                    <w:keepLines w:val="0"/>
                    <w:pageBreakBefore w:val="0"/>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u w:val="none"/>
                    </w:rPr>
                  </w:pPr>
                </w:p>
              </w:tc>
              <w:tc>
                <w:tcPr>
                  <w:tcW w:w="797" w:type="dxa"/>
                  <w:vMerge w:val="continue"/>
                  <w:tcBorders>
                    <w:tl2br w:val="nil"/>
                    <w:tr2bl w:val="nil"/>
                  </w:tcBorders>
                  <w:vAlign w:val="center"/>
                </w:tcPr>
                <w:p w14:paraId="2DBE06E1">
                  <w:pPr>
                    <w:keepNext w:val="0"/>
                    <w:keepLines w:val="0"/>
                    <w:pageBreakBefore w:val="0"/>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u w:val="none"/>
                    </w:rPr>
                  </w:pPr>
                </w:p>
              </w:tc>
              <w:tc>
                <w:tcPr>
                  <w:tcW w:w="840" w:type="dxa"/>
                  <w:vMerge w:val="continue"/>
                  <w:tcBorders>
                    <w:tl2br w:val="nil"/>
                    <w:tr2bl w:val="nil"/>
                  </w:tcBorders>
                  <w:vAlign w:val="center"/>
                </w:tcPr>
                <w:p w14:paraId="551A3B5C">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u w:val="none"/>
                    </w:rPr>
                  </w:pPr>
                </w:p>
              </w:tc>
              <w:tc>
                <w:tcPr>
                  <w:tcW w:w="844" w:type="dxa"/>
                  <w:tcBorders>
                    <w:tl2br w:val="nil"/>
                    <w:tr2bl w:val="nil"/>
                  </w:tcBorders>
                  <w:vAlign w:val="center"/>
                </w:tcPr>
                <w:p w14:paraId="50E7C8C8">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排放浓度</w:t>
                  </w:r>
                </w:p>
                <w:p w14:paraId="18BC8B94">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mg/m</w:t>
                  </w:r>
                  <w:r>
                    <w:rPr>
                      <w:rFonts w:ascii="Times New Roman" w:hAnsi="Times New Roman" w:cs="Times New Roman"/>
                      <w:b/>
                      <w:bCs/>
                      <w:color w:val="auto"/>
                      <w:sz w:val="21"/>
                      <w:szCs w:val="21"/>
                      <w:u w:val="none"/>
                      <w:vertAlign w:val="superscript"/>
                    </w:rPr>
                    <w:t>3</w:t>
                  </w:r>
                </w:p>
              </w:tc>
              <w:tc>
                <w:tcPr>
                  <w:tcW w:w="748" w:type="dxa"/>
                  <w:tcBorders>
                    <w:tl2br w:val="nil"/>
                    <w:tr2bl w:val="nil"/>
                  </w:tcBorders>
                  <w:vAlign w:val="center"/>
                </w:tcPr>
                <w:p w14:paraId="4716CD67">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排放速率</w:t>
                  </w:r>
                </w:p>
                <w:p w14:paraId="235556F0">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kg/h</w:t>
                  </w:r>
                </w:p>
              </w:tc>
              <w:tc>
                <w:tcPr>
                  <w:tcW w:w="829" w:type="dxa"/>
                  <w:tcBorders>
                    <w:tl2br w:val="nil"/>
                    <w:tr2bl w:val="nil"/>
                  </w:tcBorders>
                  <w:vAlign w:val="center"/>
                </w:tcPr>
                <w:p w14:paraId="102C586D">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排放浓度</w:t>
                  </w:r>
                </w:p>
                <w:p w14:paraId="7BAB896E">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mg/m</w:t>
                  </w:r>
                  <w:r>
                    <w:rPr>
                      <w:rFonts w:ascii="Times New Roman" w:hAnsi="Times New Roman" w:cs="Times New Roman"/>
                      <w:b/>
                      <w:bCs/>
                      <w:color w:val="auto"/>
                      <w:sz w:val="21"/>
                      <w:szCs w:val="21"/>
                      <w:u w:val="none"/>
                      <w:vertAlign w:val="superscript"/>
                    </w:rPr>
                    <w:t>3</w:t>
                  </w:r>
                </w:p>
              </w:tc>
              <w:tc>
                <w:tcPr>
                  <w:tcW w:w="748" w:type="dxa"/>
                  <w:tcBorders>
                    <w:tl2br w:val="nil"/>
                    <w:tr2bl w:val="nil"/>
                  </w:tcBorders>
                  <w:vAlign w:val="center"/>
                </w:tcPr>
                <w:p w14:paraId="43C7B1F1">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排放速率</w:t>
                  </w:r>
                </w:p>
                <w:p w14:paraId="22B4BE2F">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kg/h</w:t>
                  </w:r>
                </w:p>
              </w:tc>
              <w:tc>
                <w:tcPr>
                  <w:tcW w:w="829" w:type="dxa"/>
                  <w:tcBorders>
                    <w:tl2br w:val="nil"/>
                    <w:tr2bl w:val="nil"/>
                  </w:tcBorders>
                  <w:vAlign w:val="center"/>
                </w:tcPr>
                <w:p w14:paraId="2533C063">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排放浓度</w:t>
                  </w:r>
                </w:p>
                <w:p w14:paraId="18E7E932">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mg/m</w:t>
                  </w:r>
                  <w:r>
                    <w:rPr>
                      <w:rFonts w:ascii="Times New Roman" w:hAnsi="Times New Roman" w:cs="Times New Roman"/>
                      <w:b/>
                      <w:bCs/>
                      <w:color w:val="auto"/>
                      <w:sz w:val="21"/>
                      <w:szCs w:val="21"/>
                      <w:u w:val="none"/>
                      <w:vertAlign w:val="superscript"/>
                    </w:rPr>
                    <w:t>3</w:t>
                  </w:r>
                </w:p>
              </w:tc>
              <w:tc>
                <w:tcPr>
                  <w:tcW w:w="750" w:type="dxa"/>
                  <w:tcBorders>
                    <w:tl2br w:val="nil"/>
                    <w:tr2bl w:val="nil"/>
                  </w:tcBorders>
                  <w:vAlign w:val="center"/>
                </w:tcPr>
                <w:p w14:paraId="0A7A84F1">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排放速率kg/h</w:t>
                  </w:r>
                </w:p>
              </w:tc>
              <w:tc>
                <w:tcPr>
                  <w:tcW w:w="829" w:type="dxa"/>
                  <w:tcBorders>
                    <w:tl2br w:val="nil"/>
                    <w:tr2bl w:val="nil"/>
                  </w:tcBorders>
                  <w:vAlign w:val="center"/>
                </w:tcPr>
                <w:p w14:paraId="2A2E0308">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排放浓度</w:t>
                  </w:r>
                </w:p>
                <w:p w14:paraId="69CB7C96">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mg/m</w:t>
                  </w:r>
                  <w:r>
                    <w:rPr>
                      <w:rFonts w:ascii="Times New Roman" w:hAnsi="Times New Roman" w:cs="Times New Roman"/>
                      <w:b/>
                      <w:bCs/>
                      <w:color w:val="auto"/>
                      <w:sz w:val="21"/>
                      <w:szCs w:val="21"/>
                      <w:u w:val="none"/>
                      <w:vertAlign w:val="superscript"/>
                    </w:rPr>
                    <w:t>3</w:t>
                  </w:r>
                </w:p>
              </w:tc>
              <w:tc>
                <w:tcPr>
                  <w:tcW w:w="751" w:type="dxa"/>
                  <w:tcBorders>
                    <w:tl2br w:val="nil"/>
                    <w:tr2bl w:val="nil"/>
                  </w:tcBorders>
                  <w:vAlign w:val="center"/>
                </w:tcPr>
                <w:p w14:paraId="7F717C12">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排放速率</w:t>
                  </w:r>
                </w:p>
                <w:p w14:paraId="023BCE3F">
                  <w:pPr>
                    <w:keepNext w:val="0"/>
                    <w:keepLines w:val="0"/>
                    <w:pageBreakBefore w:val="0"/>
                    <w:widowControl/>
                    <w:kinsoku/>
                    <w:wordWrap/>
                    <w:overflowPunct/>
                    <w:topLinePunct w:val="0"/>
                    <w:bidi w:val="0"/>
                    <w:snapToGrid w:val="0"/>
                    <w:spacing w:line="240" w:lineRule="auto"/>
                    <w:ind w:left="0" w:leftChars="0" w:right="0" w:rightChars="0"/>
                    <w:jc w:val="center"/>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kg/h</w:t>
                  </w:r>
                </w:p>
              </w:tc>
            </w:tr>
            <w:tr w14:paraId="738BD44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08" w:hRule="atLeast"/>
                <w:jc w:val="center"/>
              </w:trPr>
              <w:tc>
                <w:tcPr>
                  <w:tcW w:w="630" w:type="dxa"/>
                  <w:vMerge w:val="restart"/>
                  <w:tcBorders>
                    <w:tl2br w:val="nil"/>
                    <w:tr2bl w:val="nil"/>
                  </w:tcBorders>
                  <w:tcMar>
                    <w:top w:w="0" w:type="dxa"/>
                    <w:left w:w="6" w:type="dxa"/>
                    <w:bottom w:w="0" w:type="dxa"/>
                    <w:right w:w="6" w:type="dxa"/>
                  </w:tcMar>
                  <w:vAlign w:val="center"/>
                </w:tcPr>
                <w:p w14:paraId="0485AAB6">
                  <w:pPr>
                    <w:keepNext w:val="0"/>
                    <w:keepLines w:val="0"/>
                    <w:pageBreakBefore w:val="0"/>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rPr>
                  </w:pPr>
                  <w:r>
                    <w:rPr>
                      <w:rFonts w:ascii="Times New Roman" w:hAnsi="Times New Roman" w:cs="Times New Roman"/>
                      <w:color w:val="auto"/>
                      <w:sz w:val="21"/>
                      <w:szCs w:val="21"/>
                      <w:u w:val="none"/>
                    </w:rPr>
                    <w:t>2023.</w:t>
                  </w:r>
                </w:p>
                <w:p w14:paraId="7EF36C5C">
                  <w:pPr>
                    <w:keepNext w:val="0"/>
                    <w:keepLines w:val="0"/>
                    <w:pageBreakBefore w:val="0"/>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rPr>
                  </w:pPr>
                  <w:r>
                    <w:rPr>
                      <w:rFonts w:ascii="Times New Roman" w:hAnsi="Times New Roman" w:cs="Times New Roman"/>
                      <w:color w:val="auto"/>
                      <w:sz w:val="21"/>
                      <w:szCs w:val="21"/>
                      <w:u w:val="none"/>
                    </w:rPr>
                    <w:t>03.2</w:t>
                  </w:r>
                  <w:r>
                    <w:rPr>
                      <w:rFonts w:hint="eastAsia" w:ascii="Times New Roman" w:hAnsi="Times New Roman" w:cs="Times New Roman"/>
                      <w:color w:val="auto"/>
                      <w:sz w:val="21"/>
                      <w:szCs w:val="21"/>
                      <w:u w:val="none"/>
                    </w:rPr>
                    <w:t>1</w:t>
                  </w:r>
                </w:p>
              </w:tc>
              <w:tc>
                <w:tcPr>
                  <w:tcW w:w="797" w:type="dxa"/>
                  <w:vMerge w:val="restart"/>
                  <w:tcBorders>
                    <w:tl2br w:val="nil"/>
                    <w:tr2bl w:val="nil"/>
                  </w:tcBorders>
                  <w:tcMar>
                    <w:top w:w="0" w:type="dxa"/>
                    <w:left w:w="6" w:type="dxa"/>
                    <w:bottom w:w="0" w:type="dxa"/>
                    <w:right w:w="6" w:type="dxa"/>
                  </w:tcMar>
                  <w:vAlign w:val="center"/>
                </w:tcPr>
                <w:p w14:paraId="0E587476">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ascii="Times New Roman" w:hAnsi="Times New Roman" w:eastAsia="宋体" w:cs="Times New Roman"/>
                      <w:color w:val="auto"/>
                      <w:sz w:val="21"/>
                      <w:szCs w:val="21"/>
                      <w:u w:val="none"/>
                    </w:rPr>
                    <w:t>1#发电机组排气筒出口</w:t>
                  </w:r>
                </w:p>
              </w:tc>
              <w:tc>
                <w:tcPr>
                  <w:tcW w:w="840" w:type="dxa"/>
                  <w:tcBorders>
                    <w:tl2br w:val="nil"/>
                    <w:tr2bl w:val="nil"/>
                  </w:tcBorders>
                  <w:tcMar>
                    <w:top w:w="0" w:type="dxa"/>
                    <w:left w:w="6" w:type="dxa"/>
                    <w:bottom w:w="0" w:type="dxa"/>
                    <w:right w:w="6" w:type="dxa"/>
                  </w:tcMar>
                  <w:vAlign w:val="center"/>
                </w:tcPr>
                <w:p w14:paraId="63A2C035">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1.53</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6A38D724">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3.5</w:t>
                  </w:r>
                </w:p>
              </w:tc>
              <w:tc>
                <w:tcPr>
                  <w:tcW w:w="748" w:type="dxa"/>
                  <w:tcBorders>
                    <w:tl2br w:val="nil"/>
                    <w:tr2bl w:val="nil"/>
                  </w:tcBorders>
                  <w:tcMar>
                    <w:top w:w="0" w:type="dxa"/>
                    <w:left w:w="6" w:type="dxa"/>
                    <w:bottom w:w="0" w:type="dxa"/>
                    <w:right w:w="6" w:type="dxa"/>
                  </w:tcMar>
                  <w:vAlign w:val="center"/>
                </w:tcPr>
                <w:p w14:paraId="1AAE205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5.4</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4AC7637D">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155</w:t>
                  </w:r>
                </w:p>
              </w:tc>
              <w:tc>
                <w:tcPr>
                  <w:tcW w:w="748" w:type="dxa"/>
                  <w:tcBorders>
                    <w:tl2br w:val="nil"/>
                    <w:tr2bl w:val="nil"/>
                  </w:tcBorders>
                  <w:tcMar>
                    <w:top w:w="0" w:type="dxa"/>
                    <w:left w:w="6" w:type="dxa"/>
                    <w:bottom w:w="0" w:type="dxa"/>
                    <w:right w:w="6" w:type="dxa"/>
                  </w:tcMar>
                  <w:vAlign w:val="center"/>
                </w:tcPr>
                <w:p w14:paraId="2DC44BF2">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0.237</w:t>
                  </w:r>
                </w:p>
              </w:tc>
              <w:tc>
                <w:tcPr>
                  <w:tcW w:w="829" w:type="dxa"/>
                  <w:tcBorders>
                    <w:tl2br w:val="nil"/>
                    <w:tr2bl w:val="nil"/>
                  </w:tcBorders>
                  <w:tcMar>
                    <w:top w:w="0" w:type="dxa"/>
                    <w:left w:w="6" w:type="dxa"/>
                    <w:bottom w:w="0" w:type="dxa"/>
                    <w:right w:w="6" w:type="dxa"/>
                  </w:tcMar>
                  <w:vAlign w:val="center"/>
                </w:tcPr>
                <w:p w14:paraId="6124C9F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23</w:t>
                  </w:r>
                  <w:r>
                    <w:rPr>
                      <w:rFonts w:hint="eastAsia" w:ascii="Times New Roman" w:hAnsi="Times New Roman" w:cs="Times New Roman"/>
                      <w:color w:val="auto"/>
                      <w:kern w:val="0"/>
                      <w:sz w:val="21"/>
                      <w:szCs w:val="21"/>
                      <w:u w:val="none"/>
                      <w:lang w:bidi="ar"/>
                    </w:rPr>
                    <w:t>.0</w:t>
                  </w:r>
                </w:p>
              </w:tc>
              <w:tc>
                <w:tcPr>
                  <w:tcW w:w="750" w:type="dxa"/>
                  <w:tcBorders>
                    <w:tl2br w:val="nil"/>
                    <w:tr2bl w:val="nil"/>
                  </w:tcBorders>
                  <w:tcMar>
                    <w:top w:w="0" w:type="dxa"/>
                    <w:left w:w="6" w:type="dxa"/>
                    <w:bottom w:w="0" w:type="dxa"/>
                    <w:right w:w="6" w:type="dxa"/>
                  </w:tcMar>
                  <w:vAlign w:val="center"/>
                </w:tcPr>
                <w:p w14:paraId="6D81177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0.0352</w:t>
                  </w:r>
                </w:p>
              </w:tc>
              <w:tc>
                <w:tcPr>
                  <w:tcW w:w="829" w:type="dxa"/>
                  <w:tcBorders>
                    <w:tl2br w:val="nil"/>
                    <w:tr2bl w:val="nil"/>
                  </w:tcBorders>
                  <w:tcMar>
                    <w:top w:w="0" w:type="dxa"/>
                    <w:left w:w="6" w:type="dxa"/>
                    <w:bottom w:w="0" w:type="dxa"/>
                    <w:right w:w="6" w:type="dxa"/>
                  </w:tcMar>
                  <w:vAlign w:val="center"/>
                </w:tcPr>
                <w:p w14:paraId="2C4B1C1D">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152</w:t>
                  </w:r>
                </w:p>
              </w:tc>
              <w:tc>
                <w:tcPr>
                  <w:tcW w:w="751" w:type="dxa"/>
                  <w:tcBorders>
                    <w:tl2br w:val="nil"/>
                    <w:tr2bl w:val="nil"/>
                  </w:tcBorders>
                  <w:tcMar>
                    <w:top w:w="0" w:type="dxa"/>
                    <w:left w:w="6" w:type="dxa"/>
                    <w:bottom w:w="0" w:type="dxa"/>
                    <w:right w:w="6" w:type="dxa"/>
                  </w:tcMar>
                  <w:vAlign w:val="center"/>
                </w:tcPr>
                <w:p w14:paraId="62A0DD99">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0.233</w:t>
                  </w:r>
                </w:p>
              </w:tc>
            </w:tr>
            <w:tr w14:paraId="33739B1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08" w:hRule="atLeast"/>
                <w:jc w:val="center"/>
              </w:trPr>
              <w:tc>
                <w:tcPr>
                  <w:tcW w:w="630" w:type="dxa"/>
                  <w:vMerge w:val="continue"/>
                  <w:tcBorders>
                    <w:tl2br w:val="nil"/>
                    <w:tr2bl w:val="nil"/>
                  </w:tcBorders>
                  <w:tcMar>
                    <w:top w:w="0" w:type="dxa"/>
                    <w:left w:w="6" w:type="dxa"/>
                    <w:bottom w:w="0" w:type="dxa"/>
                    <w:right w:w="6" w:type="dxa"/>
                  </w:tcMar>
                  <w:vAlign w:val="center"/>
                </w:tcPr>
                <w:p w14:paraId="3097FC1D">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5E86546A">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62873018">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1.78</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68AA9E4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4.1</w:t>
                  </w:r>
                </w:p>
              </w:tc>
              <w:tc>
                <w:tcPr>
                  <w:tcW w:w="748" w:type="dxa"/>
                  <w:tcBorders>
                    <w:tl2br w:val="nil"/>
                    <w:tr2bl w:val="nil"/>
                  </w:tcBorders>
                  <w:tcMar>
                    <w:top w:w="0" w:type="dxa"/>
                    <w:left w:w="6" w:type="dxa"/>
                    <w:bottom w:w="0" w:type="dxa"/>
                    <w:right w:w="6" w:type="dxa"/>
                  </w:tcMar>
                  <w:vAlign w:val="center"/>
                </w:tcPr>
                <w:p w14:paraId="43D0EB49">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7.3</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1BBE931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142</w:t>
                  </w:r>
                </w:p>
              </w:tc>
              <w:tc>
                <w:tcPr>
                  <w:tcW w:w="748" w:type="dxa"/>
                  <w:tcBorders>
                    <w:tl2br w:val="nil"/>
                    <w:tr2bl w:val="nil"/>
                  </w:tcBorders>
                  <w:tcMar>
                    <w:top w:w="0" w:type="dxa"/>
                    <w:left w:w="6" w:type="dxa"/>
                    <w:bottom w:w="0" w:type="dxa"/>
                    <w:right w:w="6" w:type="dxa"/>
                  </w:tcMar>
                  <w:vAlign w:val="center"/>
                </w:tcPr>
                <w:p w14:paraId="5925F03B">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0.253</w:t>
                  </w:r>
                </w:p>
              </w:tc>
              <w:tc>
                <w:tcPr>
                  <w:tcW w:w="829" w:type="dxa"/>
                  <w:tcBorders>
                    <w:tl2br w:val="nil"/>
                    <w:tr2bl w:val="nil"/>
                  </w:tcBorders>
                  <w:tcMar>
                    <w:top w:w="0" w:type="dxa"/>
                    <w:left w:w="6" w:type="dxa"/>
                    <w:bottom w:w="0" w:type="dxa"/>
                    <w:right w:w="6" w:type="dxa"/>
                  </w:tcMar>
                  <w:vAlign w:val="center"/>
                </w:tcPr>
                <w:p w14:paraId="236D429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34.2</w:t>
                  </w:r>
                </w:p>
              </w:tc>
              <w:tc>
                <w:tcPr>
                  <w:tcW w:w="750" w:type="dxa"/>
                  <w:tcBorders>
                    <w:tl2br w:val="nil"/>
                    <w:tr2bl w:val="nil"/>
                  </w:tcBorders>
                  <w:tcMar>
                    <w:top w:w="0" w:type="dxa"/>
                    <w:left w:w="6" w:type="dxa"/>
                    <w:bottom w:w="0" w:type="dxa"/>
                    <w:right w:w="6" w:type="dxa"/>
                  </w:tcMar>
                  <w:vAlign w:val="center"/>
                </w:tcPr>
                <w:p w14:paraId="1FFB534B">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0.0609</w:t>
                  </w:r>
                </w:p>
              </w:tc>
              <w:tc>
                <w:tcPr>
                  <w:tcW w:w="829" w:type="dxa"/>
                  <w:tcBorders>
                    <w:tl2br w:val="nil"/>
                    <w:tr2bl w:val="nil"/>
                  </w:tcBorders>
                  <w:tcMar>
                    <w:top w:w="0" w:type="dxa"/>
                    <w:left w:w="6" w:type="dxa"/>
                    <w:bottom w:w="0" w:type="dxa"/>
                    <w:right w:w="6" w:type="dxa"/>
                  </w:tcMar>
                  <w:vAlign w:val="center"/>
                </w:tcPr>
                <w:p w14:paraId="352564B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180</w:t>
                  </w:r>
                </w:p>
              </w:tc>
              <w:tc>
                <w:tcPr>
                  <w:tcW w:w="751" w:type="dxa"/>
                  <w:tcBorders>
                    <w:tl2br w:val="nil"/>
                    <w:tr2bl w:val="nil"/>
                  </w:tcBorders>
                  <w:tcMar>
                    <w:top w:w="0" w:type="dxa"/>
                    <w:left w:w="6" w:type="dxa"/>
                    <w:bottom w:w="0" w:type="dxa"/>
                    <w:right w:w="6" w:type="dxa"/>
                  </w:tcMar>
                  <w:vAlign w:val="center"/>
                </w:tcPr>
                <w:p w14:paraId="15E089D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0.320</w:t>
                  </w:r>
                </w:p>
              </w:tc>
            </w:tr>
            <w:tr w14:paraId="5445F8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08" w:hRule="atLeast"/>
                <w:jc w:val="center"/>
              </w:trPr>
              <w:tc>
                <w:tcPr>
                  <w:tcW w:w="630" w:type="dxa"/>
                  <w:vMerge w:val="continue"/>
                  <w:tcBorders>
                    <w:tl2br w:val="nil"/>
                    <w:tr2bl w:val="nil"/>
                  </w:tcBorders>
                  <w:tcMar>
                    <w:top w:w="0" w:type="dxa"/>
                    <w:left w:w="6" w:type="dxa"/>
                    <w:bottom w:w="0" w:type="dxa"/>
                    <w:right w:w="6" w:type="dxa"/>
                  </w:tcMar>
                  <w:vAlign w:val="center"/>
                </w:tcPr>
                <w:p w14:paraId="35BD01C7">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18AEA0B6">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54BF7FE1">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1.60</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5F83A6A9">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3.9</w:t>
                  </w:r>
                </w:p>
              </w:tc>
              <w:tc>
                <w:tcPr>
                  <w:tcW w:w="748" w:type="dxa"/>
                  <w:tcBorders>
                    <w:tl2br w:val="nil"/>
                    <w:tr2bl w:val="nil"/>
                  </w:tcBorders>
                  <w:tcMar>
                    <w:top w:w="0" w:type="dxa"/>
                    <w:left w:w="6" w:type="dxa"/>
                    <w:bottom w:w="0" w:type="dxa"/>
                    <w:right w:w="6" w:type="dxa"/>
                  </w:tcMar>
                  <w:vAlign w:val="center"/>
                </w:tcPr>
                <w:p w14:paraId="2D88705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6.2</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0960029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134</w:t>
                  </w:r>
                </w:p>
              </w:tc>
              <w:tc>
                <w:tcPr>
                  <w:tcW w:w="748" w:type="dxa"/>
                  <w:tcBorders>
                    <w:tl2br w:val="nil"/>
                    <w:tr2bl w:val="nil"/>
                  </w:tcBorders>
                  <w:tcMar>
                    <w:top w:w="0" w:type="dxa"/>
                    <w:left w:w="6" w:type="dxa"/>
                    <w:bottom w:w="0" w:type="dxa"/>
                    <w:right w:w="6" w:type="dxa"/>
                  </w:tcMar>
                  <w:vAlign w:val="center"/>
                </w:tcPr>
                <w:p w14:paraId="2054A14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0.214</w:t>
                  </w:r>
                </w:p>
              </w:tc>
              <w:tc>
                <w:tcPr>
                  <w:tcW w:w="829" w:type="dxa"/>
                  <w:tcBorders>
                    <w:tl2br w:val="nil"/>
                    <w:tr2bl w:val="nil"/>
                  </w:tcBorders>
                  <w:tcMar>
                    <w:top w:w="0" w:type="dxa"/>
                    <w:left w:w="6" w:type="dxa"/>
                    <w:bottom w:w="0" w:type="dxa"/>
                    <w:right w:w="6" w:type="dxa"/>
                  </w:tcMar>
                  <w:vAlign w:val="center"/>
                </w:tcPr>
                <w:p w14:paraId="4139286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28</w:t>
                  </w:r>
                  <w:r>
                    <w:rPr>
                      <w:rFonts w:hint="eastAsia" w:ascii="Times New Roman" w:hAnsi="Times New Roman" w:cs="Times New Roman"/>
                      <w:color w:val="auto"/>
                      <w:kern w:val="0"/>
                      <w:sz w:val="21"/>
                      <w:szCs w:val="21"/>
                      <w:u w:val="none"/>
                      <w:lang w:bidi="ar"/>
                    </w:rPr>
                    <w:t>.0</w:t>
                  </w:r>
                </w:p>
              </w:tc>
              <w:tc>
                <w:tcPr>
                  <w:tcW w:w="750" w:type="dxa"/>
                  <w:tcBorders>
                    <w:tl2br w:val="nil"/>
                    <w:tr2bl w:val="nil"/>
                  </w:tcBorders>
                  <w:tcMar>
                    <w:top w:w="0" w:type="dxa"/>
                    <w:left w:w="6" w:type="dxa"/>
                    <w:bottom w:w="0" w:type="dxa"/>
                    <w:right w:w="6" w:type="dxa"/>
                  </w:tcMar>
                  <w:vAlign w:val="center"/>
                </w:tcPr>
                <w:p w14:paraId="23C7BD2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0.0448</w:t>
                  </w:r>
                </w:p>
              </w:tc>
              <w:tc>
                <w:tcPr>
                  <w:tcW w:w="829" w:type="dxa"/>
                  <w:tcBorders>
                    <w:tl2br w:val="nil"/>
                    <w:tr2bl w:val="nil"/>
                  </w:tcBorders>
                  <w:tcMar>
                    <w:top w:w="0" w:type="dxa"/>
                    <w:left w:w="6" w:type="dxa"/>
                    <w:bottom w:w="0" w:type="dxa"/>
                    <w:right w:w="6" w:type="dxa"/>
                  </w:tcMar>
                  <w:vAlign w:val="center"/>
                </w:tcPr>
                <w:p w14:paraId="72684334">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174</w:t>
                  </w:r>
                </w:p>
              </w:tc>
              <w:tc>
                <w:tcPr>
                  <w:tcW w:w="751" w:type="dxa"/>
                  <w:tcBorders>
                    <w:tl2br w:val="nil"/>
                    <w:tr2bl w:val="nil"/>
                  </w:tcBorders>
                  <w:tcMar>
                    <w:top w:w="0" w:type="dxa"/>
                    <w:left w:w="6" w:type="dxa"/>
                    <w:bottom w:w="0" w:type="dxa"/>
                    <w:right w:w="6" w:type="dxa"/>
                  </w:tcMar>
                  <w:vAlign w:val="center"/>
                </w:tcPr>
                <w:p w14:paraId="774AECD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0.278</w:t>
                  </w:r>
                </w:p>
              </w:tc>
            </w:tr>
            <w:tr w14:paraId="34DF746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08" w:hRule="atLeast"/>
                <w:jc w:val="center"/>
              </w:trPr>
              <w:tc>
                <w:tcPr>
                  <w:tcW w:w="630" w:type="dxa"/>
                  <w:vMerge w:val="continue"/>
                  <w:tcBorders>
                    <w:tl2br w:val="nil"/>
                    <w:tr2bl w:val="nil"/>
                  </w:tcBorders>
                  <w:tcMar>
                    <w:top w:w="0" w:type="dxa"/>
                    <w:left w:w="6" w:type="dxa"/>
                    <w:bottom w:w="0" w:type="dxa"/>
                    <w:right w:w="6" w:type="dxa"/>
                  </w:tcMar>
                  <w:vAlign w:val="center"/>
                </w:tcPr>
                <w:p w14:paraId="507B8281">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tcBorders>
                    <w:tl2br w:val="nil"/>
                    <w:tr2bl w:val="nil"/>
                  </w:tcBorders>
                  <w:tcMar>
                    <w:top w:w="0" w:type="dxa"/>
                    <w:left w:w="6" w:type="dxa"/>
                    <w:bottom w:w="0" w:type="dxa"/>
                    <w:right w:w="6" w:type="dxa"/>
                  </w:tcMar>
                  <w:vAlign w:val="center"/>
                </w:tcPr>
                <w:p w14:paraId="0F9D3083">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ascii="Times New Roman" w:hAnsi="Times New Roman" w:eastAsia="宋体" w:cs="Times New Roman"/>
                      <w:color w:val="auto"/>
                      <w:sz w:val="21"/>
                      <w:szCs w:val="21"/>
                      <w:u w:val="none"/>
                    </w:rPr>
                    <w:t>均值</w:t>
                  </w:r>
                </w:p>
              </w:tc>
              <w:tc>
                <w:tcPr>
                  <w:tcW w:w="840" w:type="dxa"/>
                  <w:tcBorders>
                    <w:tl2br w:val="nil"/>
                    <w:tr2bl w:val="nil"/>
                  </w:tcBorders>
                  <w:tcMar>
                    <w:top w:w="0" w:type="dxa"/>
                    <w:left w:w="6" w:type="dxa"/>
                    <w:bottom w:w="0" w:type="dxa"/>
                    <w:right w:w="6" w:type="dxa"/>
                  </w:tcMar>
                  <w:vAlign w:val="center"/>
                </w:tcPr>
                <w:p w14:paraId="46D941DB">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1.64</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4BFA930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3.8</w:t>
                  </w:r>
                </w:p>
              </w:tc>
              <w:tc>
                <w:tcPr>
                  <w:tcW w:w="748" w:type="dxa"/>
                  <w:tcBorders>
                    <w:tl2br w:val="nil"/>
                    <w:tr2bl w:val="nil"/>
                  </w:tcBorders>
                  <w:tcMar>
                    <w:top w:w="0" w:type="dxa"/>
                    <w:left w:w="6" w:type="dxa"/>
                    <w:bottom w:w="0" w:type="dxa"/>
                    <w:right w:w="6" w:type="dxa"/>
                  </w:tcMar>
                  <w:vAlign w:val="center"/>
                </w:tcPr>
                <w:p w14:paraId="2EA3910D">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6.3</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53E3B0F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143</w:t>
                  </w:r>
                </w:p>
              </w:tc>
              <w:tc>
                <w:tcPr>
                  <w:tcW w:w="748" w:type="dxa"/>
                  <w:tcBorders>
                    <w:tl2br w:val="nil"/>
                    <w:tr2bl w:val="nil"/>
                  </w:tcBorders>
                  <w:tcMar>
                    <w:top w:w="0" w:type="dxa"/>
                    <w:left w:w="6" w:type="dxa"/>
                    <w:bottom w:w="0" w:type="dxa"/>
                    <w:right w:w="6" w:type="dxa"/>
                  </w:tcMar>
                  <w:vAlign w:val="center"/>
                </w:tcPr>
                <w:p w14:paraId="519C5D2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0.235</w:t>
                  </w:r>
                </w:p>
              </w:tc>
              <w:tc>
                <w:tcPr>
                  <w:tcW w:w="829" w:type="dxa"/>
                  <w:tcBorders>
                    <w:tl2br w:val="nil"/>
                    <w:tr2bl w:val="nil"/>
                  </w:tcBorders>
                  <w:tcMar>
                    <w:top w:w="0" w:type="dxa"/>
                    <w:left w:w="6" w:type="dxa"/>
                    <w:bottom w:w="0" w:type="dxa"/>
                    <w:right w:w="6" w:type="dxa"/>
                  </w:tcMar>
                  <w:vAlign w:val="center"/>
                </w:tcPr>
                <w:p w14:paraId="5FF8430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28.</w:t>
                  </w:r>
                  <w:r>
                    <w:rPr>
                      <w:rFonts w:hint="eastAsia" w:ascii="Times New Roman" w:hAnsi="Times New Roman" w:cs="Times New Roman"/>
                      <w:color w:val="auto"/>
                      <w:kern w:val="0"/>
                      <w:sz w:val="21"/>
                      <w:szCs w:val="21"/>
                      <w:u w:val="none"/>
                      <w:lang w:bidi="ar"/>
                    </w:rPr>
                    <w:t>7</w:t>
                  </w:r>
                </w:p>
              </w:tc>
              <w:tc>
                <w:tcPr>
                  <w:tcW w:w="750" w:type="dxa"/>
                  <w:tcBorders>
                    <w:tl2br w:val="nil"/>
                    <w:tr2bl w:val="nil"/>
                  </w:tcBorders>
                  <w:tcMar>
                    <w:top w:w="0" w:type="dxa"/>
                    <w:left w:w="6" w:type="dxa"/>
                    <w:bottom w:w="0" w:type="dxa"/>
                    <w:right w:w="6" w:type="dxa"/>
                  </w:tcMar>
                  <w:vAlign w:val="center"/>
                </w:tcPr>
                <w:p w14:paraId="3CCC62A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0.0470</w:t>
                  </w:r>
                </w:p>
              </w:tc>
              <w:tc>
                <w:tcPr>
                  <w:tcW w:w="829" w:type="dxa"/>
                  <w:tcBorders>
                    <w:tl2br w:val="nil"/>
                    <w:tr2bl w:val="nil"/>
                  </w:tcBorders>
                  <w:tcMar>
                    <w:top w:w="0" w:type="dxa"/>
                    <w:left w:w="6" w:type="dxa"/>
                    <w:bottom w:w="0" w:type="dxa"/>
                    <w:right w:w="6" w:type="dxa"/>
                  </w:tcMar>
                  <w:vAlign w:val="center"/>
                </w:tcPr>
                <w:p w14:paraId="48F821B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16</w:t>
                  </w:r>
                  <w:r>
                    <w:rPr>
                      <w:rFonts w:hint="eastAsia" w:ascii="Times New Roman" w:hAnsi="Times New Roman" w:cs="Times New Roman"/>
                      <w:color w:val="auto"/>
                      <w:kern w:val="0"/>
                      <w:sz w:val="21"/>
                      <w:szCs w:val="21"/>
                      <w:u w:val="none"/>
                      <w:lang w:bidi="ar"/>
                    </w:rPr>
                    <w:t>9</w:t>
                  </w:r>
                </w:p>
              </w:tc>
              <w:tc>
                <w:tcPr>
                  <w:tcW w:w="751" w:type="dxa"/>
                  <w:tcBorders>
                    <w:tl2br w:val="nil"/>
                    <w:tr2bl w:val="nil"/>
                  </w:tcBorders>
                  <w:tcMar>
                    <w:top w:w="0" w:type="dxa"/>
                    <w:left w:w="6" w:type="dxa"/>
                    <w:bottom w:w="0" w:type="dxa"/>
                    <w:right w:w="6" w:type="dxa"/>
                  </w:tcMar>
                  <w:vAlign w:val="center"/>
                </w:tcPr>
                <w:p w14:paraId="6DD0CF0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0.277</w:t>
                  </w:r>
                </w:p>
              </w:tc>
            </w:tr>
            <w:tr w14:paraId="1306EC6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08" w:hRule="atLeast"/>
                <w:jc w:val="center"/>
              </w:trPr>
              <w:tc>
                <w:tcPr>
                  <w:tcW w:w="630" w:type="dxa"/>
                  <w:vMerge w:val="continue"/>
                  <w:tcBorders>
                    <w:tl2br w:val="nil"/>
                    <w:tr2bl w:val="nil"/>
                  </w:tcBorders>
                  <w:tcMar>
                    <w:top w:w="0" w:type="dxa"/>
                    <w:left w:w="6" w:type="dxa"/>
                    <w:bottom w:w="0" w:type="dxa"/>
                    <w:right w:w="6" w:type="dxa"/>
                  </w:tcMar>
                  <w:vAlign w:val="center"/>
                </w:tcPr>
                <w:p w14:paraId="39D1A487">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restart"/>
                  <w:tcBorders>
                    <w:tl2br w:val="nil"/>
                    <w:tr2bl w:val="nil"/>
                  </w:tcBorders>
                  <w:tcMar>
                    <w:top w:w="0" w:type="dxa"/>
                    <w:left w:w="6" w:type="dxa"/>
                    <w:bottom w:w="0" w:type="dxa"/>
                    <w:right w:w="6" w:type="dxa"/>
                  </w:tcMar>
                  <w:vAlign w:val="center"/>
                </w:tcPr>
                <w:p w14:paraId="77A05AE2">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ascii="Times New Roman" w:hAnsi="Times New Roman" w:eastAsia="宋体" w:cs="Times New Roman"/>
                      <w:color w:val="auto"/>
                      <w:sz w:val="21"/>
                      <w:szCs w:val="21"/>
                      <w:u w:val="none"/>
                    </w:rPr>
                    <w:t>2#发电机组排气筒出口</w:t>
                  </w:r>
                </w:p>
              </w:tc>
              <w:tc>
                <w:tcPr>
                  <w:tcW w:w="840" w:type="dxa"/>
                  <w:tcBorders>
                    <w:tl2br w:val="nil"/>
                    <w:tr2bl w:val="nil"/>
                  </w:tcBorders>
                  <w:tcMar>
                    <w:top w:w="0" w:type="dxa"/>
                    <w:left w:w="6" w:type="dxa"/>
                    <w:bottom w:w="0" w:type="dxa"/>
                    <w:right w:w="6" w:type="dxa"/>
                  </w:tcMar>
                  <w:vAlign w:val="center"/>
                </w:tcPr>
                <w:p w14:paraId="21A6E4C9">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1.05</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6626379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7.3</w:t>
                  </w:r>
                </w:p>
              </w:tc>
              <w:tc>
                <w:tcPr>
                  <w:tcW w:w="748" w:type="dxa"/>
                  <w:tcBorders>
                    <w:tl2br w:val="nil"/>
                    <w:tr2bl w:val="nil"/>
                  </w:tcBorders>
                  <w:tcMar>
                    <w:top w:w="0" w:type="dxa"/>
                    <w:left w:w="6" w:type="dxa"/>
                    <w:bottom w:w="0" w:type="dxa"/>
                    <w:right w:w="6" w:type="dxa"/>
                  </w:tcMar>
                  <w:vAlign w:val="center"/>
                </w:tcPr>
                <w:p w14:paraId="213FFDD4">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7.7</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16372B3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201</w:t>
                  </w:r>
                </w:p>
              </w:tc>
              <w:tc>
                <w:tcPr>
                  <w:tcW w:w="748" w:type="dxa"/>
                  <w:tcBorders>
                    <w:tl2br w:val="nil"/>
                    <w:tr2bl w:val="nil"/>
                  </w:tcBorders>
                  <w:tcMar>
                    <w:top w:w="0" w:type="dxa"/>
                    <w:left w:w="6" w:type="dxa"/>
                    <w:bottom w:w="0" w:type="dxa"/>
                    <w:right w:w="6" w:type="dxa"/>
                  </w:tcMar>
                  <w:vAlign w:val="center"/>
                </w:tcPr>
                <w:p w14:paraId="4B17A41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0.211</w:t>
                  </w:r>
                </w:p>
              </w:tc>
              <w:tc>
                <w:tcPr>
                  <w:tcW w:w="829" w:type="dxa"/>
                  <w:tcBorders>
                    <w:tl2br w:val="nil"/>
                    <w:tr2bl w:val="nil"/>
                  </w:tcBorders>
                  <w:tcMar>
                    <w:top w:w="0" w:type="dxa"/>
                    <w:left w:w="6" w:type="dxa"/>
                    <w:bottom w:w="0" w:type="dxa"/>
                    <w:right w:w="6" w:type="dxa"/>
                  </w:tcMar>
                  <w:vAlign w:val="center"/>
                </w:tcPr>
                <w:p w14:paraId="5AB8CEF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38.8</w:t>
                  </w:r>
                </w:p>
              </w:tc>
              <w:tc>
                <w:tcPr>
                  <w:tcW w:w="750" w:type="dxa"/>
                  <w:tcBorders>
                    <w:tl2br w:val="nil"/>
                    <w:tr2bl w:val="nil"/>
                  </w:tcBorders>
                  <w:tcMar>
                    <w:top w:w="0" w:type="dxa"/>
                    <w:left w:w="6" w:type="dxa"/>
                    <w:bottom w:w="0" w:type="dxa"/>
                    <w:right w:w="6" w:type="dxa"/>
                  </w:tcMar>
                  <w:vAlign w:val="center"/>
                </w:tcPr>
                <w:p w14:paraId="28828F3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0.0407</w:t>
                  </w:r>
                </w:p>
              </w:tc>
              <w:tc>
                <w:tcPr>
                  <w:tcW w:w="829" w:type="dxa"/>
                  <w:tcBorders>
                    <w:tl2br w:val="nil"/>
                    <w:tr2bl w:val="nil"/>
                  </w:tcBorders>
                  <w:tcMar>
                    <w:top w:w="0" w:type="dxa"/>
                    <w:left w:w="6" w:type="dxa"/>
                    <w:bottom w:w="0" w:type="dxa"/>
                    <w:right w:w="6" w:type="dxa"/>
                  </w:tcMar>
                  <w:vAlign w:val="center"/>
                </w:tcPr>
                <w:p w14:paraId="7BCE33D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193</w:t>
                  </w:r>
                </w:p>
              </w:tc>
              <w:tc>
                <w:tcPr>
                  <w:tcW w:w="751" w:type="dxa"/>
                  <w:tcBorders>
                    <w:tl2br w:val="nil"/>
                    <w:tr2bl w:val="nil"/>
                  </w:tcBorders>
                  <w:tcMar>
                    <w:top w:w="0" w:type="dxa"/>
                    <w:left w:w="6" w:type="dxa"/>
                    <w:bottom w:w="0" w:type="dxa"/>
                    <w:right w:w="6" w:type="dxa"/>
                  </w:tcMar>
                  <w:vAlign w:val="center"/>
                </w:tcPr>
                <w:p w14:paraId="5BFB2E54">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0.203</w:t>
                  </w:r>
                </w:p>
              </w:tc>
            </w:tr>
            <w:tr w14:paraId="07EDB97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08" w:hRule="atLeast"/>
                <w:jc w:val="center"/>
              </w:trPr>
              <w:tc>
                <w:tcPr>
                  <w:tcW w:w="630" w:type="dxa"/>
                  <w:vMerge w:val="continue"/>
                  <w:tcBorders>
                    <w:tl2br w:val="nil"/>
                    <w:tr2bl w:val="nil"/>
                  </w:tcBorders>
                  <w:tcMar>
                    <w:top w:w="0" w:type="dxa"/>
                    <w:left w:w="6" w:type="dxa"/>
                    <w:bottom w:w="0" w:type="dxa"/>
                    <w:right w:w="6" w:type="dxa"/>
                  </w:tcMar>
                  <w:vAlign w:val="center"/>
                </w:tcPr>
                <w:p w14:paraId="55AE0F4E">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1A628F68">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00075F52">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1.02</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22C04E6D">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6.5</w:t>
                  </w:r>
                </w:p>
              </w:tc>
              <w:tc>
                <w:tcPr>
                  <w:tcW w:w="748" w:type="dxa"/>
                  <w:tcBorders>
                    <w:tl2br w:val="nil"/>
                    <w:tr2bl w:val="nil"/>
                  </w:tcBorders>
                  <w:tcMar>
                    <w:top w:w="0" w:type="dxa"/>
                    <w:left w:w="6" w:type="dxa"/>
                    <w:bottom w:w="0" w:type="dxa"/>
                    <w:right w:w="6" w:type="dxa"/>
                  </w:tcMar>
                  <w:vAlign w:val="center"/>
                </w:tcPr>
                <w:p w14:paraId="2B27A79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6.6</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705F69D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195</w:t>
                  </w:r>
                </w:p>
              </w:tc>
              <w:tc>
                <w:tcPr>
                  <w:tcW w:w="748" w:type="dxa"/>
                  <w:tcBorders>
                    <w:tl2br w:val="nil"/>
                    <w:tr2bl w:val="nil"/>
                  </w:tcBorders>
                  <w:tcMar>
                    <w:top w:w="0" w:type="dxa"/>
                    <w:left w:w="6" w:type="dxa"/>
                    <w:bottom w:w="0" w:type="dxa"/>
                    <w:right w:w="6" w:type="dxa"/>
                  </w:tcMar>
                  <w:vAlign w:val="center"/>
                </w:tcPr>
                <w:p w14:paraId="14133AF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0.199</w:t>
                  </w:r>
                </w:p>
              </w:tc>
              <w:tc>
                <w:tcPr>
                  <w:tcW w:w="829" w:type="dxa"/>
                  <w:tcBorders>
                    <w:tl2br w:val="nil"/>
                    <w:tr2bl w:val="nil"/>
                  </w:tcBorders>
                  <w:tcMar>
                    <w:top w:w="0" w:type="dxa"/>
                    <w:left w:w="6" w:type="dxa"/>
                    <w:bottom w:w="0" w:type="dxa"/>
                    <w:right w:w="6" w:type="dxa"/>
                  </w:tcMar>
                  <w:vAlign w:val="center"/>
                </w:tcPr>
                <w:p w14:paraId="6FB5F8C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47.8</w:t>
                  </w:r>
                </w:p>
              </w:tc>
              <w:tc>
                <w:tcPr>
                  <w:tcW w:w="750" w:type="dxa"/>
                  <w:tcBorders>
                    <w:tl2br w:val="nil"/>
                    <w:tr2bl w:val="nil"/>
                  </w:tcBorders>
                  <w:tcMar>
                    <w:top w:w="0" w:type="dxa"/>
                    <w:left w:w="6" w:type="dxa"/>
                    <w:bottom w:w="0" w:type="dxa"/>
                    <w:right w:w="6" w:type="dxa"/>
                  </w:tcMar>
                  <w:vAlign w:val="center"/>
                </w:tcPr>
                <w:p w14:paraId="1D03B40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0.0488</w:t>
                  </w:r>
                </w:p>
              </w:tc>
              <w:tc>
                <w:tcPr>
                  <w:tcW w:w="829" w:type="dxa"/>
                  <w:tcBorders>
                    <w:tl2br w:val="nil"/>
                    <w:tr2bl w:val="nil"/>
                  </w:tcBorders>
                  <w:tcMar>
                    <w:top w:w="0" w:type="dxa"/>
                    <w:left w:w="6" w:type="dxa"/>
                    <w:bottom w:w="0" w:type="dxa"/>
                    <w:right w:w="6" w:type="dxa"/>
                  </w:tcMar>
                  <w:vAlign w:val="center"/>
                </w:tcPr>
                <w:p w14:paraId="6E52BD6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212</w:t>
                  </w:r>
                </w:p>
              </w:tc>
              <w:tc>
                <w:tcPr>
                  <w:tcW w:w="751" w:type="dxa"/>
                  <w:tcBorders>
                    <w:tl2br w:val="nil"/>
                    <w:tr2bl w:val="nil"/>
                  </w:tcBorders>
                  <w:tcMar>
                    <w:top w:w="0" w:type="dxa"/>
                    <w:left w:w="6" w:type="dxa"/>
                    <w:bottom w:w="0" w:type="dxa"/>
                    <w:right w:w="6" w:type="dxa"/>
                  </w:tcMar>
                  <w:vAlign w:val="center"/>
                </w:tcPr>
                <w:p w14:paraId="025E19B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0.216</w:t>
                  </w:r>
                </w:p>
              </w:tc>
            </w:tr>
            <w:tr w14:paraId="3481E69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08" w:hRule="atLeast"/>
                <w:jc w:val="center"/>
              </w:trPr>
              <w:tc>
                <w:tcPr>
                  <w:tcW w:w="630" w:type="dxa"/>
                  <w:vMerge w:val="continue"/>
                  <w:tcBorders>
                    <w:tl2br w:val="nil"/>
                    <w:tr2bl w:val="nil"/>
                  </w:tcBorders>
                  <w:tcMar>
                    <w:top w:w="0" w:type="dxa"/>
                    <w:left w:w="6" w:type="dxa"/>
                    <w:bottom w:w="0" w:type="dxa"/>
                    <w:right w:w="6" w:type="dxa"/>
                  </w:tcMar>
                  <w:vAlign w:val="center"/>
                </w:tcPr>
                <w:p w14:paraId="733DC35F">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3C95F399">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24D49FFB">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1.08</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2CE87FF9">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7.0</w:t>
                  </w:r>
                </w:p>
              </w:tc>
              <w:tc>
                <w:tcPr>
                  <w:tcW w:w="748" w:type="dxa"/>
                  <w:tcBorders>
                    <w:tl2br w:val="nil"/>
                    <w:tr2bl w:val="nil"/>
                  </w:tcBorders>
                  <w:tcMar>
                    <w:top w:w="0" w:type="dxa"/>
                    <w:left w:w="6" w:type="dxa"/>
                    <w:bottom w:w="0" w:type="dxa"/>
                    <w:right w:w="6" w:type="dxa"/>
                  </w:tcMar>
                  <w:vAlign w:val="center"/>
                </w:tcPr>
                <w:p w14:paraId="415E05C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7.6</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1D8079EB">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214</w:t>
                  </w:r>
                </w:p>
              </w:tc>
              <w:tc>
                <w:tcPr>
                  <w:tcW w:w="748" w:type="dxa"/>
                  <w:tcBorders>
                    <w:tl2br w:val="nil"/>
                    <w:tr2bl w:val="nil"/>
                  </w:tcBorders>
                  <w:tcMar>
                    <w:top w:w="0" w:type="dxa"/>
                    <w:left w:w="6" w:type="dxa"/>
                    <w:bottom w:w="0" w:type="dxa"/>
                    <w:right w:w="6" w:type="dxa"/>
                  </w:tcMar>
                  <w:vAlign w:val="center"/>
                </w:tcPr>
                <w:p w14:paraId="1AA025C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0.231</w:t>
                  </w:r>
                </w:p>
              </w:tc>
              <w:tc>
                <w:tcPr>
                  <w:tcW w:w="829" w:type="dxa"/>
                  <w:tcBorders>
                    <w:tl2br w:val="nil"/>
                    <w:tr2bl w:val="nil"/>
                  </w:tcBorders>
                  <w:tcMar>
                    <w:top w:w="0" w:type="dxa"/>
                    <w:left w:w="6" w:type="dxa"/>
                    <w:bottom w:w="0" w:type="dxa"/>
                    <w:right w:w="6" w:type="dxa"/>
                  </w:tcMar>
                  <w:vAlign w:val="center"/>
                </w:tcPr>
                <w:p w14:paraId="62CFF65B">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49.2</w:t>
                  </w:r>
                </w:p>
              </w:tc>
              <w:tc>
                <w:tcPr>
                  <w:tcW w:w="750" w:type="dxa"/>
                  <w:tcBorders>
                    <w:tl2br w:val="nil"/>
                    <w:tr2bl w:val="nil"/>
                  </w:tcBorders>
                  <w:tcMar>
                    <w:top w:w="0" w:type="dxa"/>
                    <w:left w:w="6" w:type="dxa"/>
                    <w:bottom w:w="0" w:type="dxa"/>
                    <w:right w:w="6" w:type="dxa"/>
                  </w:tcMar>
                  <w:vAlign w:val="center"/>
                </w:tcPr>
                <w:p w14:paraId="51FDDDEB">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0.0531</w:t>
                  </w:r>
                </w:p>
              </w:tc>
              <w:tc>
                <w:tcPr>
                  <w:tcW w:w="829" w:type="dxa"/>
                  <w:tcBorders>
                    <w:tl2br w:val="nil"/>
                    <w:tr2bl w:val="nil"/>
                  </w:tcBorders>
                  <w:tcMar>
                    <w:top w:w="0" w:type="dxa"/>
                    <w:left w:w="6" w:type="dxa"/>
                    <w:bottom w:w="0" w:type="dxa"/>
                    <w:right w:w="6" w:type="dxa"/>
                  </w:tcMar>
                  <w:vAlign w:val="center"/>
                </w:tcPr>
                <w:p w14:paraId="7482800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177</w:t>
                  </w:r>
                </w:p>
              </w:tc>
              <w:tc>
                <w:tcPr>
                  <w:tcW w:w="751" w:type="dxa"/>
                  <w:tcBorders>
                    <w:tl2br w:val="nil"/>
                    <w:tr2bl w:val="nil"/>
                  </w:tcBorders>
                  <w:tcMar>
                    <w:top w:w="0" w:type="dxa"/>
                    <w:left w:w="6" w:type="dxa"/>
                    <w:bottom w:w="0" w:type="dxa"/>
                    <w:right w:w="6" w:type="dxa"/>
                  </w:tcMar>
                  <w:vAlign w:val="center"/>
                </w:tcPr>
                <w:p w14:paraId="0D1AF2FE">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0.191</w:t>
                  </w:r>
                </w:p>
              </w:tc>
            </w:tr>
            <w:tr w14:paraId="3B6A0D6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08" w:hRule="atLeast"/>
                <w:jc w:val="center"/>
              </w:trPr>
              <w:tc>
                <w:tcPr>
                  <w:tcW w:w="630" w:type="dxa"/>
                  <w:vMerge w:val="continue"/>
                  <w:tcBorders>
                    <w:tl2br w:val="nil"/>
                    <w:tr2bl w:val="nil"/>
                  </w:tcBorders>
                  <w:tcMar>
                    <w:top w:w="0" w:type="dxa"/>
                    <w:left w:w="6" w:type="dxa"/>
                    <w:bottom w:w="0" w:type="dxa"/>
                    <w:right w:w="6" w:type="dxa"/>
                  </w:tcMar>
                  <w:vAlign w:val="center"/>
                </w:tcPr>
                <w:p w14:paraId="461293FA">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tcBorders>
                    <w:tl2br w:val="nil"/>
                    <w:tr2bl w:val="nil"/>
                  </w:tcBorders>
                  <w:tcMar>
                    <w:top w:w="0" w:type="dxa"/>
                    <w:left w:w="6" w:type="dxa"/>
                    <w:bottom w:w="0" w:type="dxa"/>
                    <w:right w:w="6" w:type="dxa"/>
                  </w:tcMar>
                  <w:vAlign w:val="center"/>
                </w:tcPr>
                <w:p w14:paraId="708E6F60">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ascii="Times New Roman" w:hAnsi="Times New Roman" w:eastAsia="宋体" w:cs="Times New Roman"/>
                      <w:color w:val="auto"/>
                      <w:sz w:val="21"/>
                      <w:szCs w:val="21"/>
                      <w:u w:val="none"/>
                    </w:rPr>
                    <w:t>均值</w:t>
                  </w:r>
                </w:p>
              </w:tc>
              <w:tc>
                <w:tcPr>
                  <w:tcW w:w="840" w:type="dxa"/>
                  <w:tcBorders>
                    <w:tl2br w:val="nil"/>
                    <w:tr2bl w:val="nil"/>
                  </w:tcBorders>
                  <w:tcMar>
                    <w:top w:w="0" w:type="dxa"/>
                    <w:left w:w="6" w:type="dxa"/>
                    <w:bottom w:w="0" w:type="dxa"/>
                    <w:right w:w="6" w:type="dxa"/>
                  </w:tcMar>
                  <w:vAlign w:val="center"/>
                </w:tcPr>
                <w:p w14:paraId="25F5FCB7">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1.05</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67A29692">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hint="eastAsia" w:ascii="Times New Roman" w:hAnsi="Times New Roman" w:cs="Times New Roman"/>
                      <w:color w:val="auto"/>
                      <w:kern w:val="0"/>
                      <w:sz w:val="21"/>
                      <w:szCs w:val="21"/>
                      <w:u w:val="none"/>
                      <w:lang w:bidi="ar"/>
                    </w:rPr>
                    <w:t>7.0</w:t>
                  </w:r>
                </w:p>
              </w:tc>
              <w:tc>
                <w:tcPr>
                  <w:tcW w:w="748" w:type="dxa"/>
                  <w:tcBorders>
                    <w:tl2br w:val="nil"/>
                    <w:tr2bl w:val="nil"/>
                  </w:tcBorders>
                  <w:tcMar>
                    <w:top w:w="0" w:type="dxa"/>
                    <w:left w:w="6" w:type="dxa"/>
                    <w:bottom w:w="0" w:type="dxa"/>
                    <w:right w:w="6" w:type="dxa"/>
                  </w:tcMar>
                  <w:vAlign w:val="center"/>
                </w:tcPr>
                <w:p w14:paraId="32D3D94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7.3</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7CF81F12">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20</w:t>
                  </w:r>
                  <w:r>
                    <w:rPr>
                      <w:rFonts w:hint="eastAsia" w:ascii="Times New Roman" w:hAnsi="Times New Roman" w:cs="Times New Roman"/>
                      <w:color w:val="auto"/>
                      <w:kern w:val="0"/>
                      <w:sz w:val="21"/>
                      <w:szCs w:val="21"/>
                      <w:u w:val="none"/>
                      <w:lang w:bidi="ar"/>
                    </w:rPr>
                    <w:t>4</w:t>
                  </w:r>
                </w:p>
              </w:tc>
              <w:tc>
                <w:tcPr>
                  <w:tcW w:w="748" w:type="dxa"/>
                  <w:tcBorders>
                    <w:tl2br w:val="nil"/>
                    <w:tr2bl w:val="nil"/>
                  </w:tcBorders>
                  <w:tcMar>
                    <w:top w:w="0" w:type="dxa"/>
                    <w:left w:w="6" w:type="dxa"/>
                    <w:bottom w:w="0" w:type="dxa"/>
                    <w:right w:w="6" w:type="dxa"/>
                  </w:tcMar>
                  <w:vAlign w:val="center"/>
                </w:tcPr>
                <w:p w14:paraId="0F4FB31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0.214</w:t>
                  </w:r>
                </w:p>
              </w:tc>
              <w:tc>
                <w:tcPr>
                  <w:tcW w:w="829" w:type="dxa"/>
                  <w:tcBorders>
                    <w:tl2br w:val="nil"/>
                    <w:tr2bl w:val="nil"/>
                  </w:tcBorders>
                  <w:tcMar>
                    <w:top w:w="0" w:type="dxa"/>
                    <w:left w:w="6" w:type="dxa"/>
                    <w:bottom w:w="0" w:type="dxa"/>
                    <w:right w:w="6" w:type="dxa"/>
                  </w:tcMar>
                  <w:vAlign w:val="center"/>
                </w:tcPr>
                <w:p w14:paraId="0ACB945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45.2</w:t>
                  </w:r>
                </w:p>
              </w:tc>
              <w:tc>
                <w:tcPr>
                  <w:tcW w:w="750" w:type="dxa"/>
                  <w:tcBorders>
                    <w:tl2br w:val="nil"/>
                    <w:tr2bl w:val="nil"/>
                  </w:tcBorders>
                  <w:tcMar>
                    <w:top w:w="0" w:type="dxa"/>
                    <w:left w:w="6" w:type="dxa"/>
                    <w:bottom w:w="0" w:type="dxa"/>
                    <w:right w:w="6" w:type="dxa"/>
                  </w:tcMar>
                  <w:vAlign w:val="center"/>
                </w:tcPr>
                <w:p w14:paraId="69EEF07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0.0475</w:t>
                  </w:r>
                </w:p>
              </w:tc>
              <w:tc>
                <w:tcPr>
                  <w:tcW w:w="829" w:type="dxa"/>
                  <w:tcBorders>
                    <w:tl2br w:val="nil"/>
                    <w:tr2bl w:val="nil"/>
                  </w:tcBorders>
                  <w:tcMar>
                    <w:top w:w="0" w:type="dxa"/>
                    <w:left w:w="6" w:type="dxa"/>
                    <w:bottom w:w="0" w:type="dxa"/>
                    <w:right w:w="6" w:type="dxa"/>
                  </w:tcMar>
                  <w:vAlign w:val="center"/>
                </w:tcPr>
                <w:p w14:paraId="1146D19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193</w:t>
                  </w:r>
                </w:p>
              </w:tc>
              <w:tc>
                <w:tcPr>
                  <w:tcW w:w="751" w:type="dxa"/>
                  <w:tcBorders>
                    <w:tl2br w:val="nil"/>
                    <w:tr2bl w:val="nil"/>
                  </w:tcBorders>
                  <w:tcMar>
                    <w:top w:w="0" w:type="dxa"/>
                    <w:left w:w="6" w:type="dxa"/>
                    <w:bottom w:w="0" w:type="dxa"/>
                    <w:right w:w="6" w:type="dxa"/>
                  </w:tcMar>
                  <w:vAlign w:val="center"/>
                </w:tcPr>
                <w:p w14:paraId="1D8AF5A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0.203</w:t>
                  </w:r>
                </w:p>
              </w:tc>
            </w:tr>
            <w:tr w14:paraId="73B0044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08" w:hRule="atLeast"/>
                <w:jc w:val="center"/>
              </w:trPr>
              <w:tc>
                <w:tcPr>
                  <w:tcW w:w="630" w:type="dxa"/>
                  <w:vMerge w:val="continue"/>
                  <w:tcBorders>
                    <w:tl2br w:val="nil"/>
                    <w:tr2bl w:val="nil"/>
                  </w:tcBorders>
                  <w:tcMar>
                    <w:top w:w="0" w:type="dxa"/>
                    <w:left w:w="6" w:type="dxa"/>
                    <w:bottom w:w="0" w:type="dxa"/>
                    <w:right w:w="6" w:type="dxa"/>
                  </w:tcMar>
                  <w:vAlign w:val="center"/>
                </w:tcPr>
                <w:p w14:paraId="751A02F0">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restart"/>
                  <w:tcBorders>
                    <w:tl2br w:val="nil"/>
                    <w:tr2bl w:val="nil"/>
                  </w:tcBorders>
                  <w:tcMar>
                    <w:top w:w="0" w:type="dxa"/>
                    <w:left w:w="6" w:type="dxa"/>
                    <w:bottom w:w="0" w:type="dxa"/>
                    <w:right w:w="6" w:type="dxa"/>
                  </w:tcMar>
                  <w:vAlign w:val="center"/>
                </w:tcPr>
                <w:p w14:paraId="21203AC8">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ascii="Times New Roman" w:hAnsi="Times New Roman" w:eastAsia="宋体" w:cs="Times New Roman"/>
                      <w:color w:val="auto"/>
                      <w:sz w:val="21"/>
                      <w:szCs w:val="21"/>
                      <w:u w:val="none"/>
                    </w:rPr>
                    <w:t>3#发电机组排气筒出口</w:t>
                  </w:r>
                </w:p>
              </w:tc>
              <w:tc>
                <w:tcPr>
                  <w:tcW w:w="840" w:type="dxa"/>
                  <w:tcBorders>
                    <w:tl2br w:val="nil"/>
                    <w:tr2bl w:val="nil"/>
                  </w:tcBorders>
                  <w:tcMar>
                    <w:top w:w="0" w:type="dxa"/>
                    <w:left w:w="6" w:type="dxa"/>
                    <w:bottom w:w="0" w:type="dxa"/>
                    <w:right w:w="6" w:type="dxa"/>
                  </w:tcMar>
                  <w:vAlign w:val="center"/>
                </w:tcPr>
                <w:p w14:paraId="3D909EC6">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1.12</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15D84A0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6.7</w:t>
                  </w:r>
                </w:p>
              </w:tc>
              <w:tc>
                <w:tcPr>
                  <w:tcW w:w="748" w:type="dxa"/>
                  <w:tcBorders>
                    <w:tl2br w:val="nil"/>
                    <w:tr2bl w:val="nil"/>
                  </w:tcBorders>
                  <w:tcMar>
                    <w:top w:w="0" w:type="dxa"/>
                    <w:left w:w="6" w:type="dxa"/>
                    <w:bottom w:w="0" w:type="dxa"/>
                    <w:right w:w="6" w:type="dxa"/>
                  </w:tcMar>
                  <w:vAlign w:val="center"/>
                </w:tcPr>
                <w:p w14:paraId="5680EAC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7.5</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28C8E4E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208</w:t>
                  </w:r>
                </w:p>
              </w:tc>
              <w:tc>
                <w:tcPr>
                  <w:tcW w:w="748" w:type="dxa"/>
                  <w:tcBorders>
                    <w:tl2br w:val="nil"/>
                    <w:tr2bl w:val="nil"/>
                  </w:tcBorders>
                  <w:tcMar>
                    <w:top w:w="0" w:type="dxa"/>
                    <w:left w:w="6" w:type="dxa"/>
                    <w:bottom w:w="0" w:type="dxa"/>
                    <w:right w:w="6" w:type="dxa"/>
                  </w:tcMar>
                  <w:vAlign w:val="center"/>
                </w:tcPr>
                <w:p w14:paraId="15D4A37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0.233</w:t>
                  </w:r>
                </w:p>
              </w:tc>
              <w:tc>
                <w:tcPr>
                  <w:tcW w:w="829" w:type="dxa"/>
                  <w:tcBorders>
                    <w:tl2br w:val="nil"/>
                    <w:tr2bl w:val="nil"/>
                  </w:tcBorders>
                  <w:tcMar>
                    <w:top w:w="0" w:type="dxa"/>
                    <w:left w:w="6" w:type="dxa"/>
                    <w:bottom w:w="0" w:type="dxa"/>
                    <w:right w:w="6" w:type="dxa"/>
                  </w:tcMar>
                  <w:vAlign w:val="center"/>
                </w:tcPr>
                <w:p w14:paraId="088FD44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37.4</w:t>
                  </w:r>
                </w:p>
              </w:tc>
              <w:tc>
                <w:tcPr>
                  <w:tcW w:w="750" w:type="dxa"/>
                  <w:tcBorders>
                    <w:tl2br w:val="nil"/>
                    <w:tr2bl w:val="nil"/>
                  </w:tcBorders>
                  <w:tcMar>
                    <w:top w:w="0" w:type="dxa"/>
                    <w:left w:w="6" w:type="dxa"/>
                    <w:bottom w:w="0" w:type="dxa"/>
                    <w:right w:w="6" w:type="dxa"/>
                  </w:tcMar>
                  <w:vAlign w:val="center"/>
                </w:tcPr>
                <w:p w14:paraId="0076DA12">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0.0419</w:t>
                  </w:r>
                </w:p>
              </w:tc>
              <w:tc>
                <w:tcPr>
                  <w:tcW w:w="829" w:type="dxa"/>
                  <w:tcBorders>
                    <w:tl2br w:val="nil"/>
                    <w:tr2bl w:val="nil"/>
                  </w:tcBorders>
                  <w:tcMar>
                    <w:top w:w="0" w:type="dxa"/>
                    <w:left w:w="6" w:type="dxa"/>
                    <w:bottom w:w="0" w:type="dxa"/>
                    <w:right w:w="6" w:type="dxa"/>
                  </w:tcMar>
                  <w:vAlign w:val="center"/>
                </w:tcPr>
                <w:p w14:paraId="5A2DDF0D">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223</w:t>
                  </w:r>
                </w:p>
              </w:tc>
              <w:tc>
                <w:tcPr>
                  <w:tcW w:w="751" w:type="dxa"/>
                  <w:tcBorders>
                    <w:tl2br w:val="nil"/>
                    <w:tr2bl w:val="nil"/>
                  </w:tcBorders>
                  <w:tcMar>
                    <w:top w:w="0" w:type="dxa"/>
                    <w:left w:w="6" w:type="dxa"/>
                    <w:bottom w:w="0" w:type="dxa"/>
                    <w:right w:w="6" w:type="dxa"/>
                  </w:tcMar>
                  <w:vAlign w:val="center"/>
                </w:tcPr>
                <w:p w14:paraId="5705980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0.250</w:t>
                  </w:r>
                </w:p>
              </w:tc>
            </w:tr>
            <w:tr w14:paraId="55CF50E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08" w:hRule="atLeast"/>
                <w:jc w:val="center"/>
              </w:trPr>
              <w:tc>
                <w:tcPr>
                  <w:tcW w:w="630" w:type="dxa"/>
                  <w:vMerge w:val="continue"/>
                  <w:tcBorders>
                    <w:tl2br w:val="nil"/>
                    <w:tr2bl w:val="nil"/>
                  </w:tcBorders>
                  <w:tcMar>
                    <w:top w:w="0" w:type="dxa"/>
                    <w:left w:w="6" w:type="dxa"/>
                    <w:bottom w:w="0" w:type="dxa"/>
                    <w:right w:w="6" w:type="dxa"/>
                  </w:tcMar>
                  <w:vAlign w:val="center"/>
                </w:tcPr>
                <w:p w14:paraId="37779DF5">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691F7226">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771566C2">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1.17</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44359E8E">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5.8</w:t>
                  </w:r>
                </w:p>
              </w:tc>
              <w:tc>
                <w:tcPr>
                  <w:tcW w:w="748" w:type="dxa"/>
                  <w:tcBorders>
                    <w:tl2br w:val="nil"/>
                    <w:tr2bl w:val="nil"/>
                  </w:tcBorders>
                  <w:tcMar>
                    <w:top w:w="0" w:type="dxa"/>
                    <w:left w:w="6" w:type="dxa"/>
                    <w:bottom w:w="0" w:type="dxa"/>
                    <w:right w:w="6" w:type="dxa"/>
                  </w:tcMar>
                  <w:vAlign w:val="center"/>
                </w:tcPr>
                <w:p w14:paraId="71C4641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6.8</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1C76050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222</w:t>
                  </w:r>
                </w:p>
              </w:tc>
              <w:tc>
                <w:tcPr>
                  <w:tcW w:w="748" w:type="dxa"/>
                  <w:tcBorders>
                    <w:tl2br w:val="nil"/>
                    <w:tr2bl w:val="nil"/>
                  </w:tcBorders>
                  <w:tcMar>
                    <w:top w:w="0" w:type="dxa"/>
                    <w:left w:w="6" w:type="dxa"/>
                    <w:bottom w:w="0" w:type="dxa"/>
                    <w:right w:w="6" w:type="dxa"/>
                  </w:tcMar>
                  <w:vAlign w:val="center"/>
                </w:tcPr>
                <w:p w14:paraId="2C4B3232">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0.260</w:t>
                  </w:r>
                </w:p>
              </w:tc>
              <w:tc>
                <w:tcPr>
                  <w:tcW w:w="829" w:type="dxa"/>
                  <w:tcBorders>
                    <w:tl2br w:val="nil"/>
                    <w:tr2bl w:val="nil"/>
                  </w:tcBorders>
                  <w:tcMar>
                    <w:top w:w="0" w:type="dxa"/>
                    <w:left w:w="6" w:type="dxa"/>
                    <w:bottom w:w="0" w:type="dxa"/>
                    <w:right w:w="6" w:type="dxa"/>
                  </w:tcMar>
                  <w:vAlign w:val="center"/>
                </w:tcPr>
                <w:p w14:paraId="0EDBE4E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41</w:t>
                  </w:r>
                  <w:r>
                    <w:rPr>
                      <w:rFonts w:hint="eastAsia" w:ascii="Times New Roman" w:hAnsi="Times New Roman" w:cs="Times New Roman"/>
                      <w:color w:val="auto"/>
                      <w:kern w:val="0"/>
                      <w:sz w:val="21"/>
                      <w:szCs w:val="21"/>
                      <w:u w:val="none"/>
                      <w:lang w:bidi="ar"/>
                    </w:rPr>
                    <w:t>.0</w:t>
                  </w:r>
                </w:p>
              </w:tc>
              <w:tc>
                <w:tcPr>
                  <w:tcW w:w="750" w:type="dxa"/>
                  <w:tcBorders>
                    <w:tl2br w:val="nil"/>
                    <w:tr2bl w:val="nil"/>
                  </w:tcBorders>
                  <w:tcMar>
                    <w:top w:w="0" w:type="dxa"/>
                    <w:left w:w="6" w:type="dxa"/>
                    <w:bottom w:w="0" w:type="dxa"/>
                    <w:right w:w="6" w:type="dxa"/>
                  </w:tcMar>
                  <w:vAlign w:val="center"/>
                </w:tcPr>
                <w:p w14:paraId="5C12C6B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0.0480</w:t>
                  </w:r>
                </w:p>
              </w:tc>
              <w:tc>
                <w:tcPr>
                  <w:tcW w:w="829" w:type="dxa"/>
                  <w:tcBorders>
                    <w:tl2br w:val="nil"/>
                    <w:tr2bl w:val="nil"/>
                  </w:tcBorders>
                  <w:tcMar>
                    <w:top w:w="0" w:type="dxa"/>
                    <w:left w:w="6" w:type="dxa"/>
                    <w:bottom w:w="0" w:type="dxa"/>
                    <w:right w:w="6" w:type="dxa"/>
                  </w:tcMar>
                  <w:vAlign w:val="center"/>
                </w:tcPr>
                <w:p w14:paraId="45541AF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205</w:t>
                  </w:r>
                </w:p>
              </w:tc>
              <w:tc>
                <w:tcPr>
                  <w:tcW w:w="751" w:type="dxa"/>
                  <w:tcBorders>
                    <w:tl2br w:val="nil"/>
                    <w:tr2bl w:val="nil"/>
                  </w:tcBorders>
                  <w:tcMar>
                    <w:top w:w="0" w:type="dxa"/>
                    <w:left w:w="6" w:type="dxa"/>
                    <w:bottom w:w="0" w:type="dxa"/>
                    <w:right w:w="6" w:type="dxa"/>
                  </w:tcMar>
                  <w:vAlign w:val="center"/>
                </w:tcPr>
                <w:p w14:paraId="6E0FE762">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0.240</w:t>
                  </w:r>
                </w:p>
              </w:tc>
            </w:tr>
            <w:tr w14:paraId="76105C2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08" w:hRule="atLeast"/>
                <w:jc w:val="center"/>
              </w:trPr>
              <w:tc>
                <w:tcPr>
                  <w:tcW w:w="630" w:type="dxa"/>
                  <w:vMerge w:val="continue"/>
                  <w:tcBorders>
                    <w:tl2br w:val="nil"/>
                    <w:tr2bl w:val="nil"/>
                  </w:tcBorders>
                  <w:tcMar>
                    <w:top w:w="0" w:type="dxa"/>
                    <w:left w:w="6" w:type="dxa"/>
                    <w:bottom w:w="0" w:type="dxa"/>
                    <w:right w:w="6" w:type="dxa"/>
                  </w:tcMar>
                  <w:vAlign w:val="center"/>
                </w:tcPr>
                <w:p w14:paraId="4AAB4FEB">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29A36E05">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53BE1083">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1.20</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3C0B200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6.2</w:t>
                  </w:r>
                </w:p>
              </w:tc>
              <w:tc>
                <w:tcPr>
                  <w:tcW w:w="748" w:type="dxa"/>
                  <w:tcBorders>
                    <w:tl2br w:val="nil"/>
                    <w:tr2bl w:val="nil"/>
                  </w:tcBorders>
                  <w:tcMar>
                    <w:top w:w="0" w:type="dxa"/>
                    <w:left w:w="6" w:type="dxa"/>
                    <w:bottom w:w="0" w:type="dxa"/>
                    <w:right w:w="6" w:type="dxa"/>
                  </w:tcMar>
                  <w:vAlign w:val="center"/>
                </w:tcPr>
                <w:p w14:paraId="4306B489">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7.4</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2CAF8E5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190</w:t>
                  </w:r>
                </w:p>
              </w:tc>
              <w:tc>
                <w:tcPr>
                  <w:tcW w:w="748" w:type="dxa"/>
                  <w:tcBorders>
                    <w:tl2br w:val="nil"/>
                    <w:tr2bl w:val="nil"/>
                  </w:tcBorders>
                  <w:tcMar>
                    <w:top w:w="0" w:type="dxa"/>
                    <w:left w:w="6" w:type="dxa"/>
                    <w:bottom w:w="0" w:type="dxa"/>
                    <w:right w:w="6" w:type="dxa"/>
                  </w:tcMar>
                  <w:vAlign w:val="center"/>
                </w:tcPr>
                <w:p w14:paraId="08A3434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0.228</w:t>
                  </w:r>
                </w:p>
              </w:tc>
              <w:tc>
                <w:tcPr>
                  <w:tcW w:w="829" w:type="dxa"/>
                  <w:tcBorders>
                    <w:tl2br w:val="nil"/>
                    <w:tr2bl w:val="nil"/>
                  </w:tcBorders>
                  <w:tcMar>
                    <w:top w:w="0" w:type="dxa"/>
                    <w:left w:w="6" w:type="dxa"/>
                    <w:bottom w:w="0" w:type="dxa"/>
                    <w:right w:w="6" w:type="dxa"/>
                  </w:tcMar>
                  <w:vAlign w:val="center"/>
                </w:tcPr>
                <w:p w14:paraId="5777867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31.8</w:t>
                  </w:r>
                </w:p>
              </w:tc>
              <w:tc>
                <w:tcPr>
                  <w:tcW w:w="750" w:type="dxa"/>
                  <w:tcBorders>
                    <w:tl2br w:val="nil"/>
                    <w:tr2bl w:val="nil"/>
                  </w:tcBorders>
                  <w:tcMar>
                    <w:top w:w="0" w:type="dxa"/>
                    <w:left w:w="6" w:type="dxa"/>
                    <w:bottom w:w="0" w:type="dxa"/>
                    <w:right w:w="6" w:type="dxa"/>
                  </w:tcMar>
                  <w:vAlign w:val="center"/>
                </w:tcPr>
                <w:p w14:paraId="62F4A45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0.0382</w:t>
                  </w:r>
                </w:p>
              </w:tc>
              <w:tc>
                <w:tcPr>
                  <w:tcW w:w="829" w:type="dxa"/>
                  <w:tcBorders>
                    <w:tl2br w:val="nil"/>
                    <w:tr2bl w:val="nil"/>
                  </w:tcBorders>
                  <w:tcMar>
                    <w:top w:w="0" w:type="dxa"/>
                    <w:left w:w="6" w:type="dxa"/>
                    <w:bottom w:w="0" w:type="dxa"/>
                    <w:right w:w="6" w:type="dxa"/>
                  </w:tcMar>
                  <w:vAlign w:val="center"/>
                </w:tcPr>
                <w:p w14:paraId="7EAB5DA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185</w:t>
                  </w:r>
                </w:p>
              </w:tc>
              <w:tc>
                <w:tcPr>
                  <w:tcW w:w="751" w:type="dxa"/>
                  <w:tcBorders>
                    <w:tl2br w:val="nil"/>
                    <w:tr2bl w:val="nil"/>
                  </w:tcBorders>
                  <w:tcMar>
                    <w:top w:w="0" w:type="dxa"/>
                    <w:left w:w="6" w:type="dxa"/>
                    <w:bottom w:w="0" w:type="dxa"/>
                    <w:right w:w="6" w:type="dxa"/>
                  </w:tcMar>
                  <w:vAlign w:val="center"/>
                </w:tcPr>
                <w:p w14:paraId="3FAD75BB">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0.222</w:t>
                  </w:r>
                </w:p>
              </w:tc>
            </w:tr>
            <w:tr w14:paraId="213E883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08" w:hRule="atLeast"/>
                <w:jc w:val="center"/>
              </w:trPr>
              <w:tc>
                <w:tcPr>
                  <w:tcW w:w="630" w:type="dxa"/>
                  <w:vMerge w:val="continue"/>
                  <w:tcBorders>
                    <w:tl2br w:val="nil"/>
                    <w:tr2bl w:val="nil"/>
                  </w:tcBorders>
                  <w:tcMar>
                    <w:top w:w="0" w:type="dxa"/>
                    <w:left w:w="6" w:type="dxa"/>
                    <w:bottom w:w="0" w:type="dxa"/>
                    <w:right w:w="6" w:type="dxa"/>
                  </w:tcMar>
                  <w:vAlign w:val="center"/>
                </w:tcPr>
                <w:p w14:paraId="56B05594">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tcBorders>
                    <w:tl2br w:val="nil"/>
                    <w:tr2bl w:val="nil"/>
                  </w:tcBorders>
                  <w:tcMar>
                    <w:top w:w="0" w:type="dxa"/>
                    <w:left w:w="6" w:type="dxa"/>
                    <w:bottom w:w="0" w:type="dxa"/>
                    <w:right w:w="6" w:type="dxa"/>
                  </w:tcMar>
                  <w:vAlign w:val="center"/>
                </w:tcPr>
                <w:p w14:paraId="41F25425">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ascii="Times New Roman" w:hAnsi="Times New Roman" w:eastAsia="宋体" w:cs="Times New Roman"/>
                      <w:color w:val="auto"/>
                      <w:sz w:val="21"/>
                      <w:szCs w:val="21"/>
                      <w:u w:val="none"/>
                    </w:rPr>
                    <w:t>均值</w:t>
                  </w:r>
                </w:p>
              </w:tc>
              <w:tc>
                <w:tcPr>
                  <w:tcW w:w="840" w:type="dxa"/>
                  <w:tcBorders>
                    <w:tl2br w:val="nil"/>
                    <w:tr2bl w:val="nil"/>
                  </w:tcBorders>
                  <w:tcMar>
                    <w:top w:w="0" w:type="dxa"/>
                    <w:left w:w="6" w:type="dxa"/>
                    <w:bottom w:w="0" w:type="dxa"/>
                    <w:right w:w="6" w:type="dxa"/>
                  </w:tcMar>
                  <w:vAlign w:val="center"/>
                </w:tcPr>
                <w:p w14:paraId="6BEB2C0D">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1.16</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5E53BBD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6.2</w:t>
                  </w:r>
                </w:p>
              </w:tc>
              <w:tc>
                <w:tcPr>
                  <w:tcW w:w="748" w:type="dxa"/>
                  <w:tcBorders>
                    <w:tl2br w:val="nil"/>
                    <w:tr2bl w:val="nil"/>
                  </w:tcBorders>
                  <w:tcMar>
                    <w:top w:w="0" w:type="dxa"/>
                    <w:left w:w="6" w:type="dxa"/>
                    <w:bottom w:w="0" w:type="dxa"/>
                    <w:right w:w="6" w:type="dxa"/>
                  </w:tcMar>
                  <w:vAlign w:val="center"/>
                </w:tcPr>
                <w:p w14:paraId="637154A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7.2</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6658F04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20</w:t>
                  </w:r>
                  <w:r>
                    <w:rPr>
                      <w:rFonts w:hint="eastAsia" w:ascii="Times New Roman" w:hAnsi="Times New Roman" w:cs="Times New Roman"/>
                      <w:color w:val="auto"/>
                      <w:kern w:val="0"/>
                      <w:sz w:val="21"/>
                      <w:szCs w:val="21"/>
                      <w:u w:val="none"/>
                      <w:lang w:bidi="ar"/>
                    </w:rPr>
                    <w:t>7</w:t>
                  </w:r>
                </w:p>
              </w:tc>
              <w:tc>
                <w:tcPr>
                  <w:tcW w:w="748" w:type="dxa"/>
                  <w:tcBorders>
                    <w:tl2br w:val="nil"/>
                    <w:tr2bl w:val="nil"/>
                  </w:tcBorders>
                  <w:tcMar>
                    <w:top w:w="0" w:type="dxa"/>
                    <w:left w:w="6" w:type="dxa"/>
                    <w:bottom w:w="0" w:type="dxa"/>
                    <w:right w:w="6" w:type="dxa"/>
                  </w:tcMar>
                  <w:vAlign w:val="center"/>
                </w:tcPr>
                <w:p w14:paraId="768D4E1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0.240</w:t>
                  </w:r>
                </w:p>
              </w:tc>
              <w:tc>
                <w:tcPr>
                  <w:tcW w:w="829" w:type="dxa"/>
                  <w:tcBorders>
                    <w:tl2br w:val="nil"/>
                    <w:tr2bl w:val="nil"/>
                  </w:tcBorders>
                  <w:tcMar>
                    <w:top w:w="0" w:type="dxa"/>
                    <w:left w:w="6" w:type="dxa"/>
                    <w:bottom w:w="0" w:type="dxa"/>
                    <w:right w:w="6" w:type="dxa"/>
                  </w:tcMar>
                  <w:vAlign w:val="center"/>
                </w:tcPr>
                <w:p w14:paraId="47B304F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36.8</w:t>
                  </w:r>
                </w:p>
              </w:tc>
              <w:tc>
                <w:tcPr>
                  <w:tcW w:w="750" w:type="dxa"/>
                  <w:tcBorders>
                    <w:tl2br w:val="nil"/>
                    <w:tr2bl w:val="nil"/>
                  </w:tcBorders>
                  <w:tcMar>
                    <w:top w:w="0" w:type="dxa"/>
                    <w:left w:w="6" w:type="dxa"/>
                    <w:bottom w:w="0" w:type="dxa"/>
                    <w:right w:w="6" w:type="dxa"/>
                  </w:tcMar>
                  <w:vAlign w:val="center"/>
                </w:tcPr>
                <w:p w14:paraId="46D1FA8E">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0.0427</w:t>
                  </w:r>
                </w:p>
              </w:tc>
              <w:tc>
                <w:tcPr>
                  <w:tcW w:w="829" w:type="dxa"/>
                  <w:tcBorders>
                    <w:tl2br w:val="nil"/>
                    <w:tr2bl w:val="nil"/>
                  </w:tcBorders>
                  <w:tcMar>
                    <w:top w:w="0" w:type="dxa"/>
                    <w:left w:w="6" w:type="dxa"/>
                    <w:bottom w:w="0" w:type="dxa"/>
                    <w:right w:w="6" w:type="dxa"/>
                  </w:tcMar>
                  <w:vAlign w:val="center"/>
                </w:tcPr>
                <w:p w14:paraId="7806776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204</w:t>
                  </w:r>
                </w:p>
              </w:tc>
              <w:tc>
                <w:tcPr>
                  <w:tcW w:w="751" w:type="dxa"/>
                  <w:tcBorders>
                    <w:tl2br w:val="nil"/>
                    <w:tr2bl w:val="nil"/>
                  </w:tcBorders>
                  <w:tcMar>
                    <w:top w:w="0" w:type="dxa"/>
                    <w:left w:w="6" w:type="dxa"/>
                    <w:bottom w:w="0" w:type="dxa"/>
                    <w:right w:w="6" w:type="dxa"/>
                  </w:tcMar>
                  <w:vAlign w:val="center"/>
                </w:tcPr>
                <w:p w14:paraId="07618B5E">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0.237</w:t>
                  </w:r>
                </w:p>
              </w:tc>
            </w:tr>
            <w:tr w14:paraId="54322AB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2822ED1E">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restart"/>
                  <w:tcBorders>
                    <w:tl2br w:val="nil"/>
                    <w:tr2bl w:val="nil"/>
                  </w:tcBorders>
                  <w:tcMar>
                    <w:top w:w="0" w:type="dxa"/>
                    <w:left w:w="6" w:type="dxa"/>
                    <w:bottom w:w="0" w:type="dxa"/>
                    <w:right w:w="6" w:type="dxa"/>
                  </w:tcMar>
                  <w:vAlign w:val="center"/>
                </w:tcPr>
                <w:p w14:paraId="26F5C108">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ascii="Times New Roman" w:hAnsi="Times New Roman" w:eastAsia="宋体" w:cs="Times New Roman"/>
                      <w:color w:val="auto"/>
                      <w:sz w:val="21"/>
                      <w:szCs w:val="21"/>
                      <w:u w:val="none"/>
                    </w:rPr>
                    <w:t>4#发电机组排气筒出口</w:t>
                  </w:r>
                </w:p>
              </w:tc>
              <w:tc>
                <w:tcPr>
                  <w:tcW w:w="840" w:type="dxa"/>
                  <w:tcBorders>
                    <w:tl2br w:val="nil"/>
                    <w:tr2bl w:val="nil"/>
                  </w:tcBorders>
                  <w:tcMar>
                    <w:top w:w="0" w:type="dxa"/>
                    <w:left w:w="6" w:type="dxa"/>
                    <w:bottom w:w="0" w:type="dxa"/>
                    <w:right w:w="6" w:type="dxa"/>
                  </w:tcMar>
                  <w:vAlign w:val="center"/>
                </w:tcPr>
                <w:p w14:paraId="1BCF7F12">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2.46</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2E55BB72">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3.1</w:t>
                  </w:r>
                </w:p>
              </w:tc>
              <w:tc>
                <w:tcPr>
                  <w:tcW w:w="748" w:type="dxa"/>
                  <w:tcBorders>
                    <w:tl2br w:val="nil"/>
                    <w:tr2bl w:val="nil"/>
                  </w:tcBorders>
                  <w:tcMar>
                    <w:top w:w="0" w:type="dxa"/>
                    <w:left w:w="6" w:type="dxa"/>
                    <w:bottom w:w="0" w:type="dxa"/>
                    <w:right w:w="6" w:type="dxa"/>
                  </w:tcMar>
                  <w:vAlign w:val="center"/>
                </w:tcPr>
                <w:p w14:paraId="5176EA1E">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7.6</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0F9722F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114</w:t>
                  </w:r>
                </w:p>
              </w:tc>
              <w:tc>
                <w:tcPr>
                  <w:tcW w:w="748" w:type="dxa"/>
                  <w:tcBorders>
                    <w:tl2br w:val="nil"/>
                    <w:tr2bl w:val="nil"/>
                  </w:tcBorders>
                  <w:tcMar>
                    <w:top w:w="0" w:type="dxa"/>
                    <w:left w:w="6" w:type="dxa"/>
                    <w:bottom w:w="0" w:type="dxa"/>
                    <w:right w:w="6" w:type="dxa"/>
                  </w:tcMar>
                  <w:vAlign w:val="center"/>
                </w:tcPr>
                <w:p w14:paraId="49C954A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0.280</w:t>
                  </w:r>
                </w:p>
              </w:tc>
              <w:tc>
                <w:tcPr>
                  <w:tcW w:w="829" w:type="dxa"/>
                  <w:tcBorders>
                    <w:tl2br w:val="nil"/>
                    <w:tr2bl w:val="nil"/>
                  </w:tcBorders>
                  <w:tcMar>
                    <w:top w:w="0" w:type="dxa"/>
                    <w:left w:w="6" w:type="dxa"/>
                    <w:bottom w:w="0" w:type="dxa"/>
                    <w:right w:w="6" w:type="dxa"/>
                  </w:tcMar>
                  <w:vAlign w:val="center"/>
                </w:tcPr>
                <w:p w14:paraId="3C24BD82">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20.7</w:t>
                  </w:r>
                </w:p>
              </w:tc>
              <w:tc>
                <w:tcPr>
                  <w:tcW w:w="750" w:type="dxa"/>
                  <w:tcBorders>
                    <w:tl2br w:val="nil"/>
                    <w:tr2bl w:val="nil"/>
                  </w:tcBorders>
                  <w:tcMar>
                    <w:top w:w="0" w:type="dxa"/>
                    <w:left w:w="6" w:type="dxa"/>
                    <w:bottom w:w="0" w:type="dxa"/>
                    <w:right w:w="6" w:type="dxa"/>
                  </w:tcMar>
                  <w:vAlign w:val="center"/>
                </w:tcPr>
                <w:p w14:paraId="7DC1CA5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0.0509</w:t>
                  </w:r>
                </w:p>
              </w:tc>
              <w:tc>
                <w:tcPr>
                  <w:tcW w:w="829" w:type="dxa"/>
                  <w:tcBorders>
                    <w:tl2br w:val="nil"/>
                    <w:tr2bl w:val="nil"/>
                  </w:tcBorders>
                  <w:tcMar>
                    <w:top w:w="0" w:type="dxa"/>
                    <w:left w:w="6" w:type="dxa"/>
                    <w:bottom w:w="0" w:type="dxa"/>
                    <w:right w:w="6" w:type="dxa"/>
                  </w:tcMar>
                  <w:vAlign w:val="center"/>
                </w:tcPr>
                <w:p w14:paraId="1FB68512">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226</w:t>
                  </w:r>
                </w:p>
              </w:tc>
              <w:tc>
                <w:tcPr>
                  <w:tcW w:w="751" w:type="dxa"/>
                  <w:tcBorders>
                    <w:tl2br w:val="nil"/>
                    <w:tr2bl w:val="nil"/>
                  </w:tcBorders>
                  <w:tcMar>
                    <w:top w:w="0" w:type="dxa"/>
                    <w:left w:w="6" w:type="dxa"/>
                    <w:bottom w:w="0" w:type="dxa"/>
                    <w:right w:w="6" w:type="dxa"/>
                  </w:tcMar>
                  <w:vAlign w:val="center"/>
                </w:tcPr>
                <w:p w14:paraId="34A21564">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0.556</w:t>
                  </w:r>
                </w:p>
              </w:tc>
            </w:tr>
            <w:tr w14:paraId="5EB2896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0CDA607C">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1A83EC32">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1FEA0526">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2.55</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76305DF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2.7</w:t>
                  </w:r>
                </w:p>
              </w:tc>
              <w:tc>
                <w:tcPr>
                  <w:tcW w:w="748" w:type="dxa"/>
                  <w:tcBorders>
                    <w:tl2br w:val="nil"/>
                    <w:tr2bl w:val="nil"/>
                  </w:tcBorders>
                  <w:tcMar>
                    <w:top w:w="0" w:type="dxa"/>
                    <w:left w:w="6" w:type="dxa"/>
                    <w:bottom w:w="0" w:type="dxa"/>
                    <w:right w:w="6" w:type="dxa"/>
                  </w:tcMar>
                  <w:vAlign w:val="center"/>
                </w:tcPr>
                <w:p w14:paraId="5AA347A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6.9</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4AC1AEC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102</w:t>
                  </w:r>
                </w:p>
              </w:tc>
              <w:tc>
                <w:tcPr>
                  <w:tcW w:w="748" w:type="dxa"/>
                  <w:tcBorders>
                    <w:tl2br w:val="nil"/>
                    <w:tr2bl w:val="nil"/>
                  </w:tcBorders>
                  <w:tcMar>
                    <w:top w:w="0" w:type="dxa"/>
                    <w:left w:w="6" w:type="dxa"/>
                    <w:bottom w:w="0" w:type="dxa"/>
                    <w:right w:w="6" w:type="dxa"/>
                  </w:tcMar>
                  <w:vAlign w:val="center"/>
                </w:tcPr>
                <w:p w14:paraId="22B0CAEB">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0.260</w:t>
                  </w:r>
                </w:p>
              </w:tc>
              <w:tc>
                <w:tcPr>
                  <w:tcW w:w="829" w:type="dxa"/>
                  <w:tcBorders>
                    <w:tl2br w:val="nil"/>
                    <w:tr2bl w:val="nil"/>
                  </w:tcBorders>
                  <w:tcMar>
                    <w:top w:w="0" w:type="dxa"/>
                    <w:left w:w="6" w:type="dxa"/>
                    <w:bottom w:w="0" w:type="dxa"/>
                    <w:right w:w="6" w:type="dxa"/>
                  </w:tcMar>
                  <w:vAlign w:val="center"/>
                </w:tcPr>
                <w:p w14:paraId="42D5A6C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22.9</w:t>
                  </w:r>
                </w:p>
              </w:tc>
              <w:tc>
                <w:tcPr>
                  <w:tcW w:w="750" w:type="dxa"/>
                  <w:tcBorders>
                    <w:tl2br w:val="nil"/>
                    <w:tr2bl w:val="nil"/>
                  </w:tcBorders>
                  <w:tcMar>
                    <w:top w:w="0" w:type="dxa"/>
                    <w:left w:w="6" w:type="dxa"/>
                    <w:bottom w:w="0" w:type="dxa"/>
                    <w:right w:w="6" w:type="dxa"/>
                  </w:tcMar>
                  <w:vAlign w:val="center"/>
                </w:tcPr>
                <w:p w14:paraId="42902BA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0.0584</w:t>
                  </w:r>
                </w:p>
              </w:tc>
              <w:tc>
                <w:tcPr>
                  <w:tcW w:w="829" w:type="dxa"/>
                  <w:tcBorders>
                    <w:tl2br w:val="nil"/>
                    <w:tr2bl w:val="nil"/>
                  </w:tcBorders>
                  <w:tcMar>
                    <w:top w:w="0" w:type="dxa"/>
                    <w:left w:w="6" w:type="dxa"/>
                    <w:bottom w:w="0" w:type="dxa"/>
                    <w:right w:w="6" w:type="dxa"/>
                  </w:tcMar>
                  <w:vAlign w:val="center"/>
                </w:tcPr>
                <w:p w14:paraId="6B72155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198</w:t>
                  </w:r>
                </w:p>
              </w:tc>
              <w:tc>
                <w:tcPr>
                  <w:tcW w:w="751" w:type="dxa"/>
                  <w:tcBorders>
                    <w:tl2br w:val="nil"/>
                    <w:tr2bl w:val="nil"/>
                  </w:tcBorders>
                  <w:tcMar>
                    <w:top w:w="0" w:type="dxa"/>
                    <w:left w:w="6" w:type="dxa"/>
                    <w:bottom w:w="0" w:type="dxa"/>
                    <w:right w:w="6" w:type="dxa"/>
                  </w:tcMar>
                  <w:vAlign w:val="center"/>
                </w:tcPr>
                <w:p w14:paraId="0D75314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0.505</w:t>
                  </w:r>
                </w:p>
              </w:tc>
            </w:tr>
            <w:tr w14:paraId="59F5B22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7971CFCD">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3949873F">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06B33B1B">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2.49</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61BC618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2.9</w:t>
                  </w:r>
                </w:p>
              </w:tc>
              <w:tc>
                <w:tcPr>
                  <w:tcW w:w="748" w:type="dxa"/>
                  <w:tcBorders>
                    <w:tl2br w:val="nil"/>
                    <w:tr2bl w:val="nil"/>
                  </w:tcBorders>
                  <w:tcMar>
                    <w:top w:w="0" w:type="dxa"/>
                    <w:left w:w="6" w:type="dxa"/>
                    <w:bottom w:w="0" w:type="dxa"/>
                    <w:right w:w="6" w:type="dxa"/>
                  </w:tcMar>
                  <w:vAlign w:val="center"/>
                </w:tcPr>
                <w:p w14:paraId="102A83D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7.2</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13C156A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106</w:t>
                  </w:r>
                </w:p>
              </w:tc>
              <w:tc>
                <w:tcPr>
                  <w:tcW w:w="748" w:type="dxa"/>
                  <w:tcBorders>
                    <w:tl2br w:val="nil"/>
                    <w:tr2bl w:val="nil"/>
                  </w:tcBorders>
                  <w:tcMar>
                    <w:top w:w="0" w:type="dxa"/>
                    <w:left w:w="6" w:type="dxa"/>
                    <w:bottom w:w="0" w:type="dxa"/>
                    <w:right w:w="6" w:type="dxa"/>
                  </w:tcMar>
                  <w:vAlign w:val="center"/>
                </w:tcPr>
                <w:p w14:paraId="6751E09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0.264</w:t>
                  </w:r>
                </w:p>
              </w:tc>
              <w:tc>
                <w:tcPr>
                  <w:tcW w:w="829" w:type="dxa"/>
                  <w:tcBorders>
                    <w:tl2br w:val="nil"/>
                    <w:tr2bl w:val="nil"/>
                  </w:tcBorders>
                  <w:tcMar>
                    <w:top w:w="0" w:type="dxa"/>
                    <w:left w:w="6" w:type="dxa"/>
                    <w:bottom w:w="0" w:type="dxa"/>
                    <w:right w:w="6" w:type="dxa"/>
                  </w:tcMar>
                  <w:vAlign w:val="center"/>
                </w:tcPr>
                <w:p w14:paraId="6E06225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25.1</w:t>
                  </w:r>
                </w:p>
              </w:tc>
              <w:tc>
                <w:tcPr>
                  <w:tcW w:w="750" w:type="dxa"/>
                  <w:tcBorders>
                    <w:tl2br w:val="nil"/>
                    <w:tr2bl w:val="nil"/>
                  </w:tcBorders>
                  <w:tcMar>
                    <w:top w:w="0" w:type="dxa"/>
                    <w:left w:w="6" w:type="dxa"/>
                    <w:bottom w:w="0" w:type="dxa"/>
                    <w:right w:w="6" w:type="dxa"/>
                  </w:tcMar>
                  <w:vAlign w:val="center"/>
                </w:tcPr>
                <w:p w14:paraId="5EB2F5B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0.0625</w:t>
                  </w:r>
                </w:p>
              </w:tc>
              <w:tc>
                <w:tcPr>
                  <w:tcW w:w="829" w:type="dxa"/>
                  <w:tcBorders>
                    <w:tl2br w:val="nil"/>
                    <w:tr2bl w:val="nil"/>
                  </w:tcBorders>
                  <w:tcMar>
                    <w:top w:w="0" w:type="dxa"/>
                    <w:left w:w="6" w:type="dxa"/>
                    <w:bottom w:w="0" w:type="dxa"/>
                    <w:right w:w="6" w:type="dxa"/>
                  </w:tcMar>
                  <w:vAlign w:val="center"/>
                </w:tcPr>
                <w:p w14:paraId="099213D2">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217</w:t>
                  </w:r>
                </w:p>
              </w:tc>
              <w:tc>
                <w:tcPr>
                  <w:tcW w:w="751" w:type="dxa"/>
                  <w:tcBorders>
                    <w:tl2br w:val="nil"/>
                    <w:tr2bl w:val="nil"/>
                  </w:tcBorders>
                  <w:tcMar>
                    <w:top w:w="0" w:type="dxa"/>
                    <w:left w:w="6" w:type="dxa"/>
                    <w:bottom w:w="0" w:type="dxa"/>
                    <w:right w:w="6" w:type="dxa"/>
                  </w:tcMar>
                  <w:vAlign w:val="center"/>
                </w:tcPr>
                <w:p w14:paraId="48B107C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0.540</w:t>
                  </w:r>
                </w:p>
              </w:tc>
            </w:tr>
            <w:tr w14:paraId="559494A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7303EF34">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tcBorders>
                    <w:tl2br w:val="nil"/>
                    <w:tr2bl w:val="nil"/>
                  </w:tcBorders>
                  <w:tcMar>
                    <w:top w:w="0" w:type="dxa"/>
                    <w:left w:w="6" w:type="dxa"/>
                    <w:bottom w:w="0" w:type="dxa"/>
                    <w:right w:w="6" w:type="dxa"/>
                  </w:tcMar>
                  <w:vAlign w:val="center"/>
                </w:tcPr>
                <w:p w14:paraId="4FA96C19">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ascii="Times New Roman" w:hAnsi="Times New Roman" w:eastAsia="宋体" w:cs="Times New Roman"/>
                      <w:color w:val="auto"/>
                      <w:sz w:val="21"/>
                      <w:szCs w:val="21"/>
                      <w:u w:val="none"/>
                    </w:rPr>
                    <w:t>均值</w:t>
                  </w:r>
                </w:p>
              </w:tc>
              <w:tc>
                <w:tcPr>
                  <w:tcW w:w="840" w:type="dxa"/>
                  <w:tcBorders>
                    <w:tl2br w:val="nil"/>
                    <w:tr2bl w:val="nil"/>
                  </w:tcBorders>
                  <w:tcMar>
                    <w:top w:w="0" w:type="dxa"/>
                    <w:left w:w="6" w:type="dxa"/>
                    <w:bottom w:w="0" w:type="dxa"/>
                    <w:right w:w="6" w:type="dxa"/>
                  </w:tcMar>
                  <w:vAlign w:val="center"/>
                </w:tcPr>
                <w:p w14:paraId="3D101F54">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2.50</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23696B1B">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2.</w:t>
                  </w:r>
                  <w:r>
                    <w:rPr>
                      <w:rFonts w:hint="eastAsia" w:ascii="Times New Roman" w:hAnsi="Times New Roman" w:cs="Times New Roman"/>
                      <w:color w:val="auto"/>
                      <w:kern w:val="0"/>
                      <w:sz w:val="21"/>
                      <w:szCs w:val="21"/>
                      <w:u w:val="none"/>
                      <w:lang w:bidi="ar"/>
                    </w:rPr>
                    <w:t>9</w:t>
                  </w:r>
                </w:p>
              </w:tc>
              <w:tc>
                <w:tcPr>
                  <w:tcW w:w="748" w:type="dxa"/>
                  <w:tcBorders>
                    <w:tl2br w:val="nil"/>
                    <w:tr2bl w:val="nil"/>
                  </w:tcBorders>
                  <w:tcMar>
                    <w:top w:w="0" w:type="dxa"/>
                    <w:left w:w="6" w:type="dxa"/>
                    <w:bottom w:w="0" w:type="dxa"/>
                    <w:right w:w="6" w:type="dxa"/>
                  </w:tcMar>
                  <w:vAlign w:val="center"/>
                </w:tcPr>
                <w:p w14:paraId="2E4FAB7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7.2</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0C637CA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107</w:t>
                  </w:r>
                </w:p>
              </w:tc>
              <w:tc>
                <w:tcPr>
                  <w:tcW w:w="748" w:type="dxa"/>
                  <w:tcBorders>
                    <w:tl2br w:val="nil"/>
                    <w:tr2bl w:val="nil"/>
                  </w:tcBorders>
                  <w:tcMar>
                    <w:top w:w="0" w:type="dxa"/>
                    <w:left w:w="6" w:type="dxa"/>
                    <w:bottom w:w="0" w:type="dxa"/>
                    <w:right w:w="6" w:type="dxa"/>
                  </w:tcMar>
                  <w:vAlign w:val="center"/>
                </w:tcPr>
                <w:p w14:paraId="5CC7C8DE">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0.268</w:t>
                  </w:r>
                </w:p>
              </w:tc>
              <w:tc>
                <w:tcPr>
                  <w:tcW w:w="829" w:type="dxa"/>
                  <w:tcBorders>
                    <w:tl2br w:val="nil"/>
                    <w:tr2bl w:val="nil"/>
                  </w:tcBorders>
                  <w:tcMar>
                    <w:top w:w="0" w:type="dxa"/>
                    <w:left w:w="6" w:type="dxa"/>
                    <w:bottom w:w="0" w:type="dxa"/>
                    <w:right w:w="6" w:type="dxa"/>
                  </w:tcMar>
                  <w:vAlign w:val="center"/>
                </w:tcPr>
                <w:p w14:paraId="69A30122">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22.9</w:t>
                  </w:r>
                </w:p>
              </w:tc>
              <w:tc>
                <w:tcPr>
                  <w:tcW w:w="750" w:type="dxa"/>
                  <w:tcBorders>
                    <w:tl2br w:val="nil"/>
                    <w:tr2bl w:val="nil"/>
                  </w:tcBorders>
                  <w:tcMar>
                    <w:top w:w="0" w:type="dxa"/>
                    <w:left w:w="6" w:type="dxa"/>
                    <w:bottom w:w="0" w:type="dxa"/>
                    <w:right w:w="6" w:type="dxa"/>
                  </w:tcMar>
                  <w:vAlign w:val="center"/>
                </w:tcPr>
                <w:p w14:paraId="592EFE4D">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0.0573</w:t>
                  </w:r>
                </w:p>
              </w:tc>
              <w:tc>
                <w:tcPr>
                  <w:tcW w:w="829" w:type="dxa"/>
                  <w:tcBorders>
                    <w:tl2br w:val="nil"/>
                    <w:tr2bl w:val="nil"/>
                  </w:tcBorders>
                  <w:tcMar>
                    <w:top w:w="0" w:type="dxa"/>
                    <w:left w:w="6" w:type="dxa"/>
                    <w:bottom w:w="0" w:type="dxa"/>
                    <w:right w:w="6" w:type="dxa"/>
                  </w:tcMar>
                  <w:vAlign w:val="center"/>
                </w:tcPr>
                <w:p w14:paraId="68FC741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21</w:t>
                  </w:r>
                  <w:r>
                    <w:rPr>
                      <w:rFonts w:hint="eastAsia" w:ascii="Times New Roman" w:hAnsi="Times New Roman" w:cs="Times New Roman"/>
                      <w:color w:val="auto"/>
                      <w:kern w:val="0"/>
                      <w:sz w:val="21"/>
                      <w:szCs w:val="21"/>
                      <w:u w:val="none"/>
                      <w:lang w:bidi="ar"/>
                    </w:rPr>
                    <w:t>4</w:t>
                  </w:r>
                </w:p>
              </w:tc>
              <w:tc>
                <w:tcPr>
                  <w:tcW w:w="751" w:type="dxa"/>
                  <w:tcBorders>
                    <w:tl2br w:val="nil"/>
                    <w:tr2bl w:val="nil"/>
                  </w:tcBorders>
                  <w:tcMar>
                    <w:top w:w="0" w:type="dxa"/>
                    <w:left w:w="6" w:type="dxa"/>
                    <w:bottom w:w="0" w:type="dxa"/>
                    <w:right w:w="6" w:type="dxa"/>
                  </w:tcMar>
                  <w:vAlign w:val="center"/>
                </w:tcPr>
                <w:p w14:paraId="52E55F8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0.534</w:t>
                  </w:r>
                </w:p>
              </w:tc>
            </w:tr>
            <w:tr w14:paraId="41AAC28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4E5AB0F5">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restart"/>
                  <w:tcBorders>
                    <w:tl2br w:val="nil"/>
                    <w:tr2bl w:val="nil"/>
                  </w:tcBorders>
                  <w:tcMar>
                    <w:top w:w="0" w:type="dxa"/>
                    <w:left w:w="6" w:type="dxa"/>
                    <w:bottom w:w="0" w:type="dxa"/>
                    <w:right w:w="6" w:type="dxa"/>
                  </w:tcMar>
                  <w:vAlign w:val="center"/>
                </w:tcPr>
                <w:p w14:paraId="0F38C51F">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hint="eastAsia" w:ascii="Times New Roman" w:hAnsi="Times New Roman" w:eastAsia="宋体" w:cs="Times New Roman"/>
                      <w:color w:val="auto"/>
                      <w:sz w:val="21"/>
                      <w:szCs w:val="21"/>
                      <w:u w:val="none"/>
                    </w:rPr>
                    <w:t>5</w:t>
                  </w:r>
                  <w:r>
                    <w:rPr>
                      <w:rFonts w:ascii="Times New Roman" w:hAnsi="Times New Roman" w:eastAsia="宋体" w:cs="Times New Roman"/>
                      <w:color w:val="auto"/>
                      <w:sz w:val="21"/>
                      <w:szCs w:val="21"/>
                      <w:u w:val="none"/>
                    </w:rPr>
                    <w:t>#发电机组排气筒出口</w:t>
                  </w:r>
                </w:p>
              </w:tc>
              <w:tc>
                <w:tcPr>
                  <w:tcW w:w="840" w:type="dxa"/>
                  <w:tcBorders>
                    <w:tl2br w:val="nil"/>
                    <w:tr2bl w:val="nil"/>
                  </w:tcBorders>
                  <w:tcMar>
                    <w:top w:w="0" w:type="dxa"/>
                    <w:left w:w="6" w:type="dxa"/>
                    <w:bottom w:w="0" w:type="dxa"/>
                    <w:right w:w="6" w:type="dxa"/>
                  </w:tcMar>
                  <w:vAlign w:val="center"/>
                </w:tcPr>
                <w:p w14:paraId="655BA2D9">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1.52</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3A91FC6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3.7</w:t>
                  </w:r>
                </w:p>
              </w:tc>
              <w:tc>
                <w:tcPr>
                  <w:tcW w:w="748" w:type="dxa"/>
                  <w:tcBorders>
                    <w:tl2br w:val="nil"/>
                    <w:tr2bl w:val="nil"/>
                  </w:tcBorders>
                  <w:tcMar>
                    <w:top w:w="0" w:type="dxa"/>
                    <w:left w:w="6" w:type="dxa"/>
                    <w:bottom w:w="0" w:type="dxa"/>
                    <w:right w:w="6" w:type="dxa"/>
                  </w:tcMar>
                  <w:vAlign w:val="center"/>
                </w:tcPr>
                <w:p w14:paraId="2CA49CA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5.6</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67E6A4DB">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168</w:t>
                  </w:r>
                </w:p>
              </w:tc>
              <w:tc>
                <w:tcPr>
                  <w:tcW w:w="748" w:type="dxa"/>
                  <w:tcBorders>
                    <w:tl2br w:val="nil"/>
                    <w:tr2bl w:val="nil"/>
                  </w:tcBorders>
                  <w:tcMar>
                    <w:top w:w="0" w:type="dxa"/>
                    <w:left w:w="6" w:type="dxa"/>
                    <w:bottom w:w="0" w:type="dxa"/>
                    <w:right w:w="6" w:type="dxa"/>
                  </w:tcMar>
                  <w:vAlign w:val="center"/>
                </w:tcPr>
                <w:p w14:paraId="322CCEA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0.255</w:t>
                  </w:r>
                </w:p>
              </w:tc>
              <w:tc>
                <w:tcPr>
                  <w:tcW w:w="829" w:type="dxa"/>
                  <w:tcBorders>
                    <w:tl2br w:val="nil"/>
                    <w:tr2bl w:val="nil"/>
                  </w:tcBorders>
                  <w:tcMar>
                    <w:top w:w="0" w:type="dxa"/>
                    <w:left w:w="6" w:type="dxa"/>
                    <w:bottom w:w="0" w:type="dxa"/>
                    <w:right w:w="6" w:type="dxa"/>
                  </w:tcMar>
                  <w:vAlign w:val="center"/>
                </w:tcPr>
                <w:p w14:paraId="42EF018D">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28.1</w:t>
                  </w:r>
                </w:p>
              </w:tc>
              <w:tc>
                <w:tcPr>
                  <w:tcW w:w="750" w:type="dxa"/>
                  <w:tcBorders>
                    <w:tl2br w:val="nil"/>
                    <w:tr2bl w:val="nil"/>
                  </w:tcBorders>
                  <w:tcMar>
                    <w:top w:w="0" w:type="dxa"/>
                    <w:left w:w="6" w:type="dxa"/>
                    <w:bottom w:w="0" w:type="dxa"/>
                    <w:right w:w="6" w:type="dxa"/>
                  </w:tcMar>
                  <w:vAlign w:val="center"/>
                </w:tcPr>
                <w:p w14:paraId="253A376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0.0427</w:t>
                  </w:r>
                </w:p>
              </w:tc>
              <w:tc>
                <w:tcPr>
                  <w:tcW w:w="829" w:type="dxa"/>
                  <w:tcBorders>
                    <w:tl2br w:val="nil"/>
                    <w:tr2bl w:val="nil"/>
                  </w:tcBorders>
                  <w:tcMar>
                    <w:top w:w="0" w:type="dxa"/>
                    <w:left w:w="6" w:type="dxa"/>
                    <w:bottom w:w="0" w:type="dxa"/>
                    <w:right w:w="6" w:type="dxa"/>
                  </w:tcMar>
                  <w:vAlign w:val="center"/>
                </w:tcPr>
                <w:p w14:paraId="71514AE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211</w:t>
                  </w:r>
                </w:p>
              </w:tc>
              <w:tc>
                <w:tcPr>
                  <w:tcW w:w="751" w:type="dxa"/>
                  <w:tcBorders>
                    <w:tl2br w:val="nil"/>
                    <w:tr2bl w:val="nil"/>
                  </w:tcBorders>
                  <w:tcMar>
                    <w:top w:w="0" w:type="dxa"/>
                    <w:left w:w="6" w:type="dxa"/>
                    <w:bottom w:w="0" w:type="dxa"/>
                    <w:right w:w="6" w:type="dxa"/>
                  </w:tcMar>
                  <w:vAlign w:val="center"/>
                </w:tcPr>
                <w:p w14:paraId="529CAF69">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0.321</w:t>
                  </w:r>
                </w:p>
              </w:tc>
            </w:tr>
            <w:tr w14:paraId="7C6E585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49BB146B">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1CE90BB6">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65D75FEB">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1.44</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2025606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4.4</w:t>
                  </w:r>
                </w:p>
              </w:tc>
              <w:tc>
                <w:tcPr>
                  <w:tcW w:w="748" w:type="dxa"/>
                  <w:tcBorders>
                    <w:tl2br w:val="nil"/>
                    <w:tr2bl w:val="nil"/>
                  </w:tcBorders>
                  <w:tcMar>
                    <w:top w:w="0" w:type="dxa"/>
                    <w:left w:w="6" w:type="dxa"/>
                    <w:bottom w:w="0" w:type="dxa"/>
                    <w:right w:w="6" w:type="dxa"/>
                  </w:tcMar>
                  <w:vAlign w:val="center"/>
                </w:tcPr>
                <w:p w14:paraId="2467BE74">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6.3</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432BC4A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174</w:t>
                  </w:r>
                </w:p>
              </w:tc>
              <w:tc>
                <w:tcPr>
                  <w:tcW w:w="748" w:type="dxa"/>
                  <w:tcBorders>
                    <w:tl2br w:val="nil"/>
                    <w:tr2bl w:val="nil"/>
                  </w:tcBorders>
                  <w:tcMar>
                    <w:top w:w="0" w:type="dxa"/>
                    <w:left w:w="6" w:type="dxa"/>
                    <w:bottom w:w="0" w:type="dxa"/>
                    <w:right w:w="6" w:type="dxa"/>
                  </w:tcMar>
                  <w:vAlign w:val="center"/>
                </w:tcPr>
                <w:p w14:paraId="6997811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highlight w:val="none"/>
                      <w:u w:val="none"/>
                      <w:lang w:bidi="ar"/>
                    </w:rPr>
                    <w:t>0.251</w:t>
                  </w:r>
                </w:p>
              </w:tc>
              <w:tc>
                <w:tcPr>
                  <w:tcW w:w="829" w:type="dxa"/>
                  <w:tcBorders>
                    <w:tl2br w:val="nil"/>
                    <w:tr2bl w:val="nil"/>
                  </w:tcBorders>
                  <w:tcMar>
                    <w:top w:w="0" w:type="dxa"/>
                    <w:left w:w="6" w:type="dxa"/>
                    <w:bottom w:w="0" w:type="dxa"/>
                    <w:right w:w="6" w:type="dxa"/>
                  </w:tcMar>
                  <w:vAlign w:val="center"/>
                </w:tcPr>
                <w:p w14:paraId="4F36097B">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32.7</w:t>
                  </w:r>
                </w:p>
              </w:tc>
              <w:tc>
                <w:tcPr>
                  <w:tcW w:w="750" w:type="dxa"/>
                  <w:tcBorders>
                    <w:tl2br w:val="nil"/>
                    <w:tr2bl w:val="nil"/>
                  </w:tcBorders>
                  <w:tcMar>
                    <w:top w:w="0" w:type="dxa"/>
                    <w:left w:w="6" w:type="dxa"/>
                    <w:bottom w:w="0" w:type="dxa"/>
                    <w:right w:w="6" w:type="dxa"/>
                  </w:tcMar>
                  <w:vAlign w:val="center"/>
                </w:tcPr>
                <w:p w14:paraId="7E54F95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0.0471</w:t>
                  </w:r>
                </w:p>
              </w:tc>
              <w:tc>
                <w:tcPr>
                  <w:tcW w:w="829" w:type="dxa"/>
                  <w:tcBorders>
                    <w:tl2br w:val="nil"/>
                    <w:tr2bl w:val="nil"/>
                  </w:tcBorders>
                  <w:tcMar>
                    <w:top w:w="0" w:type="dxa"/>
                    <w:left w:w="6" w:type="dxa"/>
                    <w:bottom w:w="0" w:type="dxa"/>
                    <w:right w:w="6" w:type="dxa"/>
                  </w:tcMar>
                  <w:vAlign w:val="center"/>
                </w:tcPr>
                <w:p w14:paraId="670241AE">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184</w:t>
                  </w:r>
                </w:p>
              </w:tc>
              <w:tc>
                <w:tcPr>
                  <w:tcW w:w="751" w:type="dxa"/>
                  <w:tcBorders>
                    <w:tl2br w:val="nil"/>
                    <w:tr2bl w:val="nil"/>
                  </w:tcBorders>
                  <w:tcMar>
                    <w:top w:w="0" w:type="dxa"/>
                    <w:left w:w="6" w:type="dxa"/>
                    <w:bottom w:w="0" w:type="dxa"/>
                    <w:right w:w="6" w:type="dxa"/>
                  </w:tcMar>
                  <w:vAlign w:val="center"/>
                </w:tcPr>
                <w:p w14:paraId="61601EC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0.265</w:t>
                  </w:r>
                </w:p>
              </w:tc>
            </w:tr>
            <w:tr w14:paraId="0746C2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1AF3DE8B">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18B2F47A">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0458ADF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highlight w:val="none"/>
                      <w:u w:val="none"/>
                      <w:lang w:bidi="ar"/>
                    </w:rPr>
                  </w:pPr>
                  <w:r>
                    <w:rPr>
                      <w:rFonts w:hint="eastAsia" w:ascii="Times New Roman" w:hAnsi="Times New Roman" w:cs="Times New Roman"/>
                      <w:color w:val="auto"/>
                      <w:sz w:val="21"/>
                      <w:szCs w:val="21"/>
                      <w:highlight w:val="none"/>
                      <w:u w:val="none"/>
                      <w:lang w:bidi="ar"/>
                    </w:rPr>
                    <w:t>1.38</w:t>
                  </w:r>
                  <w:r>
                    <w:rPr>
                      <w:rFonts w:ascii="Times New Roman" w:hAnsi="Times New Roman" w:cs="Times New Roman"/>
                      <w:color w:val="auto"/>
                      <w:sz w:val="21"/>
                      <w:szCs w:val="21"/>
                      <w:highlight w:val="none"/>
                      <w:u w:val="none"/>
                      <w:lang w:bidi="ar"/>
                    </w:rPr>
                    <w:t>×10</w:t>
                  </w:r>
                  <w:r>
                    <w:rPr>
                      <w:rFonts w:ascii="Times New Roman" w:hAnsi="Times New Roman" w:cs="Times New Roman"/>
                      <w:color w:val="auto"/>
                      <w:sz w:val="21"/>
                      <w:szCs w:val="21"/>
                      <w:highlight w:val="none"/>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34139E8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4.9</w:t>
                  </w:r>
                </w:p>
              </w:tc>
              <w:tc>
                <w:tcPr>
                  <w:tcW w:w="748" w:type="dxa"/>
                  <w:tcBorders>
                    <w:tl2br w:val="nil"/>
                    <w:tr2bl w:val="nil"/>
                  </w:tcBorders>
                  <w:tcMar>
                    <w:top w:w="0" w:type="dxa"/>
                    <w:left w:w="6" w:type="dxa"/>
                    <w:bottom w:w="0" w:type="dxa"/>
                    <w:right w:w="6" w:type="dxa"/>
                  </w:tcMar>
                  <w:vAlign w:val="center"/>
                </w:tcPr>
                <w:p w14:paraId="372F9CA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ascii="Times New Roman" w:hAnsi="Times New Roman" w:cs="Times New Roman"/>
                      <w:color w:val="auto"/>
                      <w:kern w:val="0"/>
                      <w:sz w:val="21"/>
                      <w:szCs w:val="21"/>
                      <w:highlight w:val="none"/>
                      <w:u w:val="none"/>
                      <w:lang w:bidi="ar"/>
                    </w:rPr>
                    <w:t>6.8</w:t>
                  </w:r>
                  <w:r>
                    <w:rPr>
                      <w:rFonts w:ascii="Times New Roman" w:hAnsi="Times New Roman" w:cs="Times New Roman"/>
                      <w:color w:val="auto"/>
                      <w:sz w:val="21"/>
                      <w:szCs w:val="21"/>
                      <w:highlight w:val="none"/>
                      <w:u w:val="none"/>
                      <w:lang w:bidi="ar"/>
                    </w:rPr>
                    <w:t>×10</w:t>
                  </w:r>
                  <w:r>
                    <w:rPr>
                      <w:rFonts w:hint="eastAsia" w:ascii="Times New Roman" w:hAnsi="Times New Roman" w:cs="Times New Roman"/>
                      <w:color w:val="auto"/>
                      <w:sz w:val="21"/>
                      <w:szCs w:val="21"/>
                      <w:highlight w:val="none"/>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6DACF00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ascii="Times New Roman" w:hAnsi="Times New Roman" w:cs="Times New Roman"/>
                      <w:color w:val="auto"/>
                      <w:kern w:val="0"/>
                      <w:sz w:val="21"/>
                      <w:szCs w:val="21"/>
                      <w:highlight w:val="none"/>
                      <w:u w:val="none"/>
                      <w:lang w:bidi="ar"/>
                    </w:rPr>
                    <w:t>200</w:t>
                  </w:r>
                </w:p>
              </w:tc>
              <w:tc>
                <w:tcPr>
                  <w:tcW w:w="748" w:type="dxa"/>
                  <w:tcBorders>
                    <w:tl2br w:val="nil"/>
                    <w:tr2bl w:val="nil"/>
                  </w:tcBorders>
                  <w:tcMar>
                    <w:top w:w="0" w:type="dxa"/>
                    <w:left w:w="6" w:type="dxa"/>
                    <w:bottom w:w="0" w:type="dxa"/>
                    <w:right w:w="6" w:type="dxa"/>
                  </w:tcMar>
                  <w:vAlign w:val="center"/>
                </w:tcPr>
                <w:p w14:paraId="430704E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0.276</w:t>
                  </w:r>
                </w:p>
              </w:tc>
              <w:tc>
                <w:tcPr>
                  <w:tcW w:w="829" w:type="dxa"/>
                  <w:tcBorders>
                    <w:tl2br w:val="nil"/>
                    <w:tr2bl w:val="nil"/>
                  </w:tcBorders>
                  <w:tcMar>
                    <w:top w:w="0" w:type="dxa"/>
                    <w:left w:w="6" w:type="dxa"/>
                    <w:bottom w:w="0" w:type="dxa"/>
                    <w:right w:w="6" w:type="dxa"/>
                  </w:tcMar>
                  <w:vAlign w:val="center"/>
                </w:tcPr>
                <w:p w14:paraId="69BCCD1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ascii="Times New Roman" w:hAnsi="Times New Roman" w:cs="Times New Roman"/>
                      <w:color w:val="auto"/>
                      <w:kern w:val="0"/>
                      <w:sz w:val="21"/>
                      <w:szCs w:val="21"/>
                      <w:highlight w:val="none"/>
                      <w:u w:val="none"/>
                      <w:lang w:bidi="ar"/>
                    </w:rPr>
                    <w:t>43.5</w:t>
                  </w:r>
                </w:p>
              </w:tc>
              <w:tc>
                <w:tcPr>
                  <w:tcW w:w="750" w:type="dxa"/>
                  <w:tcBorders>
                    <w:tl2br w:val="nil"/>
                    <w:tr2bl w:val="nil"/>
                  </w:tcBorders>
                  <w:tcMar>
                    <w:top w:w="0" w:type="dxa"/>
                    <w:left w:w="6" w:type="dxa"/>
                    <w:bottom w:w="0" w:type="dxa"/>
                    <w:right w:w="6" w:type="dxa"/>
                  </w:tcMar>
                  <w:vAlign w:val="center"/>
                </w:tcPr>
                <w:p w14:paraId="4C9CFE2B">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0.0600</w:t>
                  </w:r>
                </w:p>
              </w:tc>
              <w:tc>
                <w:tcPr>
                  <w:tcW w:w="829" w:type="dxa"/>
                  <w:tcBorders>
                    <w:tl2br w:val="nil"/>
                    <w:tr2bl w:val="nil"/>
                  </w:tcBorders>
                  <w:tcMar>
                    <w:top w:w="0" w:type="dxa"/>
                    <w:left w:w="6" w:type="dxa"/>
                    <w:bottom w:w="0" w:type="dxa"/>
                    <w:right w:w="6" w:type="dxa"/>
                  </w:tcMar>
                  <w:vAlign w:val="center"/>
                </w:tcPr>
                <w:p w14:paraId="051EEB8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206</w:t>
                  </w:r>
                </w:p>
              </w:tc>
              <w:tc>
                <w:tcPr>
                  <w:tcW w:w="751" w:type="dxa"/>
                  <w:tcBorders>
                    <w:tl2br w:val="nil"/>
                    <w:tr2bl w:val="nil"/>
                  </w:tcBorders>
                  <w:tcMar>
                    <w:top w:w="0" w:type="dxa"/>
                    <w:left w:w="6" w:type="dxa"/>
                    <w:bottom w:w="0" w:type="dxa"/>
                    <w:right w:w="6" w:type="dxa"/>
                  </w:tcMar>
                  <w:vAlign w:val="center"/>
                </w:tcPr>
                <w:p w14:paraId="538E46B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0.284</w:t>
                  </w:r>
                </w:p>
              </w:tc>
            </w:tr>
            <w:tr w14:paraId="612F1E0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08F6122D">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tcBorders>
                    <w:tl2br w:val="nil"/>
                    <w:tr2bl w:val="nil"/>
                  </w:tcBorders>
                  <w:tcMar>
                    <w:top w:w="0" w:type="dxa"/>
                    <w:left w:w="6" w:type="dxa"/>
                    <w:bottom w:w="0" w:type="dxa"/>
                    <w:right w:w="6" w:type="dxa"/>
                  </w:tcMar>
                  <w:vAlign w:val="center"/>
                </w:tcPr>
                <w:p w14:paraId="41869293">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ascii="Times New Roman" w:hAnsi="Times New Roman" w:eastAsia="宋体" w:cs="Times New Roman"/>
                      <w:color w:val="auto"/>
                      <w:sz w:val="21"/>
                      <w:szCs w:val="21"/>
                      <w:u w:val="none"/>
                    </w:rPr>
                    <w:t>均值</w:t>
                  </w:r>
                </w:p>
              </w:tc>
              <w:tc>
                <w:tcPr>
                  <w:tcW w:w="840" w:type="dxa"/>
                  <w:tcBorders>
                    <w:tl2br w:val="nil"/>
                    <w:tr2bl w:val="nil"/>
                  </w:tcBorders>
                  <w:tcMar>
                    <w:top w:w="0" w:type="dxa"/>
                    <w:left w:w="6" w:type="dxa"/>
                    <w:bottom w:w="0" w:type="dxa"/>
                    <w:right w:w="6" w:type="dxa"/>
                  </w:tcMar>
                  <w:vAlign w:val="center"/>
                </w:tcPr>
                <w:p w14:paraId="0DA772F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highlight w:val="none"/>
                      <w:u w:val="none"/>
                      <w:lang w:bidi="ar"/>
                    </w:rPr>
                  </w:pPr>
                  <w:r>
                    <w:rPr>
                      <w:rFonts w:hint="eastAsia" w:ascii="Times New Roman" w:hAnsi="Times New Roman" w:cs="Times New Roman"/>
                      <w:color w:val="auto"/>
                      <w:sz w:val="21"/>
                      <w:szCs w:val="21"/>
                      <w:highlight w:val="none"/>
                      <w:u w:val="none"/>
                      <w:lang w:bidi="ar"/>
                    </w:rPr>
                    <w:t>1.45</w:t>
                  </w:r>
                  <w:r>
                    <w:rPr>
                      <w:rFonts w:ascii="Times New Roman" w:hAnsi="Times New Roman" w:cs="Times New Roman"/>
                      <w:color w:val="auto"/>
                      <w:sz w:val="21"/>
                      <w:szCs w:val="21"/>
                      <w:highlight w:val="none"/>
                      <w:u w:val="none"/>
                      <w:lang w:bidi="ar"/>
                    </w:rPr>
                    <w:t>×10</w:t>
                  </w:r>
                  <w:r>
                    <w:rPr>
                      <w:rFonts w:ascii="Times New Roman" w:hAnsi="Times New Roman" w:cs="Times New Roman"/>
                      <w:color w:val="auto"/>
                      <w:sz w:val="21"/>
                      <w:szCs w:val="21"/>
                      <w:highlight w:val="none"/>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2746FA3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highlight w:val="none"/>
                      <w:u w:val="none"/>
                    </w:rPr>
                  </w:pPr>
                  <w:r>
                    <w:rPr>
                      <w:rFonts w:ascii="Times New Roman" w:hAnsi="Times New Roman" w:cs="Times New Roman"/>
                      <w:color w:val="auto"/>
                      <w:kern w:val="0"/>
                      <w:sz w:val="21"/>
                      <w:szCs w:val="21"/>
                      <w:highlight w:val="none"/>
                      <w:u w:val="none"/>
                      <w:lang w:bidi="ar"/>
                    </w:rPr>
                    <w:t>4.</w:t>
                  </w:r>
                  <w:r>
                    <w:rPr>
                      <w:rFonts w:hint="eastAsia" w:ascii="Times New Roman" w:hAnsi="Times New Roman" w:cs="Times New Roman"/>
                      <w:color w:val="auto"/>
                      <w:kern w:val="0"/>
                      <w:sz w:val="21"/>
                      <w:szCs w:val="21"/>
                      <w:highlight w:val="none"/>
                      <w:u w:val="none"/>
                      <w:lang w:bidi="ar"/>
                    </w:rPr>
                    <w:t>3</w:t>
                  </w:r>
                </w:p>
              </w:tc>
              <w:tc>
                <w:tcPr>
                  <w:tcW w:w="748" w:type="dxa"/>
                  <w:tcBorders>
                    <w:tl2br w:val="nil"/>
                    <w:tr2bl w:val="nil"/>
                  </w:tcBorders>
                  <w:tcMar>
                    <w:top w:w="0" w:type="dxa"/>
                    <w:left w:w="6" w:type="dxa"/>
                    <w:bottom w:w="0" w:type="dxa"/>
                    <w:right w:w="6" w:type="dxa"/>
                  </w:tcMar>
                  <w:vAlign w:val="center"/>
                </w:tcPr>
                <w:p w14:paraId="7F24CCF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ascii="Times New Roman" w:hAnsi="Times New Roman" w:cs="Times New Roman"/>
                      <w:color w:val="auto"/>
                      <w:kern w:val="0"/>
                      <w:sz w:val="21"/>
                      <w:szCs w:val="21"/>
                      <w:highlight w:val="none"/>
                      <w:u w:val="none"/>
                      <w:lang w:bidi="ar"/>
                    </w:rPr>
                    <w:t>6.2</w:t>
                  </w:r>
                  <w:r>
                    <w:rPr>
                      <w:rFonts w:ascii="Times New Roman" w:hAnsi="Times New Roman" w:cs="Times New Roman"/>
                      <w:color w:val="auto"/>
                      <w:sz w:val="21"/>
                      <w:szCs w:val="21"/>
                      <w:highlight w:val="none"/>
                      <w:u w:val="none"/>
                      <w:lang w:bidi="ar"/>
                    </w:rPr>
                    <w:t>×10</w:t>
                  </w:r>
                  <w:r>
                    <w:rPr>
                      <w:rFonts w:hint="eastAsia" w:ascii="Times New Roman" w:hAnsi="Times New Roman" w:cs="Times New Roman"/>
                      <w:color w:val="auto"/>
                      <w:sz w:val="21"/>
                      <w:szCs w:val="21"/>
                      <w:highlight w:val="none"/>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657F6C7D">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highlight w:val="none"/>
                      <w:u w:val="none"/>
                    </w:rPr>
                  </w:pPr>
                  <w:r>
                    <w:rPr>
                      <w:rFonts w:ascii="Times New Roman" w:hAnsi="Times New Roman" w:cs="Times New Roman"/>
                      <w:color w:val="auto"/>
                      <w:kern w:val="0"/>
                      <w:sz w:val="21"/>
                      <w:szCs w:val="21"/>
                      <w:highlight w:val="none"/>
                      <w:u w:val="none"/>
                      <w:lang w:bidi="ar"/>
                    </w:rPr>
                    <w:t>180</w:t>
                  </w:r>
                </w:p>
              </w:tc>
              <w:tc>
                <w:tcPr>
                  <w:tcW w:w="748" w:type="dxa"/>
                  <w:tcBorders>
                    <w:tl2br w:val="nil"/>
                    <w:tr2bl w:val="nil"/>
                  </w:tcBorders>
                  <w:tcMar>
                    <w:top w:w="0" w:type="dxa"/>
                    <w:left w:w="6" w:type="dxa"/>
                    <w:bottom w:w="0" w:type="dxa"/>
                    <w:right w:w="6" w:type="dxa"/>
                  </w:tcMar>
                  <w:vAlign w:val="center"/>
                </w:tcPr>
                <w:p w14:paraId="199B8E29">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0.261</w:t>
                  </w:r>
                </w:p>
              </w:tc>
              <w:tc>
                <w:tcPr>
                  <w:tcW w:w="829" w:type="dxa"/>
                  <w:tcBorders>
                    <w:tl2br w:val="nil"/>
                    <w:tr2bl w:val="nil"/>
                  </w:tcBorders>
                  <w:tcMar>
                    <w:top w:w="0" w:type="dxa"/>
                    <w:left w:w="6" w:type="dxa"/>
                    <w:bottom w:w="0" w:type="dxa"/>
                    <w:right w:w="6" w:type="dxa"/>
                  </w:tcMar>
                  <w:vAlign w:val="center"/>
                </w:tcPr>
                <w:p w14:paraId="072BB8D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highlight w:val="none"/>
                      <w:u w:val="none"/>
                    </w:rPr>
                  </w:pPr>
                  <w:r>
                    <w:rPr>
                      <w:rFonts w:ascii="Times New Roman" w:hAnsi="Times New Roman" w:cs="Times New Roman"/>
                      <w:color w:val="auto"/>
                      <w:kern w:val="0"/>
                      <w:sz w:val="21"/>
                      <w:szCs w:val="21"/>
                      <w:highlight w:val="none"/>
                      <w:u w:val="none"/>
                      <w:lang w:bidi="ar"/>
                    </w:rPr>
                    <w:t>34.4</w:t>
                  </w:r>
                </w:p>
              </w:tc>
              <w:tc>
                <w:tcPr>
                  <w:tcW w:w="750" w:type="dxa"/>
                  <w:tcBorders>
                    <w:tl2br w:val="nil"/>
                    <w:tr2bl w:val="nil"/>
                  </w:tcBorders>
                  <w:tcMar>
                    <w:top w:w="0" w:type="dxa"/>
                    <w:left w:w="6" w:type="dxa"/>
                    <w:bottom w:w="0" w:type="dxa"/>
                    <w:right w:w="6" w:type="dxa"/>
                  </w:tcMar>
                  <w:vAlign w:val="center"/>
                </w:tcPr>
                <w:p w14:paraId="1A20E24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0.0499</w:t>
                  </w:r>
                </w:p>
              </w:tc>
              <w:tc>
                <w:tcPr>
                  <w:tcW w:w="829" w:type="dxa"/>
                  <w:tcBorders>
                    <w:tl2br w:val="nil"/>
                    <w:tr2bl w:val="nil"/>
                  </w:tcBorders>
                  <w:tcMar>
                    <w:top w:w="0" w:type="dxa"/>
                    <w:left w:w="6" w:type="dxa"/>
                    <w:bottom w:w="0" w:type="dxa"/>
                    <w:right w:w="6" w:type="dxa"/>
                  </w:tcMar>
                  <w:vAlign w:val="center"/>
                </w:tcPr>
                <w:p w14:paraId="40F9FADE">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highlight w:val="none"/>
                      <w:u w:val="none"/>
                    </w:rPr>
                  </w:pPr>
                  <w:r>
                    <w:rPr>
                      <w:rFonts w:ascii="Times New Roman" w:hAnsi="Times New Roman" w:cs="Times New Roman"/>
                      <w:color w:val="auto"/>
                      <w:kern w:val="0"/>
                      <w:sz w:val="21"/>
                      <w:szCs w:val="21"/>
                      <w:highlight w:val="none"/>
                      <w:u w:val="none"/>
                      <w:lang w:bidi="ar"/>
                    </w:rPr>
                    <w:t>200</w:t>
                  </w:r>
                </w:p>
              </w:tc>
              <w:tc>
                <w:tcPr>
                  <w:tcW w:w="751" w:type="dxa"/>
                  <w:tcBorders>
                    <w:tl2br w:val="nil"/>
                    <w:tr2bl w:val="nil"/>
                  </w:tcBorders>
                  <w:tcMar>
                    <w:top w:w="0" w:type="dxa"/>
                    <w:left w:w="6" w:type="dxa"/>
                    <w:bottom w:w="0" w:type="dxa"/>
                    <w:right w:w="6" w:type="dxa"/>
                  </w:tcMar>
                  <w:vAlign w:val="center"/>
                </w:tcPr>
                <w:p w14:paraId="3979D5A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0.290</w:t>
                  </w:r>
                </w:p>
              </w:tc>
            </w:tr>
            <w:tr w14:paraId="75F1AB4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40B68EBF">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restart"/>
                  <w:tcBorders>
                    <w:tl2br w:val="nil"/>
                    <w:tr2bl w:val="nil"/>
                  </w:tcBorders>
                  <w:tcMar>
                    <w:top w:w="0" w:type="dxa"/>
                    <w:left w:w="6" w:type="dxa"/>
                    <w:bottom w:w="0" w:type="dxa"/>
                    <w:right w:w="6" w:type="dxa"/>
                  </w:tcMar>
                  <w:vAlign w:val="center"/>
                </w:tcPr>
                <w:p w14:paraId="00CB2608">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ascii="Times New Roman" w:hAnsi="Times New Roman" w:eastAsia="宋体" w:cs="Times New Roman"/>
                      <w:color w:val="auto"/>
                      <w:sz w:val="21"/>
                      <w:szCs w:val="21"/>
                      <w:u w:val="none"/>
                    </w:rPr>
                    <w:t>6#发电机组排气筒出口</w:t>
                  </w:r>
                </w:p>
              </w:tc>
              <w:tc>
                <w:tcPr>
                  <w:tcW w:w="840" w:type="dxa"/>
                  <w:tcBorders>
                    <w:tl2br w:val="nil"/>
                    <w:tr2bl w:val="nil"/>
                  </w:tcBorders>
                  <w:tcMar>
                    <w:top w:w="0" w:type="dxa"/>
                    <w:left w:w="6" w:type="dxa"/>
                    <w:bottom w:w="0" w:type="dxa"/>
                    <w:right w:w="6" w:type="dxa"/>
                  </w:tcMar>
                  <w:vAlign w:val="center"/>
                </w:tcPr>
                <w:p w14:paraId="4A827EFC">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1.39</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1AA44BF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4.5</w:t>
                  </w:r>
                </w:p>
              </w:tc>
              <w:tc>
                <w:tcPr>
                  <w:tcW w:w="748" w:type="dxa"/>
                  <w:tcBorders>
                    <w:tl2br w:val="nil"/>
                    <w:tr2bl w:val="nil"/>
                  </w:tcBorders>
                  <w:tcMar>
                    <w:top w:w="0" w:type="dxa"/>
                    <w:left w:w="6" w:type="dxa"/>
                    <w:bottom w:w="0" w:type="dxa"/>
                    <w:right w:w="6" w:type="dxa"/>
                  </w:tcMar>
                  <w:vAlign w:val="center"/>
                </w:tcPr>
                <w:p w14:paraId="41ABC8DE">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6.3</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6A8738B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180</w:t>
                  </w:r>
                </w:p>
              </w:tc>
              <w:tc>
                <w:tcPr>
                  <w:tcW w:w="748" w:type="dxa"/>
                  <w:tcBorders>
                    <w:tl2br w:val="nil"/>
                    <w:tr2bl w:val="nil"/>
                  </w:tcBorders>
                  <w:tcMar>
                    <w:top w:w="0" w:type="dxa"/>
                    <w:left w:w="6" w:type="dxa"/>
                    <w:bottom w:w="0" w:type="dxa"/>
                    <w:right w:w="6" w:type="dxa"/>
                  </w:tcMar>
                  <w:vAlign w:val="center"/>
                </w:tcPr>
                <w:p w14:paraId="48D4BD44">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0.250</w:t>
                  </w:r>
                </w:p>
              </w:tc>
              <w:tc>
                <w:tcPr>
                  <w:tcW w:w="829" w:type="dxa"/>
                  <w:tcBorders>
                    <w:tl2br w:val="nil"/>
                    <w:tr2bl w:val="nil"/>
                  </w:tcBorders>
                  <w:tcMar>
                    <w:top w:w="0" w:type="dxa"/>
                    <w:left w:w="6" w:type="dxa"/>
                    <w:bottom w:w="0" w:type="dxa"/>
                    <w:right w:w="6" w:type="dxa"/>
                  </w:tcMar>
                  <w:vAlign w:val="center"/>
                </w:tcPr>
                <w:p w14:paraId="25B9858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33.2</w:t>
                  </w:r>
                </w:p>
              </w:tc>
              <w:tc>
                <w:tcPr>
                  <w:tcW w:w="750" w:type="dxa"/>
                  <w:tcBorders>
                    <w:tl2br w:val="nil"/>
                    <w:tr2bl w:val="nil"/>
                  </w:tcBorders>
                  <w:tcMar>
                    <w:top w:w="0" w:type="dxa"/>
                    <w:left w:w="6" w:type="dxa"/>
                    <w:bottom w:w="0" w:type="dxa"/>
                    <w:right w:w="6" w:type="dxa"/>
                  </w:tcMar>
                  <w:vAlign w:val="center"/>
                </w:tcPr>
                <w:p w14:paraId="4D11750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0.0461</w:t>
                  </w:r>
                </w:p>
              </w:tc>
              <w:tc>
                <w:tcPr>
                  <w:tcW w:w="829" w:type="dxa"/>
                  <w:tcBorders>
                    <w:tl2br w:val="nil"/>
                    <w:tr2bl w:val="nil"/>
                  </w:tcBorders>
                  <w:tcMar>
                    <w:top w:w="0" w:type="dxa"/>
                    <w:left w:w="6" w:type="dxa"/>
                    <w:bottom w:w="0" w:type="dxa"/>
                    <w:right w:w="6" w:type="dxa"/>
                  </w:tcMar>
                  <w:vAlign w:val="center"/>
                </w:tcPr>
                <w:p w14:paraId="0B6FA5FE">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220</w:t>
                  </w:r>
                </w:p>
              </w:tc>
              <w:tc>
                <w:tcPr>
                  <w:tcW w:w="751" w:type="dxa"/>
                  <w:tcBorders>
                    <w:tl2br w:val="nil"/>
                    <w:tr2bl w:val="nil"/>
                  </w:tcBorders>
                  <w:tcMar>
                    <w:top w:w="0" w:type="dxa"/>
                    <w:left w:w="6" w:type="dxa"/>
                    <w:bottom w:w="0" w:type="dxa"/>
                    <w:right w:w="6" w:type="dxa"/>
                  </w:tcMar>
                  <w:vAlign w:val="center"/>
                </w:tcPr>
                <w:p w14:paraId="66886A1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0.306</w:t>
                  </w:r>
                </w:p>
              </w:tc>
            </w:tr>
            <w:tr w14:paraId="58C148C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5000C92C">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7602CB51">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435FAA3F">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1.46</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1D42D88D">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4.8</w:t>
                  </w:r>
                </w:p>
              </w:tc>
              <w:tc>
                <w:tcPr>
                  <w:tcW w:w="748" w:type="dxa"/>
                  <w:tcBorders>
                    <w:tl2br w:val="nil"/>
                    <w:tr2bl w:val="nil"/>
                  </w:tcBorders>
                  <w:tcMar>
                    <w:top w:w="0" w:type="dxa"/>
                    <w:left w:w="6" w:type="dxa"/>
                    <w:bottom w:w="0" w:type="dxa"/>
                    <w:right w:w="6" w:type="dxa"/>
                  </w:tcMar>
                  <w:vAlign w:val="center"/>
                </w:tcPr>
                <w:p w14:paraId="6070916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7.0</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09E0D99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163</w:t>
                  </w:r>
                </w:p>
              </w:tc>
              <w:tc>
                <w:tcPr>
                  <w:tcW w:w="748" w:type="dxa"/>
                  <w:tcBorders>
                    <w:tl2br w:val="nil"/>
                    <w:tr2bl w:val="nil"/>
                  </w:tcBorders>
                  <w:tcMar>
                    <w:top w:w="0" w:type="dxa"/>
                    <w:left w:w="6" w:type="dxa"/>
                    <w:bottom w:w="0" w:type="dxa"/>
                    <w:right w:w="6" w:type="dxa"/>
                  </w:tcMar>
                  <w:vAlign w:val="center"/>
                </w:tcPr>
                <w:p w14:paraId="7B5286EB">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0.238</w:t>
                  </w:r>
                </w:p>
              </w:tc>
              <w:tc>
                <w:tcPr>
                  <w:tcW w:w="829" w:type="dxa"/>
                  <w:tcBorders>
                    <w:tl2br w:val="nil"/>
                    <w:tr2bl w:val="nil"/>
                  </w:tcBorders>
                  <w:tcMar>
                    <w:top w:w="0" w:type="dxa"/>
                    <w:left w:w="6" w:type="dxa"/>
                    <w:bottom w:w="0" w:type="dxa"/>
                    <w:right w:w="6" w:type="dxa"/>
                  </w:tcMar>
                  <w:vAlign w:val="center"/>
                </w:tcPr>
                <w:p w14:paraId="64629BC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36.1</w:t>
                  </w:r>
                </w:p>
              </w:tc>
              <w:tc>
                <w:tcPr>
                  <w:tcW w:w="750" w:type="dxa"/>
                  <w:tcBorders>
                    <w:tl2br w:val="nil"/>
                    <w:tr2bl w:val="nil"/>
                  </w:tcBorders>
                  <w:tcMar>
                    <w:top w:w="0" w:type="dxa"/>
                    <w:left w:w="6" w:type="dxa"/>
                    <w:bottom w:w="0" w:type="dxa"/>
                    <w:right w:w="6" w:type="dxa"/>
                  </w:tcMar>
                  <w:vAlign w:val="center"/>
                </w:tcPr>
                <w:p w14:paraId="6D6AFBB4">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0.0527</w:t>
                  </w:r>
                </w:p>
              </w:tc>
              <w:tc>
                <w:tcPr>
                  <w:tcW w:w="829" w:type="dxa"/>
                  <w:tcBorders>
                    <w:tl2br w:val="nil"/>
                    <w:tr2bl w:val="nil"/>
                  </w:tcBorders>
                  <w:tcMar>
                    <w:top w:w="0" w:type="dxa"/>
                    <w:left w:w="6" w:type="dxa"/>
                    <w:bottom w:w="0" w:type="dxa"/>
                    <w:right w:w="6" w:type="dxa"/>
                  </w:tcMar>
                  <w:vAlign w:val="center"/>
                </w:tcPr>
                <w:p w14:paraId="51BFF444">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179</w:t>
                  </w:r>
                </w:p>
              </w:tc>
              <w:tc>
                <w:tcPr>
                  <w:tcW w:w="751" w:type="dxa"/>
                  <w:tcBorders>
                    <w:tl2br w:val="nil"/>
                    <w:tr2bl w:val="nil"/>
                  </w:tcBorders>
                  <w:tcMar>
                    <w:top w:w="0" w:type="dxa"/>
                    <w:left w:w="6" w:type="dxa"/>
                    <w:bottom w:w="0" w:type="dxa"/>
                    <w:right w:w="6" w:type="dxa"/>
                  </w:tcMar>
                  <w:vAlign w:val="center"/>
                </w:tcPr>
                <w:p w14:paraId="30DE4374">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0.261</w:t>
                  </w:r>
                </w:p>
              </w:tc>
            </w:tr>
            <w:tr w14:paraId="7BE62B6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4D3DB9E0">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79781DBA">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23520758">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highlight w:val="none"/>
                      <w:u w:val="none"/>
                      <w:lang w:bidi="ar"/>
                    </w:rPr>
                  </w:pPr>
                  <w:r>
                    <w:rPr>
                      <w:rFonts w:hint="eastAsia" w:ascii="Times New Roman" w:hAnsi="Times New Roman" w:cs="Times New Roman"/>
                      <w:color w:val="auto"/>
                      <w:sz w:val="21"/>
                      <w:szCs w:val="21"/>
                      <w:highlight w:val="none"/>
                      <w:u w:val="none"/>
                      <w:lang w:bidi="ar"/>
                    </w:rPr>
                    <w:t>1.49</w:t>
                  </w:r>
                  <w:r>
                    <w:rPr>
                      <w:rFonts w:ascii="Times New Roman" w:hAnsi="Times New Roman" w:cs="Times New Roman"/>
                      <w:color w:val="auto"/>
                      <w:sz w:val="21"/>
                      <w:szCs w:val="21"/>
                      <w:highlight w:val="none"/>
                      <w:u w:val="none"/>
                      <w:lang w:bidi="ar"/>
                    </w:rPr>
                    <w:t>×10</w:t>
                  </w:r>
                  <w:r>
                    <w:rPr>
                      <w:rFonts w:ascii="Times New Roman" w:hAnsi="Times New Roman" w:cs="Times New Roman"/>
                      <w:color w:val="auto"/>
                      <w:sz w:val="21"/>
                      <w:szCs w:val="21"/>
                      <w:highlight w:val="none"/>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4447299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4.2</w:t>
                  </w:r>
                </w:p>
              </w:tc>
              <w:tc>
                <w:tcPr>
                  <w:tcW w:w="748" w:type="dxa"/>
                  <w:tcBorders>
                    <w:tl2br w:val="nil"/>
                    <w:tr2bl w:val="nil"/>
                  </w:tcBorders>
                  <w:tcMar>
                    <w:top w:w="0" w:type="dxa"/>
                    <w:left w:w="6" w:type="dxa"/>
                    <w:bottom w:w="0" w:type="dxa"/>
                    <w:right w:w="6" w:type="dxa"/>
                  </w:tcMar>
                  <w:vAlign w:val="center"/>
                </w:tcPr>
                <w:p w14:paraId="758B7DC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ascii="Times New Roman" w:hAnsi="Times New Roman" w:cs="Times New Roman"/>
                      <w:color w:val="auto"/>
                      <w:kern w:val="0"/>
                      <w:sz w:val="21"/>
                      <w:szCs w:val="21"/>
                      <w:highlight w:val="none"/>
                      <w:u w:val="none"/>
                      <w:lang w:bidi="ar"/>
                    </w:rPr>
                    <w:t>6.3</w:t>
                  </w:r>
                  <w:r>
                    <w:rPr>
                      <w:rFonts w:ascii="Times New Roman" w:hAnsi="Times New Roman" w:cs="Times New Roman"/>
                      <w:color w:val="auto"/>
                      <w:sz w:val="21"/>
                      <w:szCs w:val="21"/>
                      <w:highlight w:val="none"/>
                      <w:u w:val="none"/>
                      <w:lang w:bidi="ar"/>
                    </w:rPr>
                    <w:t>×10</w:t>
                  </w:r>
                  <w:r>
                    <w:rPr>
                      <w:rFonts w:hint="eastAsia" w:ascii="Times New Roman" w:hAnsi="Times New Roman" w:cs="Times New Roman"/>
                      <w:color w:val="auto"/>
                      <w:sz w:val="21"/>
                      <w:szCs w:val="21"/>
                      <w:highlight w:val="none"/>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0FF42FC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ascii="Times New Roman" w:hAnsi="Times New Roman" w:cs="Times New Roman"/>
                      <w:color w:val="auto"/>
                      <w:kern w:val="0"/>
                      <w:sz w:val="21"/>
                      <w:szCs w:val="21"/>
                      <w:highlight w:val="none"/>
                      <w:u w:val="none"/>
                      <w:lang w:bidi="ar"/>
                    </w:rPr>
                    <w:t>177</w:t>
                  </w:r>
                </w:p>
              </w:tc>
              <w:tc>
                <w:tcPr>
                  <w:tcW w:w="748" w:type="dxa"/>
                  <w:tcBorders>
                    <w:tl2br w:val="nil"/>
                    <w:tr2bl w:val="nil"/>
                  </w:tcBorders>
                  <w:tcMar>
                    <w:top w:w="0" w:type="dxa"/>
                    <w:left w:w="6" w:type="dxa"/>
                    <w:bottom w:w="0" w:type="dxa"/>
                    <w:right w:w="6" w:type="dxa"/>
                  </w:tcMar>
                  <w:vAlign w:val="center"/>
                </w:tcPr>
                <w:p w14:paraId="4EB7FDF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0.264</w:t>
                  </w:r>
                </w:p>
              </w:tc>
              <w:tc>
                <w:tcPr>
                  <w:tcW w:w="829" w:type="dxa"/>
                  <w:tcBorders>
                    <w:tl2br w:val="nil"/>
                    <w:tr2bl w:val="nil"/>
                  </w:tcBorders>
                  <w:tcMar>
                    <w:top w:w="0" w:type="dxa"/>
                    <w:left w:w="6" w:type="dxa"/>
                    <w:bottom w:w="0" w:type="dxa"/>
                    <w:right w:w="6" w:type="dxa"/>
                  </w:tcMar>
                  <w:vAlign w:val="center"/>
                </w:tcPr>
                <w:p w14:paraId="259977D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ascii="Times New Roman" w:hAnsi="Times New Roman" w:cs="Times New Roman"/>
                      <w:color w:val="auto"/>
                      <w:kern w:val="0"/>
                      <w:sz w:val="21"/>
                      <w:szCs w:val="21"/>
                      <w:highlight w:val="none"/>
                      <w:u w:val="none"/>
                      <w:lang w:bidi="ar"/>
                    </w:rPr>
                    <w:t>29.7</w:t>
                  </w:r>
                </w:p>
              </w:tc>
              <w:tc>
                <w:tcPr>
                  <w:tcW w:w="750" w:type="dxa"/>
                  <w:tcBorders>
                    <w:tl2br w:val="nil"/>
                    <w:tr2bl w:val="nil"/>
                  </w:tcBorders>
                  <w:tcMar>
                    <w:top w:w="0" w:type="dxa"/>
                    <w:left w:w="6" w:type="dxa"/>
                    <w:bottom w:w="0" w:type="dxa"/>
                    <w:right w:w="6" w:type="dxa"/>
                  </w:tcMar>
                  <w:vAlign w:val="center"/>
                </w:tcPr>
                <w:p w14:paraId="19210BC4">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0.0443</w:t>
                  </w:r>
                </w:p>
              </w:tc>
              <w:tc>
                <w:tcPr>
                  <w:tcW w:w="829" w:type="dxa"/>
                  <w:tcBorders>
                    <w:tl2br w:val="nil"/>
                    <w:tr2bl w:val="nil"/>
                  </w:tcBorders>
                  <w:tcMar>
                    <w:top w:w="0" w:type="dxa"/>
                    <w:left w:w="6" w:type="dxa"/>
                    <w:bottom w:w="0" w:type="dxa"/>
                    <w:right w:w="6" w:type="dxa"/>
                  </w:tcMar>
                  <w:vAlign w:val="center"/>
                </w:tcPr>
                <w:p w14:paraId="05E514F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224</w:t>
                  </w:r>
                </w:p>
              </w:tc>
              <w:tc>
                <w:tcPr>
                  <w:tcW w:w="751" w:type="dxa"/>
                  <w:tcBorders>
                    <w:tl2br w:val="nil"/>
                    <w:tr2bl w:val="nil"/>
                  </w:tcBorders>
                  <w:tcMar>
                    <w:top w:w="0" w:type="dxa"/>
                    <w:left w:w="6" w:type="dxa"/>
                    <w:bottom w:w="0" w:type="dxa"/>
                    <w:right w:w="6" w:type="dxa"/>
                  </w:tcMar>
                  <w:vAlign w:val="center"/>
                </w:tcPr>
                <w:p w14:paraId="1A398A1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0.334</w:t>
                  </w:r>
                </w:p>
              </w:tc>
            </w:tr>
            <w:tr w14:paraId="2259EF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22287E90">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tcBorders>
                    <w:tl2br w:val="nil"/>
                    <w:tr2bl w:val="nil"/>
                  </w:tcBorders>
                  <w:tcMar>
                    <w:top w:w="0" w:type="dxa"/>
                    <w:left w:w="6" w:type="dxa"/>
                    <w:bottom w:w="0" w:type="dxa"/>
                    <w:right w:w="6" w:type="dxa"/>
                  </w:tcMar>
                  <w:vAlign w:val="center"/>
                </w:tcPr>
                <w:p w14:paraId="62E8A2E6">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ascii="Times New Roman" w:hAnsi="Times New Roman" w:eastAsia="宋体" w:cs="Times New Roman"/>
                      <w:color w:val="auto"/>
                      <w:sz w:val="21"/>
                      <w:szCs w:val="21"/>
                      <w:u w:val="none"/>
                    </w:rPr>
                    <w:t>均值</w:t>
                  </w:r>
                </w:p>
              </w:tc>
              <w:tc>
                <w:tcPr>
                  <w:tcW w:w="840" w:type="dxa"/>
                  <w:tcBorders>
                    <w:tl2br w:val="nil"/>
                    <w:tr2bl w:val="nil"/>
                  </w:tcBorders>
                  <w:tcMar>
                    <w:top w:w="0" w:type="dxa"/>
                    <w:left w:w="6" w:type="dxa"/>
                    <w:bottom w:w="0" w:type="dxa"/>
                    <w:right w:w="6" w:type="dxa"/>
                  </w:tcMar>
                  <w:vAlign w:val="center"/>
                </w:tcPr>
                <w:p w14:paraId="1A72763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highlight w:val="none"/>
                      <w:u w:val="none"/>
                      <w:lang w:bidi="ar"/>
                    </w:rPr>
                  </w:pPr>
                  <w:r>
                    <w:rPr>
                      <w:rFonts w:hint="eastAsia" w:ascii="Times New Roman" w:hAnsi="Times New Roman" w:cs="Times New Roman"/>
                      <w:color w:val="auto"/>
                      <w:sz w:val="21"/>
                      <w:szCs w:val="21"/>
                      <w:highlight w:val="none"/>
                      <w:u w:val="none"/>
                      <w:lang w:bidi="ar"/>
                    </w:rPr>
                    <w:t>1.45</w:t>
                  </w:r>
                  <w:r>
                    <w:rPr>
                      <w:rFonts w:ascii="Times New Roman" w:hAnsi="Times New Roman" w:cs="Times New Roman"/>
                      <w:color w:val="auto"/>
                      <w:sz w:val="21"/>
                      <w:szCs w:val="21"/>
                      <w:highlight w:val="none"/>
                      <w:u w:val="none"/>
                      <w:lang w:bidi="ar"/>
                    </w:rPr>
                    <w:t>×10</w:t>
                  </w:r>
                  <w:r>
                    <w:rPr>
                      <w:rFonts w:ascii="Times New Roman" w:hAnsi="Times New Roman" w:cs="Times New Roman"/>
                      <w:color w:val="auto"/>
                      <w:sz w:val="21"/>
                      <w:szCs w:val="21"/>
                      <w:highlight w:val="none"/>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2E7B67C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highlight w:val="none"/>
                      <w:u w:val="none"/>
                    </w:rPr>
                  </w:pPr>
                  <w:r>
                    <w:rPr>
                      <w:rFonts w:ascii="Times New Roman" w:hAnsi="Times New Roman" w:cs="Times New Roman"/>
                      <w:color w:val="auto"/>
                      <w:kern w:val="0"/>
                      <w:sz w:val="21"/>
                      <w:szCs w:val="21"/>
                      <w:highlight w:val="none"/>
                      <w:u w:val="none"/>
                      <w:lang w:bidi="ar"/>
                    </w:rPr>
                    <w:t>4.</w:t>
                  </w:r>
                  <w:r>
                    <w:rPr>
                      <w:rFonts w:hint="eastAsia" w:ascii="Times New Roman" w:hAnsi="Times New Roman" w:cs="Times New Roman"/>
                      <w:color w:val="auto"/>
                      <w:kern w:val="0"/>
                      <w:sz w:val="21"/>
                      <w:szCs w:val="21"/>
                      <w:highlight w:val="none"/>
                      <w:u w:val="none"/>
                      <w:lang w:bidi="ar"/>
                    </w:rPr>
                    <w:t>5</w:t>
                  </w:r>
                </w:p>
              </w:tc>
              <w:tc>
                <w:tcPr>
                  <w:tcW w:w="748" w:type="dxa"/>
                  <w:tcBorders>
                    <w:tl2br w:val="nil"/>
                    <w:tr2bl w:val="nil"/>
                  </w:tcBorders>
                  <w:tcMar>
                    <w:top w:w="0" w:type="dxa"/>
                    <w:left w:w="6" w:type="dxa"/>
                    <w:bottom w:w="0" w:type="dxa"/>
                    <w:right w:w="6" w:type="dxa"/>
                  </w:tcMar>
                  <w:vAlign w:val="center"/>
                </w:tcPr>
                <w:p w14:paraId="0714B13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ascii="Times New Roman" w:hAnsi="Times New Roman" w:cs="Times New Roman"/>
                      <w:color w:val="auto"/>
                      <w:kern w:val="0"/>
                      <w:sz w:val="21"/>
                      <w:szCs w:val="21"/>
                      <w:highlight w:val="none"/>
                      <w:u w:val="none"/>
                      <w:lang w:bidi="ar"/>
                    </w:rPr>
                    <w:t>6.5</w:t>
                  </w:r>
                  <w:r>
                    <w:rPr>
                      <w:rFonts w:ascii="Times New Roman" w:hAnsi="Times New Roman" w:cs="Times New Roman"/>
                      <w:color w:val="auto"/>
                      <w:sz w:val="21"/>
                      <w:szCs w:val="21"/>
                      <w:highlight w:val="none"/>
                      <w:u w:val="none"/>
                      <w:lang w:bidi="ar"/>
                    </w:rPr>
                    <w:t>×10</w:t>
                  </w:r>
                  <w:r>
                    <w:rPr>
                      <w:rFonts w:hint="eastAsia" w:ascii="Times New Roman" w:hAnsi="Times New Roman" w:cs="Times New Roman"/>
                      <w:color w:val="auto"/>
                      <w:sz w:val="21"/>
                      <w:szCs w:val="21"/>
                      <w:highlight w:val="none"/>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7035B7D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highlight w:val="none"/>
                      <w:u w:val="none"/>
                    </w:rPr>
                  </w:pPr>
                  <w:r>
                    <w:rPr>
                      <w:rFonts w:ascii="Times New Roman" w:hAnsi="Times New Roman" w:cs="Times New Roman"/>
                      <w:color w:val="auto"/>
                      <w:kern w:val="0"/>
                      <w:sz w:val="21"/>
                      <w:szCs w:val="21"/>
                      <w:highlight w:val="none"/>
                      <w:u w:val="none"/>
                      <w:lang w:bidi="ar"/>
                    </w:rPr>
                    <w:t>173</w:t>
                  </w:r>
                </w:p>
              </w:tc>
              <w:tc>
                <w:tcPr>
                  <w:tcW w:w="748" w:type="dxa"/>
                  <w:tcBorders>
                    <w:tl2br w:val="nil"/>
                    <w:tr2bl w:val="nil"/>
                  </w:tcBorders>
                  <w:tcMar>
                    <w:top w:w="0" w:type="dxa"/>
                    <w:left w:w="6" w:type="dxa"/>
                    <w:bottom w:w="0" w:type="dxa"/>
                    <w:right w:w="6" w:type="dxa"/>
                  </w:tcMar>
                  <w:vAlign w:val="center"/>
                </w:tcPr>
                <w:p w14:paraId="08DF235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0.251</w:t>
                  </w:r>
                </w:p>
              </w:tc>
              <w:tc>
                <w:tcPr>
                  <w:tcW w:w="829" w:type="dxa"/>
                  <w:tcBorders>
                    <w:tl2br w:val="nil"/>
                    <w:tr2bl w:val="nil"/>
                  </w:tcBorders>
                  <w:tcMar>
                    <w:top w:w="0" w:type="dxa"/>
                    <w:left w:w="6" w:type="dxa"/>
                    <w:bottom w:w="0" w:type="dxa"/>
                    <w:right w:w="6" w:type="dxa"/>
                  </w:tcMar>
                  <w:vAlign w:val="center"/>
                </w:tcPr>
                <w:p w14:paraId="3CFFF3B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highlight w:val="none"/>
                      <w:u w:val="none"/>
                    </w:rPr>
                  </w:pPr>
                  <w:r>
                    <w:rPr>
                      <w:rFonts w:ascii="Times New Roman" w:hAnsi="Times New Roman" w:cs="Times New Roman"/>
                      <w:color w:val="auto"/>
                      <w:kern w:val="0"/>
                      <w:sz w:val="21"/>
                      <w:szCs w:val="21"/>
                      <w:highlight w:val="none"/>
                      <w:u w:val="none"/>
                      <w:lang w:bidi="ar"/>
                    </w:rPr>
                    <w:t>32.</w:t>
                  </w:r>
                  <w:r>
                    <w:rPr>
                      <w:rFonts w:hint="eastAsia" w:ascii="Times New Roman" w:hAnsi="Times New Roman" w:cs="Times New Roman"/>
                      <w:color w:val="auto"/>
                      <w:kern w:val="0"/>
                      <w:sz w:val="21"/>
                      <w:szCs w:val="21"/>
                      <w:highlight w:val="none"/>
                      <w:u w:val="none"/>
                      <w:lang w:bidi="ar"/>
                    </w:rPr>
                    <w:t>9</w:t>
                  </w:r>
                </w:p>
              </w:tc>
              <w:tc>
                <w:tcPr>
                  <w:tcW w:w="750" w:type="dxa"/>
                  <w:tcBorders>
                    <w:tl2br w:val="nil"/>
                    <w:tr2bl w:val="nil"/>
                  </w:tcBorders>
                  <w:tcMar>
                    <w:top w:w="0" w:type="dxa"/>
                    <w:left w:w="6" w:type="dxa"/>
                    <w:bottom w:w="0" w:type="dxa"/>
                    <w:right w:w="6" w:type="dxa"/>
                  </w:tcMar>
                  <w:vAlign w:val="center"/>
                </w:tcPr>
                <w:p w14:paraId="4BCC440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0.0477</w:t>
                  </w:r>
                </w:p>
              </w:tc>
              <w:tc>
                <w:tcPr>
                  <w:tcW w:w="829" w:type="dxa"/>
                  <w:tcBorders>
                    <w:tl2br w:val="nil"/>
                    <w:tr2bl w:val="nil"/>
                  </w:tcBorders>
                  <w:tcMar>
                    <w:top w:w="0" w:type="dxa"/>
                    <w:left w:w="6" w:type="dxa"/>
                    <w:bottom w:w="0" w:type="dxa"/>
                    <w:right w:w="6" w:type="dxa"/>
                  </w:tcMar>
                  <w:vAlign w:val="center"/>
                </w:tcPr>
                <w:p w14:paraId="0C1CBCA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highlight w:val="none"/>
                      <w:u w:val="none"/>
                    </w:rPr>
                  </w:pPr>
                  <w:r>
                    <w:rPr>
                      <w:rFonts w:ascii="Times New Roman" w:hAnsi="Times New Roman" w:cs="Times New Roman"/>
                      <w:color w:val="auto"/>
                      <w:kern w:val="0"/>
                      <w:sz w:val="21"/>
                      <w:szCs w:val="21"/>
                      <w:highlight w:val="none"/>
                      <w:u w:val="none"/>
                      <w:lang w:bidi="ar"/>
                    </w:rPr>
                    <w:t>20</w:t>
                  </w:r>
                  <w:r>
                    <w:rPr>
                      <w:rFonts w:hint="eastAsia" w:ascii="Times New Roman" w:hAnsi="Times New Roman" w:cs="Times New Roman"/>
                      <w:color w:val="auto"/>
                      <w:kern w:val="0"/>
                      <w:sz w:val="21"/>
                      <w:szCs w:val="21"/>
                      <w:highlight w:val="none"/>
                      <w:u w:val="none"/>
                      <w:lang w:bidi="ar"/>
                    </w:rPr>
                    <w:t>7</w:t>
                  </w:r>
                </w:p>
              </w:tc>
              <w:tc>
                <w:tcPr>
                  <w:tcW w:w="751" w:type="dxa"/>
                  <w:tcBorders>
                    <w:tl2br w:val="nil"/>
                    <w:tr2bl w:val="nil"/>
                  </w:tcBorders>
                  <w:tcMar>
                    <w:top w:w="0" w:type="dxa"/>
                    <w:left w:w="6" w:type="dxa"/>
                    <w:bottom w:w="0" w:type="dxa"/>
                    <w:right w:w="6" w:type="dxa"/>
                  </w:tcMar>
                  <w:vAlign w:val="center"/>
                </w:tcPr>
                <w:p w14:paraId="749D161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0.300</w:t>
                  </w:r>
                </w:p>
              </w:tc>
            </w:tr>
            <w:tr w14:paraId="4328B33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restart"/>
                  <w:tcBorders>
                    <w:tl2br w:val="nil"/>
                    <w:tr2bl w:val="nil"/>
                  </w:tcBorders>
                  <w:tcMar>
                    <w:top w:w="0" w:type="dxa"/>
                    <w:left w:w="6" w:type="dxa"/>
                    <w:bottom w:w="0" w:type="dxa"/>
                    <w:right w:w="6" w:type="dxa"/>
                  </w:tcMar>
                  <w:vAlign w:val="center"/>
                </w:tcPr>
                <w:p w14:paraId="1BF1841D">
                  <w:pPr>
                    <w:keepNext w:val="0"/>
                    <w:keepLines w:val="0"/>
                    <w:pageBreakBefore w:val="0"/>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rPr>
                  </w:pPr>
                  <w:r>
                    <w:rPr>
                      <w:rFonts w:ascii="Times New Roman" w:hAnsi="Times New Roman" w:cs="Times New Roman"/>
                      <w:color w:val="auto"/>
                      <w:sz w:val="21"/>
                      <w:szCs w:val="21"/>
                      <w:u w:val="none"/>
                    </w:rPr>
                    <w:t>2023.</w:t>
                  </w:r>
                </w:p>
                <w:p w14:paraId="25C4DDD9">
                  <w:pPr>
                    <w:keepNext w:val="0"/>
                    <w:keepLines w:val="0"/>
                    <w:pageBreakBefore w:val="0"/>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rPr>
                  </w:pPr>
                  <w:r>
                    <w:rPr>
                      <w:rFonts w:ascii="Times New Roman" w:hAnsi="Times New Roman" w:cs="Times New Roman"/>
                      <w:color w:val="auto"/>
                      <w:sz w:val="21"/>
                      <w:szCs w:val="21"/>
                      <w:u w:val="none"/>
                    </w:rPr>
                    <w:t>03.2</w:t>
                  </w:r>
                  <w:r>
                    <w:rPr>
                      <w:rFonts w:hint="eastAsia" w:ascii="Times New Roman" w:hAnsi="Times New Roman" w:cs="Times New Roman"/>
                      <w:color w:val="auto"/>
                      <w:sz w:val="21"/>
                      <w:szCs w:val="21"/>
                      <w:u w:val="none"/>
                    </w:rPr>
                    <w:t>2</w:t>
                  </w:r>
                </w:p>
              </w:tc>
              <w:tc>
                <w:tcPr>
                  <w:tcW w:w="797" w:type="dxa"/>
                  <w:vMerge w:val="restart"/>
                  <w:tcBorders>
                    <w:tl2br w:val="nil"/>
                    <w:tr2bl w:val="nil"/>
                  </w:tcBorders>
                  <w:tcMar>
                    <w:top w:w="0" w:type="dxa"/>
                    <w:left w:w="6" w:type="dxa"/>
                    <w:bottom w:w="0" w:type="dxa"/>
                    <w:right w:w="6" w:type="dxa"/>
                  </w:tcMar>
                  <w:vAlign w:val="center"/>
                </w:tcPr>
                <w:p w14:paraId="1FEB1A21">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ascii="Times New Roman" w:hAnsi="Times New Roman" w:eastAsia="宋体" w:cs="Times New Roman"/>
                      <w:color w:val="auto"/>
                      <w:sz w:val="21"/>
                      <w:szCs w:val="21"/>
                      <w:u w:val="none"/>
                    </w:rPr>
                    <w:t>1#发电机组排气筒出口</w:t>
                  </w:r>
                </w:p>
              </w:tc>
              <w:tc>
                <w:tcPr>
                  <w:tcW w:w="840" w:type="dxa"/>
                  <w:tcBorders>
                    <w:tl2br w:val="nil"/>
                    <w:tr2bl w:val="nil"/>
                  </w:tcBorders>
                  <w:tcMar>
                    <w:top w:w="0" w:type="dxa"/>
                    <w:left w:w="6" w:type="dxa"/>
                    <w:bottom w:w="0" w:type="dxa"/>
                    <w:right w:w="6" w:type="dxa"/>
                  </w:tcMar>
                  <w:vAlign w:val="center"/>
                </w:tcPr>
                <w:p w14:paraId="19003045">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1.58</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28F6695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3.9</w:t>
                  </w:r>
                </w:p>
              </w:tc>
              <w:tc>
                <w:tcPr>
                  <w:tcW w:w="748" w:type="dxa"/>
                  <w:tcBorders>
                    <w:tl2br w:val="nil"/>
                    <w:tr2bl w:val="nil"/>
                  </w:tcBorders>
                  <w:tcMar>
                    <w:top w:w="0" w:type="dxa"/>
                    <w:left w:w="6" w:type="dxa"/>
                    <w:bottom w:w="0" w:type="dxa"/>
                    <w:right w:w="6" w:type="dxa"/>
                  </w:tcMar>
                  <w:vAlign w:val="center"/>
                </w:tcPr>
                <w:p w14:paraId="73FDCF5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6.2</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6801AC0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164</w:t>
                  </w:r>
                </w:p>
              </w:tc>
              <w:tc>
                <w:tcPr>
                  <w:tcW w:w="748" w:type="dxa"/>
                  <w:tcBorders>
                    <w:tl2br w:val="nil"/>
                    <w:tr2bl w:val="nil"/>
                  </w:tcBorders>
                  <w:tcMar>
                    <w:top w:w="0" w:type="dxa"/>
                    <w:left w:w="6" w:type="dxa"/>
                    <w:bottom w:w="0" w:type="dxa"/>
                    <w:right w:w="6" w:type="dxa"/>
                  </w:tcMar>
                  <w:vAlign w:val="center"/>
                </w:tcPr>
                <w:p w14:paraId="68B301CE">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0.259</w:t>
                  </w:r>
                </w:p>
              </w:tc>
              <w:tc>
                <w:tcPr>
                  <w:tcW w:w="829" w:type="dxa"/>
                  <w:tcBorders>
                    <w:tl2br w:val="nil"/>
                    <w:tr2bl w:val="nil"/>
                  </w:tcBorders>
                  <w:tcMar>
                    <w:top w:w="0" w:type="dxa"/>
                    <w:left w:w="6" w:type="dxa"/>
                    <w:bottom w:w="0" w:type="dxa"/>
                    <w:right w:w="6" w:type="dxa"/>
                  </w:tcMar>
                  <w:vAlign w:val="center"/>
                </w:tcPr>
                <w:p w14:paraId="5A9D34D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36.2</w:t>
                  </w:r>
                </w:p>
              </w:tc>
              <w:tc>
                <w:tcPr>
                  <w:tcW w:w="750" w:type="dxa"/>
                  <w:tcBorders>
                    <w:tl2br w:val="nil"/>
                    <w:tr2bl w:val="nil"/>
                  </w:tcBorders>
                  <w:tcMar>
                    <w:top w:w="0" w:type="dxa"/>
                    <w:left w:w="6" w:type="dxa"/>
                    <w:bottom w:w="0" w:type="dxa"/>
                    <w:right w:w="6" w:type="dxa"/>
                  </w:tcMar>
                  <w:vAlign w:val="center"/>
                </w:tcPr>
                <w:p w14:paraId="22F4DA5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0.0572</w:t>
                  </w:r>
                </w:p>
              </w:tc>
              <w:tc>
                <w:tcPr>
                  <w:tcW w:w="829" w:type="dxa"/>
                  <w:tcBorders>
                    <w:tl2br w:val="nil"/>
                    <w:tr2bl w:val="nil"/>
                  </w:tcBorders>
                  <w:tcMar>
                    <w:top w:w="0" w:type="dxa"/>
                    <w:left w:w="6" w:type="dxa"/>
                    <w:bottom w:w="0" w:type="dxa"/>
                    <w:right w:w="6" w:type="dxa"/>
                  </w:tcMar>
                  <w:vAlign w:val="center"/>
                </w:tcPr>
                <w:p w14:paraId="638829E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199</w:t>
                  </w:r>
                </w:p>
              </w:tc>
              <w:tc>
                <w:tcPr>
                  <w:tcW w:w="751" w:type="dxa"/>
                  <w:tcBorders>
                    <w:tl2br w:val="nil"/>
                    <w:tr2bl w:val="nil"/>
                  </w:tcBorders>
                  <w:tcMar>
                    <w:top w:w="0" w:type="dxa"/>
                    <w:left w:w="6" w:type="dxa"/>
                    <w:bottom w:w="0" w:type="dxa"/>
                    <w:right w:w="6" w:type="dxa"/>
                  </w:tcMar>
                  <w:vAlign w:val="center"/>
                </w:tcPr>
                <w:p w14:paraId="056A72F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0.314</w:t>
                  </w:r>
                </w:p>
              </w:tc>
            </w:tr>
            <w:tr w14:paraId="7D23D3D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1BC63AA0">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0C62951F">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6F2FD2E6">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1.74</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6FFAEDA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3.2</w:t>
                  </w:r>
                </w:p>
              </w:tc>
              <w:tc>
                <w:tcPr>
                  <w:tcW w:w="748" w:type="dxa"/>
                  <w:tcBorders>
                    <w:tl2br w:val="nil"/>
                    <w:tr2bl w:val="nil"/>
                  </w:tcBorders>
                  <w:tcMar>
                    <w:top w:w="0" w:type="dxa"/>
                    <w:left w:w="6" w:type="dxa"/>
                    <w:bottom w:w="0" w:type="dxa"/>
                    <w:right w:w="6" w:type="dxa"/>
                  </w:tcMar>
                  <w:vAlign w:val="center"/>
                </w:tcPr>
                <w:p w14:paraId="1FBB9A6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5.6</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575A103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151</w:t>
                  </w:r>
                </w:p>
              </w:tc>
              <w:tc>
                <w:tcPr>
                  <w:tcW w:w="748" w:type="dxa"/>
                  <w:tcBorders>
                    <w:tl2br w:val="nil"/>
                    <w:tr2bl w:val="nil"/>
                  </w:tcBorders>
                  <w:tcMar>
                    <w:top w:w="0" w:type="dxa"/>
                    <w:left w:w="6" w:type="dxa"/>
                    <w:bottom w:w="0" w:type="dxa"/>
                    <w:right w:w="6" w:type="dxa"/>
                  </w:tcMar>
                  <w:vAlign w:val="center"/>
                </w:tcPr>
                <w:p w14:paraId="589584E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0.263</w:t>
                  </w:r>
                </w:p>
              </w:tc>
              <w:tc>
                <w:tcPr>
                  <w:tcW w:w="829" w:type="dxa"/>
                  <w:tcBorders>
                    <w:tl2br w:val="nil"/>
                    <w:tr2bl w:val="nil"/>
                  </w:tcBorders>
                  <w:tcMar>
                    <w:top w:w="0" w:type="dxa"/>
                    <w:left w:w="6" w:type="dxa"/>
                    <w:bottom w:w="0" w:type="dxa"/>
                    <w:right w:w="6" w:type="dxa"/>
                  </w:tcMar>
                  <w:vAlign w:val="center"/>
                </w:tcPr>
                <w:p w14:paraId="11A6EFE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40.6</w:t>
                  </w:r>
                </w:p>
              </w:tc>
              <w:tc>
                <w:tcPr>
                  <w:tcW w:w="750" w:type="dxa"/>
                  <w:tcBorders>
                    <w:tl2br w:val="nil"/>
                    <w:tr2bl w:val="nil"/>
                  </w:tcBorders>
                  <w:tcMar>
                    <w:top w:w="0" w:type="dxa"/>
                    <w:left w:w="6" w:type="dxa"/>
                    <w:bottom w:w="0" w:type="dxa"/>
                    <w:right w:w="6" w:type="dxa"/>
                  </w:tcMar>
                  <w:vAlign w:val="center"/>
                </w:tcPr>
                <w:p w14:paraId="49E007A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0.0706</w:t>
                  </w:r>
                </w:p>
              </w:tc>
              <w:tc>
                <w:tcPr>
                  <w:tcW w:w="829" w:type="dxa"/>
                  <w:tcBorders>
                    <w:tl2br w:val="nil"/>
                    <w:tr2bl w:val="nil"/>
                  </w:tcBorders>
                  <w:tcMar>
                    <w:top w:w="0" w:type="dxa"/>
                    <w:left w:w="6" w:type="dxa"/>
                    <w:bottom w:w="0" w:type="dxa"/>
                    <w:right w:w="6" w:type="dxa"/>
                  </w:tcMar>
                  <w:vAlign w:val="center"/>
                </w:tcPr>
                <w:p w14:paraId="1264B89E">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212</w:t>
                  </w:r>
                </w:p>
              </w:tc>
              <w:tc>
                <w:tcPr>
                  <w:tcW w:w="751" w:type="dxa"/>
                  <w:tcBorders>
                    <w:tl2br w:val="nil"/>
                    <w:tr2bl w:val="nil"/>
                  </w:tcBorders>
                  <w:tcMar>
                    <w:top w:w="0" w:type="dxa"/>
                    <w:left w:w="6" w:type="dxa"/>
                    <w:bottom w:w="0" w:type="dxa"/>
                    <w:right w:w="6" w:type="dxa"/>
                  </w:tcMar>
                  <w:vAlign w:val="center"/>
                </w:tcPr>
                <w:p w14:paraId="65FB5C5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0.369</w:t>
                  </w:r>
                </w:p>
              </w:tc>
            </w:tr>
            <w:tr w14:paraId="567F12C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13B6E552">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24F2BB39">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4AFC2A84">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1.63</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56FD8E5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4.0</w:t>
                  </w:r>
                </w:p>
              </w:tc>
              <w:tc>
                <w:tcPr>
                  <w:tcW w:w="748" w:type="dxa"/>
                  <w:tcBorders>
                    <w:tl2br w:val="nil"/>
                    <w:tr2bl w:val="nil"/>
                  </w:tcBorders>
                  <w:tcMar>
                    <w:top w:w="0" w:type="dxa"/>
                    <w:left w:w="6" w:type="dxa"/>
                    <w:bottom w:w="0" w:type="dxa"/>
                    <w:right w:w="6" w:type="dxa"/>
                  </w:tcMar>
                  <w:vAlign w:val="center"/>
                </w:tcPr>
                <w:p w14:paraId="01C54414">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6.5</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32127E1B">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170</w:t>
                  </w:r>
                </w:p>
              </w:tc>
              <w:tc>
                <w:tcPr>
                  <w:tcW w:w="748" w:type="dxa"/>
                  <w:tcBorders>
                    <w:tl2br w:val="nil"/>
                    <w:tr2bl w:val="nil"/>
                  </w:tcBorders>
                  <w:tcMar>
                    <w:top w:w="0" w:type="dxa"/>
                    <w:left w:w="6" w:type="dxa"/>
                    <w:bottom w:w="0" w:type="dxa"/>
                    <w:right w:w="6" w:type="dxa"/>
                  </w:tcMar>
                  <w:vAlign w:val="center"/>
                </w:tcPr>
                <w:p w14:paraId="7F0600F4">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0.277</w:t>
                  </w:r>
                </w:p>
              </w:tc>
              <w:tc>
                <w:tcPr>
                  <w:tcW w:w="829" w:type="dxa"/>
                  <w:tcBorders>
                    <w:tl2br w:val="nil"/>
                    <w:tr2bl w:val="nil"/>
                  </w:tcBorders>
                  <w:tcMar>
                    <w:top w:w="0" w:type="dxa"/>
                    <w:left w:w="6" w:type="dxa"/>
                    <w:bottom w:w="0" w:type="dxa"/>
                    <w:right w:w="6" w:type="dxa"/>
                  </w:tcMar>
                  <w:vAlign w:val="center"/>
                </w:tcPr>
                <w:p w14:paraId="30C48CD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34.4</w:t>
                  </w:r>
                </w:p>
              </w:tc>
              <w:tc>
                <w:tcPr>
                  <w:tcW w:w="750" w:type="dxa"/>
                  <w:tcBorders>
                    <w:tl2br w:val="nil"/>
                    <w:tr2bl w:val="nil"/>
                  </w:tcBorders>
                  <w:tcMar>
                    <w:top w:w="0" w:type="dxa"/>
                    <w:left w:w="6" w:type="dxa"/>
                    <w:bottom w:w="0" w:type="dxa"/>
                    <w:right w:w="6" w:type="dxa"/>
                  </w:tcMar>
                  <w:vAlign w:val="center"/>
                </w:tcPr>
                <w:p w14:paraId="53206BC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0.0561</w:t>
                  </w:r>
                </w:p>
              </w:tc>
              <w:tc>
                <w:tcPr>
                  <w:tcW w:w="829" w:type="dxa"/>
                  <w:tcBorders>
                    <w:tl2br w:val="nil"/>
                    <w:tr2bl w:val="nil"/>
                  </w:tcBorders>
                  <w:tcMar>
                    <w:top w:w="0" w:type="dxa"/>
                    <w:left w:w="6" w:type="dxa"/>
                    <w:bottom w:w="0" w:type="dxa"/>
                    <w:right w:w="6" w:type="dxa"/>
                  </w:tcMar>
                  <w:vAlign w:val="center"/>
                </w:tcPr>
                <w:p w14:paraId="1F2AF47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185</w:t>
                  </w:r>
                </w:p>
              </w:tc>
              <w:tc>
                <w:tcPr>
                  <w:tcW w:w="751" w:type="dxa"/>
                  <w:tcBorders>
                    <w:tl2br w:val="nil"/>
                    <w:tr2bl w:val="nil"/>
                  </w:tcBorders>
                  <w:tcMar>
                    <w:top w:w="0" w:type="dxa"/>
                    <w:left w:w="6" w:type="dxa"/>
                    <w:bottom w:w="0" w:type="dxa"/>
                    <w:right w:w="6" w:type="dxa"/>
                  </w:tcMar>
                  <w:vAlign w:val="center"/>
                </w:tcPr>
                <w:p w14:paraId="29E1EA5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0.302</w:t>
                  </w:r>
                </w:p>
              </w:tc>
            </w:tr>
            <w:tr w14:paraId="4848FC8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6375AD92">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tcBorders>
                    <w:tl2br w:val="nil"/>
                    <w:tr2bl w:val="nil"/>
                  </w:tcBorders>
                  <w:tcMar>
                    <w:top w:w="0" w:type="dxa"/>
                    <w:left w:w="6" w:type="dxa"/>
                    <w:bottom w:w="0" w:type="dxa"/>
                    <w:right w:w="6" w:type="dxa"/>
                  </w:tcMar>
                  <w:vAlign w:val="center"/>
                </w:tcPr>
                <w:p w14:paraId="440EC816">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ascii="Times New Roman" w:hAnsi="Times New Roman" w:eastAsia="宋体" w:cs="Times New Roman"/>
                      <w:color w:val="auto"/>
                      <w:sz w:val="21"/>
                      <w:szCs w:val="21"/>
                      <w:u w:val="none"/>
                    </w:rPr>
                    <w:t>均值</w:t>
                  </w:r>
                </w:p>
              </w:tc>
              <w:tc>
                <w:tcPr>
                  <w:tcW w:w="840" w:type="dxa"/>
                  <w:tcBorders>
                    <w:tl2br w:val="nil"/>
                    <w:tr2bl w:val="nil"/>
                  </w:tcBorders>
                  <w:tcMar>
                    <w:top w:w="0" w:type="dxa"/>
                    <w:left w:w="6" w:type="dxa"/>
                    <w:bottom w:w="0" w:type="dxa"/>
                    <w:right w:w="6" w:type="dxa"/>
                  </w:tcMar>
                  <w:vAlign w:val="center"/>
                </w:tcPr>
                <w:p w14:paraId="39753260">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1.65</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613EB12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3.</w:t>
                  </w:r>
                  <w:r>
                    <w:rPr>
                      <w:rFonts w:hint="eastAsia" w:ascii="Times New Roman" w:hAnsi="Times New Roman" w:cs="Times New Roman"/>
                      <w:color w:val="auto"/>
                      <w:kern w:val="0"/>
                      <w:sz w:val="21"/>
                      <w:szCs w:val="21"/>
                      <w:u w:val="none"/>
                      <w:lang w:bidi="ar"/>
                    </w:rPr>
                    <w:t>7</w:t>
                  </w:r>
                </w:p>
              </w:tc>
              <w:tc>
                <w:tcPr>
                  <w:tcW w:w="748" w:type="dxa"/>
                  <w:tcBorders>
                    <w:tl2br w:val="nil"/>
                    <w:tr2bl w:val="nil"/>
                  </w:tcBorders>
                  <w:tcMar>
                    <w:top w:w="0" w:type="dxa"/>
                    <w:left w:w="6" w:type="dxa"/>
                    <w:bottom w:w="0" w:type="dxa"/>
                    <w:right w:w="6" w:type="dxa"/>
                  </w:tcMar>
                  <w:vAlign w:val="center"/>
                </w:tcPr>
                <w:p w14:paraId="50F5DBD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6.1</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2AC8260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161</w:t>
                  </w:r>
                </w:p>
              </w:tc>
              <w:tc>
                <w:tcPr>
                  <w:tcW w:w="748" w:type="dxa"/>
                  <w:tcBorders>
                    <w:tl2br w:val="nil"/>
                    <w:tr2bl w:val="nil"/>
                  </w:tcBorders>
                  <w:tcMar>
                    <w:top w:w="0" w:type="dxa"/>
                    <w:left w:w="6" w:type="dxa"/>
                    <w:bottom w:w="0" w:type="dxa"/>
                    <w:right w:w="6" w:type="dxa"/>
                  </w:tcMar>
                  <w:vAlign w:val="center"/>
                </w:tcPr>
                <w:p w14:paraId="27A517E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0.266</w:t>
                  </w:r>
                </w:p>
              </w:tc>
              <w:tc>
                <w:tcPr>
                  <w:tcW w:w="829" w:type="dxa"/>
                  <w:tcBorders>
                    <w:tl2br w:val="nil"/>
                    <w:tr2bl w:val="nil"/>
                  </w:tcBorders>
                  <w:tcMar>
                    <w:top w:w="0" w:type="dxa"/>
                    <w:left w:w="6" w:type="dxa"/>
                    <w:bottom w:w="0" w:type="dxa"/>
                    <w:right w:w="6" w:type="dxa"/>
                  </w:tcMar>
                  <w:vAlign w:val="center"/>
                </w:tcPr>
                <w:p w14:paraId="788D77C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37.</w:t>
                  </w:r>
                  <w:r>
                    <w:rPr>
                      <w:rFonts w:hint="eastAsia" w:ascii="Times New Roman" w:hAnsi="Times New Roman" w:cs="Times New Roman"/>
                      <w:color w:val="auto"/>
                      <w:kern w:val="0"/>
                      <w:sz w:val="21"/>
                      <w:szCs w:val="21"/>
                      <w:u w:val="none"/>
                      <w:lang w:bidi="ar"/>
                    </w:rPr>
                    <w:t>2</w:t>
                  </w:r>
                </w:p>
              </w:tc>
              <w:tc>
                <w:tcPr>
                  <w:tcW w:w="750" w:type="dxa"/>
                  <w:tcBorders>
                    <w:tl2br w:val="nil"/>
                    <w:tr2bl w:val="nil"/>
                  </w:tcBorders>
                  <w:tcMar>
                    <w:top w:w="0" w:type="dxa"/>
                    <w:left w:w="6" w:type="dxa"/>
                    <w:bottom w:w="0" w:type="dxa"/>
                    <w:right w:w="6" w:type="dxa"/>
                  </w:tcMar>
                  <w:vAlign w:val="center"/>
                </w:tcPr>
                <w:p w14:paraId="315FB57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0.0613</w:t>
                  </w:r>
                </w:p>
              </w:tc>
              <w:tc>
                <w:tcPr>
                  <w:tcW w:w="829" w:type="dxa"/>
                  <w:tcBorders>
                    <w:tl2br w:val="nil"/>
                    <w:tr2bl w:val="nil"/>
                  </w:tcBorders>
                  <w:tcMar>
                    <w:top w:w="0" w:type="dxa"/>
                    <w:left w:w="6" w:type="dxa"/>
                    <w:bottom w:w="0" w:type="dxa"/>
                    <w:right w:w="6" w:type="dxa"/>
                  </w:tcMar>
                  <w:vAlign w:val="center"/>
                </w:tcPr>
                <w:p w14:paraId="2675C9B9">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19</w:t>
                  </w:r>
                  <w:r>
                    <w:rPr>
                      <w:rFonts w:hint="eastAsia" w:ascii="Times New Roman" w:hAnsi="Times New Roman" w:cs="Times New Roman"/>
                      <w:color w:val="auto"/>
                      <w:kern w:val="0"/>
                      <w:sz w:val="21"/>
                      <w:szCs w:val="21"/>
                      <w:u w:val="none"/>
                      <w:lang w:bidi="ar"/>
                    </w:rPr>
                    <w:t>9</w:t>
                  </w:r>
                </w:p>
              </w:tc>
              <w:tc>
                <w:tcPr>
                  <w:tcW w:w="751" w:type="dxa"/>
                  <w:tcBorders>
                    <w:tl2br w:val="nil"/>
                    <w:tr2bl w:val="nil"/>
                  </w:tcBorders>
                  <w:tcMar>
                    <w:top w:w="0" w:type="dxa"/>
                    <w:left w:w="6" w:type="dxa"/>
                    <w:bottom w:w="0" w:type="dxa"/>
                    <w:right w:w="6" w:type="dxa"/>
                  </w:tcMar>
                  <w:vAlign w:val="center"/>
                </w:tcPr>
                <w:p w14:paraId="7CC4C12B">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0.328</w:t>
                  </w:r>
                </w:p>
              </w:tc>
            </w:tr>
            <w:tr w14:paraId="4D99B76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33D763F1">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restart"/>
                  <w:tcBorders>
                    <w:tl2br w:val="nil"/>
                    <w:tr2bl w:val="nil"/>
                  </w:tcBorders>
                  <w:tcMar>
                    <w:top w:w="0" w:type="dxa"/>
                    <w:left w:w="6" w:type="dxa"/>
                    <w:bottom w:w="0" w:type="dxa"/>
                    <w:right w:w="6" w:type="dxa"/>
                  </w:tcMar>
                  <w:vAlign w:val="center"/>
                </w:tcPr>
                <w:p w14:paraId="7A300C40">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ascii="Times New Roman" w:hAnsi="Times New Roman" w:eastAsia="宋体" w:cs="Times New Roman"/>
                      <w:color w:val="auto"/>
                      <w:sz w:val="21"/>
                      <w:szCs w:val="21"/>
                      <w:u w:val="none"/>
                    </w:rPr>
                    <w:t>2#发电机组排气筒出口</w:t>
                  </w:r>
                </w:p>
              </w:tc>
              <w:tc>
                <w:tcPr>
                  <w:tcW w:w="840" w:type="dxa"/>
                  <w:tcBorders>
                    <w:tl2br w:val="nil"/>
                    <w:tr2bl w:val="nil"/>
                  </w:tcBorders>
                  <w:tcMar>
                    <w:top w:w="0" w:type="dxa"/>
                    <w:left w:w="6" w:type="dxa"/>
                    <w:bottom w:w="0" w:type="dxa"/>
                    <w:right w:w="6" w:type="dxa"/>
                  </w:tcMar>
                  <w:vAlign w:val="center"/>
                </w:tcPr>
                <w:p w14:paraId="251299F4">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1.01</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42CDCA0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6.8</w:t>
                  </w:r>
                </w:p>
              </w:tc>
              <w:tc>
                <w:tcPr>
                  <w:tcW w:w="748" w:type="dxa"/>
                  <w:tcBorders>
                    <w:tl2br w:val="nil"/>
                    <w:tr2bl w:val="nil"/>
                  </w:tcBorders>
                  <w:tcMar>
                    <w:top w:w="0" w:type="dxa"/>
                    <w:left w:w="6" w:type="dxa"/>
                    <w:bottom w:w="0" w:type="dxa"/>
                    <w:right w:w="6" w:type="dxa"/>
                  </w:tcMar>
                  <w:vAlign w:val="center"/>
                </w:tcPr>
                <w:p w14:paraId="58D2ECC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6.9</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2E87316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211</w:t>
                  </w:r>
                </w:p>
              </w:tc>
              <w:tc>
                <w:tcPr>
                  <w:tcW w:w="748" w:type="dxa"/>
                  <w:tcBorders>
                    <w:tl2br w:val="nil"/>
                    <w:tr2bl w:val="nil"/>
                  </w:tcBorders>
                  <w:tcMar>
                    <w:top w:w="0" w:type="dxa"/>
                    <w:left w:w="6" w:type="dxa"/>
                    <w:bottom w:w="0" w:type="dxa"/>
                    <w:right w:w="6" w:type="dxa"/>
                  </w:tcMar>
                  <w:vAlign w:val="center"/>
                </w:tcPr>
                <w:p w14:paraId="3418F0E4">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0.213</w:t>
                  </w:r>
                </w:p>
              </w:tc>
              <w:tc>
                <w:tcPr>
                  <w:tcW w:w="829" w:type="dxa"/>
                  <w:tcBorders>
                    <w:tl2br w:val="nil"/>
                    <w:tr2bl w:val="nil"/>
                  </w:tcBorders>
                  <w:tcMar>
                    <w:top w:w="0" w:type="dxa"/>
                    <w:left w:w="6" w:type="dxa"/>
                    <w:bottom w:w="0" w:type="dxa"/>
                    <w:right w:w="6" w:type="dxa"/>
                  </w:tcMar>
                  <w:vAlign w:val="center"/>
                </w:tcPr>
                <w:p w14:paraId="4DDAF3A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43.2</w:t>
                  </w:r>
                </w:p>
              </w:tc>
              <w:tc>
                <w:tcPr>
                  <w:tcW w:w="750" w:type="dxa"/>
                  <w:tcBorders>
                    <w:tl2br w:val="nil"/>
                    <w:tr2bl w:val="nil"/>
                  </w:tcBorders>
                  <w:tcMar>
                    <w:top w:w="0" w:type="dxa"/>
                    <w:left w:w="6" w:type="dxa"/>
                    <w:bottom w:w="0" w:type="dxa"/>
                    <w:right w:w="6" w:type="dxa"/>
                  </w:tcMar>
                  <w:vAlign w:val="center"/>
                </w:tcPr>
                <w:p w14:paraId="0402869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0.0436</w:t>
                  </w:r>
                </w:p>
              </w:tc>
              <w:tc>
                <w:tcPr>
                  <w:tcW w:w="829" w:type="dxa"/>
                  <w:tcBorders>
                    <w:tl2br w:val="nil"/>
                    <w:tr2bl w:val="nil"/>
                  </w:tcBorders>
                  <w:tcMar>
                    <w:top w:w="0" w:type="dxa"/>
                    <w:left w:w="6" w:type="dxa"/>
                    <w:bottom w:w="0" w:type="dxa"/>
                    <w:right w:w="6" w:type="dxa"/>
                  </w:tcMar>
                  <w:vAlign w:val="center"/>
                </w:tcPr>
                <w:p w14:paraId="66838FB2">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203</w:t>
                  </w:r>
                </w:p>
              </w:tc>
              <w:tc>
                <w:tcPr>
                  <w:tcW w:w="751" w:type="dxa"/>
                  <w:tcBorders>
                    <w:tl2br w:val="nil"/>
                    <w:tr2bl w:val="nil"/>
                  </w:tcBorders>
                  <w:tcMar>
                    <w:top w:w="0" w:type="dxa"/>
                    <w:left w:w="6" w:type="dxa"/>
                    <w:bottom w:w="0" w:type="dxa"/>
                    <w:right w:w="6" w:type="dxa"/>
                  </w:tcMar>
                  <w:vAlign w:val="center"/>
                </w:tcPr>
                <w:p w14:paraId="5854FF8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0.205</w:t>
                  </w:r>
                </w:p>
              </w:tc>
            </w:tr>
            <w:tr w14:paraId="2506A67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71A0D42A">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4B1BC37B">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5C1C227E">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1.06</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4BC85E7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7.1</w:t>
                  </w:r>
                </w:p>
              </w:tc>
              <w:tc>
                <w:tcPr>
                  <w:tcW w:w="748" w:type="dxa"/>
                  <w:tcBorders>
                    <w:tl2br w:val="nil"/>
                    <w:tr2bl w:val="nil"/>
                  </w:tcBorders>
                  <w:tcMar>
                    <w:top w:w="0" w:type="dxa"/>
                    <w:left w:w="6" w:type="dxa"/>
                    <w:bottom w:w="0" w:type="dxa"/>
                    <w:right w:w="6" w:type="dxa"/>
                  </w:tcMar>
                  <w:vAlign w:val="center"/>
                </w:tcPr>
                <w:p w14:paraId="07D3D25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7.5</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4245D30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200</w:t>
                  </w:r>
                </w:p>
              </w:tc>
              <w:tc>
                <w:tcPr>
                  <w:tcW w:w="748" w:type="dxa"/>
                  <w:tcBorders>
                    <w:tl2br w:val="nil"/>
                    <w:tr2bl w:val="nil"/>
                  </w:tcBorders>
                  <w:tcMar>
                    <w:top w:w="0" w:type="dxa"/>
                    <w:left w:w="6" w:type="dxa"/>
                    <w:bottom w:w="0" w:type="dxa"/>
                    <w:right w:w="6" w:type="dxa"/>
                  </w:tcMar>
                  <w:vAlign w:val="center"/>
                </w:tcPr>
                <w:p w14:paraId="1BC2908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0.212</w:t>
                  </w:r>
                </w:p>
              </w:tc>
              <w:tc>
                <w:tcPr>
                  <w:tcW w:w="829" w:type="dxa"/>
                  <w:tcBorders>
                    <w:tl2br w:val="nil"/>
                    <w:tr2bl w:val="nil"/>
                  </w:tcBorders>
                  <w:tcMar>
                    <w:top w:w="0" w:type="dxa"/>
                    <w:left w:w="6" w:type="dxa"/>
                    <w:bottom w:w="0" w:type="dxa"/>
                    <w:right w:w="6" w:type="dxa"/>
                  </w:tcMar>
                  <w:vAlign w:val="center"/>
                </w:tcPr>
                <w:p w14:paraId="1C65D69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31.8</w:t>
                  </w:r>
                </w:p>
              </w:tc>
              <w:tc>
                <w:tcPr>
                  <w:tcW w:w="750" w:type="dxa"/>
                  <w:tcBorders>
                    <w:tl2br w:val="nil"/>
                    <w:tr2bl w:val="nil"/>
                  </w:tcBorders>
                  <w:tcMar>
                    <w:top w:w="0" w:type="dxa"/>
                    <w:left w:w="6" w:type="dxa"/>
                    <w:bottom w:w="0" w:type="dxa"/>
                    <w:right w:w="6" w:type="dxa"/>
                  </w:tcMar>
                  <w:vAlign w:val="center"/>
                </w:tcPr>
                <w:p w14:paraId="6221663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0.0337</w:t>
                  </w:r>
                </w:p>
              </w:tc>
              <w:tc>
                <w:tcPr>
                  <w:tcW w:w="829" w:type="dxa"/>
                  <w:tcBorders>
                    <w:tl2br w:val="nil"/>
                    <w:tr2bl w:val="nil"/>
                  </w:tcBorders>
                  <w:tcMar>
                    <w:top w:w="0" w:type="dxa"/>
                    <w:left w:w="6" w:type="dxa"/>
                    <w:bottom w:w="0" w:type="dxa"/>
                    <w:right w:w="6" w:type="dxa"/>
                  </w:tcMar>
                  <w:vAlign w:val="center"/>
                </w:tcPr>
                <w:p w14:paraId="4B844EB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221</w:t>
                  </w:r>
                </w:p>
              </w:tc>
              <w:tc>
                <w:tcPr>
                  <w:tcW w:w="751" w:type="dxa"/>
                  <w:tcBorders>
                    <w:tl2br w:val="nil"/>
                    <w:tr2bl w:val="nil"/>
                  </w:tcBorders>
                  <w:tcMar>
                    <w:top w:w="0" w:type="dxa"/>
                    <w:left w:w="6" w:type="dxa"/>
                    <w:bottom w:w="0" w:type="dxa"/>
                    <w:right w:w="6" w:type="dxa"/>
                  </w:tcMar>
                  <w:vAlign w:val="center"/>
                </w:tcPr>
                <w:p w14:paraId="4F20F472">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0.234</w:t>
                  </w:r>
                </w:p>
              </w:tc>
            </w:tr>
            <w:tr w14:paraId="44E577A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0EEE8618">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38E9C420">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36F82264">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1.03</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1D3658BE">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6.4</w:t>
                  </w:r>
                </w:p>
              </w:tc>
              <w:tc>
                <w:tcPr>
                  <w:tcW w:w="748" w:type="dxa"/>
                  <w:tcBorders>
                    <w:tl2br w:val="nil"/>
                    <w:tr2bl w:val="nil"/>
                  </w:tcBorders>
                  <w:tcMar>
                    <w:top w:w="0" w:type="dxa"/>
                    <w:left w:w="6" w:type="dxa"/>
                    <w:bottom w:w="0" w:type="dxa"/>
                    <w:right w:w="6" w:type="dxa"/>
                  </w:tcMar>
                  <w:vAlign w:val="center"/>
                </w:tcPr>
                <w:p w14:paraId="5F2B863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6.6</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6246DDF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185</w:t>
                  </w:r>
                </w:p>
              </w:tc>
              <w:tc>
                <w:tcPr>
                  <w:tcW w:w="748" w:type="dxa"/>
                  <w:tcBorders>
                    <w:tl2br w:val="nil"/>
                    <w:tr2bl w:val="nil"/>
                  </w:tcBorders>
                  <w:tcMar>
                    <w:top w:w="0" w:type="dxa"/>
                    <w:left w:w="6" w:type="dxa"/>
                    <w:bottom w:w="0" w:type="dxa"/>
                    <w:right w:w="6" w:type="dxa"/>
                  </w:tcMar>
                  <w:vAlign w:val="center"/>
                </w:tcPr>
                <w:p w14:paraId="1CB43F8E">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0.191</w:t>
                  </w:r>
                </w:p>
              </w:tc>
              <w:tc>
                <w:tcPr>
                  <w:tcW w:w="829" w:type="dxa"/>
                  <w:tcBorders>
                    <w:tl2br w:val="nil"/>
                    <w:tr2bl w:val="nil"/>
                  </w:tcBorders>
                  <w:tcMar>
                    <w:top w:w="0" w:type="dxa"/>
                    <w:left w:w="6" w:type="dxa"/>
                    <w:bottom w:w="0" w:type="dxa"/>
                    <w:right w:w="6" w:type="dxa"/>
                  </w:tcMar>
                  <w:vAlign w:val="center"/>
                </w:tcPr>
                <w:p w14:paraId="0BC86B5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46.6</w:t>
                  </w:r>
                </w:p>
              </w:tc>
              <w:tc>
                <w:tcPr>
                  <w:tcW w:w="750" w:type="dxa"/>
                  <w:tcBorders>
                    <w:tl2br w:val="nil"/>
                    <w:tr2bl w:val="nil"/>
                  </w:tcBorders>
                  <w:tcMar>
                    <w:top w:w="0" w:type="dxa"/>
                    <w:left w:w="6" w:type="dxa"/>
                    <w:bottom w:w="0" w:type="dxa"/>
                    <w:right w:w="6" w:type="dxa"/>
                  </w:tcMar>
                  <w:vAlign w:val="center"/>
                </w:tcPr>
                <w:p w14:paraId="52FE8E9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0.0480</w:t>
                  </w:r>
                </w:p>
              </w:tc>
              <w:tc>
                <w:tcPr>
                  <w:tcW w:w="829" w:type="dxa"/>
                  <w:tcBorders>
                    <w:tl2br w:val="nil"/>
                    <w:tr2bl w:val="nil"/>
                  </w:tcBorders>
                  <w:tcMar>
                    <w:top w:w="0" w:type="dxa"/>
                    <w:left w:w="6" w:type="dxa"/>
                    <w:bottom w:w="0" w:type="dxa"/>
                    <w:right w:w="6" w:type="dxa"/>
                  </w:tcMar>
                  <w:vAlign w:val="center"/>
                </w:tcPr>
                <w:p w14:paraId="348A56B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194</w:t>
                  </w:r>
                </w:p>
              </w:tc>
              <w:tc>
                <w:tcPr>
                  <w:tcW w:w="751" w:type="dxa"/>
                  <w:tcBorders>
                    <w:tl2br w:val="nil"/>
                    <w:tr2bl w:val="nil"/>
                  </w:tcBorders>
                  <w:tcMar>
                    <w:top w:w="0" w:type="dxa"/>
                    <w:left w:w="6" w:type="dxa"/>
                    <w:bottom w:w="0" w:type="dxa"/>
                    <w:right w:w="6" w:type="dxa"/>
                  </w:tcMar>
                  <w:vAlign w:val="center"/>
                </w:tcPr>
                <w:p w14:paraId="1B2D86E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0.200</w:t>
                  </w:r>
                </w:p>
              </w:tc>
            </w:tr>
            <w:tr w14:paraId="2A2D864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348AB9A6">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tcBorders>
                    <w:tl2br w:val="nil"/>
                    <w:tr2bl w:val="nil"/>
                  </w:tcBorders>
                  <w:tcMar>
                    <w:top w:w="0" w:type="dxa"/>
                    <w:left w:w="6" w:type="dxa"/>
                    <w:bottom w:w="0" w:type="dxa"/>
                    <w:right w:w="6" w:type="dxa"/>
                  </w:tcMar>
                  <w:vAlign w:val="center"/>
                </w:tcPr>
                <w:p w14:paraId="16907E10">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ascii="Times New Roman" w:hAnsi="Times New Roman" w:eastAsia="宋体" w:cs="Times New Roman"/>
                      <w:color w:val="auto"/>
                      <w:sz w:val="21"/>
                      <w:szCs w:val="21"/>
                      <w:u w:val="none"/>
                    </w:rPr>
                    <w:t>均值</w:t>
                  </w:r>
                </w:p>
              </w:tc>
              <w:tc>
                <w:tcPr>
                  <w:tcW w:w="840" w:type="dxa"/>
                  <w:tcBorders>
                    <w:tl2br w:val="nil"/>
                    <w:tr2bl w:val="nil"/>
                  </w:tcBorders>
                  <w:tcMar>
                    <w:top w:w="0" w:type="dxa"/>
                    <w:left w:w="6" w:type="dxa"/>
                    <w:bottom w:w="0" w:type="dxa"/>
                    <w:right w:w="6" w:type="dxa"/>
                  </w:tcMar>
                  <w:vAlign w:val="center"/>
                </w:tcPr>
                <w:p w14:paraId="2475EB3B">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1.03</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4DA2218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6.</w:t>
                  </w:r>
                  <w:r>
                    <w:rPr>
                      <w:rFonts w:hint="eastAsia" w:ascii="Times New Roman" w:hAnsi="Times New Roman" w:cs="Times New Roman"/>
                      <w:color w:val="auto"/>
                      <w:kern w:val="0"/>
                      <w:sz w:val="21"/>
                      <w:szCs w:val="21"/>
                      <w:u w:val="none"/>
                      <w:lang w:bidi="ar"/>
                    </w:rPr>
                    <w:t>8</w:t>
                  </w:r>
                </w:p>
              </w:tc>
              <w:tc>
                <w:tcPr>
                  <w:tcW w:w="748" w:type="dxa"/>
                  <w:tcBorders>
                    <w:tl2br w:val="nil"/>
                    <w:tr2bl w:val="nil"/>
                  </w:tcBorders>
                  <w:tcMar>
                    <w:top w:w="0" w:type="dxa"/>
                    <w:left w:w="6" w:type="dxa"/>
                    <w:bottom w:w="0" w:type="dxa"/>
                    <w:right w:w="6" w:type="dxa"/>
                  </w:tcMar>
                  <w:vAlign w:val="center"/>
                </w:tcPr>
                <w:p w14:paraId="5AA85E4B">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7.0</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6FBE1C4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199</w:t>
                  </w:r>
                </w:p>
              </w:tc>
              <w:tc>
                <w:tcPr>
                  <w:tcW w:w="748" w:type="dxa"/>
                  <w:tcBorders>
                    <w:tl2br w:val="nil"/>
                    <w:tr2bl w:val="nil"/>
                  </w:tcBorders>
                  <w:tcMar>
                    <w:top w:w="0" w:type="dxa"/>
                    <w:left w:w="6" w:type="dxa"/>
                    <w:bottom w:w="0" w:type="dxa"/>
                    <w:right w:w="6" w:type="dxa"/>
                  </w:tcMar>
                  <w:vAlign w:val="center"/>
                </w:tcPr>
                <w:p w14:paraId="6FFCD5E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0.205</w:t>
                  </w:r>
                </w:p>
              </w:tc>
              <w:tc>
                <w:tcPr>
                  <w:tcW w:w="829" w:type="dxa"/>
                  <w:tcBorders>
                    <w:tl2br w:val="nil"/>
                    <w:tr2bl w:val="nil"/>
                  </w:tcBorders>
                  <w:tcMar>
                    <w:top w:w="0" w:type="dxa"/>
                    <w:left w:w="6" w:type="dxa"/>
                    <w:bottom w:w="0" w:type="dxa"/>
                    <w:right w:w="6" w:type="dxa"/>
                  </w:tcMar>
                  <w:vAlign w:val="center"/>
                </w:tcPr>
                <w:p w14:paraId="2268669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40.</w:t>
                  </w:r>
                  <w:r>
                    <w:rPr>
                      <w:rFonts w:hint="eastAsia" w:ascii="Times New Roman" w:hAnsi="Times New Roman" w:cs="Times New Roman"/>
                      <w:color w:val="auto"/>
                      <w:kern w:val="0"/>
                      <w:sz w:val="21"/>
                      <w:szCs w:val="21"/>
                      <w:u w:val="none"/>
                      <w:lang w:bidi="ar"/>
                    </w:rPr>
                    <w:t>6</w:t>
                  </w:r>
                </w:p>
              </w:tc>
              <w:tc>
                <w:tcPr>
                  <w:tcW w:w="750" w:type="dxa"/>
                  <w:tcBorders>
                    <w:tl2br w:val="nil"/>
                    <w:tr2bl w:val="nil"/>
                  </w:tcBorders>
                  <w:tcMar>
                    <w:top w:w="0" w:type="dxa"/>
                    <w:left w:w="6" w:type="dxa"/>
                    <w:bottom w:w="0" w:type="dxa"/>
                    <w:right w:w="6" w:type="dxa"/>
                  </w:tcMar>
                  <w:vAlign w:val="center"/>
                </w:tcPr>
                <w:p w14:paraId="3D697FB9">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0.0418</w:t>
                  </w:r>
                </w:p>
              </w:tc>
              <w:tc>
                <w:tcPr>
                  <w:tcW w:w="829" w:type="dxa"/>
                  <w:tcBorders>
                    <w:tl2br w:val="nil"/>
                    <w:tr2bl w:val="nil"/>
                  </w:tcBorders>
                  <w:tcMar>
                    <w:top w:w="0" w:type="dxa"/>
                    <w:left w:w="6" w:type="dxa"/>
                    <w:bottom w:w="0" w:type="dxa"/>
                    <w:right w:w="6" w:type="dxa"/>
                  </w:tcMar>
                  <w:vAlign w:val="center"/>
                </w:tcPr>
                <w:p w14:paraId="2AFD4A5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20</w:t>
                  </w:r>
                  <w:r>
                    <w:rPr>
                      <w:rFonts w:hint="eastAsia" w:ascii="Times New Roman" w:hAnsi="Times New Roman" w:cs="Times New Roman"/>
                      <w:color w:val="auto"/>
                      <w:kern w:val="0"/>
                      <w:sz w:val="21"/>
                      <w:szCs w:val="21"/>
                      <w:u w:val="none"/>
                      <w:lang w:bidi="ar"/>
                    </w:rPr>
                    <w:t>7</w:t>
                  </w:r>
                </w:p>
              </w:tc>
              <w:tc>
                <w:tcPr>
                  <w:tcW w:w="751" w:type="dxa"/>
                  <w:tcBorders>
                    <w:tl2br w:val="nil"/>
                    <w:tr2bl w:val="nil"/>
                  </w:tcBorders>
                  <w:tcMar>
                    <w:top w:w="0" w:type="dxa"/>
                    <w:left w:w="6" w:type="dxa"/>
                    <w:bottom w:w="0" w:type="dxa"/>
                    <w:right w:w="6" w:type="dxa"/>
                  </w:tcMar>
                  <w:vAlign w:val="center"/>
                </w:tcPr>
                <w:p w14:paraId="0CDFBA3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0.213</w:t>
                  </w:r>
                </w:p>
              </w:tc>
            </w:tr>
            <w:tr w14:paraId="6D240C2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6657CCCF">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restart"/>
                  <w:tcBorders>
                    <w:tl2br w:val="nil"/>
                    <w:tr2bl w:val="nil"/>
                  </w:tcBorders>
                  <w:tcMar>
                    <w:top w:w="0" w:type="dxa"/>
                    <w:left w:w="6" w:type="dxa"/>
                    <w:bottom w:w="0" w:type="dxa"/>
                    <w:right w:w="6" w:type="dxa"/>
                  </w:tcMar>
                  <w:vAlign w:val="center"/>
                </w:tcPr>
                <w:p w14:paraId="49298FAE">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ascii="Times New Roman" w:hAnsi="Times New Roman" w:eastAsia="宋体" w:cs="Times New Roman"/>
                      <w:color w:val="auto"/>
                      <w:sz w:val="21"/>
                      <w:szCs w:val="21"/>
                      <w:u w:val="none"/>
                    </w:rPr>
                    <w:t>3#发电机组排气筒出口</w:t>
                  </w:r>
                </w:p>
              </w:tc>
              <w:tc>
                <w:tcPr>
                  <w:tcW w:w="840" w:type="dxa"/>
                  <w:tcBorders>
                    <w:tl2br w:val="nil"/>
                    <w:tr2bl w:val="nil"/>
                  </w:tcBorders>
                  <w:tcMar>
                    <w:top w:w="0" w:type="dxa"/>
                    <w:left w:w="6" w:type="dxa"/>
                    <w:bottom w:w="0" w:type="dxa"/>
                    <w:right w:w="6" w:type="dxa"/>
                  </w:tcMar>
                  <w:vAlign w:val="center"/>
                </w:tcPr>
                <w:p w14:paraId="50EF401B">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1.15</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1CFADD0B">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6.3</w:t>
                  </w:r>
                </w:p>
              </w:tc>
              <w:tc>
                <w:tcPr>
                  <w:tcW w:w="748" w:type="dxa"/>
                  <w:tcBorders>
                    <w:tl2br w:val="nil"/>
                    <w:tr2bl w:val="nil"/>
                  </w:tcBorders>
                  <w:tcMar>
                    <w:top w:w="0" w:type="dxa"/>
                    <w:left w:w="6" w:type="dxa"/>
                    <w:bottom w:w="0" w:type="dxa"/>
                    <w:right w:w="6" w:type="dxa"/>
                  </w:tcMar>
                  <w:vAlign w:val="center"/>
                </w:tcPr>
                <w:p w14:paraId="7328CE6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7.2</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3275339D">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173</w:t>
                  </w:r>
                </w:p>
              </w:tc>
              <w:tc>
                <w:tcPr>
                  <w:tcW w:w="748" w:type="dxa"/>
                  <w:tcBorders>
                    <w:tl2br w:val="nil"/>
                    <w:tr2bl w:val="nil"/>
                  </w:tcBorders>
                  <w:tcMar>
                    <w:top w:w="0" w:type="dxa"/>
                    <w:left w:w="6" w:type="dxa"/>
                    <w:bottom w:w="0" w:type="dxa"/>
                    <w:right w:w="6" w:type="dxa"/>
                  </w:tcMar>
                  <w:vAlign w:val="center"/>
                </w:tcPr>
                <w:p w14:paraId="4128B84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0.199</w:t>
                  </w:r>
                </w:p>
              </w:tc>
              <w:tc>
                <w:tcPr>
                  <w:tcW w:w="829" w:type="dxa"/>
                  <w:tcBorders>
                    <w:tl2br w:val="nil"/>
                    <w:tr2bl w:val="nil"/>
                  </w:tcBorders>
                  <w:tcMar>
                    <w:top w:w="0" w:type="dxa"/>
                    <w:left w:w="6" w:type="dxa"/>
                    <w:bottom w:w="0" w:type="dxa"/>
                    <w:right w:w="6" w:type="dxa"/>
                  </w:tcMar>
                  <w:vAlign w:val="center"/>
                </w:tcPr>
                <w:p w14:paraId="4720407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36.1</w:t>
                  </w:r>
                </w:p>
              </w:tc>
              <w:tc>
                <w:tcPr>
                  <w:tcW w:w="750" w:type="dxa"/>
                  <w:tcBorders>
                    <w:tl2br w:val="nil"/>
                    <w:tr2bl w:val="nil"/>
                  </w:tcBorders>
                  <w:tcMar>
                    <w:top w:w="0" w:type="dxa"/>
                    <w:left w:w="6" w:type="dxa"/>
                    <w:bottom w:w="0" w:type="dxa"/>
                    <w:right w:w="6" w:type="dxa"/>
                  </w:tcMar>
                  <w:vAlign w:val="center"/>
                </w:tcPr>
                <w:p w14:paraId="0AB8BC8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0.0415</w:t>
                  </w:r>
                </w:p>
              </w:tc>
              <w:tc>
                <w:tcPr>
                  <w:tcW w:w="829" w:type="dxa"/>
                  <w:tcBorders>
                    <w:tl2br w:val="nil"/>
                    <w:tr2bl w:val="nil"/>
                  </w:tcBorders>
                  <w:tcMar>
                    <w:top w:w="0" w:type="dxa"/>
                    <w:left w:w="6" w:type="dxa"/>
                    <w:bottom w:w="0" w:type="dxa"/>
                    <w:right w:w="6" w:type="dxa"/>
                  </w:tcMar>
                  <w:vAlign w:val="center"/>
                </w:tcPr>
                <w:p w14:paraId="1561982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184</w:t>
                  </w:r>
                </w:p>
              </w:tc>
              <w:tc>
                <w:tcPr>
                  <w:tcW w:w="751" w:type="dxa"/>
                  <w:tcBorders>
                    <w:tl2br w:val="nil"/>
                    <w:tr2bl w:val="nil"/>
                  </w:tcBorders>
                  <w:tcMar>
                    <w:top w:w="0" w:type="dxa"/>
                    <w:left w:w="6" w:type="dxa"/>
                    <w:bottom w:w="0" w:type="dxa"/>
                    <w:right w:w="6" w:type="dxa"/>
                  </w:tcMar>
                  <w:vAlign w:val="center"/>
                </w:tcPr>
                <w:p w14:paraId="212A865B">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0.212</w:t>
                  </w:r>
                </w:p>
              </w:tc>
            </w:tr>
            <w:tr w14:paraId="55E26A8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6A53AF92">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136004A3">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0639A183">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1.19</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57D9B87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5.5</w:t>
                  </w:r>
                </w:p>
              </w:tc>
              <w:tc>
                <w:tcPr>
                  <w:tcW w:w="748" w:type="dxa"/>
                  <w:tcBorders>
                    <w:tl2br w:val="nil"/>
                    <w:tr2bl w:val="nil"/>
                  </w:tcBorders>
                  <w:tcMar>
                    <w:top w:w="0" w:type="dxa"/>
                    <w:left w:w="6" w:type="dxa"/>
                    <w:bottom w:w="0" w:type="dxa"/>
                    <w:right w:w="6" w:type="dxa"/>
                  </w:tcMar>
                  <w:vAlign w:val="center"/>
                </w:tcPr>
                <w:p w14:paraId="75C3E64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6.5</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53AEA75D">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205</w:t>
                  </w:r>
                </w:p>
              </w:tc>
              <w:tc>
                <w:tcPr>
                  <w:tcW w:w="748" w:type="dxa"/>
                  <w:tcBorders>
                    <w:tl2br w:val="nil"/>
                    <w:tr2bl w:val="nil"/>
                  </w:tcBorders>
                  <w:tcMar>
                    <w:top w:w="0" w:type="dxa"/>
                    <w:left w:w="6" w:type="dxa"/>
                    <w:bottom w:w="0" w:type="dxa"/>
                    <w:right w:w="6" w:type="dxa"/>
                  </w:tcMar>
                  <w:vAlign w:val="center"/>
                </w:tcPr>
                <w:p w14:paraId="00169509">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0.244</w:t>
                  </w:r>
                </w:p>
              </w:tc>
              <w:tc>
                <w:tcPr>
                  <w:tcW w:w="829" w:type="dxa"/>
                  <w:tcBorders>
                    <w:tl2br w:val="nil"/>
                    <w:tr2bl w:val="nil"/>
                  </w:tcBorders>
                  <w:tcMar>
                    <w:top w:w="0" w:type="dxa"/>
                    <w:left w:w="6" w:type="dxa"/>
                    <w:bottom w:w="0" w:type="dxa"/>
                    <w:right w:w="6" w:type="dxa"/>
                  </w:tcMar>
                  <w:vAlign w:val="center"/>
                </w:tcPr>
                <w:p w14:paraId="76F571D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32.3</w:t>
                  </w:r>
                </w:p>
              </w:tc>
              <w:tc>
                <w:tcPr>
                  <w:tcW w:w="750" w:type="dxa"/>
                  <w:tcBorders>
                    <w:tl2br w:val="nil"/>
                    <w:tr2bl w:val="nil"/>
                  </w:tcBorders>
                  <w:tcMar>
                    <w:top w:w="0" w:type="dxa"/>
                    <w:left w:w="6" w:type="dxa"/>
                    <w:bottom w:w="0" w:type="dxa"/>
                    <w:right w:w="6" w:type="dxa"/>
                  </w:tcMar>
                  <w:vAlign w:val="center"/>
                </w:tcPr>
                <w:p w14:paraId="7789795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0.0384</w:t>
                  </w:r>
                </w:p>
              </w:tc>
              <w:tc>
                <w:tcPr>
                  <w:tcW w:w="829" w:type="dxa"/>
                  <w:tcBorders>
                    <w:tl2br w:val="nil"/>
                    <w:tr2bl w:val="nil"/>
                  </w:tcBorders>
                  <w:tcMar>
                    <w:top w:w="0" w:type="dxa"/>
                    <w:left w:w="6" w:type="dxa"/>
                    <w:bottom w:w="0" w:type="dxa"/>
                    <w:right w:w="6" w:type="dxa"/>
                  </w:tcMar>
                  <w:vAlign w:val="center"/>
                </w:tcPr>
                <w:p w14:paraId="0DF2CDA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196</w:t>
                  </w:r>
                </w:p>
              </w:tc>
              <w:tc>
                <w:tcPr>
                  <w:tcW w:w="751" w:type="dxa"/>
                  <w:tcBorders>
                    <w:tl2br w:val="nil"/>
                    <w:tr2bl w:val="nil"/>
                  </w:tcBorders>
                  <w:tcMar>
                    <w:top w:w="0" w:type="dxa"/>
                    <w:left w:w="6" w:type="dxa"/>
                    <w:bottom w:w="0" w:type="dxa"/>
                    <w:right w:w="6" w:type="dxa"/>
                  </w:tcMar>
                  <w:vAlign w:val="center"/>
                </w:tcPr>
                <w:p w14:paraId="4A714C4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0.233</w:t>
                  </w:r>
                </w:p>
              </w:tc>
            </w:tr>
            <w:tr w14:paraId="74052F8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1FB4E696">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11A73728">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60E9CCC1">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1.11</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52D207FE">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5.3</w:t>
                  </w:r>
                </w:p>
              </w:tc>
              <w:tc>
                <w:tcPr>
                  <w:tcW w:w="748" w:type="dxa"/>
                  <w:tcBorders>
                    <w:tl2br w:val="nil"/>
                    <w:tr2bl w:val="nil"/>
                  </w:tcBorders>
                  <w:tcMar>
                    <w:top w:w="0" w:type="dxa"/>
                    <w:left w:w="6" w:type="dxa"/>
                    <w:bottom w:w="0" w:type="dxa"/>
                    <w:right w:w="6" w:type="dxa"/>
                  </w:tcMar>
                  <w:vAlign w:val="center"/>
                </w:tcPr>
                <w:p w14:paraId="5291488E">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5.9</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46A741C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189</w:t>
                  </w:r>
                </w:p>
              </w:tc>
              <w:tc>
                <w:tcPr>
                  <w:tcW w:w="748" w:type="dxa"/>
                  <w:tcBorders>
                    <w:tl2br w:val="nil"/>
                    <w:tr2bl w:val="nil"/>
                  </w:tcBorders>
                  <w:tcMar>
                    <w:top w:w="0" w:type="dxa"/>
                    <w:left w:w="6" w:type="dxa"/>
                    <w:bottom w:w="0" w:type="dxa"/>
                    <w:right w:w="6" w:type="dxa"/>
                  </w:tcMar>
                  <w:vAlign w:val="center"/>
                </w:tcPr>
                <w:p w14:paraId="2011D8F2">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0.210</w:t>
                  </w:r>
                </w:p>
              </w:tc>
              <w:tc>
                <w:tcPr>
                  <w:tcW w:w="829" w:type="dxa"/>
                  <w:tcBorders>
                    <w:tl2br w:val="nil"/>
                    <w:tr2bl w:val="nil"/>
                  </w:tcBorders>
                  <w:tcMar>
                    <w:top w:w="0" w:type="dxa"/>
                    <w:left w:w="6" w:type="dxa"/>
                    <w:bottom w:w="0" w:type="dxa"/>
                    <w:right w:w="6" w:type="dxa"/>
                  </w:tcMar>
                  <w:vAlign w:val="center"/>
                </w:tcPr>
                <w:p w14:paraId="6B129DB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48</w:t>
                  </w:r>
                  <w:r>
                    <w:rPr>
                      <w:rFonts w:hint="eastAsia" w:ascii="Times New Roman" w:hAnsi="Times New Roman" w:cs="Times New Roman"/>
                      <w:color w:val="auto"/>
                      <w:kern w:val="0"/>
                      <w:sz w:val="21"/>
                      <w:szCs w:val="21"/>
                      <w:u w:val="none"/>
                      <w:lang w:bidi="ar"/>
                    </w:rPr>
                    <w:t>.0</w:t>
                  </w:r>
                </w:p>
              </w:tc>
              <w:tc>
                <w:tcPr>
                  <w:tcW w:w="750" w:type="dxa"/>
                  <w:tcBorders>
                    <w:tl2br w:val="nil"/>
                    <w:tr2bl w:val="nil"/>
                  </w:tcBorders>
                  <w:tcMar>
                    <w:top w:w="0" w:type="dxa"/>
                    <w:left w:w="6" w:type="dxa"/>
                    <w:bottom w:w="0" w:type="dxa"/>
                    <w:right w:w="6" w:type="dxa"/>
                  </w:tcMar>
                  <w:vAlign w:val="center"/>
                </w:tcPr>
                <w:p w14:paraId="63366D52">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0.0533</w:t>
                  </w:r>
                </w:p>
              </w:tc>
              <w:tc>
                <w:tcPr>
                  <w:tcW w:w="829" w:type="dxa"/>
                  <w:tcBorders>
                    <w:tl2br w:val="nil"/>
                    <w:tr2bl w:val="nil"/>
                  </w:tcBorders>
                  <w:tcMar>
                    <w:top w:w="0" w:type="dxa"/>
                    <w:left w:w="6" w:type="dxa"/>
                    <w:bottom w:w="0" w:type="dxa"/>
                    <w:right w:w="6" w:type="dxa"/>
                  </w:tcMar>
                  <w:vAlign w:val="center"/>
                </w:tcPr>
                <w:p w14:paraId="40BC613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202</w:t>
                  </w:r>
                </w:p>
              </w:tc>
              <w:tc>
                <w:tcPr>
                  <w:tcW w:w="751" w:type="dxa"/>
                  <w:tcBorders>
                    <w:tl2br w:val="nil"/>
                    <w:tr2bl w:val="nil"/>
                  </w:tcBorders>
                  <w:tcMar>
                    <w:top w:w="0" w:type="dxa"/>
                    <w:left w:w="6" w:type="dxa"/>
                    <w:bottom w:w="0" w:type="dxa"/>
                    <w:right w:w="6" w:type="dxa"/>
                  </w:tcMar>
                  <w:vAlign w:val="center"/>
                </w:tcPr>
                <w:p w14:paraId="7D707D59">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0.224</w:t>
                  </w:r>
                </w:p>
              </w:tc>
            </w:tr>
            <w:tr w14:paraId="7801E91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45B13DC8">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tcBorders>
                    <w:tl2br w:val="nil"/>
                    <w:tr2bl w:val="nil"/>
                  </w:tcBorders>
                  <w:tcMar>
                    <w:top w:w="0" w:type="dxa"/>
                    <w:left w:w="6" w:type="dxa"/>
                    <w:bottom w:w="0" w:type="dxa"/>
                    <w:right w:w="6" w:type="dxa"/>
                  </w:tcMar>
                  <w:vAlign w:val="center"/>
                </w:tcPr>
                <w:p w14:paraId="3213E5B2">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ascii="Times New Roman" w:hAnsi="Times New Roman" w:eastAsia="宋体" w:cs="Times New Roman"/>
                      <w:color w:val="auto"/>
                      <w:sz w:val="21"/>
                      <w:szCs w:val="21"/>
                      <w:u w:val="none"/>
                    </w:rPr>
                    <w:t>均值</w:t>
                  </w:r>
                </w:p>
              </w:tc>
              <w:tc>
                <w:tcPr>
                  <w:tcW w:w="840" w:type="dxa"/>
                  <w:tcBorders>
                    <w:tl2br w:val="nil"/>
                    <w:tr2bl w:val="nil"/>
                  </w:tcBorders>
                  <w:tcMar>
                    <w:top w:w="0" w:type="dxa"/>
                    <w:left w:w="6" w:type="dxa"/>
                    <w:bottom w:w="0" w:type="dxa"/>
                    <w:right w:w="6" w:type="dxa"/>
                  </w:tcMar>
                  <w:vAlign w:val="center"/>
                </w:tcPr>
                <w:p w14:paraId="5E0CCB58">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1.15</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5F404C4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5.</w:t>
                  </w:r>
                  <w:r>
                    <w:rPr>
                      <w:rFonts w:hint="eastAsia" w:ascii="Times New Roman" w:hAnsi="Times New Roman" w:cs="Times New Roman"/>
                      <w:color w:val="auto"/>
                      <w:kern w:val="0"/>
                      <w:sz w:val="21"/>
                      <w:szCs w:val="21"/>
                      <w:u w:val="none"/>
                      <w:lang w:bidi="ar"/>
                    </w:rPr>
                    <w:t>7</w:t>
                  </w:r>
                </w:p>
              </w:tc>
              <w:tc>
                <w:tcPr>
                  <w:tcW w:w="748" w:type="dxa"/>
                  <w:tcBorders>
                    <w:tl2br w:val="nil"/>
                    <w:tr2bl w:val="nil"/>
                  </w:tcBorders>
                  <w:tcMar>
                    <w:top w:w="0" w:type="dxa"/>
                    <w:left w:w="6" w:type="dxa"/>
                    <w:bottom w:w="0" w:type="dxa"/>
                    <w:right w:w="6" w:type="dxa"/>
                  </w:tcMar>
                  <w:vAlign w:val="center"/>
                </w:tcPr>
                <w:p w14:paraId="224DBA7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6.5</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05C0BB2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1</w:t>
                  </w:r>
                  <w:r>
                    <w:rPr>
                      <w:rFonts w:hint="eastAsia" w:ascii="Times New Roman" w:hAnsi="Times New Roman" w:cs="Times New Roman"/>
                      <w:color w:val="auto"/>
                      <w:kern w:val="0"/>
                      <w:sz w:val="21"/>
                      <w:szCs w:val="21"/>
                      <w:u w:val="none"/>
                      <w:lang w:bidi="ar"/>
                    </w:rPr>
                    <w:t>90</w:t>
                  </w:r>
                </w:p>
              </w:tc>
              <w:tc>
                <w:tcPr>
                  <w:tcW w:w="748" w:type="dxa"/>
                  <w:tcBorders>
                    <w:tl2br w:val="nil"/>
                    <w:tr2bl w:val="nil"/>
                  </w:tcBorders>
                  <w:tcMar>
                    <w:top w:w="0" w:type="dxa"/>
                    <w:left w:w="6" w:type="dxa"/>
                    <w:bottom w:w="0" w:type="dxa"/>
                    <w:right w:w="6" w:type="dxa"/>
                  </w:tcMar>
                  <w:vAlign w:val="center"/>
                </w:tcPr>
                <w:p w14:paraId="2BE945D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0.218</w:t>
                  </w:r>
                </w:p>
              </w:tc>
              <w:tc>
                <w:tcPr>
                  <w:tcW w:w="829" w:type="dxa"/>
                  <w:tcBorders>
                    <w:tl2br w:val="nil"/>
                    <w:tr2bl w:val="nil"/>
                  </w:tcBorders>
                  <w:tcMar>
                    <w:top w:w="0" w:type="dxa"/>
                    <w:left w:w="6" w:type="dxa"/>
                    <w:bottom w:w="0" w:type="dxa"/>
                    <w:right w:w="6" w:type="dxa"/>
                  </w:tcMar>
                  <w:vAlign w:val="center"/>
                </w:tcPr>
                <w:p w14:paraId="1CEED8E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38.6</w:t>
                  </w:r>
                </w:p>
              </w:tc>
              <w:tc>
                <w:tcPr>
                  <w:tcW w:w="750" w:type="dxa"/>
                  <w:tcBorders>
                    <w:tl2br w:val="nil"/>
                    <w:tr2bl w:val="nil"/>
                  </w:tcBorders>
                  <w:tcMar>
                    <w:top w:w="0" w:type="dxa"/>
                    <w:left w:w="6" w:type="dxa"/>
                    <w:bottom w:w="0" w:type="dxa"/>
                    <w:right w:w="6" w:type="dxa"/>
                  </w:tcMar>
                  <w:vAlign w:val="center"/>
                </w:tcPr>
                <w:p w14:paraId="484EE56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0.0444</w:t>
                  </w:r>
                </w:p>
              </w:tc>
              <w:tc>
                <w:tcPr>
                  <w:tcW w:w="829" w:type="dxa"/>
                  <w:tcBorders>
                    <w:tl2br w:val="nil"/>
                    <w:tr2bl w:val="nil"/>
                  </w:tcBorders>
                  <w:tcMar>
                    <w:top w:w="0" w:type="dxa"/>
                    <w:left w:w="6" w:type="dxa"/>
                    <w:bottom w:w="0" w:type="dxa"/>
                    <w:right w:w="6" w:type="dxa"/>
                  </w:tcMar>
                  <w:vAlign w:val="center"/>
                </w:tcPr>
                <w:p w14:paraId="36DB021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19</w:t>
                  </w:r>
                  <w:r>
                    <w:rPr>
                      <w:rFonts w:hint="eastAsia" w:ascii="Times New Roman" w:hAnsi="Times New Roman" w:cs="Times New Roman"/>
                      <w:color w:val="auto"/>
                      <w:kern w:val="0"/>
                      <w:sz w:val="21"/>
                      <w:szCs w:val="21"/>
                      <w:u w:val="none"/>
                      <w:lang w:bidi="ar"/>
                    </w:rPr>
                    <w:t>4</w:t>
                  </w:r>
                </w:p>
              </w:tc>
              <w:tc>
                <w:tcPr>
                  <w:tcW w:w="751" w:type="dxa"/>
                  <w:tcBorders>
                    <w:tl2br w:val="nil"/>
                    <w:tr2bl w:val="nil"/>
                  </w:tcBorders>
                  <w:tcMar>
                    <w:top w:w="0" w:type="dxa"/>
                    <w:left w:w="6" w:type="dxa"/>
                    <w:bottom w:w="0" w:type="dxa"/>
                    <w:right w:w="6" w:type="dxa"/>
                  </w:tcMar>
                  <w:vAlign w:val="center"/>
                </w:tcPr>
                <w:p w14:paraId="72D2E12E">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0.223</w:t>
                  </w:r>
                </w:p>
              </w:tc>
            </w:tr>
            <w:tr w14:paraId="76EC302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223E4BFA">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restart"/>
                  <w:tcBorders>
                    <w:tl2br w:val="nil"/>
                    <w:tr2bl w:val="nil"/>
                  </w:tcBorders>
                  <w:tcMar>
                    <w:top w:w="0" w:type="dxa"/>
                    <w:left w:w="6" w:type="dxa"/>
                    <w:bottom w:w="0" w:type="dxa"/>
                    <w:right w:w="6" w:type="dxa"/>
                  </w:tcMar>
                  <w:vAlign w:val="center"/>
                </w:tcPr>
                <w:p w14:paraId="76DDD92F">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ascii="Times New Roman" w:hAnsi="Times New Roman" w:eastAsia="宋体" w:cs="Times New Roman"/>
                      <w:color w:val="auto"/>
                      <w:sz w:val="21"/>
                      <w:szCs w:val="21"/>
                      <w:u w:val="none"/>
                    </w:rPr>
                    <w:t>4#发电机组排气筒出口</w:t>
                  </w:r>
                </w:p>
              </w:tc>
              <w:tc>
                <w:tcPr>
                  <w:tcW w:w="840" w:type="dxa"/>
                  <w:tcBorders>
                    <w:tl2br w:val="nil"/>
                    <w:tr2bl w:val="nil"/>
                  </w:tcBorders>
                  <w:tcMar>
                    <w:top w:w="0" w:type="dxa"/>
                    <w:left w:w="6" w:type="dxa"/>
                    <w:bottom w:w="0" w:type="dxa"/>
                    <w:right w:w="6" w:type="dxa"/>
                  </w:tcMar>
                  <w:vAlign w:val="center"/>
                </w:tcPr>
                <w:p w14:paraId="5C352397">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2.44</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770F6F6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2.5</w:t>
                  </w:r>
                </w:p>
              </w:tc>
              <w:tc>
                <w:tcPr>
                  <w:tcW w:w="748" w:type="dxa"/>
                  <w:tcBorders>
                    <w:tl2br w:val="nil"/>
                    <w:tr2bl w:val="nil"/>
                  </w:tcBorders>
                  <w:tcMar>
                    <w:top w:w="0" w:type="dxa"/>
                    <w:left w:w="6" w:type="dxa"/>
                    <w:bottom w:w="0" w:type="dxa"/>
                    <w:right w:w="6" w:type="dxa"/>
                  </w:tcMar>
                  <w:vAlign w:val="center"/>
                </w:tcPr>
                <w:p w14:paraId="3A53E48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6.1</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74B7483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101</w:t>
                  </w:r>
                </w:p>
              </w:tc>
              <w:tc>
                <w:tcPr>
                  <w:tcW w:w="748" w:type="dxa"/>
                  <w:tcBorders>
                    <w:tl2br w:val="nil"/>
                    <w:tr2bl w:val="nil"/>
                  </w:tcBorders>
                  <w:tcMar>
                    <w:top w:w="0" w:type="dxa"/>
                    <w:left w:w="6" w:type="dxa"/>
                    <w:bottom w:w="0" w:type="dxa"/>
                    <w:right w:w="6" w:type="dxa"/>
                  </w:tcMar>
                  <w:vAlign w:val="center"/>
                </w:tcPr>
                <w:p w14:paraId="43798022">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0.246</w:t>
                  </w:r>
                </w:p>
              </w:tc>
              <w:tc>
                <w:tcPr>
                  <w:tcW w:w="829" w:type="dxa"/>
                  <w:tcBorders>
                    <w:tl2br w:val="nil"/>
                    <w:tr2bl w:val="nil"/>
                  </w:tcBorders>
                  <w:tcMar>
                    <w:top w:w="0" w:type="dxa"/>
                    <w:left w:w="6" w:type="dxa"/>
                    <w:bottom w:w="0" w:type="dxa"/>
                    <w:right w:w="6" w:type="dxa"/>
                  </w:tcMar>
                  <w:vAlign w:val="center"/>
                </w:tcPr>
                <w:p w14:paraId="6FCF82D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24.1</w:t>
                  </w:r>
                </w:p>
              </w:tc>
              <w:tc>
                <w:tcPr>
                  <w:tcW w:w="750" w:type="dxa"/>
                  <w:tcBorders>
                    <w:tl2br w:val="nil"/>
                    <w:tr2bl w:val="nil"/>
                  </w:tcBorders>
                  <w:tcMar>
                    <w:top w:w="0" w:type="dxa"/>
                    <w:left w:w="6" w:type="dxa"/>
                    <w:bottom w:w="0" w:type="dxa"/>
                    <w:right w:w="6" w:type="dxa"/>
                  </w:tcMar>
                  <w:vAlign w:val="center"/>
                </w:tcPr>
                <w:p w14:paraId="7377A712">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0.0588</w:t>
                  </w:r>
                </w:p>
              </w:tc>
              <w:tc>
                <w:tcPr>
                  <w:tcW w:w="829" w:type="dxa"/>
                  <w:tcBorders>
                    <w:tl2br w:val="nil"/>
                    <w:tr2bl w:val="nil"/>
                  </w:tcBorders>
                  <w:tcMar>
                    <w:top w:w="0" w:type="dxa"/>
                    <w:left w:w="6" w:type="dxa"/>
                    <w:bottom w:w="0" w:type="dxa"/>
                    <w:right w:w="6" w:type="dxa"/>
                  </w:tcMar>
                  <w:vAlign w:val="center"/>
                </w:tcPr>
                <w:p w14:paraId="68692AA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175</w:t>
                  </w:r>
                </w:p>
              </w:tc>
              <w:tc>
                <w:tcPr>
                  <w:tcW w:w="751" w:type="dxa"/>
                  <w:tcBorders>
                    <w:tl2br w:val="nil"/>
                    <w:tr2bl w:val="nil"/>
                  </w:tcBorders>
                  <w:tcMar>
                    <w:top w:w="0" w:type="dxa"/>
                    <w:left w:w="6" w:type="dxa"/>
                    <w:bottom w:w="0" w:type="dxa"/>
                    <w:right w:w="6" w:type="dxa"/>
                  </w:tcMar>
                  <w:vAlign w:val="center"/>
                </w:tcPr>
                <w:p w14:paraId="07DF59D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0.427</w:t>
                  </w:r>
                </w:p>
              </w:tc>
            </w:tr>
            <w:tr w14:paraId="6289438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193AD4EF">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305DB72A">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5407C108">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2.52</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39D7350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3.0</w:t>
                  </w:r>
                </w:p>
              </w:tc>
              <w:tc>
                <w:tcPr>
                  <w:tcW w:w="748" w:type="dxa"/>
                  <w:tcBorders>
                    <w:tl2br w:val="nil"/>
                    <w:tr2bl w:val="nil"/>
                  </w:tcBorders>
                  <w:tcMar>
                    <w:top w:w="0" w:type="dxa"/>
                    <w:left w:w="6" w:type="dxa"/>
                    <w:bottom w:w="0" w:type="dxa"/>
                    <w:right w:w="6" w:type="dxa"/>
                  </w:tcMar>
                  <w:vAlign w:val="center"/>
                </w:tcPr>
                <w:p w14:paraId="0C78C1D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7.6</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18CBA5B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108</w:t>
                  </w:r>
                </w:p>
              </w:tc>
              <w:tc>
                <w:tcPr>
                  <w:tcW w:w="748" w:type="dxa"/>
                  <w:tcBorders>
                    <w:tl2br w:val="nil"/>
                    <w:tr2bl w:val="nil"/>
                  </w:tcBorders>
                  <w:tcMar>
                    <w:top w:w="0" w:type="dxa"/>
                    <w:left w:w="6" w:type="dxa"/>
                    <w:bottom w:w="0" w:type="dxa"/>
                    <w:right w:w="6" w:type="dxa"/>
                  </w:tcMar>
                  <w:vAlign w:val="center"/>
                </w:tcPr>
                <w:p w14:paraId="037BE85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0.272</w:t>
                  </w:r>
                </w:p>
              </w:tc>
              <w:tc>
                <w:tcPr>
                  <w:tcW w:w="829" w:type="dxa"/>
                  <w:tcBorders>
                    <w:tl2br w:val="nil"/>
                    <w:tr2bl w:val="nil"/>
                  </w:tcBorders>
                  <w:tcMar>
                    <w:top w:w="0" w:type="dxa"/>
                    <w:left w:w="6" w:type="dxa"/>
                    <w:bottom w:w="0" w:type="dxa"/>
                    <w:right w:w="6" w:type="dxa"/>
                  </w:tcMar>
                  <w:vAlign w:val="center"/>
                </w:tcPr>
                <w:p w14:paraId="3491C06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21.6</w:t>
                  </w:r>
                </w:p>
              </w:tc>
              <w:tc>
                <w:tcPr>
                  <w:tcW w:w="750" w:type="dxa"/>
                  <w:tcBorders>
                    <w:tl2br w:val="nil"/>
                    <w:tr2bl w:val="nil"/>
                  </w:tcBorders>
                  <w:tcMar>
                    <w:top w:w="0" w:type="dxa"/>
                    <w:left w:w="6" w:type="dxa"/>
                    <w:bottom w:w="0" w:type="dxa"/>
                    <w:right w:w="6" w:type="dxa"/>
                  </w:tcMar>
                  <w:vAlign w:val="center"/>
                </w:tcPr>
                <w:p w14:paraId="0307842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0.0544</w:t>
                  </w:r>
                </w:p>
              </w:tc>
              <w:tc>
                <w:tcPr>
                  <w:tcW w:w="829" w:type="dxa"/>
                  <w:tcBorders>
                    <w:tl2br w:val="nil"/>
                    <w:tr2bl w:val="nil"/>
                  </w:tcBorders>
                  <w:tcMar>
                    <w:top w:w="0" w:type="dxa"/>
                    <w:left w:w="6" w:type="dxa"/>
                    <w:bottom w:w="0" w:type="dxa"/>
                    <w:right w:w="6" w:type="dxa"/>
                  </w:tcMar>
                  <w:vAlign w:val="center"/>
                </w:tcPr>
                <w:p w14:paraId="39BB137B">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193</w:t>
                  </w:r>
                </w:p>
              </w:tc>
              <w:tc>
                <w:tcPr>
                  <w:tcW w:w="751" w:type="dxa"/>
                  <w:tcBorders>
                    <w:tl2br w:val="nil"/>
                    <w:tr2bl w:val="nil"/>
                  </w:tcBorders>
                  <w:tcMar>
                    <w:top w:w="0" w:type="dxa"/>
                    <w:left w:w="6" w:type="dxa"/>
                    <w:bottom w:w="0" w:type="dxa"/>
                    <w:right w:w="6" w:type="dxa"/>
                  </w:tcMar>
                  <w:vAlign w:val="center"/>
                </w:tcPr>
                <w:p w14:paraId="4F16D14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0.486</w:t>
                  </w:r>
                </w:p>
              </w:tc>
            </w:tr>
            <w:tr w14:paraId="4555FCD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2A116289">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358B5D70">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70CC2160">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2.50</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41BDCBB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2.8</w:t>
                  </w:r>
                </w:p>
              </w:tc>
              <w:tc>
                <w:tcPr>
                  <w:tcW w:w="748" w:type="dxa"/>
                  <w:tcBorders>
                    <w:tl2br w:val="nil"/>
                    <w:tr2bl w:val="nil"/>
                  </w:tcBorders>
                  <w:tcMar>
                    <w:top w:w="0" w:type="dxa"/>
                    <w:left w:w="6" w:type="dxa"/>
                    <w:bottom w:w="0" w:type="dxa"/>
                    <w:right w:w="6" w:type="dxa"/>
                  </w:tcMar>
                  <w:vAlign w:val="center"/>
                </w:tcPr>
                <w:p w14:paraId="5A7E5C92">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7.0</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14C9EA5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115</w:t>
                  </w:r>
                </w:p>
              </w:tc>
              <w:tc>
                <w:tcPr>
                  <w:tcW w:w="748" w:type="dxa"/>
                  <w:tcBorders>
                    <w:tl2br w:val="nil"/>
                    <w:tr2bl w:val="nil"/>
                  </w:tcBorders>
                  <w:tcMar>
                    <w:top w:w="0" w:type="dxa"/>
                    <w:left w:w="6" w:type="dxa"/>
                    <w:bottom w:w="0" w:type="dxa"/>
                    <w:right w:w="6" w:type="dxa"/>
                  </w:tcMar>
                  <w:vAlign w:val="center"/>
                </w:tcPr>
                <w:p w14:paraId="6CB6D67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0.288</w:t>
                  </w:r>
                </w:p>
              </w:tc>
              <w:tc>
                <w:tcPr>
                  <w:tcW w:w="829" w:type="dxa"/>
                  <w:tcBorders>
                    <w:tl2br w:val="nil"/>
                    <w:tr2bl w:val="nil"/>
                  </w:tcBorders>
                  <w:tcMar>
                    <w:top w:w="0" w:type="dxa"/>
                    <w:left w:w="6" w:type="dxa"/>
                    <w:bottom w:w="0" w:type="dxa"/>
                    <w:right w:w="6" w:type="dxa"/>
                  </w:tcMar>
                  <w:vAlign w:val="center"/>
                </w:tcPr>
                <w:p w14:paraId="71C02ECD">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22.9</w:t>
                  </w:r>
                </w:p>
              </w:tc>
              <w:tc>
                <w:tcPr>
                  <w:tcW w:w="750" w:type="dxa"/>
                  <w:tcBorders>
                    <w:tl2br w:val="nil"/>
                    <w:tr2bl w:val="nil"/>
                  </w:tcBorders>
                  <w:tcMar>
                    <w:top w:w="0" w:type="dxa"/>
                    <w:left w:w="6" w:type="dxa"/>
                    <w:bottom w:w="0" w:type="dxa"/>
                    <w:right w:w="6" w:type="dxa"/>
                  </w:tcMar>
                  <w:vAlign w:val="center"/>
                </w:tcPr>
                <w:p w14:paraId="4BE5DA1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0.0572</w:t>
                  </w:r>
                </w:p>
              </w:tc>
              <w:tc>
                <w:tcPr>
                  <w:tcW w:w="829" w:type="dxa"/>
                  <w:tcBorders>
                    <w:tl2br w:val="nil"/>
                    <w:tr2bl w:val="nil"/>
                  </w:tcBorders>
                  <w:tcMar>
                    <w:top w:w="0" w:type="dxa"/>
                    <w:left w:w="6" w:type="dxa"/>
                    <w:bottom w:w="0" w:type="dxa"/>
                    <w:right w:w="6" w:type="dxa"/>
                  </w:tcMar>
                  <w:vAlign w:val="center"/>
                </w:tcPr>
                <w:p w14:paraId="6CDA6EE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186</w:t>
                  </w:r>
                </w:p>
              </w:tc>
              <w:tc>
                <w:tcPr>
                  <w:tcW w:w="751" w:type="dxa"/>
                  <w:tcBorders>
                    <w:tl2br w:val="nil"/>
                    <w:tr2bl w:val="nil"/>
                  </w:tcBorders>
                  <w:tcMar>
                    <w:top w:w="0" w:type="dxa"/>
                    <w:left w:w="6" w:type="dxa"/>
                    <w:bottom w:w="0" w:type="dxa"/>
                    <w:right w:w="6" w:type="dxa"/>
                  </w:tcMar>
                  <w:vAlign w:val="center"/>
                </w:tcPr>
                <w:p w14:paraId="3A53BA2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0.465</w:t>
                  </w:r>
                </w:p>
              </w:tc>
            </w:tr>
            <w:tr w14:paraId="7B9ABA7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3EBC0469">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tcBorders>
                    <w:tl2br w:val="nil"/>
                    <w:tr2bl w:val="nil"/>
                  </w:tcBorders>
                  <w:tcMar>
                    <w:top w:w="0" w:type="dxa"/>
                    <w:left w:w="6" w:type="dxa"/>
                    <w:bottom w:w="0" w:type="dxa"/>
                    <w:right w:w="6" w:type="dxa"/>
                  </w:tcMar>
                  <w:vAlign w:val="center"/>
                </w:tcPr>
                <w:p w14:paraId="62CACB09">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ascii="Times New Roman" w:hAnsi="Times New Roman" w:eastAsia="宋体" w:cs="Times New Roman"/>
                      <w:color w:val="auto"/>
                      <w:sz w:val="21"/>
                      <w:szCs w:val="21"/>
                      <w:u w:val="none"/>
                    </w:rPr>
                    <w:t>均值</w:t>
                  </w:r>
                </w:p>
              </w:tc>
              <w:tc>
                <w:tcPr>
                  <w:tcW w:w="840" w:type="dxa"/>
                  <w:tcBorders>
                    <w:tl2br w:val="nil"/>
                    <w:tr2bl w:val="nil"/>
                  </w:tcBorders>
                  <w:tcMar>
                    <w:top w:w="0" w:type="dxa"/>
                    <w:left w:w="6" w:type="dxa"/>
                    <w:bottom w:w="0" w:type="dxa"/>
                    <w:right w:w="6" w:type="dxa"/>
                  </w:tcMar>
                  <w:vAlign w:val="center"/>
                </w:tcPr>
                <w:p w14:paraId="7A9C5126">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2.49</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2193BDEE">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2.</w:t>
                  </w:r>
                  <w:r>
                    <w:rPr>
                      <w:rFonts w:hint="eastAsia" w:ascii="Times New Roman" w:hAnsi="Times New Roman" w:cs="Times New Roman"/>
                      <w:color w:val="auto"/>
                      <w:kern w:val="0"/>
                      <w:sz w:val="21"/>
                      <w:szCs w:val="21"/>
                      <w:u w:val="none"/>
                      <w:lang w:bidi="ar"/>
                    </w:rPr>
                    <w:t>8</w:t>
                  </w:r>
                </w:p>
              </w:tc>
              <w:tc>
                <w:tcPr>
                  <w:tcW w:w="748" w:type="dxa"/>
                  <w:tcBorders>
                    <w:tl2br w:val="nil"/>
                    <w:tr2bl w:val="nil"/>
                  </w:tcBorders>
                  <w:tcMar>
                    <w:top w:w="0" w:type="dxa"/>
                    <w:left w:w="6" w:type="dxa"/>
                    <w:bottom w:w="0" w:type="dxa"/>
                    <w:right w:w="6" w:type="dxa"/>
                  </w:tcMar>
                  <w:vAlign w:val="center"/>
                </w:tcPr>
                <w:p w14:paraId="44D7552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highlight w:val="none"/>
                      <w:u w:val="none"/>
                      <w:lang w:bidi="ar"/>
                    </w:rPr>
                    <w:t>6.9</w:t>
                  </w:r>
                  <w:r>
                    <w:rPr>
                      <w:rFonts w:ascii="Times New Roman" w:hAnsi="Times New Roman" w:cs="Times New Roman"/>
                      <w:color w:val="auto"/>
                      <w:sz w:val="21"/>
                      <w:szCs w:val="21"/>
                      <w:highlight w:val="none"/>
                      <w:u w:val="none"/>
                      <w:lang w:bidi="ar"/>
                    </w:rPr>
                    <w:t>×10</w:t>
                  </w:r>
                  <w:r>
                    <w:rPr>
                      <w:rFonts w:hint="eastAsia" w:ascii="Times New Roman" w:hAnsi="Times New Roman" w:cs="Times New Roman"/>
                      <w:color w:val="auto"/>
                      <w:sz w:val="21"/>
                      <w:szCs w:val="21"/>
                      <w:highlight w:val="none"/>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3B248149">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108</w:t>
                  </w:r>
                </w:p>
              </w:tc>
              <w:tc>
                <w:tcPr>
                  <w:tcW w:w="748" w:type="dxa"/>
                  <w:tcBorders>
                    <w:tl2br w:val="nil"/>
                    <w:tr2bl w:val="nil"/>
                  </w:tcBorders>
                  <w:tcMar>
                    <w:top w:w="0" w:type="dxa"/>
                    <w:left w:w="6" w:type="dxa"/>
                    <w:bottom w:w="0" w:type="dxa"/>
                    <w:right w:w="6" w:type="dxa"/>
                  </w:tcMar>
                  <w:vAlign w:val="center"/>
                </w:tcPr>
                <w:p w14:paraId="0FB51A24">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0.269</w:t>
                  </w:r>
                </w:p>
              </w:tc>
              <w:tc>
                <w:tcPr>
                  <w:tcW w:w="829" w:type="dxa"/>
                  <w:tcBorders>
                    <w:tl2br w:val="nil"/>
                    <w:tr2bl w:val="nil"/>
                  </w:tcBorders>
                  <w:tcMar>
                    <w:top w:w="0" w:type="dxa"/>
                    <w:left w:w="6" w:type="dxa"/>
                    <w:bottom w:w="0" w:type="dxa"/>
                    <w:right w:w="6" w:type="dxa"/>
                  </w:tcMar>
                  <w:vAlign w:val="center"/>
                </w:tcPr>
                <w:p w14:paraId="389F7B9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22.8</w:t>
                  </w:r>
                </w:p>
              </w:tc>
              <w:tc>
                <w:tcPr>
                  <w:tcW w:w="750" w:type="dxa"/>
                  <w:tcBorders>
                    <w:tl2br w:val="nil"/>
                    <w:tr2bl w:val="nil"/>
                  </w:tcBorders>
                  <w:tcMar>
                    <w:top w:w="0" w:type="dxa"/>
                    <w:left w:w="6" w:type="dxa"/>
                    <w:bottom w:w="0" w:type="dxa"/>
                    <w:right w:w="6" w:type="dxa"/>
                  </w:tcMar>
                  <w:vAlign w:val="center"/>
                </w:tcPr>
                <w:p w14:paraId="0D36243B">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0.0568</w:t>
                  </w:r>
                </w:p>
              </w:tc>
              <w:tc>
                <w:tcPr>
                  <w:tcW w:w="829" w:type="dxa"/>
                  <w:tcBorders>
                    <w:tl2br w:val="nil"/>
                    <w:tr2bl w:val="nil"/>
                  </w:tcBorders>
                  <w:tcMar>
                    <w:top w:w="0" w:type="dxa"/>
                    <w:left w:w="6" w:type="dxa"/>
                    <w:bottom w:w="0" w:type="dxa"/>
                    <w:right w:w="6" w:type="dxa"/>
                  </w:tcMar>
                  <w:vAlign w:val="center"/>
                </w:tcPr>
                <w:p w14:paraId="24300D4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184</w:t>
                  </w:r>
                </w:p>
              </w:tc>
              <w:tc>
                <w:tcPr>
                  <w:tcW w:w="751" w:type="dxa"/>
                  <w:tcBorders>
                    <w:tl2br w:val="nil"/>
                    <w:tr2bl w:val="nil"/>
                  </w:tcBorders>
                  <w:tcMar>
                    <w:top w:w="0" w:type="dxa"/>
                    <w:left w:w="6" w:type="dxa"/>
                    <w:bottom w:w="0" w:type="dxa"/>
                    <w:right w:w="6" w:type="dxa"/>
                  </w:tcMar>
                  <w:vAlign w:val="center"/>
                </w:tcPr>
                <w:p w14:paraId="4A1171D2">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0.459</w:t>
                  </w:r>
                </w:p>
              </w:tc>
            </w:tr>
            <w:tr w14:paraId="4B2BB30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4D3E5E27">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restart"/>
                  <w:tcBorders>
                    <w:tl2br w:val="nil"/>
                    <w:tr2bl w:val="nil"/>
                  </w:tcBorders>
                  <w:tcMar>
                    <w:top w:w="0" w:type="dxa"/>
                    <w:left w:w="6" w:type="dxa"/>
                    <w:bottom w:w="0" w:type="dxa"/>
                    <w:right w:w="6" w:type="dxa"/>
                  </w:tcMar>
                  <w:vAlign w:val="center"/>
                </w:tcPr>
                <w:p w14:paraId="739A68F3">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hint="eastAsia" w:ascii="Times New Roman" w:hAnsi="Times New Roman" w:eastAsia="宋体" w:cs="Times New Roman"/>
                      <w:color w:val="auto"/>
                      <w:sz w:val="21"/>
                      <w:szCs w:val="21"/>
                      <w:u w:val="none"/>
                    </w:rPr>
                    <w:t>5</w:t>
                  </w:r>
                  <w:r>
                    <w:rPr>
                      <w:rFonts w:ascii="Times New Roman" w:hAnsi="Times New Roman" w:eastAsia="宋体" w:cs="Times New Roman"/>
                      <w:color w:val="auto"/>
                      <w:sz w:val="21"/>
                      <w:szCs w:val="21"/>
                      <w:u w:val="none"/>
                    </w:rPr>
                    <w:t>#发电机组排气筒出口</w:t>
                  </w:r>
                </w:p>
              </w:tc>
              <w:tc>
                <w:tcPr>
                  <w:tcW w:w="840" w:type="dxa"/>
                  <w:tcBorders>
                    <w:tl2br w:val="nil"/>
                    <w:tr2bl w:val="nil"/>
                  </w:tcBorders>
                  <w:tcMar>
                    <w:top w:w="0" w:type="dxa"/>
                    <w:left w:w="6" w:type="dxa"/>
                    <w:bottom w:w="0" w:type="dxa"/>
                    <w:right w:w="6" w:type="dxa"/>
                  </w:tcMar>
                  <w:vAlign w:val="center"/>
                </w:tcPr>
                <w:p w14:paraId="42745347">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1.46</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39F0E12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3.5</w:t>
                  </w:r>
                </w:p>
              </w:tc>
              <w:tc>
                <w:tcPr>
                  <w:tcW w:w="748" w:type="dxa"/>
                  <w:tcBorders>
                    <w:tl2br w:val="nil"/>
                    <w:tr2bl w:val="nil"/>
                  </w:tcBorders>
                  <w:tcMar>
                    <w:top w:w="0" w:type="dxa"/>
                    <w:left w:w="6" w:type="dxa"/>
                    <w:bottom w:w="0" w:type="dxa"/>
                    <w:right w:w="6" w:type="dxa"/>
                  </w:tcMar>
                  <w:vAlign w:val="center"/>
                </w:tcPr>
                <w:p w14:paraId="43A6324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5.1</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694DB9E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163</w:t>
                  </w:r>
                </w:p>
              </w:tc>
              <w:tc>
                <w:tcPr>
                  <w:tcW w:w="748" w:type="dxa"/>
                  <w:tcBorders>
                    <w:tl2br w:val="nil"/>
                    <w:tr2bl w:val="nil"/>
                  </w:tcBorders>
                  <w:tcMar>
                    <w:top w:w="0" w:type="dxa"/>
                    <w:left w:w="6" w:type="dxa"/>
                    <w:bottom w:w="0" w:type="dxa"/>
                    <w:right w:w="6" w:type="dxa"/>
                  </w:tcMar>
                  <w:vAlign w:val="center"/>
                </w:tcPr>
                <w:p w14:paraId="7B97E1E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0.238</w:t>
                  </w:r>
                </w:p>
              </w:tc>
              <w:tc>
                <w:tcPr>
                  <w:tcW w:w="829" w:type="dxa"/>
                  <w:tcBorders>
                    <w:tl2br w:val="nil"/>
                    <w:tr2bl w:val="nil"/>
                  </w:tcBorders>
                  <w:tcMar>
                    <w:top w:w="0" w:type="dxa"/>
                    <w:left w:w="6" w:type="dxa"/>
                    <w:bottom w:w="0" w:type="dxa"/>
                    <w:right w:w="6" w:type="dxa"/>
                  </w:tcMar>
                  <w:vAlign w:val="center"/>
                </w:tcPr>
                <w:p w14:paraId="17277EF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24.8</w:t>
                  </w:r>
                </w:p>
              </w:tc>
              <w:tc>
                <w:tcPr>
                  <w:tcW w:w="750" w:type="dxa"/>
                  <w:tcBorders>
                    <w:tl2br w:val="nil"/>
                    <w:tr2bl w:val="nil"/>
                  </w:tcBorders>
                  <w:tcMar>
                    <w:top w:w="0" w:type="dxa"/>
                    <w:left w:w="6" w:type="dxa"/>
                    <w:bottom w:w="0" w:type="dxa"/>
                    <w:right w:w="6" w:type="dxa"/>
                  </w:tcMar>
                  <w:vAlign w:val="center"/>
                </w:tcPr>
                <w:p w14:paraId="449377B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0.0362</w:t>
                  </w:r>
                </w:p>
              </w:tc>
              <w:tc>
                <w:tcPr>
                  <w:tcW w:w="829" w:type="dxa"/>
                  <w:tcBorders>
                    <w:tl2br w:val="nil"/>
                    <w:tr2bl w:val="nil"/>
                  </w:tcBorders>
                  <w:tcMar>
                    <w:top w:w="0" w:type="dxa"/>
                    <w:left w:w="6" w:type="dxa"/>
                    <w:bottom w:w="0" w:type="dxa"/>
                    <w:right w:w="6" w:type="dxa"/>
                  </w:tcMar>
                  <w:vAlign w:val="center"/>
                </w:tcPr>
                <w:p w14:paraId="716D790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210</w:t>
                  </w:r>
                </w:p>
              </w:tc>
              <w:tc>
                <w:tcPr>
                  <w:tcW w:w="751" w:type="dxa"/>
                  <w:tcBorders>
                    <w:tl2br w:val="nil"/>
                    <w:tr2bl w:val="nil"/>
                  </w:tcBorders>
                  <w:tcMar>
                    <w:top w:w="0" w:type="dxa"/>
                    <w:left w:w="6" w:type="dxa"/>
                    <w:bottom w:w="0" w:type="dxa"/>
                    <w:right w:w="6" w:type="dxa"/>
                  </w:tcMar>
                  <w:vAlign w:val="center"/>
                </w:tcPr>
                <w:p w14:paraId="5C2C8984">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0.307</w:t>
                  </w:r>
                </w:p>
              </w:tc>
            </w:tr>
            <w:tr w14:paraId="6129848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5D018B79">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42BF5AED">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53ED820E">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1.42</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5417F874">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4.3</w:t>
                  </w:r>
                </w:p>
              </w:tc>
              <w:tc>
                <w:tcPr>
                  <w:tcW w:w="748" w:type="dxa"/>
                  <w:tcBorders>
                    <w:tl2br w:val="nil"/>
                    <w:tr2bl w:val="nil"/>
                  </w:tcBorders>
                  <w:tcMar>
                    <w:top w:w="0" w:type="dxa"/>
                    <w:left w:w="6" w:type="dxa"/>
                    <w:bottom w:w="0" w:type="dxa"/>
                    <w:right w:w="6" w:type="dxa"/>
                  </w:tcMar>
                  <w:vAlign w:val="center"/>
                </w:tcPr>
                <w:p w14:paraId="76926EF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6.1</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7E216DB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185</w:t>
                  </w:r>
                </w:p>
              </w:tc>
              <w:tc>
                <w:tcPr>
                  <w:tcW w:w="748" w:type="dxa"/>
                  <w:tcBorders>
                    <w:tl2br w:val="nil"/>
                    <w:tr2bl w:val="nil"/>
                  </w:tcBorders>
                  <w:tcMar>
                    <w:top w:w="0" w:type="dxa"/>
                    <w:left w:w="6" w:type="dxa"/>
                    <w:bottom w:w="0" w:type="dxa"/>
                    <w:right w:w="6" w:type="dxa"/>
                  </w:tcMar>
                  <w:vAlign w:val="center"/>
                </w:tcPr>
                <w:p w14:paraId="1A3D5D5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0.263</w:t>
                  </w:r>
                </w:p>
              </w:tc>
              <w:tc>
                <w:tcPr>
                  <w:tcW w:w="829" w:type="dxa"/>
                  <w:tcBorders>
                    <w:tl2br w:val="nil"/>
                    <w:tr2bl w:val="nil"/>
                  </w:tcBorders>
                  <w:tcMar>
                    <w:top w:w="0" w:type="dxa"/>
                    <w:left w:w="6" w:type="dxa"/>
                    <w:bottom w:w="0" w:type="dxa"/>
                    <w:right w:w="6" w:type="dxa"/>
                  </w:tcMar>
                  <w:vAlign w:val="center"/>
                </w:tcPr>
                <w:p w14:paraId="47503C5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37.1</w:t>
                  </w:r>
                </w:p>
              </w:tc>
              <w:tc>
                <w:tcPr>
                  <w:tcW w:w="750" w:type="dxa"/>
                  <w:tcBorders>
                    <w:tl2br w:val="nil"/>
                    <w:tr2bl w:val="nil"/>
                  </w:tcBorders>
                  <w:tcMar>
                    <w:top w:w="0" w:type="dxa"/>
                    <w:left w:w="6" w:type="dxa"/>
                    <w:bottom w:w="0" w:type="dxa"/>
                    <w:right w:w="6" w:type="dxa"/>
                  </w:tcMar>
                  <w:vAlign w:val="center"/>
                </w:tcPr>
                <w:p w14:paraId="5100665D">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0.0527</w:t>
                  </w:r>
                </w:p>
              </w:tc>
              <w:tc>
                <w:tcPr>
                  <w:tcW w:w="829" w:type="dxa"/>
                  <w:tcBorders>
                    <w:tl2br w:val="nil"/>
                    <w:tr2bl w:val="nil"/>
                  </w:tcBorders>
                  <w:tcMar>
                    <w:top w:w="0" w:type="dxa"/>
                    <w:left w:w="6" w:type="dxa"/>
                    <w:bottom w:w="0" w:type="dxa"/>
                    <w:right w:w="6" w:type="dxa"/>
                  </w:tcMar>
                  <w:vAlign w:val="center"/>
                </w:tcPr>
                <w:p w14:paraId="7F3EB6C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179</w:t>
                  </w:r>
                </w:p>
              </w:tc>
              <w:tc>
                <w:tcPr>
                  <w:tcW w:w="751" w:type="dxa"/>
                  <w:tcBorders>
                    <w:tl2br w:val="nil"/>
                    <w:tr2bl w:val="nil"/>
                  </w:tcBorders>
                  <w:tcMar>
                    <w:top w:w="0" w:type="dxa"/>
                    <w:left w:w="6" w:type="dxa"/>
                    <w:bottom w:w="0" w:type="dxa"/>
                    <w:right w:w="6" w:type="dxa"/>
                  </w:tcMar>
                  <w:vAlign w:val="center"/>
                </w:tcPr>
                <w:p w14:paraId="039D15C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0.254</w:t>
                  </w:r>
                </w:p>
              </w:tc>
            </w:tr>
            <w:tr w14:paraId="0B79D54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0921B818">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351B9B3E">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2EE1CEA0">
                  <w:pPr>
                    <w:keepNext w:val="0"/>
                    <w:keepLines w:val="0"/>
                    <w:pageBreakBefore w:val="0"/>
                    <w:widowControl/>
                    <w:kinsoku/>
                    <w:wordWrap/>
                    <w:overflowPunct/>
                    <w:topLinePunct w:val="0"/>
                    <w:bidi w:val="0"/>
                    <w:spacing w:line="240" w:lineRule="auto"/>
                    <w:ind w:left="0" w:leftChars="0" w:right="0" w:rightChars="0"/>
                    <w:jc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1.35</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0154BD3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4.5</w:t>
                  </w:r>
                </w:p>
              </w:tc>
              <w:tc>
                <w:tcPr>
                  <w:tcW w:w="748" w:type="dxa"/>
                  <w:tcBorders>
                    <w:tl2br w:val="nil"/>
                    <w:tr2bl w:val="nil"/>
                  </w:tcBorders>
                  <w:tcMar>
                    <w:top w:w="0" w:type="dxa"/>
                    <w:left w:w="6" w:type="dxa"/>
                    <w:bottom w:w="0" w:type="dxa"/>
                    <w:right w:w="6" w:type="dxa"/>
                  </w:tcMar>
                  <w:vAlign w:val="center"/>
                </w:tcPr>
                <w:p w14:paraId="2BC5888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ascii="Times New Roman" w:hAnsi="Times New Roman" w:cs="Times New Roman"/>
                      <w:color w:val="auto"/>
                      <w:kern w:val="0"/>
                      <w:sz w:val="21"/>
                      <w:szCs w:val="21"/>
                      <w:highlight w:val="none"/>
                      <w:u w:val="none"/>
                      <w:lang w:bidi="ar"/>
                    </w:rPr>
                    <w:t>6.1</w:t>
                  </w:r>
                  <w:r>
                    <w:rPr>
                      <w:rFonts w:ascii="Times New Roman" w:hAnsi="Times New Roman" w:cs="Times New Roman"/>
                      <w:color w:val="auto"/>
                      <w:sz w:val="21"/>
                      <w:szCs w:val="21"/>
                      <w:highlight w:val="none"/>
                      <w:u w:val="none"/>
                      <w:lang w:bidi="ar"/>
                    </w:rPr>
                    <w:t>×10</w:t>
                  </w:r>
                  <w:r>
                    <w:rPr>
                      <w:rFonts w:hint="eastAsia" w:ascii="Times New Roman" w:hAnsi="Times New Roman" w:cs="Times New Roman"/>
                      <w:color w:val="auto"/>
                      <w:sz w:val="21"/>
                      <w:szCs w:val="21"/>
                      <w:highlight w:val="none"/>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3D73CBDE">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ascii="Times New Roman" w:hAnsi="Times New Roman" w:cs="Times New Roman"/>
                      <w:color w:val="auto"/>
                      <w:kern w:val="0"/>
                      <w:sz w:val="21"/>
                      <w:szCs w:val="21"/>
                      <w:highlight w:val="none"/>
                      <w:u w:val="none"/>
                      <w:lang w:bidi="ar"/>
                    </w:rPr>
                    <w:t>171</w:t>
                  </w:r>
                </w:p>
              </w:tc>
              <w:tc>
                <w:tcPr>
                  <w:tcW w:w="748" w:type="dxa"/>
                  <w:tcBorders>
                    <w:tl2br w:val="nil"/>
                    <w:tr2bl w:val="nil"/>
                  </w:tcBorders>
                  <w:tcMar>
                    <w:top w:w="0" w:type="dxa"/>
                    <w:left w:w="6" w:type="dxa"/>
                    <w:bottom w:w="0" w:type="dxa"/>
                    <w:right w:w="6" w:type="dxa"/>
                  </w:tcMar>
                  <w:vAlign w:val="center"/>
                </w:tcPr>
                <w:p w14:paraId="6011769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0.231</w:t>
                  </w:r>
                </w:p>
              </w:tc>
              <w:tc>
                <w:tcPr>
                  <w:tcW w:w="829" w:type="dxa"/>
                  <w:tcBorders>
                    <w:tl2br w:val="nil"/>
                    <w:tr2bl w:val="nil"/>
                  </w:tcBorders>
                  <w:tcMar>
                    <w:top w:w="0" w:type="dxa"/>
                    <w:left w:w="6" w:type="dxa"/>
                    <w:bottom w:w="0" w:type="dxa"/>
                    <w:right w:w="6" w:type="dxa"/>
                  </w:tcMar>
                  <w:vAlign w:val="center"/>
                </w:tcPr>
                <w:p w14:paraId="359B2AFD">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ascii="Times New Roman" w:hAnsi="Times New Roman" w:cs="Times New Roman"/>
                      <w:color w:val="auto"/>
                      <w:kern w:val="0"/>
                      <w:sz w:val="21"/>
                      <w:szCs w:val="21"/>
                      <w:highlight w:val="none"/>
                      <w:u w:val="none"/>
                      <w:lang w:bidi="ar"/>
                    </w:rPr>
                    <w:t>30.6</w:t>
                  </w:r>
                </w:p>
              </w:tc>
              <w:tc>
                <w:tcPr>
                  <w:tcW w:w="750" w:type="dxa"/>
                  <w:tcBorders>
                    <w:tl2br w:val="nil"/>
                    <w:tr2bl w:val="nil"/>
                  </w:tcBorders>
                  <w:tcMar>
                    <w:top w:w="0" w:type="dxa"/>
                    <w:left w:w="6" w:type="dxa"/>
                    <w:bottom w:w="0" w:type="dxa"/>
                    <w:right w:w="6" w:type="dxa"/>
                  </w:tcMar>
                  <w:vAlign w:val="center"/>
                </w:tcPr>
                <w:p w14:paraId="1546CB4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0.0413</w:t>
                  </w:r>
                </w:p>
              </w:tc>
              <w:tc>
                <w:tcPr>
                  <w:tcW w:w="829" w:type="dxa"/>
                  <w:tcBorders>
                    <w:tl2br w:val="nil"/>
                    <w:tr2bl w:val="nil"/>
                  </w:tcBorders>
                  <w:tcMar>
                    <w:top w:w="0" w:type="dxa"/>
                    <w:left w:w="6" w:type="dxa"/>
                    <w:bottom w:w="0" w:type="dxa"/>
                    <w:right w:w="6" w:type="dxa"/>
                  </w:tcMar>
                  <w:vAlign w:val="center"/>
                </w:tcPr>
                <w:p w14:paraId="49C4689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198</w:t>
                  </w:r>
                </w:p>
              </w:tc>
              <w:tc>
                <w:tcPr>
                  <w:tcW w:w="751" w:type="dxa"/>
                  <w:tcBorders>
                    <w:tl2br w:val="nil"/>
                    <w:tr2bl w:val="nil"/>
                  </w:tcBorders>
                  <w:tcMar>
                    <w:top w:w="0" w:type="dxa"/>
                    <w:left w:w="6" w:type="dxa"/>
                    <w:bottom w:w="0" w:type="dxa"/>
                    <w:right w:w="6" w:type="dxa"/>
                  </w:tcMar>
                  <w:vAlign w:val="center"/>
                </w:tcPr>
                <w:p w14:paraId="20DA0E19">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shd w:val="clear"/>
                      <w:lang w:bidi="ar"/>
                    </w:rPr>
                    <w:t>0.267</w:t>
                  </w:r>
                </w:p>
              </w:tc>
            </w:tr>
            <w:tr w14:paraId="27422DF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3B2FF01E">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tcBorders>
                    <w:tl2br w:val="nil"/>
                    <w:tr2bl w:val="nil"/>
                  </w:tcBorders>
                  <w:tcMar>
                    <w:top w:w="0" w:type="dxa"/>
                    <w:left w:w="6" w:type="dxa"/>
                    <w:bottom w:w="0" w:type="dxa"/>
                    <w:right w:w="6" w:type="dxa"/>
                  </w:tcMar>
                  <w:vAlign w:val="center"/>
                </w:tcPr>
                <w:p w14:paraId="16D8DBE2">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ascii="Times New Roman" w:hAnsi="Times New Roman" w:eastAsia="宋体" w:cs="Times New Roman"/>
                      <w:color w:val="auto"/>
                      <w:sz w:val="21"/>
                      <w:szCs w:val="21"/>
                      <w:u w:val="none"/>
                    </w:rPr>
                    <w:t>均值</w:t>
                  </w:r>
                </w:p>
              </w:tc>
              <w:tc>
                <w:tcPr>
                  <w:tcW w:w="840" w:type="dxa"/>
                  <w:tcBorders>
                    <w:tl2br w:val="nil"/>
                    <w:tr2bl w:val="nil"/>
                  </w:tcBorders>
                  <w:tcMar>
                    <w:top w:w="0" w:type="dxa"/>
                    <w:left w:w="6" w:type="dxa"/>
                    <w:bottom w:w="0" w:type="dxa"/>
                    <w:right w:w="6" w:type="dxa"/>
                  </w:tcMar>
                  <w:vAlign w:val="center"/>
                </w:tcPr>
                <w:p w14:paraId="6B02009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1.41</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09145A0D">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4.1</w:t>
                  </w:r>
                </w:p>
              </w:tc>
              <w:tc>
                <w:tcPr>
                  <w:tcW w:w="748" w:type="dxa"/>
                  <w:tcBorders>
                    <w:tl2br w:val="nil"/>
                    <w:tr2bl w:val="nil"/>
                  </w:tcBorders>
                  <w:tcMar>
                    <w:top w:w="0" w:type="dxa"/>
                    <w:left w:w="6" w:type="dxa"/>
                    <w:bottom w:w="0" w:type="dxa"/>
                    <w:right w:w="6" w:type="dxa"/>
                  </w:tcMar>
                  <w:vAlign w:val="center"/>
                </w:tcPr>
                <w:p w14:paraId="1CEA43E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ascii="Times New Roman" w:hAnsi="Times New Roman" w:cs="Times New Roman"/>
                      <w:color w:val="auto"/>
                      <w:kern w:val="0"/>
                      <w:sz w:val="21"/>
                      <w:szCs w:val="21"/>
                      <w:highlight w:val="none"/>
                      <w:u w:val="none"/>
                      <w:lang w:bidi="ar"/>
                    </w:rPr>
                    <w:t>5.8</w:t>
                  </w:r>
                  <w:r>
                    <w:rPr>
                      <w:rFonts w:ascii="Times New Roman" w:hAnsi="Times New Roman" w:cs="Times New Roman"/>
                      <w:color w:val="auto"/>
                      <w:sz w:val="21"/>
                      <w:szCs w:val="21"/>
                      <w:highlight w:val="none"/>
                      <w:u w:val="none"/>
                      <w:lang w:bidi="ar"/>
                    </w:rPr>
                    <w:t>×10</w:t>
                  </w:r>
                  <w:r>
                    <w:rPr>
                      <w:rFonts w:hint="eastAsia" w:ascii="Times New Roman" w:hAnsi="Times New Roman" w:cs="Times New Roman"/>
                      <w:color w:val="auto"/>
                      <w:sz w:val="21"/>
                      <w:szCs w:val="21"/>
                      <w:highlight w:val="none"/>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1EA9DA4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highlight w:val="none"/>
                      <w:u w:val="none"/>
                    </w:rPr>
                  </w:pPr>
                  <w:r>
                    <w:rPr>
                      <w:rFonts w:ascii="Times New Roman" w:hAnsi="Times New Roman" w:cs="Times New Roman"/>
                      <w:color w:val="auto"/>
                      <w:kern w:val="0"/>
                      <w:sz w:val="21"/>
                      <w:szCs w:val="21"/>
                      <w:highlight w:val="none"/>
                      <w:u w:val="none"/>
                      <w:lang w:bidi="ar"/>
                    </w:rPr>
                    <w:t>173</w:t>
                  </w:r>
                </w:p>
              </w:tc>
              <w:tc>
                <w:tcPr>
                  <w:tcW w:w="748" w:type="dxa"/>
                  <w:tcBorders>
                    <w:tl2br w:val="nil"/>
                    <w:tr2bl w:val="nil"/>
                  </w:tcBorders>
                  <w:tcMar>
                    <w:top w:w="0" w:type="dxa"/>
                    <w:left w:w="6" w:type="dxa"/>
                    <w:bottom w:w="0" w:type="dxa"/>
                    <w:right w:w="6" w:type="dxa"/>
                  </w:tcMar>
                  <w:vAlign w:val="center"/>
                </w:tcPr>
                <w:p w14:paraId="61303A4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0.244</w:t>
                  </w:r>
                </w:p>
              </w:tc>
              <w:tc>
                <w:tcPr>
                  <w:tcW w:w="829" w:type="dxa"/>
                  <w:tcBorders>
                    <w:tl2br w:val="nil"/>
                    <w:tr2bl w:val="nil"/>
                  </w:tcBorders>
                  <w:tcMar>
                    <w:top w:w="0" w:type="dxa"/>
                    <w:left w:w="6" w:type="dxa"/>
                    <w:bottom w:w="0" w:type="dxa"/>
                    <w:right w:w="6" w:type="dxa"/>
                  </w:tcMar>
                  <w:vAlign w:val="center"/>
                </w:tcPr>
                <w:p w14:paraId="0D261CC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highlight w:val="none"/>
                      <w:u w:val="none"/>
                    </w:rPr>
                  </w:pPr>
                  <w:r>
                    <w:rPr>
                      <w:rFonts w:ascii="Times New Roman" w:hAnsi="Times New Roman" w:cs="Times New Roman"/>
                      <w:color w:val="auto"/>
                      <w:kern w:val="0"/>
                      <w:sz w:val="21"/>
                      <w:szCs w:val="21"/>
                      <w:highlight w:val="none"/>
                      <w:u w:val="none"/>
                      <w:lang w:bidi="ar"/>
                    </w:rPr>
                    <w:t>30.</w:t>
                  </w:r>
                  <w:r>
                    <w:rPr>
                      <w:rFonts w:hint="eastAsia" w:ascii="Times New Roman" w:hAnsi="Times New Roman" w:cs="Times New Roman"/>
                      <w:color w:val="auto"/>
                      <w:kern w:val="0"/>
                      <w:sz w:val="21"/>
                      <w:szCs w:val="21"/>
                      <w:highlight w:val="none"/>
                      <w:u w:val="none"/>
                      <w:lang w:bidi="ar"/>
                    </w:rPr>
                    <w:t>8</w:t>
                  </w:r>
                </w:p>
              </w:tc>
              <w:tc>
                <w:tcPr>
                  <w:tcW w:w="750" w:type="dxa"/>
                  <w:tcBorders>
                    <w:tl2br w:val="nil"/>
                    <w:tr2bl w:val="nil"/>
                  </w:tcBorders>
                  <w:tcMar>
                    <w:top w:w="0" w:type="dxa"/>
                    <w:left w:w="6" w:type="dxa"/>
                    <w:bottom w:w="0" w:type="dxa"/>
                    <w:right w:w="6" w:type="dxa"/>
                  </w:tcMar>
                  <w:vAlign w:val="center"/>
                </w:tcPr>
                <w:p w14:paraId="4EB67F2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0.0434</w:t>
                  </w:r>
                </w:p>
              </w:tc>
              <w:tc>
                <w:tcPr>
                  <w:tcW w:w="829" w:type="dxa"/>
                  <w:tcBorders>
                    <w:tl2br w:val="nil"/>
                    <w:tr2bl w:val="nil"/>
                  </w:tcBorders>
                  <w:tcMar>
                    <w:top w:w="0" w:type="dxa"/>
                    <w:left w:w="6" w:type="dxa"/>
                    <w:bottom w:w="0" w:type="dxa"/>
                    <w:right w:w="6" w:type="dxa"/>
                  </w:tcMar>
                  <w:vAlign w:val="center"/>
                </w:tcPr>
                <w:p w14:paraId="4E047AEA">
                  <w:pPr>
                    <w:keepNext w:val="0"/>
                    <w:keepLines w:val="0"/>
                    <w:pageBreakBefore w:val="0"/>
                    <w:widowControl/>
                    <w:kinsoku/>
                    <w:wordWrap/>
                    <w:overflowPunct/>
                    <w:topLinePunct w:val="0"/>
                    <w:bidi w:val="0"/>
                    <w:spacing w:line="240" w:lineRule="auto"/>
                    <w:ind w:left="0" w:leftChars="0" w:right="0" w:rightChars="0"/>
                    <w:jc w:val="center"/>
                    <w:textAlignment w:val="center"/>
                    <w:rPr>
                      <w:rFonts w:hint="eastAsia" w:ascii="Times New Roman" w:hAnsi="Times New Roman" w:eastAsia="宋体" w:cs="Times New Roman"/>
                      <w:color w:val="auto"/>
                      <w:kern w:val="0"/>
                      <w:sz w:val="21"/>
                      <w:szCs w:val="21"/>
                      <w:u w:val="none"/>
                      <w:lang w:bidi="ar"/>
                    </w:rPr>
                  </w:pPr>
                  <w:r>
                    <w:rPr>
                      <w:rFonts w:hint="eastAsia" w:ascii="Times New Roman" w:hAnsi="Times New Roman" w:eastAsia="宋体" w:cs="Times New Roman"/>
                      <w:color w:val="auto"/>
                      <w:kern w:val="0"/>
                      <w:sz w:val="21"/>
                      <w:szCs w:val="21"/>
                      <w:u w:val="none"/>
                      <w:lang w:bidi="ar"/>
                    </w:rPr>
                    <w:t>196</w:t>
                  </w:r>
                </w:p>
              </w:tc>
              <w:tc>
                <w:tcPr>
                  <w:tcW w:w="751" w:type="dxa"/>
                  <w:tcBorders>
                    <w:tl2br w:val="nil"/>
                    <w:tr2bl w:val="nil"/>
                  </w:tcBorders>
                  <w:tcMar>
                    <w:top w:w="0" w:type="dxa"/>
                    <w:left w:w="6" w:type="dxa"/>
                    <w:bottom w:w="0" w:type="dxa"/>
                    <w:right w:w="6" w:type="dxa"/>
                  </w:tcMar>
                  <w:vAlign w:val="center"/>
                </w:tcPr>
                <w:p w14:paraId="1E391F3C">
                  <w:pPr>
                    <w:keepNext w:val="0"/>
                    <w:keepLines w:val="0"/>
                    <w:pageBreakBefore w:val="0"/>
                    <w:widowControl/>
                    <w:kinsoku/>
                    <w:wordWrap/>
                    <w:overflowPunct/>
                    <w:topLinePunct w:val="0"/>
                    <w:bidi w:val="0"/>
                    <w:spacing w:line="240" w:lineRule="auto"/>
                    <w:ind w:left="0" w:leftChars="0" w:right="0" w:rightChars="0"/>
                    <w:jc w:val="center"/>
                    <w:textAlignment w:val="center"/>
                    <w:rPr>
                      <w:rFonts w:hint="eastAsia" w:ascii="Times New Roman" w:hAnsi="Times New Roman" w:eastAsia="宋体" w:cs="Times New Roman"/>
                      <w:color w:val="auto"/>
                      <w:kern w:val="0"/>
                      <w:sz w:val="21"/>
                      <w:szCs w:val="21"/>
                      <w:u w:val="none"/>
                      <w:lang w:bidi="ar"/>
                    </w:rPr>
                  </w:pPr>
                  <w:r>
                    <w:rPr>
                      <w:rFonts w:hint="eastAsia" w:ascii="Times New Roman" w:hAnsi="Times New Roman" w:eastAsia="宋体" w:cs="Times New Roman"/>
                      <w:color w:val="auto"/>
                      <w:kern w:val="0"/>
                      <w:sz w:val="21"/>
                      <w:szCs w:val="21"/>
                      <w:u w:val="none"/>
                      <w:lang w:bidi="ar"/>
                    </w:rPr>
                    <w:t>0.276</w:t>
                  </w:r>
                </w:p>
              </w:tc>
            </w:tr>
            <w:tr w14:paraId="4D1AD4B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384024A5">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restart"/>
                  <w:tcBorders>
                    <w:tl2br w:val="nil"/>
                    <w:tr2bl w:val="nil"/>
                  </w:tcBorders>
                  <w:tcMar>
                    <w:top w:w="0" w:type="dxa"/>
                    <w:left w:w="6" w:type="dxa"/>
                    <w:bottom w:w="0" w:type="dxa"/>
                    <w:right w:w="6" w:type="dxa"/>
                  </w:tcMar>
                  <w:vAlign w:val="center"/>
                </w:tcPr>
                <w:p w14:paraId="405FCE12">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ascii="Times New Roman" w:hAnsi="Times New Roman" w:eastAsia="宋体" w:cs="Times New Roman"/>
                      <w:color w:val="auto"/>
                      <w:sz w:val="21"/>
                      <w:szCs w:val="21"/>
                      <w:u w:val="none"/>
                    </w:rPr>
                    <w:t>6#发电机组排气筒出口</w:t>
                  </w:r>
                </w:p>
              </w:tc>
              <w:tc>
                <w:tcPr>
                  <w:tcW w:w="840" w:type="dxa"/>
                  <w:tcBorders>
                    <w:tl2br w:val="nil"/>
                    <w:tr2bl w:val="nil"/>
                  </w:tcBorders>
                  <w:tcMar>
                    <w:top w:w="0" w:type="dxa"/>
                    <w:left w:w="6" w:type="dxa"/>
                    <w:bottom w:w="0" w:type="dxa"/>
                    <w:right w:w="6" w:type="dxa"/>
                  </w:tcMar>
                  <w:vAlign w:val="center"/>
                </w:tcPr>
                <w:p w14:paraId="5E84EACF">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1.41</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60692AB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4.2</w:t>
                  </w:r>
                </w:p>
              </w:tc>
              <w:tc>
                <w:tcPr>
                  <w:tcW w:w="748" w:type="dxa"/>
                  <w:tcBorders>
                    <w:tl2br w:val="nil"/>
                    <w:tr2bl w:val="nil"/>
                  </w:tcBorders>
                  <w:tcMar>
                    <w:top w:w="0" w:type="dxa"/>
                    <w:left w:w="6" w:type="dxa"/>
                    <w:bottom w:w="0" w:type="dxa"/>
                    <w:right w:w="6" w:type="dxa"/>
                  </w:tcMar>
                  <w:vAlign w:val="center"/>
                </w:tcPr>
                <w:p w14:paraId="2674C88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5.9</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5043E39D">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160</w:t>
                  </w:r>
                </w:p>
              </w:tc>
              <w:tc>
                <w:tcPr>
                  <w:tcW w:w="748" w:type="dxa"/>
                  <w:tcBorders>
                    <w:tl2br w:val="nil"/>
                    <w:tr2bl w:val="nil"/>
                  </w:tcBorders>
                  <w:tcMar>
                    <w:top w:w="0" w:type="dxa"/>
                    <w:left w:w="6" w:type="dxa"/>
                    <w:bottom w:w="0" w:type="dxa"/>
                    <w:right w:w="6" w:type="dxa"/>
                  </w:tcMar>
                  <w:vAlign w:val="center"/>
                </w:tcPr>
                <w:p w14:paraId="5151A482">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0.226</w:t>
                  </w:r>
                </w:p>
              </w:tc>
              <w:tc>
                <w:tcPr>
                  <w:tcW w:w="829" w:type="dxa"/>
                  <w:tcBorders>
                    <w:tl2br w:val="nil"/>
                    <w:tr2bl w:val="nil"/>
                  </w:tcBorders>
                  <w:tcMar>
                    <w:top w:w="0" w:type="dxa"/>
                    <w:left w:w="6" w:type="dxa"/>
                    <w:bottom w:w="0" w:type="dxa"/>
                    <w:right w:w="6" w:type="dxa"/>
                  </w:tcMar>
                  <w:vAlign w:val="center"/>
                </w:tcPr>
                <w:p w14:paraId="361AB922">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26.2</w:t>
                  </w:r>
                </w:p>
              </w:tc>
              <w:tc>
                <w:tcPr>
                  <w:tcW w:w="750" w:type="dxa"/>
                  <w:tcBorders>
                    <w:tl2br w:val="nil"/>
                    <w:tr2bl w:val="nil"/>
                  </w:tcBorders>
                  <w:tcMar>
                    <w:top w:w="0" w:type="dxa"/>
                    <w:left w:w="6" w:type="dxa"/>
                    <w:bottom w:w="0" w:type="dxa"/>
                    <w:right w:w="6" w:type="dxa"/>
                  </w:tcMar>
                  <w:vAlign w:val="center"/>
                </w:tcPr>
                <w:p w14:paraId="58ABA6A2">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0.0369</w:t>
                  </w:r>
                </w:p>
              </w:tc>
              <w:tc>
                <w:tcPr>
                  <w:tcW w:w="829" w:type="dxa"/>
                  <w:tcBorders>
                    <w:tl2br w:val="nil"/>
                    <w:tr2bl w:val="nil"/>
                  </w:tcBorders>
                  <w:tcMar>
                    <w:top w:w="0" w:type="dxa"/>
                    <w:left w:w="6" w:type="dxa"/>
                    <w:bottom w:w="0" w:type="dxa"/>
                    <w:right w:w="6" w:type="dxa"/>
                  </w:tcMar>
                  <w:vAlign w:val="center"/>
                </w:tcPr>
                <w:p w14:paraId="2DA4411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177</w:t>
                  </w:r>
                </w:p>
              </w:tc>
              <w:tc>
                <w:tcPr>
                  <w:tcW w:w="751" w:type="dxa"/>
                  <w:tcBorders>
                    <w:tl2br w:val="nil"/>
                    <w:tr2bl w:val="nil"/>
                  </w:tcBorders>
                  <w:tcMar>
                    <w:top w:w="0" w:type="dxa"/>
                    <w:left w:w="6" w:type="dxa"/>
                    <w:bottom w:w="0" w:type="dxa"/>
                    <w:right w:w="6" w:type="dxa"/>
                  </w:tcMar>
                  <w:vAlign w:val="center"/>
                </w:tcPr>
                <w:p w14:paraId="220C9029">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0.250</w:t>
                  </w:r>
                </w:p>
              </w:tc>
            </w:tr>
            <w:tr w14:paraId="21CBCDD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5C9049F5">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2649F068">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564ECFC1">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1.36</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0852905A">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4.5</w:t>
                  </w:r>
                </w:p>
              </w:tc>
              <w:tc>
                <w:tcPr>
                  <w:tcW w:w="748" w:type="dxa"/>
                  <w:tcBorders>
                    <w:tl2br w:val="nil"/>
                    <w:tr2bl w:val="nil"/>
                  </w:tcBorders>
                  <w:tcMar>
                    <w:top w:w="0" w:type="dxa"/>
                    <w:left w:w="6" w:type="dxa"/>
                    <w:bottom w:w="0" w:type="dxa"/>
                    <w:right w:w="6" w:type="dxa"/>
                  </w:tcMar>
                  <w:vAlign w:val="center"/>
                </w:tcPr>
                <w:p w14:paraId="15209A69">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6.1</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0EB7792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172</w:t>
                  </w:r>
                </w:p>
              </w:tc>
              <w:tc>
                <w:tcPr>
                  <w:tcW w:w="748" w:type="dxa"/>
                  <w:tcBorders>
                    <w:tl2br w:val="nil"/>
                    <w:tr2bl w:val="nil"/>
                  </w:tcBorders>
                  <w:tcMar>
                    <w:top w:w="0" w:type="dxa"/>
                    <w:left w:w="6" w:type="dxa"/>
                    <w:bottom w:w="0" w:type="dxa"/>
                    <w:right w:w="6" w:type="dxa"/>
                  </w:tcMar>
                  <w:vAlign w:val="center"/>
                </w:tcPr>
                <w:p w14:paraId="20A0D85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0.234</w:t>
                  </w:r>
                </w:p>
              </w:tc>
              <w:tc>
                <w:tcPr>
                  <w:tcW w:w="829" w:type="dxa"/>
                  <w:tcBorders>
                    <w:tl2br w:val="nil"/>
                    <w:tr2bl w:val="nil"/>
                  </w:tcBorders>
                  <w:tcMar>
                    <w:top w:w="0" w:type="dxa"/>
                    <w:left w:w="6" w:type="dxa"/>
                    <w:bottom w:w="0" w:type="dxa"/>
                    <w:right w:w="6" w:type="dxa"/>
                  </w:tcMar>
                  <w:vAlign w:val="center"/>
                </w:tcPr>
                <w:p w14:paraId="6FA6597D">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33.7</w:t>
                  </w:r>
                </w:p>
              </w:tc>
              <w:tc>
                <w:tcPr>
                  <w:tcW w:w="750" w:type="dxa"/>
                  <w:tcBorders>
                    <w:tl2br w:val="nil"/>
                    <w:tr2bl w:val="nil"/>
                  </w:tcBorders>
                  <w:tcMar>
                    <w:top w:w="0" w:type="dxa"/>
                    <w:left w:w="6" w:type="dxa"/>
                    <w:bottom w:w="0" w:type="dxa"/>
                    <w:right w:w="6" w:type="dxa"/>
                  </w:tcMar>
                  <w:vAlign w:val="center"/>
                </w:tcPr>
                <w:p w14:paraId="73D55C76">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0.0458</w:t>
                  </w:r>
                </w:p>
              </w:tc>
              <w:tc>
                <w:tcPr>
                  <w:tcW w:w="829" w:type="dxa"/>
                  <w:tcBorders>
                    <w:tl2br w:val="nil"/>
                    <w:tr2bl w:val="nil"/>
                  </w:tcBorders>
                  <w:tcMar>
                    <w:top w:w="0" w:type="dxa"/>
                    <w:left w:w="6" w:type="dxa"/>
                    <w:bottom w:w="0" w:type="dxa"/>
                    <w:right w:w="6" w:type="dxa"/>
                  </w:tcMar>
                  <w:vAlign w:val="center"/>
                </w:tcPr>
                <w:p w14:paraId="5727E8E5">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195</w:t>
                  </w:r>
                </w:p>
              </w:tc>
              <w:tc>
                <w:tcPr>
                  <w:tcW w:w="751" w:type="dxa"/>
                  <w:tcBorders>
                    <w:tl2br w:val="nil"/>
                    <w:tr2bl w:val="nil"/>
                  </w:tcBorders>
                  <w:tcMar>
                    <w:top w:w="0" w:type="dxa"/>
                    <w:left w:w="6" w:type="dxa"/>
                    <w:bottom w:w="0" w:type="dxa"/>
                    <w:right w:w="6" w:type="dxa"/>
                  </w:tcMar>
                  <w:vAlign w:val="center"/>
                </w:tcPr>
                <w:p w14:paraId="3CA931EB">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0.265</w:t>
                  </w:r>
                </w:p>
              </w:tc>
            </w:tr>
            <w:tr w14:paraId="455B718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7" w:hRule="atLeast"/>
                <w:jc w:val="center"/>
              </w:trPr>
              <w:tc>
                <w:tcPr>
                  <w:tcW w:w="630" w:type="dxa"/>
                  <w:vMerge w:val="continue"/>
                  <w:tcBorders>
                    <w:tl2br w:val="nil"/>
                    <w:tr2bl w:val="nil"/>
                  </w:tcBorders>
                  <w:tcMar>
                    <w:top w:w="0" w:type="dxa"/>
                    <w:left w:w="6" w:type="dxa"/>
                    <w:bottom w:w="0" w:type="dxa"/>
                    <w:right w:w="6" w:type="dxa"/>
                  </w:tcMar>
                  <w:vAlign w:val="center"/>
                </w:tcPr>
                <w:p w14:paraId="185DDC79">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vMerge w:val="continue"/>
                  <w:tcBorders>
                    <w:tl2br w:val="nil"/>
                    <w:tr2bl w:val="nil"/>
                  </w:tcBorders>
                  <w:tcMar>
                    <w:top w:w="0" w:type="dxa"/>
                    <w:left w:w="6" w:type="dxa"/>
                    <w:bottom w:w="0" w:type="dxa"/>
                    <w:right w:w="6" w:type="dxa"/>
                  </w:tcMar>
                  <w:vAlign w:val="center"/>
                </w:tcPr>
                <w:p w14:paraId="6D505DED">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p>
              </w:tc>
              <w:tc>
                <w:tcPr>
                  <w:tcW w:w="840" w:type="dxa"/>
                  <w:tcBorders>
                    <w:tl2br w:val="nil"/>
                    <w:tr2bl w:val="nil"/>
                  </w:tcBorders>
                  <w:tcMar>
                    <w:top w:w="0" w:type="dxa"/>
                    <w:left w:w="6" w:type="dxa"/>
                    <w:bottom w:w="0" w:type="dxa"/>
                    <w:right w:w="6" w:type="dxa"/>
                  </w:tcMar>
                  <w:vAlign w:val="center"/>
                </w:tcPr>
                <w:p w14:paraId="1D42BEFD">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1.38</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620536F7">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3.8</w:t>
                  </w:r>
                </w:p>
              </w:tc>
              <w:tc>
                <w:tcPr>
                  <w:tcW w:w="748" w:type="dxa"/>
                  <w:tcBorders>
                    <w:tl2br w:val="nil"/>
                    <w:tr2bl w:val="nil"/>
                  </w:tcBorders>
                  <w:tcMar>
                    <w:top w:w="0" w:type="dxa"/>
                    <w:left w:w="6" w:type="dxa"/>
                    <w:bottom w:w="0" w:type="dxa"/>
                    <w:right w:w="6" w:type="dxa"/>
                  </w:tcMar>
                  <w:vAlign w:val="center"/>
                </w:tcPr>
                <w:p w14:paraId="063D822E">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5.2</w:t>
                  </w:r>
                  <w:r>
                    <w:rPr>
                      <w:rFonts w:ascii="Times New Roman" w:hAnsi="Times New Roman" w:cs="Times New Roman"/>
                      <w:color w:val="auto"/>
                      <w:sz w:val="21"/>
                      <w:szCs w:val="21"/>
                      <w:u w:val="none"/>
                      <w:lang w:bidi="ar"/>
                    </w:rPr>
                    <w:t>×10</w:t>
                  </w:r>
                  <w:r>
                    <w:rPr>
                      <w:rFonts w:hint="eastAsia" w:ascii="Times New Roman" w:hAnsi="Times New Roman" w:cs="Times New Roman"/>
                      <w:color w:val="auto"/>
                      <w:sz w:val="21"/>
                      <w:szCs w:val="21"/>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657E823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152</w:t>
                  </w:r>
                </w:p>
              </w:tc>
              <w:tc>
                <w:tcPr>
                  <w:tcW w:w="748" w:type="dxa"/>
                  <w:tcBorders>
                    <w:tl2br w:val="nil"/>
                    <w:tr2bl w:val="nil"/>
                  </w:tcBorders>
                  <w:tcMar>
                    <w:top w:w="0" w:type="dxa"/>
                    <w:left w:w="6" w:type="dxa"/>
                    <w:bottom w:w="0" w:type="dxa"/>
                    <w:right w:w="6" w:type="dxa"/>
                  </w:tcMar>
                  <w:vAlign w:val="center"/>
                </w:tcPr>
                <w:p w14:paraId="5B5506D4">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0.210</w:t>
                  </w:r>
                </w:p>
              </w:tc>
              <w:tc>
                <w:tcPr>
                  <w:tcW w:w="829" w:type="dxa"/>
                  <w:tcBorders>
                    <w:tl2br w:val="nil"/>
                    <w:tr2bl w:val="nil"/>
                  </w:tcBorders>
                  <w:tcMar>
                    <w:top w:w="0" w:type="dxa"/>
                    <w:left w:w="6" w:type="dxa"/>
                    <w:bottom w:w="0" w:type="dxa"/>
                    <w:right w:w="6" w:type="dxa"/>
                  </w:tcMar>
                  <w:vAlign w:val="center"/>
                </w:tcPr>
                <w:p w14:paraId="60C106AB">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ascii="Times New Roman" w:hAnsi="Times New Roman" w:cs="Times New Roman"/>
                      <w:color w:val="auto"/>
                      <w:kern w:val="0"/>
                      <w:sz w:val="21"/>
                      <w:szCs w:val="21"/>
                      <w:u w:val="none"/>
                      <w:lang w:bidi="ar"/>
                    </w:rPr>
                    <w:t>36</w:t>
                  </w:r>
                  <w:r>
                    <w:rPr>
                      <w:rFonts w:hint="eastAsia" w:ascii="Times New Roman" w:hAnsi="Times New Roman" w:cs="Times New Roman"/>
                      <w:color w:val="auto"/>
                      <w:kern w:val="0"/>
                      <w:sz w:val="21"/>
                      <w:szCs w:val="21"/>
                      <w:u w:val="none"/>
                      <w:lang w:bidi="ar"/>
                    </w:rPr>
                    <w:t>.0</w:t>
                  </w:r>
                </w:p>
              </w:tc>
              <w:tc>
                <w:tcPr>
                  <w:tcW w:w="750" w:type="dxa"/>
                  <w:tcBorders>
                    <w:tl2br w:val="nil"/>
                    <w:tr2bl w:val="nil"/>
                  </w:tcBorders>
                  <w:tcMar>
                    <w:top w:w="0" w:type="dxa"/>
                    <w:left w:w="6" w:type="dxa"/>
                    <w:bottom w:w="0" w:type="dxa"/>
                    <w:right w:w="6" w:type="dxa"/>
                  </w:tcMar>
                  <w:vAlign w:val="center"/>
                </w:tcPr>
                <w:p w14:paraId="29F08B8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0.0497</w:t>
                  </w:r>
                </w:p>
              </w:tc>
              <w:tc>
                <w:tcPr>
                  <w:tcW w:w="829" w:type="dxa"/>
                  <w:tcBorders>
                    <w:tl2br w:val="nil"/>
                    <w:tr2bl w:val="nil"/>
                  </w:tcBorders>
                  <w:tcMar>
                    <w:top w:w="0" w:type="dxa"/>
                    <w:left w:w="6" w:type="dxa"/>
                    <w:bottom w:w="0" w:type="dxa"/>
                    <w:right w:w="6" w:type="dxa"/>
                  </w:tcMar>
                  <w:vAlign w:val="center"/>
                </w:tcPr>
                <w:p w14:paraId="2BFF0F7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182</w:t>
                  </w:r>
                </w:p>
              </w:tc>
              <w:tc>
                <w:tcPr>
                  <w:tcW w:w="751" w:type="dxa"/>
                  <w:tcBorders>
                    <w:tl2br w:val="nil"/>
                    <w:tr2bl w:val="nil"/>
                  </w:tcBorders>
                  <w:tcMar>
                    <w:top w:w="0" w:type="dxa"/>
                    <w:left w:w="6" w:type="dxa"/>
                    <w:bottom w:w="0" w:type="dxa"/>
                    <w:right w:w="6" w:type="dxa"/>
                  </w:tcMar>
                  <w:vAlign w:val="center"/>
                </w:tcPr>
                <w:p w14:paraId="2E7C404D">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u w:val="none"/>
                      <w:lang w:bidi="ar"/>
                    </w:rPr>
                  </w:pPr>
                  <w:r>
                    <w:rPr>
                      <w:rFonts w:hint="eastAsia" w:ascii="Times New Roman" w:hAnsi="Times New Roman" w:cs="Times New Roman"/>
                      <w:color w:val="auto"/>
                      <w:kern w:val="0"/>
                      <w:sz w:val="21"/>
                      <w:szCs w:val="21"/>
                      <w:u w:val="none"/>
                      <w:lang w:bidi="ar"/>
                    </w:rPr>
                    <w:t>0.251</w:t>
                  </w:r>
                </w:p>
              </w:tc>
            </w:tr>
            <w:tr w14:paraId="70DFDB7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52" w:hRule="atLeast"/>
                <w:jc w:val="center"/>
              </w:trPr>
              <w:tc>
                <w:tcPr>
                  <w:tcW w:w="630" w:type="dxa"/>
                  <w:vMerge w:val="continue"/>
                  <w:tcBorders>
                    <w:tl2br w:val="nil"/>
                    <w:tr2bl w:val="nil"/>
                  </w:tcBorders>
                  <w:tcMar>
                    <w:top w:w="0" w:type="dxa"/>
                    <w:left w:w="6" w:type="dxa"/>
                    <w:bottom w:w="0" w:type="dxa"/>
                    <w:right w:w="6" w:type="dxa"/>
                  </w:tcMar>
                  <w:vAlign w:val="center"/>
                </w:tcPr>
                <w:p w14:paraId="259759D8">
                  <w:pPr>
                    <w:keepNext w:val="0"/>
                    <w:keepLines w:val="0"/>
                    <w:pageBreakBefore w:val="0"/>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p>
              </w:tc>
              <w:tc>
                <w:tcPr>
                  <w:tcW w:w="797" w:type="dxa"/>
                  <w:tcBorders>
                    <w:tl2br w:val="nil"/>
                    <w:tr2bl w:val="nil"/>
                  </w:tcBorders>
                  <w:tcMar>
                    <w:top w:w="0" w:type="dxa"/>
                    <w:left w:w="6" w:type="dxa"/>
                    <w:bottom w:w="0" w:type="dxa"/>
                    <w:right w:w="6" w:type="dxa"/>
                  </w:tcMar>
                  <w:vAlign w:val="center"/>
                </w:tcPr>
                <w:p w14:paraId="4B7182CA">
                  <w:pPr>
                    <w:pStyle w:val="74"/>
                    <w:keepNext w:val="0"/>
                    <w:keepLines w:val="0"/>
                    <w:pageBreakBefore w:val="0"/>
                    <w:kinsoku/>
                    <w:wordWrap/>
                    <w:overflowPunct/>
                    <w:topLinePunct w:val="0"/>
                    <w:bidi w:val="0"/>
                    <w:spacing w:line="240" w:lineRule="auto"/>
                    <w:ind w:left="0" w:leftChars="0" w:right="0" w:rightChars="0"/>
                    <w:jc w:val="center"/>
                    <w:rPr>
                      <w:rFonts w:ascii="Times New Roman" w:hAnsi="Times New Roman" w:eastAsia="宋体" w:cs="Times New Roman"/>
                      <w:color w:val="auto"/>
                      <w:sz w:val="21"/>
                      <w:szCs w:val="21"/>
                      <w:u w:val="none"/>
                    </w:rPr>
                  </w:pPr>
                  <w:r>
                    <w:rPr>
                      <w:rFonts w:ascii="Times New Roman" w:hAnsi="Times New Roman" w:eastAsia="宋体" w:cs="Times New Roman"/>
                      <w:color w:val="auto"/>
                      <w:sz w:val="21"/>
                      <w:szCs w:val="21"/>
                      <w:u w:val="none"/>
                    </w:rPr>
                    <w:t>均值</w:t>
                  </w:r>
                </w:p>
              </w:tc>
              <w:tc>
                <w:tcPr>
                  <w:tcW w:w="840" w:type="dxa"/>
                  <w:tcBorders>
                    <w:tl2br w:val="nil"/>
                    <w:tr2bl w:val="nil"/>
                  </w:tcBorders>
                  <w:tcMar>
                    <w:top w:w="0" w:type="dxa"/>
                    <w:left w:w="6" w:type="dxa"/>
                    <w:bottom w:w="0" w:type="dxa"/>
                    <w:right w:w="6" w:type="dxa"/>
                  </w:tcMar>
                  <w:vAlign w:val="center"/>
                </w:tcPr>
                <w:p w14:paraId="471EC5A3">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lang w:bidi="ar"/>
                    </w:rPr>
                  </w:pPr>
                  <w:r>
                    <w:rPr>
                      <w:rFonts w:hint="eastAsia" w:ascii="Times New Roman" w:hAnsi="Times New Roman" w:cs="Times New Roman"/>
                      <w:color w:val="auto"/>
                      <w:sz w:val="21"/>
                      <w:szCs w:val="21"/>
                      <w:u w:val="none"/>
                      <w:lang w:bidi="ar"/>
                    </w:rPr>
                    <w:t>1.38</w:t>
                  </w:r>
                  <w:r>
                    <w:rPr>
                      <w:rFonts w:ascii="Times New Roman" w:hAnsi="Times New Roman" w:cs="Times New Roman"/>
                      <w:color w:val="auto"/>
                      <w:sz w:val="21"/>
                      <w:szCs w:val="21"/>
                      <w:u w:val="none"/>
                      <w:lang w:bidi="ar"/>
                    </w:rPr>
                    <w:t>×10</w:t>
                  </w:r>
                  <w:r>
                    <w:rPr>
                      <w:rFonts w:ascii="Times New Roman" w:hAnsi="Times New Roman" w:cs="Times New Roman"/>
                      <w:color w:val="auto"/>
                      <w:sz w:val="21"/>
                      <w:szCs w:val="21"/>
                      <w:u w:val="none"/>
                      <w:vertAlign w:val="superscript"/>
                      <w:lang w:bidi="ar"/>
                    </w:rPr>
                    <w:t>3</w:t>
                  </w:r>
                </w:p>
              </w:tc>
              <w:tc>
                <w:tcPr>
                  <w:tcW w:w="844" w:type="dxa"/>
                  <w:tcBorders>
                    <w:tl2br w:val="nil"/>
                    <w:tr2bl w:val="nil"/>
                  </w:tcBorders>
                  <w:tcMar>
                    <w:top w:w="0" w:type="dxa"/>
                    <w:left w:w="6" w:type="dxa"/>
                    <w:bottom w:w="0" w:type="dxa"/>
                    <w:right w:w="6" w:type="dxa"/>
                  </w:tcMar>
                  <w:vAlign w:val="center"/>
                </w:tcPr>
                <w:p w14:paraId="5527F65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u w:val="none"/>
                    </w:rPr>
                  </w:pPr>
                  <w:r>
                    <w:rPr>
                      <w:rFonts w:ascii="Times New Roman" w:hAnsi="Times New Roman" w:cs="Times New Roman"/>
                      <w:color w:val="auto"/>
                      <w:kern w:val="0"/>
                      <w:sz w:val="21"/>
                      <w:szCs w:val="21"/>
                      <w:u w:val="none"/>
                      <w:lang w:bidi="ar"/>
                    </w:rPr>
                    <w:t>4.1</w:t>
                  </w:r>
                </w:p>
              </w:tc>
              <w:tc>
                <w:tcPr>
                  <w:tcW w:w="748" w:type="dxa"/>
                  <w:tcBorders>
                    <w:tl2br w:val="nil"/>
                    <w:tr2bl w:val="nil"/>
                  </w:tcBorders>
                  <w:tcMar>
                    <w:top w:w="0" w:type="dxa"/>
                    <w:left w:w="6" w:type="dxa"/>
                    <w:bottom w:w="0" w:type="dxa"/>
                    <w:right w:w="6" w:type="dxa"/>
                  </w:tcMar>
                  <w:vAlign w:val="center"/>
                </w:tcPr>
                <w:p w14:paraId="5B9A605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ascii="Times New Roman" w:hAnsi="Times New Roman" w:cs="Times New Roman"/>
                      <w:color w:val="auto"/>
                      <w:kern w:val="0"/>
                      <w:sz w:val="21"/>
                      <w:szCs w:val="21"/>
                      <w:highlight w:val="none"/>
                      <w:u w:val="none"/>
                      <w:lang w:bidi="ar"/>
                    </w:rPr>
                    <w:t>5.7</w:t>
                  </w:r>
                  <w:r>
                    <w:rPr>
                      <w:rFonts w:ascii="Times New Roman" w:hAnsi="Times New Roman" w:cs="Times New Roman"/>
                      <w:color w:val="auto"/>
                      <w:sz w:val="21"/>
                      <w:szCs w:val="21"/>
                      <w:highlight w:val="none"/>
                      <w:u w:val="none"/>
                      <w:lang w:bidi="ar"/>
                    </w:rPr>
                    <w:t>×10</w:t>
                  </w:r>
                  <w:r>
                    <w:rPr>
                      <w:rFonts w:hint="eastAsia" w:ascii="Times New Roman" w:hAnsi="Times New Roman" w:cs="Times New Roman"/>
                      <w:color w:val="auto"/>
                      <w:sz w:val="21"/>
                      <w:szCs w:val="21"/>
                      <w:highlight w:val="none"/>
                      <w:u w:val="none"/>
                      <w:vertAlign w:val="superscript"/>
                      <w:lang w:bidi="ar"/>
                    </w:rPr>
                    <w:t>-3</w:t>
                  </w:r>
                </w:p>
              </w:tc>
              <w:tc>
                <w:tcPr>
                  <w:tcW w:w="829" w:type="dxa"/>
                  <w:tcBorders>
                    <w:tl2br w:val="nil"/>
                    <w:tr2bl w:val="nil"/>
                  </w:tcBorders>
                  <w:tcMar>
                    <w:top w:w="0" w:type="dxa"/>
                    <w:left w:w="6" w:type="dxa"/>
                    <w:bottom w:w="0" w:type="dxa"/>
                    <w:right w:w="6" w:type="dxa"/>
                  </w:tcMar>
                  <w:vAlign w:val="center"/>
                </w:tcPr>
                <w:p w14:paraId="70416D8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highlight w:val="none"/>
                      <w:u w:val="none"/>
                    </w:rPr>
                  </w:pPr>
                  <w:r>
                    <w:rPr>
                      <w:rFonts w:ascii="Times New Roman" w:hAnsi="Times New Roman" w:cs="Times New Roman"/>
                      <w:color w:val="auto"/>
                      <w:kern w:val="0"/>
                      <w:sz w:val="21"/>
                      <w:szCs w:val="21"/>
                      <w:highlight w:val="none"/>
                      <w:u w:val="none"/>
                      <w:lang w:bidi="ar"/>
                    </w:rPr>
                    <w:t>16</w:t>
                  </w:r>
                  <w:r>
                    <w:rPr>
                      <w:rFonts w:hint="eastAsia" w:ascii="Times New Roman" w:hAnsi="Times New Roman" w:cs="Times New Roman"/>
                      <w:color w:val="auto"/>
                      <w:kern w:val="0"/>
                      <w:sz w:val="21"/>
                      <w:szCs w:val="21"/>
                      <w:highlight w:val="none"/>
                      <w:u w:val="none"/>
                      <w:lang w:bidi="ar"/>
                    </w:rPr>
                    <w:t>2</w:t>
                  </w:r>
                </w:p>
              </w:tc>
              <w:tc>
                <w:tcPr>
                  <w:tcW w:w="748" w:type="dxa"/>
                  <w:tcBorders>
                    <w:tl2br w:val="nil"/>
                    <w:tr2bl w:val="nil"/>
                  </w:tcBorders>
                  <w:tcMar>
                    <w:top w:w="0" w:type="dxa"/>
                    <w:left w:w="6" w:type="dxa"/>
                    <w:bottom w:w="0" w:type="dxa"/>
                    <w:right w:w="6" w:type="dxa"/>
                  </w:tcMar>
                  <w:vAlign w:val="center"/>
                </w:tcPr>
                <w:p w14:paraId="3C31A2A4">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0.223</w:t>
                  </w:r>
                </w:p>
              </w:tc>
              <w:tc>
                <w:tcPr>
                  <w:tcW w:w="829" w:type="dxa"/>
                  <w:tcBorders>
                    <w:tl2br w:val="nil"/>
                    <w:tr2bl w:val="nil"/>
                  </w:tcBorders>
                  <w:tcMar>
                    <w:top w:w="0" w:type="dxa"/>
                    <w:left w:w="6" w:type="dxa"/>
                    <w:bottom w:w="0" w:type="dxa"/>
                    <w:right w:w="6" w:type="dxa"/>
                  </w:tcMar>
                  <w:vAlign w:val="center"/>
                </w:tcPr>
                <w:p w14:paraId="15062C24">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highlight w:val="none"/>
                      <w:u w:val="none"/>
                    </w:rPr>
                  </w:pPr>
                  <w:r>
                    <w:rPr>
                      <w:rFonts w:ascii="Times New Roman" w:hAnsi="Times New Roman" w:cs="Times New Roman"/>
                      <w:color w:val="auto"/>
                      <w:kern w:val="0"/>
                      <w:sz w:val="21"/>
                      <w:szCs w:val="21"/>
                      <w:highlight w:val="none"/>
                      <w:u w:val="none"/>
                      <w:lang w:bidi="ar"/>
                    </w:rPr>
                    <w:t>3</w:t>
                  </w:r>
                  <w:r>
                    <w:rPr>
                      <w:rFonts w:hint="eastAsia" w:ascii="Times New Roman" w:hAnsi="Times New Roman" w:cs="Times New Roman"/>
                      <w:color w:val="auto"/>
                      <w:kern w:val="0"/>
                      <w:sz w:val="21"/>
                      <w:szCs w:val="21"/>
                      <w:highlight w:val="none"/>
                      <w:u w:val="none"/>
                      <w:lang w:bidi="ar"/>
                    </w:rPr>
                    <w:t>2.0</w:t>
                  </w:r>
                </w:p>
              </w:tc>
              <w:tc>
                <w:tcPr>
                  <w:tcW w:w="750" w:type="dxa"/>
                  <w:tcBorders>
                    <w:tl2br w:val="nil"/>
                    <w:tr2bl w:val="nil"/>
                  </w:tcBorders>
                  <w:tcMar>
                    <w:top w:w="0" w:type="dxa"/>
                    <w:left w:w="6" w:type="dxa"/>
                    <w:bottom w:w="0" w:type="dxa"/>
                    <w:right w:w="6" w:type="dxa"/>
                  </w:tcMar>
                  <w:vAlign w:val="center"/>
                </w:tcPr>
                <w:p w14:paraId="562285F0">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0.0441</w:t>
                  </w:r>
                </w:p>
              </w:tc>
              <w:tc>
                <w:tcPr>
                  <w:tcW w:w="829" w:type="dxa"/>
                  <w:tcBorders>
                    <w:tl2br w:val="nil"/>
                    <w:tr2bl w:val="nil"/>
                  </w:tcBorders>
                  <w:tcMar>
                    <w:top w:w="0" w:type="dxa"/>
                    <w:left w:w="6" w:type="dxa"/>
                    <w:bottom w:w="0" w:type="dxa"/>
                    <w:right w:w="6" w:type="dxa"/>
                  </w:tcMar>
                  <w:vAlign w:val="center"/>
                </w:tcPr>
                <w:p w14:paraId="4E53D978">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sz w:val="21"/>
                      <w:szCs w:val="21"/>
                      <w:highlight w:val="none"/>
                      <w:u w:val="none"/>
                    </w:rPr>
                  </w:pPr>
                  <w:r>
                    <w:rPr>
                      <w:rFonts w:ascii="Times New Roman" w:hAnsi="Times New Roman" w:cs="Times New Roman"/>
                      <w:color w:val="auto"/>
                      <w:kern w:val="0"/>
                      <w:sz w:val="21"/>
                      <w:szCs w:val="21"/>
                      <w:highlight w:val="none"/>
                      <w:u w:val="none"/>
                      <w:lang w:bidi="ar"/>
                    </w:rPr>
                    <w:t>18</w:t>
                  </w:r>
                  <w:r>
                    <w:rPr>
                      <w:rFonts w:hint="eastAsia" w:ascii="Times New Roman" w:hAnsi="Times New Roman" w:cs="Times New Roman"/>
                      <w:color w:val="auto"/>
                      <w:kern w:val="0"/>
                      <w:sz w:val="21"/>
                      <w:szCs w:val="21"/>
                      <w:highlight w:val="none"/>
                      <w:u w:val="none"/>
                      <w:lang w:bidi="ar"/>
                    </w:rPr>
                    <w:t>5</w:t>
                  </w:r>
                </w:p>
              </w:tc>
              <w:tc>
                <w:tcPr>
                  <w:tcW w:w="751" w:type="dxa"/>
                  <w:tcBorders>
                    <w:tl2br w:val="nil"/>
                    <w:tr2bl w:val="nil"/>
                  </w:tcBorders>
                  <w:tcMar>
                    <w:top w:w="0" w:type="dxa"/>
                    <w:left w:w="6" w:type="dxa"/>
                    <w:bottom w:w="0" w:type="dxa"/>
                    <w:right w:w="6" w:type="dxa"/>
                  </w:tcMar>
                  <w:vAlign w:val="center"/>
                </w:tcPr>
                <w:p w14:paraId="3B99D98C">
                  <w:pPr>
                    <w:keepNext w:val="0"/>
                    <w:keepLines w:val="0"/>
                    <w:pageBreakBefore w:val="0"/>
                    <w:widowControl/>
                    <w:kinsoku/>
                    <w:wordWrap/>
                    <w:overflowPunct/>
                    <w:topLinePunct w:val="0"/>
                    <w:bidi w:val="0"/>
                    <w:spacing w:line="240" w:lineRule="auto"/>
                    <w:ind w:left="0" w:leftChars="0" w:right="0" w:rightChars="0"/>
                    <w:jc w:val="center"/>
                    <w:textAlignment w:val="center"/>
                    <w:rPr>
                      <w:rFonts w:ascii="Times New Roman" w:hAnsi="Times New Roman" w:cs="Times New Roman"/>
                      <w:color w:val="auto"/>
                      <w:kern w:val="0"/>
                      <w:sz w:val="21"/>
                      <w:szCs w:val="21"/>
                      <w:highlight w:val="none"/>
                      <w:u w:val="none"/>
                      <w:lang w:bidi="ar"/>
                    </w:rPr>
                  </w:pPr>
                  <w:r>
                    <w:rPr>
                      <w:rFonts w:hint="eastAsia" w:ascii="Times New Roman" w:hAnsi="Times New Roman" w:cs="Times New Roman"/>
                      <w:color w:val="auto"/>
                      <w:kern w:val="0"/>
                      <w:sz w:val="21"/>
                      <w:szCs w:val="21"/>
                      <w:highlight w:val="none"/>
                      <w:u w:val="none"/>
                      <w:lang w:bidi="ar"/>
                    </w:rPr>
                    <w:t>0.255</w:t>
                  </w:r>
                </w:p>
              </w:tc>
            </w:tr>
          </w:tbl>
          <w:p w14:paraId="48EF51A6">
            <w:pPr>
              <w:pStyle w:val="103"/>
              <w:keepNext w:val="0"/>
              <w:keepLines w:val="0"/>
              <w:pageBreakBefore w:val="0"/>
              <w:widowControl w:val="0"/>
              <w:kinsoku/>
              <w:wordWrap/>
              <w:overflowPunct/>
              <w:topLinePunct w:val="0"/>
              <w:autoSpaceDE/>
              <w:autoSpaceDN/>
              <w:bidi w:val="0"/>
              <w:spacing w:before="0" w:beforeLines="0" w:after="0" w:afterLines="0" w:line="500" w:lineRule="exact"/>
              <w:ind w:firstLine="480" w:firstLineChars="200"/>
              <w:rPr>
                <w:rStyle w:val="104"/>
                <w:rFonts w:ascii="Times New Roman" w:hAnsi="Times New Roman" w:eastAsia="黑体" w:cs="Times New Roman"/>
                <w:color w:val="auto"/>
                <w:highlight w:val="none"/>
                <w:u w:val="none"/>
              </w:rPr>
            </w:pPr>
            <w:r>
              <w:rPr>
                <w:rStyle w:val="104"/>
                <w:rFonts w:hint="eastAsia" w:ascii="Times New Roman" w:hAnsi="Times New Roman" w:cs="Times New Roman"/>
                <w:color w:val="auto"/>
                <w:u w:val="none"/>
              </w:rPr>
              <w:t>根据</w:t>
            </w:r>
            <w:r>
              <w:rPr>
                <w:rStyle w:val="104"/>
                <w:rFonts w:hint="eastAsia" w:ascii="Times New Roman" w:hAnsi="Times New Roman" w:eastAsia="宋体" w:cs="Times New Roman"/>
                <w:color w:val="auto"/>
                <w:u w:val="none"/>
                <w:lang w:val="en-US" w:eastAsia="zh-CN"/>
              </w:rPr>
              <w:t>平煤煌龙新能源有限公司十二矿瓦斯发电站升级改造项目</w:t>
            </w:r>
            <w:r>
              <w:rPr>
                <w:rStyle w:val="104"/>
                <w:rFonts w:hint="eastAsia" w:ascii="Times New Roman" w:hAnsi="Times New Roman" w:eastAsia="宋体" w:cs="Times New Roman"/>
                <w:color w:val="auto"/>
                <w:u w:val="none"/>
                <w:lang w:val="zh-CN" w:eastAsia="zh-CN"/>
              </w:rPr>
              <w:t>竣工环境保护验收监测</w:t>
            </w:r>
            <w:r>
              <w:rPr>
                <w:rStyle w:val="104"/>
                <w:rFonts w:hint="eastAsia" w:ascii="Times New Roman" w:hAnsi="Times New Roman" w:cs="Times New Roman"/>
                <w:color w:val="auto"/>
                <w:u w:val="none"/>
              </w:rPr>
              <w:t>数据，本次环评</w:t>
            </w:r>
            <w:r>
              <w:rPr>
                <w:rStyle w:val="104"/>
                <w:rFonts w:hint="eastAsia" w:ascii="Times New Roman" w:hAnsi="Times New Roman" w:eastAsia="宋体" w:cs="Times New Roman"/>
                <w:color w:val="auto"/>
                <w:u w:val="none"/>
                <w:lang w:val="en-US" w:eastAsia="zh-CN"/>
              </w:rPr>
              <w:t>对比同功率发电机组（</w:t>
            </w:r>
            <w:r>
              <w:rPr>
                <w:rStyle w:val="104"/>
                <w:rFonts w:hint="eastAsia" w:ascii="Times New Roman" w:hAnsi="Times New Roman" w:eastAsia="宋体" w:cs="Times New Roman"/>
                <w:color w:val="auto"/>
                <w:highlight w:val="none"/>
                <w:u w:val="none"/>
                <w:lang w:val="en-US" w:eastAsia="zh-CN"/>
              </w:rPr>
              <w:t>5#、6#机组</w:t>
            </w:r>
            <w:r>
              <w:rPr>
                <w:rStyle w:val="104"/>
                <w:rFonts w:hint="eastAsia" w:ascii="Times New Roman" w:hAnsi="Times New Roman" w:eastAsia="宋体" w:cs="Times New Roman"/>
                <w:color w:val="auto"/>
                <w:u w:val="none"/>
                <w:lang w:val="en-US" w:eastAsia="zh-CN"/>
              </w:rPr>
              <w:t>）</w:t>
            </w:r>
            <w:r>
              <w:rPr>
                <w:rStyle w:val="104"/>
                <w:rFonts w:hint="eastAsia" w:ascii="Times New Roman" w:hAnsi="Times New Roman" w:cs="Times New Roman"/>
                <w:color w:val="auto"/>
                <w:u w:val="none"/>
              </w:rPr>
              <w:t>取其平均值进行了类比，</w:t>
            </w:r>
            <w:r>
              <w:rPr>
                <w:rStyle w:val="104"/>
                <w:rFonts w:hint="eastAsia" w:ascii="Times New Roman" w:hAnsi="Times New Roman" w:eastAsia="宋体" w:cs="Times New Roman"/>
                <w:color w:val="auto"/>
                <w:highlight w:val="none"/>
                <w:u w:val="none"/>
                <w:lang w:val="en-US" w:eastAsia="zh-CN"/>
              </w:rPr>
              <w:t>数据如下：</w:t>
            </w:r>
          </w:p>
          <w:p w14:paraId="5488B344">
            <w:pPr>
              <w:pStyle w:val="103"/>
              <w:keepNext w:val="0"/>
              <w:keepLines w:val="0"/>
              <w:pageBreakBefore w:val="0"/>
              <w:widowControl w:val="0"/>
              <w:kinsoku/>
              <w:wordWrap/>
              <w:overflowPunct/>
              <w:topLinePunct w:val="0"/>
              <w:autoSpaceDE/>
              <w:autoSpaceDN/>
              <w:bidi w:val="0"/>
              <w:spacing w:before="0" w:beforeLines="0" w:after="0" w:afterLines="0" w:line="500" w:lineRule="exact"/>
              <w:ind w:firstLine="482" w:firstLineChars="200"/>
              <w:rPr>
                <w:rFonts w:hint="eastAsia" w:ascii="Times New Roman" w:hAnsi="Times New Roman" w:eastAsia="宋体" w:cs="Times New Roman"/>
                <w:b/>
                <w:bCs/>
                <w:color w:val="auto"/>
                <w:kern w:val="2"/>
                <w:sz w:val="24"/>
                <w:szCs w:val="24"/>
                <w:highlight w:val="none"/>
                <w:u w:val="none"/>
                <w:lang w:val="en-US" w:eastAsia="zh-CN" w:bidi="ar-SA"/>
              </w:rPr>
            </w:pPr>
            <w:r>
              <w:rPr>
                <w:rFonts w:hint="default" w:ascii="Times New Roman" w:hAnsi="Times New Roman" w:eastAsia="宋体" w:cs="Times New Roman"/>
                <w:b/>
                <w:bCs/>
                <w:color w:val="auto"/>
                <w:kern w:val="2"/>
                <w:sz w:val="24"/>
                <w:szCs w:val="24"/>
                <w:highlight w:val="none"/>
                <w:u w:val="none"/>
                <w:lang w:val="en-US" w:eastAsia="zh-CN" w:bidi="ar-SA"/>
              </w:rPr>
              <w:t>①</w:t>
            </w:r>
            <w:r>
              <w:rPr>
                <w:rFonts w:hint="eastAsia" w:ascii="Times New Roman" w:hAnsi="Times New Roman" w:eastAsia="宋体" w:cs="Times New Roman"/>
                <w:b/>
                <w:bCs/>
                <w:color w:val="auto"/>
                <w:kern w:val="2"/>
                <w:sz w:val="24"/>
                <w:szCs w:val="24"/>
                <w:highlight w:val="none"/>
                <w:u w:val="none"/>
                <w:lang w:val="en-US" w:eastAsia="zh-CN" w:bidi="ar-SA"/>
              </w:rPr>
              <w:t>颗粒物源强核算</w:t>
            </w:r>
          </w:p>
          <w:p w14:paraId="31BB82CB">
            <w:pPr>
              <w:pStyle w:val="42"/>
              <w:keepNext w:val="0"/>
              <w:keepLines w:val="0"/>
              <w:pageBreakBefore w:val="0"/>
              <w:widowControl w:val="0"/>
              <w:kinsoku/>
              <w:wordWrap/>
              <w:overflowPunct/>
              <w:topLinePunct w:val="0"/>
              <w:autoSpaceDE/>
              <w:autoSpaceDN/>
              <w:bidi w:val="0"/>
              <w:spacing w:line="500" w:lineRule="exact"/>
              <w:ind w:firstLine="480"/>
              <w:rPr>
                <w:rStyle w:val="104"/>
                <w:rFonts w:hint="eastAsia" w:ascii="Times New Roman" w:hAnsi="Times New Roman" w:eastAsia="宋体" w:cs="Times New Roman"/>
                <w:color w:val="auto"/>
                <w:highlight w:val="none"/>
                <w:u w:val="none"/>
                <w:lang w:val="en-US" w:eastAsia="zh-CN" w:bidi="ar-SA"/>
              </w:rPr>
            </w:pPr>
            <w:r>
              <w:rPr>
                <w:rStyle w:val="104"/>
                <w:rFonts w:hint="eastAsia" w:ascii="Times New Roman" w:hAnsi="Times New Roman" w:eastAsia="宋体" w:cs="Times New Roman"/>
                <w:color w:val="auto"/>
                <w:highlight w:val="none"/>
                <w:u w:val="none"/>
                <w:lang w:val="en-US" w:eastAsia="zh-CN" w:bidi="ar-SA"/>
              </w:rPr>
              <w:t>项目营运期瓦斯使用量共为</w:t>
            </w:r>
            <w:r>
              <w:rPr>
                <w:rStyle w:val="104"/>
                <w:rFonts w:hint="eastAsia" w:ascii="Times New Roman" w:hAnsi="Times New Roman" w:cs="Times New Roman"/>
                <w:color w:val="auto"/>
                <w:highlight w:val="none"/>
                <w:u w:val="none"/>
                <w:lang w:val="en-US" w:eastAsia="zh-CN" w:bidi="ar-SA"/>
              </w:rPr>
              <w:t>1152</w:t>
            </w:r>
            <w:r>
              <w:rPr>
                <w:rStyle w:val="104"/>
                <w:rFonts w:hint="eastAsia" w:ascii="Times New Roman" w:hAnsi="Times New Roman" w:eastAsia="宋体" w:cs="Times New Roman"/>
                <w:color w:val="auto"/>
                <w:highlight w:val="none"/>
                <w:u w:val="none"/>
                <w:lang w:val="en-US" w:eastAsia="zh-CN" w:bidi="ar-SA"/>
              </w:rPr>
              <w:t>万m</w:t>
            </w:r>
            <w:r>
              <w:rPr>
                <w:rStyle w:val="104"/>
                <w:rFonts w:hint="eastAsia" w:ascii="Times New Roman" w:hAnsi="Times New Roman" w:eastAsia="宋体" w:cs="Times New Roman"/>
                <w:color w:val="auto"/>
                <w:highlight w:val="none"/>
                <w:u w:val="none"/>
                <w:vertAlign w:val="superscript"/>
                <w:lang w:val="en-US" w:eastAsia="zh-CN" w:bidi="ar-SA"/>
              </w:rPr>
              <w:t>3</w:t>
            </w:r>
            <w:r>
              <w:rPr>
                <w:rStyle w:val="104"/>
                <w:rFonts w:hint="eastAsia" w:ascii="Times New Roman" w:hAnsi="Times New Roman" w:eastAsia="宋体" w:cs="Times New Roman"/>
                <w:color w:val="auto"/>
                <w:highlight w:val="none"/>
                <w:u w:val="none"/>
                <w:lang w:val="en-US" w:eastAsia="zh-CN" w:bidi="ar-SA"/>
              </w:rPr>
              <w:t>/a，</w:t>
            </w:r>
            <w:r>
              <w:rPr>
                <w:rStyle w:val="104"/>
                <w:rFonts w:hint="eastAsia" w:ascii="Times New Roman" w:hAnsi="Times New Roman" w:cs="Times New Roman"/>
                <w:color w:val="auto"/>
                <w:highlight w:val="none"/>
                <w:u w:val="none"/>
                <w:lang w:val="en-US" w:eastAsia="zh-CN" w:bidi="ar-SA"/>
              </w:rPr>
              <w:t>年发电量为2304万度，</w:t>
            </w:r>
            <w:r>
              <w:rPr>
                <w:rStyle w:val="104"/>
                <w:rFonts w:hint="eastAsia" w:ascii="Times New Roman" w:hAnsi="Times New Roman" w:eastAsia="宋体" w:cs="Times New Roman"/>
                <w:color w:val="auto"/>
                <w:highlight w:val="none"/>
                <w:u w:val="none"/>
                <w:lang w:val="en-US" w:eastAsia="zh-CN" w:bidi="ar-SA"/>
              </w:rPr>
              <w:t>根据监测报告中</w:t>
            </w:r>
            <w:r>
              <w:rPr>
                <w:rStyle w:val="104"/>
                <w:rFonts w:hint="eastAsia" w:ascii="Times New Roman" w:hAnsi="Times New Roman" w:cs="Times New Roman"/>
                <w:color w:val="auto"/>
                <w:highlight w:val="none"/>
                <w:u w:val="none"/>
                <w:lang w:val="en-US" w:eastAsia="zh-CN" w:bidi="ar-SA"/>
              </w:rPr>
              <w:t>的排放速率均值0.006kg/h</w:t>
            </w:r>
            <w:r>
              <w:rPr>
                <w:rStyle w:val="104"/>
                <w:rFonts w:hint="eastAsia" w:ascii="Times New Roman" w:hAnsi="Times New Roman" w:eastAsia="宋体" w:cs="Times New Roman"/>
                <w:color w:val="auto"/>
                <w:highlight w:val="none"/>
                <w:u w:val="none"/>
                <w:lang w:val="en-US" w:eastAsia="zh-CN" w:bidi="ar-SA"/>
              </w:rPr>
              <w:t>，可以</w:t>
            </w:r>
            <w:r>
              <w:rPr>
                <w:rStyle w:val="104"/>
                <w:rFonts w:hint="eastAsia" w:ascii="Times New Roman" w:hAnsi="Times New Roman" w:cs="Times New Roman"/>
                <w:color w:val="auto"/>
                <w:highlight w:val="none"/>
                <w:u w:val="none"/>
                <w:lang w:val="en-US" w:eastAsia="zh-CN" w:bidi="ar-SA"/>
              </w:rPr>
              <w:t>类比</w:t>
            </w:r>
            <w:r>
              <w:rPr>
                <w:rStyle w:val="104"/>
                <w:rFonts w:hint="eastAsia" w:ascii="Times New Roman" w:hAnsi="Times New Roman" w:eastAsia="宋体" w:cs="Times New Roman"/>
                <w:color w:val="auto"/>
                <w:highlight w:val="none"/>
                <w:u w:val="none"/>
                <w:lang w:val="en-US" w:eastAsia="zh-CN" w:bidi="ar-SA"/>
              </w:rPr>
              <w:t>计算出颗粒物的排放量为</w:t>
            </w:r>
            <w:r>
              <w:rPr>
                <w:rStyle w:val="104"/>
                <w:rFonts w:hint="eastAsia" w:ascii="Times New Roman" w:hAnsi="Times New Roman" w:cs="Times New Roman"/>
                <w:color w:val="auto"/>
                <w:highlight w:val="none"/>
                <w:u w:val="none"/>
                <w:lang w:val="en-US" w:eastAsia="zh-CN" w:bidi="ar-SA"/>
              </w:rPr>
              <w:t>0.207</w:t>
            </w:r>
            <w:r>
              <w:rPr>
                <w:rStyle w:val="104"/>
                <w:rFonts w:hint="eastAsia" w:ascii="Times New Roman" w:hAnsi="Times New Roman" w:eastAsia="宋体" w:cs="Times New Roman"/>
                <w:color w:val="auto"/>
                <w:highlight w:val="none"/>
                <w:u w:val="none"/>
                <w:lang w:val="en-US" w:eastAsia="zh-CN" w:bidi="ar-SA"/>
              </w:rPr>
              <w:t>t/a，排放绩效为</w:t>
            </w:r>
            <w:r>
              <w:rPr>
                <w:rStyle w:val="104"/>
                <w:rFonts w:hint="eastAsia" w:ascii="Times New Roman" w:hAnsi="Times New Roman" w:cs="Times New Roman"/>
                <w:color w:val="auto"/>
                <w:highlight w:val="none"/>
                <w:u w:val="none"/>
                <w:lang w:val="en-US" w:eastAsia="zh-CN" w:bidi="ar-SA"/>
              </w:rPr>
              <w:t>9.0</w:t>
            </w:r>
            <w:r>
              <w:rPr>
                <w:rStyle w:val="104"/>
                <w:rFonts w:hint="eastAsia" w:ascii="Times New Roman" w:hAnsi="Times New Roman" w:eastAsia="宋体" w:cs="Times New Roman"/>
                <w:color w:val="auto"/>
                <w:highlight w:val="none"/>
                <w:u w:val="none"/>
                <w:lang w:val="en-US" w:eastAsia="zh-CN" w:bidi="ar-SA"/>
              </w:rPr>
              <w:t>mg/kwh。</w:t>
            </w:r>
          </w:p>
          <w:p w14:paraId="3CC317BF">
            <w:pPr>
              <w:pStyle w:val="103"/>
              <w:keepNext w:val="0"/>
              <w:keepLines w:val="0"/>
              <w:pageBreakBefore w:val="0"/>
              <w:widowControl w:val="0"/>
              <w:kinsoku/>
              <w:wordWrap/>
              <w:overflowPunct/>
              <w:topLinePunct w:val="0"/>
              <w:autoSpaceDE/>
              <w:autoSpaceDN/>
              <w:bidi w:val="0"/>
              <w:spacing w:before="0" w:beforeLines="0" w:after="0" w:afterLines="0" w:line="500" w:lineRule="exact"/>
              <w:ind w:firstLine="482" w:firstLineChars="200"/>
              <w:rPr>
                <w:rFonts w:hint="eastAsia" w:ascii="Times New Roman" w:hAnsi="Times New Roman" w:eastAsia="宋体" w:cs="Times New Roman"/>
                <w:b/>
                <w:bCs/>
                <w:color w:val="auto"/>
                <w:kern w:val="2"/>
                <w:sz w:val="24"/>
                <w:szCs w:val="24"/>
                <w:highlight w:val="none"/>
                <w:u w:val="none"/>
                <w:lang w:val="en-US" w:eastAsia="zh-CN" w:bidi="ar-SA"/>
              </w:rPr>
            </w:pPr>
            <w:r>
              <w:rPr>
                <w:rFonts w:hint="default" w:ascii="Times New Roman" w:hAnsi="Times New Roman" w:eastAsia="宋体" w:cs="Times New Roman"/>
                <w:b/>
                <w:bCs/>
                <w:color w:val="auto"/>
                <w:kern w:val="2"/>
                <w:sz w:val="24"/>
                <w:szCs w:val="24"/>
                <w:highlight w:val="none"/>
                <w:u w:val="none"/>
                <w:lang w:val="en-US" w:eastAsia="zh-CN" w:bidi="ar-SA"/>
              </w:rPr>
              <w:t>②</w:t>
            </w:r>
            <w:r>
              <w:rPr>
                <w:rFonts w:hint="eastAsia" w:ascii="Times New Roman" w:hAnsi="Times New Roman" w:eastAsia="宋体" w:cs="Times New Roman"/>
                <w:b/>
                <w:bCs/>
                <w:color w:val="auto"/>
                <w:kern w:val="2"/>
                <w:sz w:val="24"/>
                <w:szCs w:val="24"/>
                <w:highlight w:val="none"/>
                <w:u w:val="none"/>
                <w:lang w:val="en-US" w:eastAsia="zh-CN" w:bidi="ar-SA"/>
              </w:rPr>
              <w:t>NOx源强核算</w:t>
            </w:r>
          </w:p>
          <w:p w14:paraId="6AF3B61D">
            <w:pPr>
              <w:pStyle w:val="42"/>
              <w:keepNext w:val="0"/>
              <w:keepLines w:val="0"/>
              <w:pageBreakBefore w:val="0"/>
              <w:widowControl w:val="0"/>
              <w:kinsoku/>
              <w:wordWrap/>
              <w:overflowPunct/>
              <w:topLinePunct w:val="0"/>
              <w:autoSpaceDE/>
              <w:autoSpaceDN/>
              <w:bidi w:val="0"/>
              <w:spacing w:line="500" w:lineRule="exact"/>
              <w:ind w:firstLine="480"/>
              <w:rPr>
                <w:rStyle w:val="104"/>
                <w:rFonts w:hint="eastAsia" w:ascii="Times New Roman" w:hAnsi="Times New Roman" w:eastAsia="宋体" w:cs="Times New Roman"/>
                <w:color w:val="auto"/>
                <w:highlight w:val="none"/>
                <w:u w:val="none"/>
                <w:lang w:val="en-US" w:eastAsia="zh-CN" w:bidi="ar-SA"/>
              </w:rPr>
            </w:pPr>
            <w:r>
              <w:rPr>
                <w:rStyle w:val="104"/>
                <w:rFonts w:hint="eastAsia" w:ascii="Times New Roman" w:hAnsi="Times New Roman" w:eastAsia="宋体" w:cs="Times New Roman"/>
                <w:color w:val="auto"/>
                <w:highlight w:val="none"/>
                <w:u w:val="none"/>
                <w:lang w:val="en-US" w:eastAsia="zh-CN" w:bidi="ar-SA"/>
              </w:rPr>
              <w:t>项目营运期瓦斯使用量共为</w:t>
            </w:r>
            <w:r>
              <w:rPr>
                <w:rStyle w:val="104"/>
                <w:rFonts w:hint="eastAsia" w:ascii="Times New Roman" w:hAnsi="Times New Roman" w:cs="Times New Roman"/>
                <w:color w:val="auto"/>
                <w:highlight w:val="none"/>
                <w:u w:val="none"/>
                <w:lang w:val="en-US" w:eastAsia="zh-CN" w:bidi="ar-SA"/>
              </w:rPr>
              <w:t>1152</w:t>
            </w:r>
            <w:r>
              <w:rPr>
                <w:rStyle w:val="104"/>
                <w:rFonts w:hint="eastAsia" w:ascii="Times New Roman" w:hAnsi="Times New Roman" w:eastAsia="宋体" w:cs="Times New Roman"/>
                <w:color w:val="auto"/>
                <w:highlight w:val="none"/>
                <w:u w:val="none"/>
                <w:lang w:val="en-US" w:eastAsia="zh-CN" w:bidi="ar-SA"/>
              </w:rPr>
              <w:t>万m</w:t>
            </w:r>
            <w:r>
              <w:rPr>
                <w:rStyle w:val="104"/>
                <w:rFonts w:hint="eastAsia" w:ascii="Times New Roman" w:hAnsi="Times New Roman" w:eastAsia="宋体" w:cs="Times New Roman"/>
                <w:color w:val="auto"/>
                <w:highlight w:val="none"/>
                <w:u w:val="none"/>
                <w:vertAlign w:val="superscript"/>
                <w:lang w:val="en-US" w:eastAsia="zh-CN" w:bidi="ar-SA"/>
              </w:rPr>
              <w:t>3</w:t>
            </w:r>
            <w:r>
              <w:rPr>
                <w:rStyle w:val="104"/>
                <w:rFonts w:hint="eastAsia" w:ascii="Times New Roman" w:hAnsi="Times New Roman" w:eastAsia="宋体" w:cs="Times New Roman"/>
                <w:color w:val="auto"/>
                <w:highlight w:val="none"/>
                <w:u w:val="none"/>
                <w:lang w:val="en-US" w:eastAsia="zh-CN" w:bidi="ar-SA"/>
              </w:rPr>
              <w:t>/a，</w:t>
            </w:r>
            <w:r>
              <w:rPr>
                <w:rStyle w:val="104"/>
                <w:rFonts w:hint="eastAsia" w:ascii="Times New Roman" w:hAnsi="Times New Roman" w:cs="Times New Roman"/>
                <w:color w:val="auto"/>
                <w:highlight w:val="none"/>
                <w:u w:val="none"/>
                <w:lang w:val="en-US" w:eastAsia="zh-CN" w:bidi="ar-SA"/>
              </w:rPr>
              <w:t>年发电量为2304万度，</w:t>
            </w:r>
            <w:r>
              <w:rPr>
                <w:rStyle w:val="104"/>
                <w:rFonts w:hint="eastAsia" w:ascii="Times New Roman" w:hAnsi="Times New Roman" w:eastAsia="宋体" w:cs="Times New Roman"/>
                <w:color w:val="auto"/>
                <w:highlight w:val="none"/>
                <w:u w:val="none"/>
                <w:lang w:val="en-US" w:eastAsia="zh-CN" w:bidi="ar-SA"/>
              </w:rPr>
              <w:t>根据监测报告中</w:t>
            </w:r>
            <w:r>
              <w:rPr>
                <w:rStyle w:val="104"/>
                <w:rFonts w:hint="eastAsia" w:ascii="Times New Roman" w:hAnsi="Times New Roman" w:cs="Times New Roman"/>
                <w:color w:val="auto"/>
                <w:highlight w:val="none"/>
                <w:u w:val="none"/>
                <w:lang w:val="en-US" w:eastAsia="zh-CN" w:bidi="ar-SA"/>
              </w:rPr>
              <w:t>的排放速率均值0.24kg/h</w:t>
            </w:r>
            <w:r>
              <w:rPr>
                <w:rStyle w:val="104"/>
                <w:rFonts w:hint="eastAsia" w:ascii="Times New Roman" w:hAnsi="Times New Roman" w:eastAsia="宋体" w:cs="Times New Roman"/>
                <w:color w:val="auto"/>
                <w:highlight w:val="none"/>
                <w:u w:val="none"/>
                <w:lang w:val="en-US" w:eastAsia="zh-CN" w:bidi="ar-SA"/>
              </w:rPr>
              <w:t>，可以</w:t>
            </w:r>
            <w:r>
              <w:rPr>
                <w:rStyle w:val="104"/>
                <w:rFonts w:hint="eastAsia" w:ascii="Times New Roman" w:hAnsi="Times New Roman" w:cs="Times New Roman"/>
                <w:color w:val="auto"/>
                <w:highlight w:val="none"/>
                <w:u w:val="none"/>
                <w:lang w:val="en-US" w:eastAsia="zh-CN" w:bidi="ar-SA"/>
              </w:rPr>
              <w:t>类比</w:t>
            </w:r>
            <w:r>
              <w:rPr>
                <w:rStyle w:val="104"/>
                <w:rFonts w:hint="eastAsia" w:ascii="Times New Roman" w:hAnsi="Times New Roman" w:eastAsia="宋体" w:cs="Times New Roman"/>
                <w:color w:val="auto"/>
                <w:highlight w:val="none"/>
                <w:u w:val="none"/>
                <w:lang w:val="en-US" w:eastAsia="zh-CN" w:bidi="ar-SA"/>
              </w:rPr>
              <w:t>计算出NOx的排放量为</w:t>
            </w:r>
            <w:r>
              <w:rPr>
                <w:rStyle w:val="104"/>
                <w:rFonts w:hint="eastAsia" w:ascii="Times New Roman" w:hAnsi="Times New Roman" w:cs="Times New Roman"/>
                <w:color w:val="auto"/>
                <w:highlight w:val="none"/>
                <w:u w:val="none"/>
                <w:lang w:val="en-US" w:eastAsia="zh-CN" w:bidi="ar-SA"/>
              </w:rPr>
              <w:t>8.29</w:t>
            </w:r>
            <w:r>
              <w:rPr>
                <w:rStyle w:val="104"/>
                <w:rFonts w:hint="eastAsia" w:ascii="Times New Roman" w:hAnsi="Times New Roman" w:eastAsia="宋体" w:cs="Times New Roman"/>
                <w:color w:val="auto"/>
                <w:highlight w:val="none"/>
                <w:u w:val="none"/>
                <w:lang w:val="en-US" w:eastAsia="zh-CN" w:bidi="ar-SA"/>
              </w:rPr>
              <w:t>t/a，排放绩效为</w:t>
            </w:r>
            <w:r>
              <w:rPr>
                <w:rStyle w:val="104"/>
                <w:rFonts w:hint="eastAsia" w:ascii="Times New Roman" w:hAnsi="Times New Roman" w:cs="Times New Roman"/>
                <w:color w:val="auto"/>
                <w:highlight w:val="none"/>
                <w:u w:val="none"/>
                <w:lang w:val="en-US" w:eastAsia="zh-CN" w:bidi="ar-SA"/>
              </w:rPr>
              <w:t>360</w:t>
            </w:r>
            <w:r>
              <w:rPr>
                <w:rStyle w:val="104"/>
                <w:rFonts w:hint="eastAsia" w:ascii="Times New Roman" w:hAnsi="Times New Roman" w:eastAsia="宋体" w:cs="Times New Roman"/>
                <w:color w:val="auto"/>
                <w:highlight w:val="none"/>
                <w:u w:val="none"/>
                <w:lang w:val="en-US" w:eastAsia="zh-CN" w:bidi="ar-SA"/>
              </w:rPr>
              <w:t>mg/kwh。</w:t>
            </w:r>
          </w:p>
          <w:p w14:paraId="530E37B6">
            <w:pPr>
              <w:pStyle w:val="42"/>
              <w:keepNext w:val="0"/>
              <w:keepLines w:val="0"/>
              <w:pageBreakBefore w:val="0"/>
              <w:widowControl w:val="0"/>
              <w:tabs>
                <w:tab w:val="left" w:pos="650"/>
              </w:tabs>
              <w:kinsoku/>
              <w:wordWrap/>
              <w:overflowPunct/>
              <w:topLinePunct w:val="0"/>
              <w:autoSpaceDE/>
              <w:autoSpaceDN/>
              <w:bidi w:val="0"/>
              <w:spacing w:line="500" w:lineRule="exact"/>
              <w:ind w:firstLine="482" w:firstLineChars="200"/>
              <w:rPr>
                <w:rFonts w:hint="eastAsia" w:ascii="Times New Roman" w:hAnsi="Times New Roman" w:eastAsia="宋体" w:cs="Times New Roman"/>
                <w:b/>
                <w:bCs/>
                <w:color w:val="auto"/>
                <w:kern w:val="2"/>
                <w:sz w:val="24"/>
                <w:szCs w:val="24"/>
                <w:highlight w:val="none"/>
                <w:u w:val="none"/>
                <w:lang w:val="en-US" w:eastAsia="zh-CN" w:bidi="ar-SA"/>
              </w:rPr>
            </w:pPr>
            <w:r>
              <w:rPr>
                <w:rFonts w:hint="default" w:ascii="Times New Roman" w:hAnsi="Times New Roman" w:eastAsia="宋体" w:cs="Times New Roman"/>
                <w:b/>
                <w:bCs/>
                <w:color w:val="auto"/>
                <w:kern w:val="2"/>
                <w:sz w:val="24"/>
                <w:szCs w:val="24"/>
                <w:highlight w:val="none"/>
                <w:u w:val="none"/>
                <w:lang w:val="en-US" w:eastAsia="zh-CN" w:bidi="ar-SA"/>
              </w:rPr>
              <w:t>③</w:t>
            </w:r>
            <w:r>
              <w:rPr>
                <w:rFonts w:hint="eastAsia" w:ascii="Times New Roman" w:hAnsi="Times New Roman" w:eastAsia="宋体" w:cs="Times New Roman"/>
                <w:b/>
                <w:bCs/>
                <w:color w:val="auto"/>
                <w:kern w:val="2"/>
                <w:sz w:val="24"/>
                <w:szCs w:val="24"/>
                <w:highlight w:val="none"/>
                <w:u w:val="none"/>
                <w:lang w:val="en-US" w:eastAsia="zh-CN" w:bidi="ar-SA"/>
              </w:rPr>
              <w:t>CO源强核算</w:t>
            </w:r>
          </w:p>
          <w:p w14:paraId="4826069B">
            <w:pPr>
              <w:pStyle w:val="42"/>
              <w:keepNext w:val="0"/>
              <w:keepLines w:val="0"/>
              <w:pageBreakBefore w:val="0"/>
              <w:widowControl w:val="0"/>
              <w:kinsoku/>
              <w:wordWrap/>
              <w:overflowPunct/>
              <w:topLinePunct w:val="0"/>
              <w:autoSpaceDE/>
              <w:autoSpaceDN/>
              <w:bidi w:val="0"/>
              <w:spacing w:line="500" w:lineRule="exact"/>
              <w:ind w:firstLine="480"/>
              <w:rPr>
                <w:color w:val="auto"/>
                <w:highlight w:val="none"/>
                <w:u w:val="none"/>
              </w:rPr>
            </w:pPr>
            <w:r>
              <w:rPr>
                <w:rStyle w:val="104"/>
                <w:rFonts w:hint="eastAsia" w:ascii="Times New Roman" w:hAnsi="Times New Roman" w:eastAsia="宋体" w:cs="Times New Roman"/>
                <w:color w:val="auto"/>
                <w:highlight w:val="none"/>
                <w:u w:val="none"/>
                <w:lang w:val="en-US" w:eastAsia="zh-CN" w:bidi="ar-SA"/>
              </w:rPr>
              <w:t>项目营运期瓦斯使用量共为</w:t>
            </w:r>
            <w:r>
              <w:rPr>
                <w:rStyle w:val="104"/>
                <w:rFonts w:hint="eastAsia" w:ascii="Times New Roman" w:hAnsi="Times New Roman" w:cs="Times New Roman"/>
                <w:color w:val="auto"/>
                <w:highlight w:val="none"/>
                <w:u w:val="none"/>
                <w:lang w:val="en-US" w:eastAsia="zh-CN" w:bidi="ar-SA"/>
              </w:rPr>
              <w:t>1152</w:t>
            </w:r>
            <w:r>
              <w:rPr>
                <w:rStyle w:val="104"/>
                <w:rFonts w:hint="eastAsia" w:ascii="Times New Roman" w:hAnsi="Times New Roman" w:eastAsia="宋体" w:cs="Times New Roman"/>
                <w:color w:val="auto"/>
                <w:highlight w:val="none"/>
                <w:u w:val="none"/>
                <w:lang w:val="en-US" w:eastAsia="zh-CN" w:bidi="ar-SA"/>
              </w:rPr>
              <w:t>万m</w:t>
            </w:r>
            <w:r>
              <w:rPr>
                <w:rStyle w:val="104"/>
                <w:rFonts w:hint="eastAsia" w:ascii="Times New Roman" w:hAnsi="Times New Roman" w:eastAsia="宋体" w:cs="Times New Roman"/>
                <w:color w:val="auto"/>
                <w:highlight w:val="none"/>
                <w:u w:val="none"/>
                <w:vertAlign w:val="superscript"/>
                <w:lang w:val="en-US" w:eastAsia="zh-CN" w:bidi="ar-SA"/>
              </w:rPr>
              <w:t>3</w:t>
            </w:r>
            <w:r>
              <w:rPr>
                <w:rStyle w:val="104"/>
                <w:rFonts w:hint="eastAsia" w:ascii="Times New Roman" w:hAnsi="Times New Roman" w:eastAsia="宋体" w:cs="Times New Roman"/>
                <w:color w:val="auto"/>
                <w:highlight w:val="none"/>
                <w:u w:val="none"/>
                <w:lang w:val="en-US" w:eastAsia="zh-CN" w:bidi="ar-SA"/>
              </w:rPr>
              <w:t>/a，</w:t>
            </w:r>
            <w:r>
              <w:rPr>
                <w:rStyle w:val="104"/>
                <w:rFonts w:hint="eastAsia" w:ascii="Times New Roman" w:hAnsi="Times New Roman" w:cs="Times New Roman"/>
                <w:color w:val="auto"/>
                <w:highlight w:val="none"/>
                <w:u w:val="none"/>
                <w:lang w:val="en-US" w:eastAsia="zh-CN" w:bidi="ar-SA"/>
              </w:rPr>
              <w:t>年发电量为2304万度，</w:t>
            </w:r>
            <w:r>
              <w:rPr>
                <w:rStyle w:val="104"/>
                <w:rFonts w:hint="eastAsia" w:ascii="Times New Roman" w:hAnsi="Times New Roman" w:eastAsia="宋体" w:cs="Times New Roman"/>
                <w:color w:val="auto"/>
                <w:highlight w:val="none"/>
                <w:u w:val="none"/>
                <w:lang w:val="en-US" w:eastAsia="zh-CN" w:bidi="ar-SA"/>
              </w:rPr>
              <w:t>根据监测报告中</w:t>
            </w:r>
            <w:r>
              <w:rPr>
                <w:rStyle w:val="104"/>
                <w:rFonts w:hint="eastAsia" w:ascii="Times New Roman" w:hAnsi="Times New Roman" w:cs="Times New Roman"/>
                <w:color w:val="auto"/>
                <w:highlight w:val="none"/>
                <w:u w:val="none"/>
                <w:lang w:val="en-US" w:eastAsia="zh-CN" w:bidi="ar-SA"/>
              </w:rPr>
              <w:t>的排放速率均值0.28kg/h</w:t>
            </w:r>
            <w:r>
              <w:rPr>
                <w:rStyle w:val="104"/>
                <w:rFonts w:hint="eastAsia" w:ascii="Times New Roman" w:hAnsi="Times New Roman" w:eastAsia="宋体" w:cs="Times New Roman"/>
                <w:color w:val="auto"/>
                <w:highlight w:val="none"/>
                <w:u w:val="none"/>
                <w:lang w:val="en-US" w:eastAsia="zh-CN" w:bidi="ar-SA"/>
              </w:rPr>
              <w:t>，可以</w:t>
            </w:r>
            <w:r>
              <w:rPr>
                <w:rStyle w:val="104"/>
                <w:rFonts w:hint="eastAsia" w:ascii="Times New Roman" w:hAnsi="Times New Roman" w:cs="Times New Roman"/>
                <w:color w:val="auto"/>
                <w:highlight w:val="none"/>
                <w:u w:val="none"/>
                <w:lang w:val="en-US" w:eastAsia="zh-CN" w:bidi="ar-SA"/>
              </w:rPr>
              <w:t>类比</w:t>
            </w:r>
            <w:r>
              <w:rPr>
                <w:rStyle w:val="104"/>
                <w:rFonts w:hint="eastAsia" w:ascii="Times New Roman" w:hAnsi="Times New Roman" w:eastAsia="宋体" w:cs="Times New Roman"/>
                <w:color w:val="auto"/>
                <w:highlight w:val="none"/>
                <w:u w:val="none"/>
                <w:lang w:val="en-US" w:eastAsia="zh-CN" w:bidi="ar-SA"/>
              </w:rPr>
              <w:t>计算出CO的排放量为</w:t>
            </w:r>
            <w:r>
              <w:rPr>
                <w:rStyle w:val="104"/>
                <w:rFonts w:hint="eastAsia" w:ascii="Times New Roman" w:hAnsi="Times New Roman" w:cs="Times New Roman"/>
                <w:color w:val="auto"/>
                <w:highlight w:val="none"/>
                <w:u w:val="none"/>
                <w:lang w:val="en-US" w:eastAsia="zh-CN" w:bidi="ar-SA"/>
              </w:rPr>
              <w:t>9.676</w:t>
            </w:r>
            <w:r>
              <w:rPr>
                <w:rStyle w:val="104"/>
                <w:rFonts w:hint="eastAsia" w:ascii="Times New Roman" w:hAnsi="Times New Roman" w:eastAsia="宋体" w:cs="Times New Roman"/>
                <w:color w:val="auto"/>
                <w:highlight w:val="none"/>
                <w:u w:val="none"/>
                <w:lang w:val="en-US" w:eastAsia="zh-CN" w:bidi="ar-SA"/>
              </w:rPr>
              <w:t>t/a，排放绩效为</w:t>
            </w:r>
            <w:r>
              <w:rPr>
                <w:rStyle w:val="104"/>
                <w:rFonts w:hint="eastAsia" w:ascii="Times New Roman" w:hAnsi="Times New Roman" w:cs="Times New Roman"/>
                <w:color w:val="auto"/>
                <w:highlight w:val="none"/>
                <w:u w:val="none"/>
                <w:lang w:val="en-US" w:eastAsia="zh-CN" w:bidi="ar-SA"/>
              </w:rPr>
              <w:t>420</w:t>
            </w:r>
            <w:r>
              <w:rPr>
                <w:rStyle w:val="104"/>
                <w:rFonts w:hint="eastAsia" w:ascii="Times New Roman" w:hAnsi="Times New Roman" w:eastAsia="宋体" w:cs="Times New Roman"/>
                <w:color w:val="auto"/>
                <w:highlight w:val="none"/>
                <w:u w:val="none"/>
                <w:lang w:val="en-US" w:eastAsia="zh-CN" w:bidi="ar-SA"/>
              </w:rPr>
              <w:t>mg/kwh。</w:t>
            </w:r>
          </w:p>
          <w:p w14:paraId="7C94755A">
            <w:pPr>
              <w:pStyle w:val="42"/>
              <w:keepNext w:val="0"/>
              <w:keepLines w:val="0"/>
              <w:pageBreakBefore w:val="0"/>
              <w:widowControl w:val="0"/>
              <w:tabs>
                <w:tab w:val="left" w:pos="650"/>
              </w:tabs>
              <w:kinsoku/>
              <w:wordWrap/>
              <w:overflowPunct/>
              <w:topLinePunct w:val="0"/>
              <w:autoSpaceDE/>
              <w:autoSpaceDN/>
              <w:bidi w:val="0"/>
              <w:spacing w:line="500" w:lineRule="exact"/>
              <w:ind w:firstLine="482" w:firstLineChars="200"/>
              <w:rPr>
                <w:rFonts w:hint="eastAsia" w:ascii="Times New Roman" w:hAnsi="Times New Roman" w:eastAsia="宋体" w:cs="Times New Roman"/>
                <w:b/>
                <w:bCs/>
                <w:color w:val="auto"/>
                <w:kern w:val="2"/>
                <w:sz w:val="24"/>
                <w:szCs w:val="24"/>
                <w:highlight w:val="none"/>
                <w:u w:val="none"/>
                <w:lang w:val="en-US" w:eastAsia="zh-CN" w:bidi="ar-SA"/>
              </w:rPr>
            </w:pPr>
            <w:r>
              <w:rPr>
                <w:rFonts w:hint="eastAsia" w:ascii="Times New Roman" w:hAnsi="Times New Roman" w:eastAsia="宋体" w:cs="Times New Roman"/>
                <w:b/>
                <w:bCs/>
                <w:color w:val="auto"/>
                <w:kern w:val="2"/>
                <w:sz w:val="24"/>
                <w:szCs w:val="24"/>
                <w:highlight w:val="none"/>
                <w:u w:val="none"/>
                <w:lang w:val="en-US" w:eastAsia="zh-CN" w:bidi="ar-SA"/>
              </w:rPr>
              <w:t>④非甲烷总烃源强核算</w:t>
            </w:r>
          </w:p>
          <w:p w14:paraId="3C38B110">
            <w:pPr>
              <w:keepNext w:val="0"/>
              <w:keepLines w:val="0"/>
              <w:pageBreakBefore w:val="0"/>
              <w:widowControl w:val="0"/>
              <w:kinsoku/>
              <w:wordWrap/>
              <w:overflowPunct/>
              <w:topLinePunct w:val="0"/>
              <w:autoSpaceDE/>
              <w:autoSpaceDN/>
              <w:bidi w:val="0"/>
              <w:spacing w:line="500" w:lineRule="exact"/>
              <w:ind w:firstLine="480" w:firstLineChars="200"/>
              <w:rPr>
                <w:rStyle w:val="104"/>
                <w:rFonts w:hint="eastAsia" w:ascii="Times New Roman" w:hAnsi="Times New Roman" w:eastAsia="宋体" w:cs="Times New Roman"/>
                <w:color w:val="auto"/>
                <w:highlight w:val="none"/>
                <w:u w:val="none"/>
                <w:lang w:val="en-US" w:eastAsia="zh-CN" w:bidi="ar-SA"/>
              </w:rPr>
            </w:pPr>
            <w:r>
              <w:rPr>
                <w:rStyle w:val="104"/>
                <w:rFonts w:hint="eastAsia" w:ascii="Times New Roman" w:hAnsi="Times New Roman" w:eastAsia="宋体" w:cs="Times New Roman"/>
                <w:color w:val="auto"/>
                <w:highlight w:val="none"/>
                <w:u w:val="none"/>
                <w:lang w:val="en-US" w:eastAsia="zh-CN" w:bidi="ar-SA"/>
              </w:rPr>
              <w:t>项目营运期瓦斯使用量共为</w:t>
            </w:r>
            <w:r>
              <w:rPr>
                <w:rStyle w:val="104"/>
                <w:rFonts w:hint="eastAsia" w:cs="Times New Roman"/>
                <w:color w:val="auto"/>
                <w:highlight w:val="none"/>
                <w:u w:val="none"/>
                <w:lang w:val="en-US" w:eastAsia="zh-CN" w:bidi="ar-SA"/>
              </w:rPr>
              <w:t>1152</w:t>
            </w:r>
            <w:r>
              <w:rPr>
                <w:rStyle w:val="104"/>
                <w:rFonts w:hint="eastAsia" w:ascii="Times New Roman" w:hAnsi="Times New Roman" w:eastAsia="宋体" w:cs="Times New Roman"/>
                <w:color w:val="auto"/>
                <w:highlight w:val="none"/>
                <w:u w:val="none"/>
                <w:lang w:val="en-US" w:eastAsia="zh-CN" w:bidi="ar-SA"/>
              </w:rPr>
              <w:t>万m</w:t>
            </w:r>
            <w:r>
              <w:rPr>
                <w:rStyle w:val="104"/>
                <w:rFonts w:hint="eastAsia" w:ascii="Times New Roman" w:hAnsi="Times New Roman" w:eastAsia="宋体" w:cs="Times New Roman"/>
                <w:color w:val="auto"/>
                <w:highlight w:val="none"/>
                <w:u w:val="none"/>
                <w:vertAlign w:val="superscript"/>
                <w:lang w:val="en-US" w:eastAsia="zh-CN" w:bidi="ar-SA"/>
              </w:rPr>
              <w:t>3</w:t>
            </w:r>
            <w:r>
              <w:rPr>
                <w:rStyle w:val="104"/>
                <w:rFonts w:hint="eastAsia" w:ascii="Times New Roman" w:hAnsi="Times New Roman" w:eastAsia="宋体" w:cs="Times New Roman"/>
                <w:color w:val="auto"/>
                <w:highlight w:val="none"/>
                <w:u w:val="none"/>
                <w:lang w:val="en-US" w:eastAsia="zh-CN" w:bidi="ar-SA"/>
              </w:rPr>
              <w:t>/a，</w:t>
            </w:r>
            <w:r>
              <w:rPr>
                <w:rStyle w:val="104"/>
                <w:rFonts w:hint="eastAsia" w:ascii="Times New Roman" w:hAnsi="Times New Roman" w:cs="Times New Roman"/>
                <w:color w:val="auto"/>
                <w:highlight w:val="none"/>
                <w:u w:val="none"/>
                <w:lang w:val="en-US" w:eastAsia="zh-CN" w:bidi="ar-SA"/>
              </w:rPr>
              <w:t>年发电量为</w:t>
            </w:r>
            <w:r>
              <w:rPr>
                <w:rStyle w:val="104"/>
                <w:rFonts w:hint="eastAsia" w:cs="Times New Roman"/>
                <w:color w:val="auto"/>
                <w:highlight w:val="none"/>
                <w:u w:val="none"/>
                <w:lang w:val="en-US" w:eastAsia="zh-CN" w:bidi="ar-SA"/>
              </w:rPr>
              <w:t>2304</w:t>
            </w:r>
            <w:r>
              <w:rPr>
                <w:rStyle w:val="104"/>
                <w:rFonts w:hint="eastAsia" w:ascii="Times New Roman" w:hAnsi="Times New Roman" w:cs="Times New Roman"/>
                <w:color w:val="auto"/>
                <w:highlight w:val="none"/>
                <w:u w:val="none"/>
                <w:lang w:val="en-US" w:eastAsia="zh-CN" w:bidi="ar-SA"/>
              </w:rPr>
              <w:t>万度，</w:t>
            </w:r>
            <w:r>
              <w:rPr>
                <w:rStyle w:val="104"/>
                <w:rFonts w:hint="eastAsia" w:ascii="Times New Roman" w:hAnsi="Times New Roman" w:eastAsia="宋体" w:cs="Times New Roman"/>
                <w:color w:val="auto"/>
                <w:highlight w:val="none"/>
                <w:u w:val="none"/>
                <w:lang w:val="en-US" w:eastAsia="zh-CN" w:bidi="ar-SA"/>
              </w:rPr>
              <w:t>根据监测报告中</w:t>
            </w:r>
            <w:r>
              <w:rPr>
                <w:rStyle w:val="104"/>
                <w:rFonts w:hint="eastAsia" w:ascii="Times New Roman" w:hAnsi="Times New Roman" w:cs="Times New Roman"/>
                <w:color w:val="auto"/>
                <w:highlight w:val="none"/>
                <w:u w:val="none"/>
                <w:lang w:val="en-US" w:eastAsia="zh-CN" w:bidi="ar-SA"/>
              </w:rPr>
              <w:t>的排放速率均值0.046kg/h</w:t>
            </w:r>
            <w:r>
              <w:rPr>
                <w:rStyle w:val="104"/>
                <w:rFonts w:hint="eastAsia" w:ascii="Times New Roman" w:hAnsi="Times New Roman" w:eastAsia="宋体" w:cs="Times New Roman"/>
                <w:color w:val="auto"/>
                <w:highlight w:val="none"/>
                <w:u w:val="none"/>
                <w:lang w:val="en-US" w:eastAsia="zh-CN" w:bidi="ar-SA"/>
              </w:rPr>
              <w:t>，可以</w:t>
            </w:r>
            <w:r>
              <w:rPr>
                <w:rStyle w:val="104"/>
                <w:rFonts w:hint="eastAsia" w:ascii="Times New Roman" w:hAnsi="Times New Roman" w:cs="Times New Roman"/>
                <w:color w:val="auto"/>
                <w:highlight w:val="none"/>
                <w:u w:val="none"/>
                <w:lang w:val="en-US" w:eastAsia="zh-CN" w:bidi="ar-SA"/>
              </w:rPr>
              <w:t>类比</w:t>
            </w:r>
            <w:r>
              <w:rPr>
                <w:rStyle w:val="104"/>
                <w:rFonts w:hint="eastAsia" w:ascii="Times New Roman" w:hAnsi="Times New Roman" w:eastAsia="宋体" w:cs="Times New Roman"/>
                <w:color w:val="auto"/>
                <w:highlight w:val="none"/>
                <w:u w:val="none"/>
                <w:lang w:val="en-US" w:eastAsia="zh-CN" w:bidi="ar-SA"/>
              </w:rPr>
              <w:t>计算出非甲烷总烃的排放量为</w:t>
            </w:r>
            <w:r>
              <w:rPr>
                <w:rStyle w:val="104"/>
                <w:rFonts w:hint="eastAsia" w:cs="Times New Roman"/>
                <w:color w:val="auto"/>
                <w:highlight w:val="none"/>
                <w:u w:val="none"/>
                <w:lang w:val="en-US" w:eastAsia="zh-CN" w:bidi="ar-SA"/>
              </w:rPr>
              <w:t>1.59</w:t>
            </w:r>
            <w:r>
              <w:rPr>
                <w:rStyle w:val="104"/>
                <w:rFonts w:hint="eastAsia" w:ascii="Times New Roman" w:hAnsi="Times New Roman" w:eastAsia="宋体" w:cs="Times New Roman"/>
                <w:color w:val="auto"/>
                <w:highlight w:val="none"/>
                <w:u w:val="none"/>
                <w:lang w:val="en-US" w:eastAsia="zh-CN" w:bidi="ar-SA"/>
              </w:rPr>
              <w:t>t/a，排放绩效为</w:t>
            </w:r>
            <w:r>
              <w:rPr>
                <w:rStyle w:val="104"/>
                <w:rFonts w:hint="eastAsia" w:cs="Times New Roman"/>
                <w:color w:val="auto"/>
                <w:highlight w:val="none"/>
                <w:u w:val="none"/>
                <w:lang w:val="en-US" w:eastAsia="zh-CN" w:bidi="ar-SA"/>
              </w:rPr>
              <w:t>69</w:t>
            </w:r>
            <w:r>
              <w:rPr>
                <w:rStyle w:val="104"/>
                <w:rFonts w:hint="eastAsia" w:ascii="Times New Roman" w:hAnsi="Times New Roman" w:eastAsia="宋体" w:cs="Times New Roman"/>
                <w:color w:val="auto"/>
                <w:highlight w:val="none"/>
                <w:u w:val="none"/>
                <w:lang w:val="en-US" w:eastAsia="zh-CN" w:bidi="ar-SA"/>
              </w:rPr>
              <w:t>mg/kwh。</w:t>
            </w:r>
          </w:p>
          <w:p w14:paraId="47464DA9">
            <w:pPr>
              <w:pStyle w:val="28"/>
              <w:keepNext w:val="0"/>
              <w:keepLines w:val="0"/>
              <w:pageBreakBefore w:val="0"/>
              <w:widowControl/>
              <w:suppressLineNumbers w:val="0"/>
              <w:kinsoku/>
              <w:wordWrap/>
              <w:overflowPunct/>
              <w:topLinePunct w:val="0"/>
              <w:autoSpaceDE/>
              <w:autoSpaceDN/>
              <w:bidi w:val="0"/>
              <w:adjustRightInd/>
              <w:spacing w:before="0" w:beforeAutospacing="0" w:after="0" w:afterAutospacing="0" w:line="500" w:lineRule="exact"/>
              <w:ind w:left="0" w:right="0" w:firstLine="482" w:firstLineChars="200"/>
              <w:textAlignment w:val="auto"/>
              <w:rPr>
                <w:rFonts w:hint="default" w:ascii="Times New Roman" w:hAnsi="Times New Roman" w:eastAsia="宋体" w:cs="Times New Roman"/>
                <w:b w:val="0"/>
                <w:bCs w:val="0"/>
                <w:color w:val="auto"/>
                <w:kern w:val="2"/>
                <w:sz w:val="24"/>
                <w:szCs w:val="24"/>
                <w:highlight w:val="none"/>
                <w:u w:val="none"/>
                <w:lang w:val="en-US" w:eastAsia="zh-CN" w:bidi="ar-SA"/>
              </w:rPr>
            </w:pPr>
            <w:r>
              <w:rPr>
                <w:rFonts w:hint="eastAsia" w:ascii="Times New Roman" w:hAnsi="Times New Roman" w:cs="Times New Roman"/>
                <w:b/>
                <w:bCs/>
                <w:color w:val="auto"/>
                <w:kern w:val="2"/>
                <w:sz w:val="24"/>
                <w:szCs w:val="24"/>
                <w:highlight w:val="none"/>
                <w:u w:val="none"/>
                <w:lang w:val="en-US" w:eastAsia="zh-CN" w:bidi="ar-SA"/>
              </w:rPr>
              <w:t>1.2.2非甲烷总烃废气减排量分析</w:t>
            </w:r>
          </w:p>
          <w:p w14:paraId="6662D46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cs="Times New Roman"/>
                <w:color w:val="auto"/>
                <w:sz w:val="24"/>
                <w:szCs w:val="24"/>
                <w:highlight w:val="none"/>
                <w:u w:val="none"/>
                <w:lang w:val="en-US" w:eastAsia="zh-CN"/>
              </w:rPr>
            </w:pPr>
            <w:r>
              <w:rPr>
                <w:rFonts w:hint="eastAsia" w:cs="Times New Roman"/>
                <w:color w:val="auto"/>
                <w:sz w:val="24"/>
                <w:szCs w:val="24"/>
                <w:highlight w:val="none"/>
                <w:u w:val="none"/>
                <w:lang w:val="en-US" w:eastAsia="zh-CN"/>
              </w:rPr>
              <w:t>河南平煤神马中南检验检测有限公司对八</w:t>
            </w:r>
            <w:r>
              <w:rPr>
                <w:rFonts w:hint="eastAsia" w:cs="Times New Roman"/>
                <w:b w:val="0"/>
                <w:bCs/>
                <w:color w:val="auto"/>
                <w:sz w:val="24"/>
                <w:highlight w:val="none"/>
                <w:u w:val="none"/>
                <w:lang w:val="en-US" w:eastAsia="zh-CN"/>
              </w:rPr>
              <w:t>矿二井</w:t>
            </w:r>
            <w:r>
              <w:rPr>
                <w:rFonts w:hint="eastAsia" w:cs="Times New Roman"/>
                <w:color w:val="auto"/>
                <w:sz w:val="24"/>
                <w:szCs w:val="24"/>
                <w:highlight w:val="none"/>
                <w:u w:val="none"/>
                <w:lang w:val="en-US" w:eastAsia="zh-CN"/>
              </w:rPr>
              <w:t>泵站抽放瓦斯气体进行分析，瓦斯成分分析结果（见附件7），本次瓦斯成分分析检测在常温常压下进行检测（25℃，正常大气压下）。该项目全年燃烧瓦斯气体为1152万m</w:t>
            </w:r>
            <w:r>
              <w:rPr>
                <w:rFonts w:hint="eastAsia" w:cs="Times New Roman"/>
                <w:color w:val="auto"/>
                <w:sz w:val="24"/>
                <w:szCs w:val="24"/>
                <w:highlight w:val="none"/>
                <w:u w:val="none"/>
                <w:vertAlign w:val="superscript"/>
                <w:lang w:val="en-US" w:eastAsia="zh-CN"/>
              </w:rPr>
              <w:t>3</w:t>
            </w:r>
            <w:r>
              <w:rPr>
                <w:rFonts w:hint="eastAsia" w:cs="Times New Roman"/>
                <w:color w:val="auto"/>
                <w:sz w:val="24"/>
                <w:szCs w:val="24"/>
                <w:highlight w:val="none"/>
                <w:u w:val="none"/>
                <w:lang w:val="en-US" w:eastAsia="zh-CN"/>
              </w:rPr>
              <w:t>，根据成分分析结果显示其中乙烷、丙烷属于挥发性有机气体，乙烷所占0.2106%，丙烷所占0.0243%，通过比例计算，乙烷气体为24261.12m</w:t>
            </w:r>
            <w:r>
              <w:rPr>
                <w:rFonts w:hint="eastAsia" w:cs="Times New Roman"/>
                <w:color w:val="auto"/>
                <w:sz w:val="24"/>
                <w:szCs w:val="24"/>
                <w:highlight w:val="none"/>
                <w:u w:val="none"/>
                <w:vertAlign w:val="superscript"/>
                <w:lang w:val="en-US" w:eastAsia="zh-CN"/>
              </w:rPr>
              <w:t>3</w:t>
            </w:r>
            <w:r>
              <w:rPr>
                <w:rFonts w:hint="eastAsia" w:cs="Times New Roman"/>
                <w:color w:val="auto"/>
                <w:sz w:val="24"/>
                <w:szCs w:val="24"/>
                <w:highlight w:val="none"/>
                <w:u w:val="none"/>
                <w:lang w:val="en-US" w:eastAsia="zh-CN"/>
              </w:rPr>
              <w:t>，丙烷气体2799.36m</w:t>
            </w:r>
            <w:r>
              <w:rPr>
                <w:rFonts w:hint="eastAsia" w:cs="Times New Roman"/>
                <w:color w:val="auto"/>
                <w:sz w:val="24"/>
                <w:szCs w:val="24"/>
                <w:highlight w:val="none"/>
                <w:u w:val="none"/>
                <w:vertAlign w:val="superscript"/>
                <w:lang w:val="en-US" w:eastAsia="zh-CN"/>
              </w:rPr>
              <w:t>3</w:t>
            </w:r>
            <w:r>
              <w:rPr>
                <w:rFonts w:hint="eastAsia" w:cs="Times New Roman"/>
                <w:color w:val="auto"/>
                <w:sz w:val="24"/>
                <w:szCs w:val="24"/>
                <w:highlight w:val="none"/>
                <w:u w:val="none"/>
                <w:lang w:val="en-US" w:eastAsia="zh-CN"/>
              </w:rPr>
              <w:t>。乙烷气体的密度为1.222kg/m</w:t>
            </w:r>
            <w:r>
              <w:rPr>
                <w:rFonts w:hint="eastAsia" w:cs="Times New Roman"/>
                <w:color w:val="auto"/>
                <w:sz w:val="24"/>
                <w:szCs w:val="24"/>
                <w:highlight w:val="none"/>
                <w:u w:val="none"/>
                <w:vertAlign w:val="superscript"/>
                <w:lang w:val="en-US" w:eastAsia="zh-CN"/>
              </w:rPr>
              <w:t>3</w:t>
            </w:r>
            <w:r>
              <w:rPr>
                <w:rFonts w:hint="eastAsia" w:cs="Times New Roman"/>
                <w:color w:val="auto"/>
                <w:sz w:val="24"/>
                <w:szCs w:val="24"/>
                <w:highlight w:val="none"/>
                <w:u w:val="none"/>
                <w:lang w:val="en-US" w:eastAsia="zh-CN"/>
              </w:rPr>
              <w:t>（25℃，常压下），丙烷气体的密度为1.76kg/m</w:t>
            </w:r>
            <w:r>
              <w:rPr>
                <w:rFonts w:hint="eastAsia" w:cs="Times New Roman"/>
                <w:color w:val="auto"/>
                <w:sz w:val="24"/>
                <w:szCs w:val="24"/>
                <w:highlight w:val="none"/>
                <w:u w:val="none"/>
                <w:vertAlign w:val="superscript"/>
                <w:lang w:val="en-US" w:eastAsia="zh-CN"/>
              </w:rPr>
              <w:t>3</w:t>
            </w:r>
            <w:r>
              <w:rPr>
                <w:rFonts w:hint="eastAsia" w:cs="Times New Roman"/>
                <w:color w:val="auto"/>
                <w:sz w:val="24"/>
                <w:szCs w:val="24"/>
                <w:highlight w:val="none"/>
                <w:u w:val="none"/>
                <w:lang w:val="en-US" w:eastAsia="zh-CN"/>
              </w:rPr>
              <w:t>（25℃，常压下），根据体积和密度来计算乙烷、丙烷的含量，所用1152万m</w:t>
            </w:r>
            <w:r>
              <w:rPr>
                <w:rFonts w:hint="eastAsia" w:cs="Times New Roman"/>
                <w:color w:val="auto"/>
                <w:sz w:val="24"/>
                <w:szCs w:val="24"/>
                <w:highlight w:val="none"/>
                <w:u w:val="none"/>
                <w:vertAlign w:val="superscript"/>
                <w:lang w:val="en-US" w:eastAsia="zh-CN"/>
              </w:rPr>
              <w:t>3</w:t>
            </w:r>
            <w:r>
              <w:rPr>
                <w:rFonts w:hint="eastAsia" w:cs="Times New Roman"/>
                <w:color w:val="auto"/>
                <w:sz w:val="24"/>
                <w:szCs w:val="24"/>
                <w:highlight w:val="none"/>
                <w:u w:val="none"/>
                <w:vertAlign w:val="baseline"/>
                <w:lang w:val="en-US" w:eastAsia="zh-CN"/>
              </w:rPr>
              <w:t>瓦斯气体中乙烷含量有29.6t，丙烷含量有4.92t，挥发性有机气体合计产生量有34.52t，该项目非甲烷总烃类比分析排放量有1.59t/a，项目瓦斯内挥发性有机气体经过4台机组燃烧，VOCs减排量为32.93t。</w:t>
            </w:r>
          </w:p>
          <w:p w14:paraId="7B5A8197">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right="0" w:firstLine="482" w:firstLineChars="200"/>
              <w:textAlignment w:val="auto"/>
              <w:rPr>
                <w:rFonts w:hint="default" w:ascii="Times New Roman" w:hAnsi="Times New Roman" w:eastAsia="宋体" w:cs="Times New Roman"/>
                <w:b w:val="0"/>
                <w:bCs w:val="0"/>
                <w:color w:val="auto"/>
                <w:kern w:val="2"/>
                <w:sz w:val="24"/>
                <w:szCs w:val="24"/>
                <w:highlight w:val="none"/>
                <w:u w:val="none"/>
                <w:lang w:val="en-US" w:eastAsia="zh-CN" w:bidi="ar-SA"/>
              </w:rPr>
            </w:pPr>
            <w:r>
              <w:rPr>
                <w:rFonts w:hint="eastAsia" w:ascii="Times New Roman" w:hAnsi="Times New Roman" w:cs="Times New Roman"/>
                <w:b/>
                <w:bCs/>
                <w:color w:val="auto"/>
                <w:kern w:val="2"/>
                <w:sz w:val="24"/>
                <w:szCs w:val="24"/>
                <w:highlight w:val="none"/>
                <w:u w:val="none"/>
                <w:lang w:val="en-US" w:eastAsia="zh-CN" w:bidi="ar-SA"/>
              </w:rPr>
              <w:t>1.2.3温室气体减排量分析</w:t>
            </w:r>
          </w:p>
          <w:p w14:paraId="28DC6C19">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cs="Times New Roman"/>
                <w:color w:val="auto"/>
                <w:sz w:val="24"/>
                <w:szCs w:val="24"/>
                <w:highlight w:val="none"/>
                <w:u w:val="none"/>
                <w:lang w:val="en-US" w:eastAsia="zh-CN"/>
              </w:rPr>
            </w:pPr>
            <w:r>
              <w:rPr>
                <w:rFonts w:hint="eastAsia" w:cs="Times New Roman"/>
                <w:color w:val="auto"/>
                <w:sz w:val="24"/>
                <w:szCs w:val="24"/>
                <w:highlight w:val="none"/>
                <w:u w:val="none"/>
                <w:lang w:val="en-US" w:eastAsia="zh-CN"/>
              </w:rPr>
              <w:t>本项目为低浓度瓦斯利用发电项目，项目的建设可以大幅度减少温室气体甲烷的排放。根据项目瓦斯气用量及年运行时间，项目建设后可减少甲烷的排放量约887t/a；</w:t>
            </w:r>
            <w:r>
              <w:rPr>
                <w:rFonts w:ascii="Times New Roman" w:hAnsi="Times New Roman"/>
                <w:sz w:val="24"/>
                <w:highlight w:val="none"/>
              </w:rPr>
              <w:t>甲烷造成的温室效应为CO</w:t>
            </w:r>
            <w:r>
              <w:rPr>
                <w:rFonts w:ascii="Times New Roman" w:hAnsi="Times New Roman"/>
                <w:sz w:val="24"/>
                <w:highlight w:val="none"/>
                <w:vertAlign w:val="subscript"/>
              </w:rPr>
              <w:t>2</w:t>
            </w:r>
            <w:r>
              <w:rPr>
                <w:rFonts w:ascii="Times New Roman" w:hAnsi="Times New Roman"/>
                <w:sz w:val="24"/>
                <w:highlight w:val="none"/>
              </w:rPr>
              <w:t>的25倍</w:t>
            </w:r>
            <w:r>
              <w:rPr>
                <w:rFonts w:hint="eastAsia" w:cs="Times New Roman"/>
                <w:color w:val="auto"/>
                <w:sz w:val="24"/>
                <w:szCs w:val="24"/>
                <w:highlight w:val="none"/>
                <w:u w:val="none"/>
                <w:lang w:val="en-US" w:eastAsia="zh-CN"/>
              </w:rPr>
              <w:t>，减少1吨甲烷排放相当于减少25吨二氧化碳排放，项目建成后可减少CO</w:t>
            </w:r>
            <w:r>
              <w:rPr>
                <w:rFonts w:hint="eastAsia" w:cs="Times New Roman"/>
                <w:color w:val="auto"/>
                <w:sz w:val="24"/>
                <w:szCs w:val="24"/>
                <w:highlight w:val="none"/>
                <w:u w:val="none"/>
                <w:vertAlign w:val="subscript"/>
                <w:lang w:val="en-US" w:eastAsia="zh-CN"/>
              </w:rPr>
              <w:t>2</w:t>
            </w:r>
            <w:r>
              <w:rPr>
                <w:rFonts w:hint="eastAsia" w:cs="Times New Roman"/>
                <w:color w:val="auto"/>
                <w:sz w:val="24"/>
                <w:szCs w:val="24"/>
                <w:highlight w:val="none"/>
                <w:u w:val="none"/>
                <w:lang w:val="en-US" w:eastAsia="zh-CN"/>
              </w:rPr>
              <w:t>排放量约2.2万t/a。</w:t>
            </w:r>
          </w:p>
          <w:p w14:paraId="5BC68CF6">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eastAsia" w:ascii="Times New Roman" w:hAnsi="Times New Roman" w:cs="Times New Roman"/>
                <w:b/>
                <w:bCs/>
                <w:color w:val="auto"/>
                <w:sz w:val="24"/>
                <w:szCs w:val="24"/>
                <w:highlight w:val="none"/>
                <w:u w:val="none"/>
                <w:lang w:val="en-US" w:eastAsia="zh-CN"/>
              </w:rPr>
            </w:pPr>
            <w:r>
              <w:rPr>
                <w:rFonts w:hint="eastAsia" w:cs="Times New Roman"/>
                <w:b/>
                <w:bCs/>
                <w:color w:val="auto"/>
                <w:sz w:val="24"/>
                <w:szCs w:val="24"/>
                <w:highlight w:val="none"/>
                <w:u w:val="none"/>
                <w:lang w:val="en-US" w:eastAsia="zh-CN"/>
              </w:rPr>
              <w:t>1.2.4</w:t>
            </w:r>
            <w:r>
              <w:rPr>
                <w:rFonts w:hint="eastAsia" w:ascii="Times New Roman" w:hAnsi="Times New Roman" w:cs="Times New Roman"/>
                <w:b/>
                <w:bCs/>
                <w:color w:val="auto"/>
                <w:sz w:val="24"/>
                <w:szCs w:val="24"/>
                <w:highlight w:val="none"/>
                <w:u w:val="none"/>
                <w:lang w:val="en-US" w:eastAsia="zh-CN"/>
              </w:rPr>
              <w:t>排空废气</w:t>
            </w:r>
            <w:r>
              <w:rPr>
                <w:rFonts w:hint="eastAsia" w:cs="Times New Roman"/>
                <w:b/>
                <w:bCs/>
                <w:color w:val="auto"/>
                <w:sz w:val="24"/>
                <w:szCs w:val="24"/>
                <w:highlight w:val="none"/>
                <w:u w:val="none"/>
                <w:lang w:val="en-US" w:eastAsia="zh-CN"/>
              </w:rPr>
              <w:t>（</w:t>
            </w:r>
            <w:r>
              <w:rPr>
                <w:rFonts w:hint="eastAsia" w:ascii="Times New Roman" w:hAnsi="Times New Roman" w:cs="Times New Roman"/>
                <w:b/>
                <w:bCs/>
                <w:color w:val="auto"/>
                <w:sz w:val="24"/>
                <w:szCs w:val="24"/>
                <w:highlight w:val="none"/>
                <w:u w:val="none"/>
                <w:lang w:val="en-US" w:eastAsia="zh-CN"/>
              </w:rPr>
              <w:t>非正常工况</w:t>
            </w:r>
            <w:r>
              <w:rPr>
                <w:rFonts w:hint="eastAsia" w:cs="Times New Roman"/>
                <w:b/>
                <w:bCs/>
                <w:color w:val="auto"/>
                <w:sz w:val="24"/>
                <w:szCs w:val="24"/>
                <w:highlight w:val="none"/>
                <w:u w:val="none"/>
                <w:lang w:val="en-US" w:eastAsia="zh-CN"/>
              </w:rPr>
              <w:t>）</w:t>
            </w:r>
          </w:p>
          <w:p w14:paraId="11A1C6F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cs="Times New Roman"/>
                <w:b/>
                <w:bCs/>
                <w:color w:val="auto"/>
                <w:sz w:val="24"/>
                <w:szCs w:val="24"/>
                <w:highlight w:val="none"/>
                <w:u w:val="none"/>
                <w:lang w:val="en-US" w:eastAsia="zh-CN"/>
              </w:rPr>
            </w:pPr>
            <w:r>
              <w:rPr>
                <w:rStyle w:val="104"/>
                <w:rFonts w:hint="eastAsia" w:ascii="Times New Roman" w:hAnsi="Times New Roman" w:eastAsia="宋体" w:cs="Times New Roman"/>
                <w:color w:val="auto"/>
                <w:highlight w:val="none"/>
                <w:u w:val="none"/>
                <w:lang w:val="en-US" w:eastAsia="zh-CN" w:bidi="ar-SA"/>
              </w:rPr>
              <w:t>当瓦斯气体中的甲烷浓度过低时或者发电机组出现故障时，瓦斯无法得到有效利用，将采取直接排空措施，利用15m专用排空烟道排空，其主要污染物为CH</w:t>
            </w:r>
            <w:r>
              <w:rPr>
                <w:rStyle w:val="104"/>
                <w:rFonts w:hint="eastAsia" w:ascii="Times New Roman" w:hAnsi="Times New Roman" w:eastAsia="宋体" w:cs="Times New Roman"/>
                <w:color w:val="auto"/>
                <w:highlight w:val="none"/>
                <w:u w:val="none"/>
                <w:vertAlign w:val="subscript"/>
                <w:lang w:val="en-US" w:eastAsia="zh-CN" w:bidi="ar-SA"/>
              </w:rPr>
              <w:t>4</w:t>
            </w:r>
            <w:r>
              <w:rPr>
                <w:rStyle w:val="104"/>
                <w:rFonts w:hint="eastAsia" w:ascii="Times New Roman" w:hAnsi="Times New Roman" w:eastAsia="宋体" w:cs="Times New Roman"/>
                <w:color w:val="auto"/>
                <w:highlight w:val="none"/>
                <w:u w:val="none"/>
                <w:lang w:val="en-US" w:eastAsia="zh-CN" w:bidi="ar-SA"/>
              </w:rPr>
              <w:t>、CO等。本项目排空时间、排空量均难以确定，因此本项目仅定性分析，根据煤矿瓦斯成分分析可知，当瓦斯浓度过低时，其主要成分为N</w:t>
            </w:r>
            <w:r>
              <w:rPr>
                <w:rStyle w:val="104"/>
                <w:rFonts w:hint="eastAsia" w:ascii="Times New Roman" w:hAnsi="Times New Roman" w:eastAsia="宋体" w:cs="Times New Roman"/>
                <w:color w:val="auto"/>
                <w:highlight w:val="none"/>
                <w:u w:val="none"/>
                <w:vertAlign w:val="subscript"/>
                <w:lang w:val="en-US" w:eastAsia="zh-CN" w:bidi="ar-SA"/>
              </w:rPr>
              <w:t>2</w:t>
            </w:r>
            <w:r>
              <w:rPr>
                <w:rStyle w:val="104"/>
                <w:rFonts w:hint="eastAsia" w:ascii="Times New Roman" w:hAnsi="Times New Roman" w:eastAsia="宋体" w:cs="Times New Roman"/>
                <w:color w:val="auto"/>
                <w:highlight w:val="none"/>
                <w:u w:val="none"/>
                <w:lang w:val="en-US" w:eastAsia="zh-CN" w:bidi="ar-SA"/>
              </w:rPr>
              <w:t>、O</w:t>
            </w:r>
            <w:r>
              <w:rPr>
                <w:rStyle w:val="104"/>
                <w:rFonts w:hint="eastAsia" w:ascii="Times New Roman" w:hAnsi="Times New Roman" w:eastAsia="宋体" w:cs="Times New Roman"/>
                <w:color w:val="auto"/>
                <w:highlight w:val="none"/>
                <w:u w:val="none"/>
                <w:vertAlign w:val="subscript"/>
                <w:lang w:val="en-US" w:eastAsia="zh-CN" w:bidi="ar-SA"/>
              </w:rPr>
              <w:t>2</w:t>
            </w:r>
            <w:r>
              <w:rPr>
                <w:rStyle w:val="104"/>
                <w:rFonts w:hint="eastAsia" w:ascii="Times New Roman" w:hAnsi="Times New Roman" w:eastAsia="宋体" w:cs="Times New Roman"/>
                <w:color w:val="auto"/>
                <w:highlight w:val="none"/>
                <w:u w:val="none"/>
                <w:lang w:val="en-US" w:eastAsia="zh-CN" w:bidi="ar-SA"/>
              </w:rPr>
              <w:t>等，污染物排放量不大，通过高空排放，可快速扩散，对周边环境影响不大。</w:t>
            </w:r>
            <w:r>
              <w:rPr>
                <w:rStyle w:val="104"/>
                <w:rFonts w:hint="eastAsia" w:cs="Times New Roman"/>
                <w:b w:val="0"/>
                <w:bCs w:val="0"/>
                <w:color w:val="auto"/>
                <w:highlight w:val="none"/>
                <w:u w:val="none"/>
                <w:lang w:val="en-US" w:eastAsia="zh-CN" w:bidi="ar-SA"/>
              </w:rPr>
              <w:t>当发电机组出现故障时</w:t>
            </w:r>
            <w:r>
              <w:rPr>
                <w:rFonts w:hint="eastAsia" w:cs="Times New Roman"/>
                <w:b w:val="0"/>
                <w:bCs w:val="0"/>
                <w:color w:val="auto"/>
                <w:sz w:val="24"/>
                <w:szCs w:val="24"/>
                <w:highlight w:val="none"/>
                <w:u w:val="none"/>
                <w:lang w:val="en-US" w:eastAsia="zh-CN"/>
              </w:rPr>
              <w:t>瓦斯机组非正常工况的核心原因主要包括气缸散热不畅、润滑系统故障等等问题。这些问题会导致机组运行异常，影响其性能和安全性。具体表现包括气缸温度异常升高、润滑油不足或污染、供应不畅等。这些问题会导致机组噪音增加、油耗增加、甚至无法启动应对措施包括定期检查散热片的通畅性和间距、确保散热器表面清洁、及时修理或更换散热风扇。同时，加强润滑系统的维护，选用优质润滑油，定期监控油位和油质，及时更换滤清器。此外，确保供气系统畅通，清除杂质，保持清洁。通过这些措施，可以有效降低非正常工况的发生，确保瓦斯机组的稳定运行。</w:t>
            </w:r>
          </w:p>
          <w:p w14:paraId="46F5B264">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default" w:ascii="Times New Roman" w:hAnsi="Times New Roman" w:cs="Times New Roman"/>
                <w:b/>
                <w:bCs/>
                <w:color w:val="auto"/>
                <w:sz w:val="24"/>
                <w:szCs w:val="24"/>
                <w:u w:val="none"/>
                <w:lang w:val="en-US"/>
              </w:rPr>
            </w:pPr>
            <w:r>
              <w:rPr>
                <w:rFonts w:hint="eastAsia" w:cs="Times New Roman"/>
                <w:b/>
                <w:bCs/>
                <w:color w:val="auto"/>
                <w:sz w:val="24"/>
                <w:szCs w:val="24"/>
                <w:highlight w:val="none"/>
                <w:u w:val="none"/>
                <w:lang w:val="en-US" w:eastAsia="zh-CN"/>
              </w:rPr>
              <w:t>1</w:t>
            </w:r>
            <w:r>
              <w:rPr>
                <w:rFonts w:hint="eastAsia" w:ascii="Times New Roman" w:hAnsi="Times New Roman" w:cs="Times New Roman"/>
                <w:b/>
                <w:bCs/>
                <w:color w:val="auto"/>
                <w:sz w:val="24"/>
                <w:szCs w:val="24"/>
                <w:highlight w:val="none"/>
                <w:u w:val="none"/>
                <w:lang w:val="en-US" w:eastAsia="zh-CN"/>
              </w:rPr>
              <w:t>.</w:t>
            </w:r>
            <w:r>
              <w:rPr>
                <w:rFonts w:hint="eastAsia" w:cs="Times New Roman"/>
                <w:b/>
                <w:bCs/>
                <w:color w:val="auto"/>
                <w:sz w:val="24"/>
                <w:szCs w:val="24"/>
                <w:highlight w:val="none"/>
                <w:u w:val="none"/>
                <w:lang w:val="en-US" w:eastAsia="zh-CN"/>
              </w:rPr>
              <w:t>3</w:t>
            </w:r>
            <w:r>
              <w:rPr>
                <w:rFonts w:hint="eastAsia" w:ascii="Times New Roman" w:hAnsi="Times New Roman" w:cs="Times New Roman"/>
                <w:b/>
                <w:bCs/>
                <w:color w:val="auto"/>
                <w:sz w:val="24"/>
                <w:szCs w:val="24"/>
                <w:highlight w:val="none"/>
                <w:u w:val="none"/>
                <w:lang w:val="en-US" w:eastAsia="zh-CN"/>
              </w:rPr>
              <w:t>废气处理可行性分析</w:t>
            </w:r>
          </w:p>
          <w:p w14:paraId="4A9FF5C6">
            <w:pPr>
              <w:pStyle w:val="42"/>
              <w:keepNext w:val="0"/>
              <w:keepLines w:val="0"/>
              <w:pageBreakBefore w:val="0"/>
              <w:widowControl w:val="0"/>
              <w:kinsoku/>
              <w:wordWrap/>
              <w:overflowPunct/>
              <w:topLinePunct w:val="0"/>
              <w:autoSpaceDE/>
              <w:autoSpaceDN/>
              <w:bidi w:val="0"/>
              <w:spacing w:line="500" w:lineRule="exact"/>
              <w:ind w:firstLine="480"/>
              <w:rPr>
                <w:rFonts w:hint="eastAsia" w:ascii="Times New Roman" w:hAnsi="Times New Roman" w:eastAsia="宋体" w:cs="Times New Roman"/>
                <w:b/>
                <w:bCs/>
                <w:color w:val="auto"/>
                <w:sz w:val="24"/>
                <w:szCs w:val="24"/>
                <w:u w:val="none"/>
              </w:rPr>
            </w:pPr>
            <w:r>
              <w:rPr>
                <w:rStyle w:val="104"/>
                <w:rFonts w:hint="eastAsia" w:ascii="Times New Roman" w:hAnsi="Times New Roman" w:cs="Times New Roman"/>
                <w:color w:val="auto"/>
                <w:u w:val="none"/>
                <w:lang w:val="en-US" w:eastAsia="zh-CN" w:bidi="ar-SA"/>
              </w:rPr>
              <w:t>根据类比分析，</w:t>
            </w:r>
            <w:r>
              <w:rPr>
                <w:rStyle w:val="104"/>
                <w:rFonts w:hint="eastAsia" w:ascii="Times New Roman" w:hAnsi="Times New Roman" w:eastAsia="宋体" w:cs="Times New Roman"/>
                <w:color w:val="auto"/>
                <w:u w:val="none"/>
                <w:lang w:val="en-US" w:eastAsia="zh-CN" w:bidi="ar-SA"/>
              </w:rPr>
              <w:t>项目颗粒物、氮氧化物、CO、非甲烷总烃的排放绩效与《重型柴油车污染物排放限值及测量方法》（GB17691-2018）中的有组织排放的要求进行对照，均可达标排放</w:t>
            </w:r>
            <w:r>
              <w:rPr>
                <w:rStyle w:val="104"/>
                <w:rFonts w:hint="eastAsia" w:ascii="Times New Roman" w:hAnsi="Times New Roman" w:cs="Times New Roman"/>
                <w:color w:val="auto"/>
                <w:u w:val="none"/>
                <w:lang w:val="en-US" w:eastAsia="zh-CN" w:bidi="ar-SA"/>
              </w:rPr>
              <w:t>，且</w:t>
            </w:r>
            <w:r>
              <w:rPr>
                <w:rFonts w:hint="eastAsia" w:ascii="Times New Roman" w:hAnsi="Times New Roman" w:eastAsia="宋体" w:cs="Times New Roman"/>
                <w:bCs/>
                <w:color w:val="auto"/>
                <w:kern w:val="2"/>
                <w:sz w:val="24"/>
                <w:szCs w:val="20"/>
                <w:u w:val="none"/>
                <w:lang w:val="en-US" w:eastAsia="zh-CN" w:bidi="ar-SA"/>
              </w:rPr>
              <w:t>平煤煌龙新能源有限公司十二矿瓦斯发电站升级改造项目</w:t>
            </w:r>
            <w:r>
              <w:rPr>
                <w:rFonts w:hint="eastAsia" w:ascii="Times New Roman" w:hAnsi="Times New Roman" w:cs="Times New Roman"/>
                <w:bCs/>
                <w:color w:val="auto"/>
                <w:kern w:val="2"/>
                <w:sz w:val="24"/>
                <w:szCs w:val="20"/>
                <w:u w:val="none"/>
                <w:lang w:val="en-US" w:eastAsia="zh-CN" w:bidi="ar-SA"/>
              </w:rPr>
              <w:t>瓦斯发电机组型号与本项目一致，废气治理设施与本项目设置情况一致，因此本项目发电烟气经排气筒排放具有可行性</w:t>
            </w:r>
            <w:r>
              <w:rPr>
                <w:rStyle w:val="104"/>
                <w:rFonts w:hint="eastAsia" w:ascii="Times New Roman" w:hAnsi="Times New Roman" w:eastAsia="宋体" w:cs="Times New Roman"/>
                <w:color w:val="auto"/>
                <w:u w:val="none"/>
                <w:lang w:val="en-US" w:eastAsia="zh-CN" w:bidi="ar-SA"/>
              </w:rPr>
              <w:t>。</w:t>
            </w:r>
          </w:p>
          <w:p w14:paraId="6CB15466">
            <w:pPr>
              <w:keepNext w:val="0"/>
              <w:keepLines w:val="0"/>
              <w:pageBreakBefore w:val="0"/>
              <w:widowControl w:val="0"/>
              <w:kinsoku/>
              <w:wordWrap/>
              <w:overflowPunct/>
              <w:topLinePunct w:val="0"/>
              <w:autoSpaceDE/>
              <w:autoSpaceDN/>
              <w:bidi w:val="0"/>
              <w:adjustRightInd w:val="0"/>
              <w:snapToGrid w:val="0"/>
              <w:spacing w:line="500" w:lineRule="exact"/>
              <w:ind w:left="0" w:leftChars="0" w:firstLine="482" w:firstLineChars="200"/>
              <w:textAlignment w:val="baseline"/>
              <w:rPr>
                <w:rFonts w:hint="eastAsia" w:ascii="Times New Roman" w:hAnsi="Times New Roman" w:eastAsia="宋体" w:cs="Times New Roman"/>
                <w:b/>
                <w:bCs/>
                <w:color w:val="auto"/>
                <w:sz w:val="24"/>
                <w:szCs w:val="24"/>
                <w:u w:val="none"/>
              </w:rPr>
            </w:pPr>
            <w:r>
              <w:rPr>
                <w:rFonts w:hint="eastAsia" w:cs="Times New Roman"/>
                <w:b/>
                <w:bCs/>
                <w:color w:val="auto"/>
                <w:sz w:val="24"/>
                <w:szCs w:val="24"/>
                <w:u w:val="none"/>
                <w:lang w:val="en-US" w:eastAsia="zh-CN"/>
              </w:rPr>
              <w:t>1</w:t>
            </w:r>
            <w:r>
              <w:rPr>
                <w:rFonts w:hint="eastAsia" w:ascii="Times New Roman" w:hAnsi="Times New Roman" w:cs="Times New Roman"/>
                <w:b/>
                <w:bCs/>
                <w:color w:val="auto"/>
                <w:sz w:val="24"/>
                <w:szCs w:val="24"/>
                <w:u w:val="none"/>
                <w:lang w:val="en-US" w:eastAsia="zh-CN"/>
              </w:rPr>
              <w:t>.</w:t>
            </w:r>
            <w:r>
              <w:rPr>
                <w:rFonts w:hint="eastAsia" w:cs="Times New Roman"/>
                <w:b/>
                <w:bCs/>
                <w:color w:val="auto"/>
                <w:sz w:val="24"/>
                <w:szCs w:val="24"/>
                <w:u w:val="none"/>
                <w:lang w:val="en-US" w:eastAsia="zh-CN"/>
              </w:rPr>
              <w:t>4</w:t>
            </w:r>
            <w:r>
              <w:rPr>
                <w:rFonts w:hint="eastAsia" w:ascii="Times New Roman" w:hAnsi="Times New Roman" w:eastAsia="宋体" w:cs="Times New Roman"/>
                <w:b/>
                <w:bCs/>
                <w:color w:val="auto"/>
                <w:sz w:val="24"/>
                <w:szCs w:val="24"/>
                <w:u w:val="none"/>
              </w:rPr>
              <w:t>废气治理设施及产排情况</w:t>
            </w:r>
          </w:p>
          <w:p w14:paraId="4EE3B3C2">
            <w:pPr>
              <w:pStyle w:val="7"/>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eastAsia" w:ascii="Times New Roman" w:hAnsi="Times New Roman" w:eastAsia="黑体" w:cs="Times New Roman"/>
                <w:b w:val="0"/>
                <w:bCs w:val="0"/>
                <w:color w:val="auto"/>
                <w:sz w:val="24"/>
                <w:szCs w:val="24"/>
                <w:u w:val="none"/>
                <w:lang w:val="en-US" w:eastAsia="zh-CN"/>
              </w:rPr>
            </w:pPr>
            <w:r>
              <w:rPr>
                <w:rFonts w:hint="eastAsia" w:ascii="Times New Roman" w:hAnsi="Times New Roman" w:eastAsia="黑体" w:cs="Times New Roman"/>
                <w:b w:val="0"/>
                <w:bCs w:val="0"/>
                <w:color w:val="auto"/>
                <w:sz w:val="24"/>
                <w:szCs w:val="24"/>
                <w:u w:val="none"/>
                <w:lang w:val="en-US" w:eastAsia="zh-CN"/>
              </w:rPr>
              <w:t>表</w:t>
            </w:r>
            <w:r>
              <w:rPr>
                <w:rFonts w:hint="eastAsia" w:eastAsia="黑体" w:cs="Times New Roman"/>
                <w:b w:val="0"/>
                <w:bCs w:val="0"/>
                <w:color w:val="auto"/>
                <w:sz w:val="24"/>
                <w:szCs w:val="24"/>
                <w:u w:val="none"/>
                <w:lang w:val="en-US" w:eastAsia="zh-CN"/>
              </w:rPr>
              <w:t>4-3</w:t>
            </w:r>
            <w:r>
              <w:rPr>
                <w:rFonts w:hint="eastAsia" w:ascii="Times New Roman" w:hAnsi="Times New Roman" w:eastAsia="黑体" w:cs="Times New Roman"/>
                <w:b w:val="0"/>
                <w:bCs w:val="0"/>
                <w:color w:val="auto"/>
                <w:sz w:val="24"/>
                <w:szCs w:val="24"/>
                <w:u w:val="none"/>
                <w:lang w:val="en-US" w:eastAsia="zh-CN"/>
              </w:rPr>
              <w:t xml:space="preserve"> 本项目废气产排情况一览表</w:t>
            </w:r>
          </w:p>
          <w:tbl>
            <w:tblPr>
              <w:tblStyle w:val="32"/>
              <w:tblW w:w="8578"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Layout w:type="fixed"/>
              <w:tblCellMar>
                <w:top w:w="0" w:type="dxa"/>
                <w:left w:w="108" w:type="dxa"/>
                <w:bottom w:w="0" w:type="dxa"/>
                <w:right w:w="108" w:type="dxa"/>
              </w:tblCellMar>
            </w:tblPr>
            <w:tblGrid>
              <w:gridCol w:w="920"/>
              <w:gridCol w:w="760"/>
              <w:gridCol w:w="763"/>
              <w:gridCol w:w="1053"/>
              <w:gridCol w:w="2442"/>
              <w:gridCol w:w="961"/>
              <w:gridCol w:w="934"/>
              <w:gridCol w:w="745"/>
            </w:tblGrid>
            <w:tr w14:paraId="2595BFA9">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340" w:hRule="atLeast"/>
                <w:jc w:val="center"/>
              </w:trPr>
              <w:tc>
                <w:tcPr>
                  <w:tcW w:w="920" w:type="dxa"/>
                  <w:tcBorders>
                    <w:tl2br w:val="nil"/>
                    <w:tr2bl w:val="nil"/>
                  </w:tcBorders>
                  <w:vAlign w:val="center"/>
                </w:tcPr>
                <w:p w14:paraId="6B73B8B3">
                  <w:pPr>
                    <w:pStyle w:val="8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bCs/>
                      <w:color w:val="auto"/>
                      <w:kern w:val="0"/>
                      <w:sz w:val="21"/>
                      <w:szCs w:val="21"/>
                      <w:u w:val="none"/>
                    </w:rPr>
                  </w:pPr>
                  <w:r>
                    <w:rPr>
                      <w:rFonts w:hint="eastAsia" w:ascii="Times New Roman" w:hAnsi="Times New Roman" w:eastAsia="宋体" w:cs="Times New Roman"/>
                      <w:b/>
                      <w:bCs w:val="0"/>
                      <w:color w:val="auto"/>
                      <w:sz w:val="21"/>
                      <w:szCs w:val="21"/>
                      <w:u w:val="none"/>
                      <w:lang w:val="en-US" w:eastAsia="zh-CN"/>
                    </w:rPr>
                    <w:t>污染物</w:t>
                  </w:r>
                </w:p>
              </w:tc>
              <w:tc>
                <w:tcPr>
                  <w:tcW w:w="760" w:type="dxa"/>
                  <w:tcBorders>
                    <w:tl2br w:val="nil"/>
                    <w:tr2bl w:val="nil"/>
                  </w:tcBorders>
                  <w:vAlign w:val="center"/>
                </w:tcPr>
                <w:p w14:paraId="00315BDB">
                  <w:pPr>
                    <w:pStyle w:val="8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bCs/>
                      <w:color w:val="auto"/>
                      <w:kern w:val="0"/>
                      <w:sz w:val="21"/>
                      <w:szCs w:val="21"/>
                      <w:u w:val="none"/>
                    </w:rPr>
                  </w:pPr>
                  <w:r>
                    <w:rPr>
                      <w:rFonts w:hint="eastAsia" w:ascii="Times New Roman" w:hAnsi="Times New Roman" w:eastAsia="宋体" w:cs="Times New Roman"/>
                      <w:b/>
                      <w:bCs w:val="0"/>
                      <w:color w:val="auto"/>
                      <w:sz w:val="21"/>
                      <w:szCs w:val="21"/>
                      <w:u w:val="none"/>
                      <w:lang w:val="en-US" w:eastAsia="zh-CN"/>
                    </w:rPr>
                    <w:t>产生</w:t>
                  </w:r>
                  <w:r>
                    <w:rPr>
                      <w:rFonts w:ascii="Times New Roman" w:hAnsi="Times New Roman" w:eastAsia="宋体" w:cs="Times New Roman"/>
                      <w:b/>
                      <w:bCs w:val="0"/>
                      <w:color w:val="auto"/>
                      <w:sz w:val="21"/>
                      <w:szCs w:val="21"/>
                      <w:u w:val="none"/>
                      <w:lang w:val="zh-CN"/>
                    </w:rPr>
                    <w:t>速率</w:t>
                  </w:r>
                  <w:r>
                    <w:rPr>
                      <w:rFonts w:ascii="Times New Roman" w:hAnsi="Times New Roman" w:eastAsia="宋体" w:cs="Times New Roman"/>
                      <w:b/>
                      <w:bCs w:val="0"/>
                      <w:color w:val="auto"/>
                      <w:sz w:val="21"/>
                      <w:szCs w:val="21"/>
                      <w:u w:val="none"/>
                    </w:rPr>
                    <w:t>kg/h</w:t>
                  </w:r>
                </w:p>
              </w:tc>
              <w:tc>
                <w:tcPr>
                  <w:tcW w:w="763" w:type="dxa"/>
                  <w:tcBorders>
                    <w:tl2br w:val="nil"/>
                    <w:tr2bl w:val="nil"/>
                  </w:tcBorders>
                  <w:vAlign w:val="center"/>
                </w:tcPr>
                <w:p w14:paraId="7BB7DF22">
                  <w:pPr>
                    <w:pStyle w:val="8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bCs/>
                      <w:color w:val="auto"/>
                      <w:kern w:val="0"/>
                      <w:sz w:val="21"/>
                      <w:szCs w:val="21"/>
                      <w:u w:val="none"/>
                    </w:rPr>
                  </w:pPr>
                  <w:r>
                    <w:rPr>
                      <w:rFonts w:hint="eastAsia" w:ascii="Times New Roman" w:hAnsi="Times New Roman" w:eastAsia="宋体" w:cs="Times New Roman"/>
                      <w:b/>
                      <w:bCs w:val="0"/>
                      <w:color w:val="auto"/>
                      <w:sz w:val="21"/>
                      <w:szCs w:val="21"/>
                      <w:u w:val="none"/>
                      <w:lang w:val="en-US" w:eastAsia="zh-CN"/>
                    </w:rPr>
                    <w:t>产生</w:t>
                  </w:r>
                  <w:r>
                    <w:rPr>
                      <w:rFonts w:ascii="Times New Roman" w:hAnsi="Times New Roman" w:eastAsia="宋体" w:cs="Times New Roman"/>
                      <w:b/>
                      <w:bCs w:val="0"/>
                      <w:color w:val="auto"/>
                      <w:sz w:val="21"/>
                      <w:szCs w:val="21"/>
                      <w:u w:val="none"/>
                      <w:lang w:val="zh-CN"/>
                    </w:rPr>
                    <w:t>量t/a</w:t>
                  </w:r>
                </w:p>
              </w:tc>
              <w:tc>
                <w:tcPr>
                  <w:tcW w:w="1053" w:type="dxa"/>
                  <w:tcBorders>
                    <w:tl2br w:val="nil"/>
                    <w:tr2bl w:val="nil"/>
                  </w:tcBorders>
                  <w:vAlign w:val="center"/>
                </w:tcPr>
                <w:p w14:paraId="4270C7BF">
                  <w:pPr>
                    <w:pStyle w:val="8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val="0"/>
                      <w:color w:val="auto"/>
                      <w:sz w:val="21"/>
                      <w:szCs w:val="21"/>
                      <w:u w:val="none"/>
                      <w:lang w:val="en-US" w:eastAsia="zh-CN"/>
                    </w:rPr>
                  </w:pPr>
                  <w:r>
                    <w:rPr>
                      <w:rFonts w:hint="eastAsia" w:ascii="Times New Roman" w:hAnsi="Times New Roman" w:eastAsia="宋体" w:cs="Times New Roman"/>
                      <w:b/>
                      <w:bCs w:val="0"/>
                      <w:color w:val="auto"/>
                      <w:sz w:val="21"/>
                      <w:szCs w:val="21"/>
                      <w:u w:val="none"/>
                      <w:lang w:val="en-US" w:eastAsia="zh-CN"/>
                    </w:rPr>
                    <w:t>排放</w:t>
                  </w:r>
                </w:p>
                <w:p w14:paraId="33213023">
                  <w:pPr>
                    <w:pStyle w:val="8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bCs/>
                      <w:color w:val="auto"/>
                      <w:kern w:val="0"/>
                      <w:sz w:val="21"/>
                      <w:szCs w:val="21"/>
                      <w:u w:val="none"/>
                    </w:rPr>
                  </w:pPr>
                  <w:r>
                    <w:rPr>
                      <w:rFonts w:hint="eastAsia" w:ascii="Times New Roman" w:hAnsi="Times New Roman" w:eastAsia="宋体" w:cs="Times New Roman"/>
                      <w:b/>
                      <w:bCs w:val="0"/>
                      <w:color w:val="auto"/>
                      <w:sz w:val="21"/>
                      <w:szCs w:val="21"/>
                      <w:u w:val="none"/>
                      <w:lang w:val="en-US" w:eastAsia="zh-CN"/>
                    </w:rPr>
                    <w:t>形式</w:t>
                  </w:r>
                </w:p>
              </w:tc>
              <w:tc>
                <w:tcPr>
                  <w:tcW w:w="2442" w:type="dxa"/>
                  <w:tcBorders>
                    <w:tl2br w:val="nil"/>
                    <w:tr2bl w:val="nil"/>
                  </w:tcBorders>
                  <w:vAlign w:val="center"/>
                </w:tcPr>
                <w:p w14:paraId="6B63B454">
                  <w:pPr>
                    <w:pStyle w:val="8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bCs/>
                      <w:color w:val="auto"/>
                      <w:kern w:val="0"/>
                      <w:sz w:val="21"/>
                      <w:szCs w:val="21"/>
                      <w:u w:val="none"/>
                    </w:rPr>
                  </w:pPr>
                  <w:r>
                    <w:rPr>
                      <w:rFonts w:ascii="Times New Roman" w:hAnsi="Times New Roman" w:eastAsia="宋体" w:cs="Times New Roman"/>
                      <w:b/>
                      <w:bCs w:val="0"/>
                      <w:color w:val="auto"/>
                      <w:sz w:val="21"/>
                      <w:szCs w:val="21"/>
                      <w:u w:val="none"/>
                      <w:lang w:val="zh-CN"/>
                    </w:rPr>
                    <w:t>污染治理设施</w:t>
                  </w:r>
                </w:p>
              </w:tc>
              <w:tc>
                <w:tcPr>
                  <w:tcW w:w="961" w:type="dxa"/>
                  <w:tcBorders>
                    <w:tl2br w:val="nil"/>
                    <w:tr2bl w:val="nil"/>
                  </w:tcBorders>
                  <w:vAlign w:val="center"/>
                </w:tcPr>
                <w:p w14:paraId="6B207362">
                  <w:pPr>
                    <w:pStyle w:val="8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b/>
                      <w:bCs w:val="0"/>
                      <w:color w:val="auto"/>
                      <w:sz w:val="21"/>
                      <w:szCs w:val="21"/>
                      <w:u w:val="none"/>
                      <w:lang w:val="zh-CN"/>
                    </w:rPr>
                  </w:pPr>
                  <w:r>
                    <w:rPr>
                      <w:rFonts w:ascii="Times New Roman" w:hAnsi="Times New Roman" w:eastAsia="宋体" w:cs="Times New Roman"/>
                      <w:b/>
                      <w:bCs w:val="0"/>
                      <w:color w:val="auto"/>
                      <w:sz w:val="21"/>
                      <w:szCs w:val="21"/>
                      <w:u w:val="none"/>
                      <w:lang w:val="zh-CN"/>
                    </w:rPr>
                    <w:t>排放</w:t>
                  </w:r>
                </w:p>
                <w:p w14:paraId="181F767F">
                  <w:pPr>
                    <w:pStyle w:val="8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bCs/>
                      <w:color w:val="auto"/>
                      <w:kern w:val="0"/>
                      <w:sz w:val="21"/>
                      <w:szCs w:val="21"/>
                      <w:u w:val="none"/>
                    </w:rPr>
                  </w:pPr>
                  <w:r>
                    <w:rPr>
                      <w:rFonts w:hint="eastAsia" w:ascii="Times New Roman" w:hAnsi="Times New Roman" w:eastAsia="宋体" w:cs="Times New Roman"/>
                      <w:b/>
                      <w:bCs w:val="0"/>
                      <w:color w:val="auto"/>
                      <w:sz w:val="21"/>
                      <w:szCs w:val="21"/>
                      <w:u w:val="none"/>
                      <w:lang w:val="en-US" w:eastAsia="zh-CN"/>
                    </w:rPr>
                    <w:t>绩效mg/kwh</w:t>
                  </w:r>
                </w:p>
              </w:tc>
              <w:tc>
                <w:tcPr>
                  <w:tcW w:w="934" w:type="dxa"/>
                  <w:tcBorders>
                    <w:tl2br w:val="nil"/>
                    <w:tr2bl w:val="nil"/>
                  </w:tcBorders>
                  <w:vAlign w:val="center"/>
                </w:tcPr>
                <w:p w14:paraId="7D1CD648">
                  <w:pPr>
                    <w:pStyle w:val="8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21"/>
                      <w:szCs w:val="21"/>
                      <w:u w:val="none"/>
                      <w:vertAlign w:val="baseline"/>
                      <w:lang w:val="en-US" w:eastAsia="zh-CN"/>
                    </w:rPr>
                  </w:pPr>
                  <w:r>
                    <w:rPr>
                      <w:rFonts w:ascii="Times New Roman" w:hAnsi="Times New Roman" w:eastAsia="宋体" w:cs="Times New Roman"/>
                      <w:b/>
                      <w:bCs w:val="0"/>
                      <w:color w:val="auto"/>
                      <w:sz w:val="21"/>
                      <w:szCs w:val="21"/>
                      <w:u w:val="none"/>
                      <w:lang w:val="zh-CN"/>
                    </w:rPr>
                    <w:t>排放速率</w:t>
                  </w:r>
                  <w:r>
                    <w:rPr>
                      <w:rFonts w:ascii="Times New Roman" w:hAnsi="Times New Roman" w:eastAsia="宋体" w:cs="Times New Roman"/>
                      <w:b/>
                      <w:bCs w:val="0"/>
                      <w:color w:val="auto"/>
                      <w:sz w:val="21"/>
                      <w:szCs w:val="21"/>
                      <w:u w:val="none"/>
                    </w:rPr>
                    <w:t>kg/h</w:t>
                  </w:r>
                </w:p>
              </w:tc>
              <w:tc>
                <w:tcPr>
                  <w:tcW w:w="745" w:type="dxa"/>
                  <w:tcBorders>
                    <w:tl2br w:val="nil"/>
                    <w:tr2bl w:val="nil"/>
                  </w:tcBorders>
                  <w:vAlign w:val="center"/>
                </w:tcPr>
                <w:p w14:paraId="2DA4DB51">
                  <w:pPr>
                    <w:pStyle w:val="8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bCs/>
                      <w:color w:val="auto"/>
                      <w:kern w:val="0"/>
                      <w:sz w:val="21"/>
                      <w:szCs w:val="21"/>
                      <w:u w:val="none"/>
                    </w:rPr>
                  </w:pPr>
                  <w:r>
                    <w:rPr>
                      <w:rFonts w:ascii="Times New Roman" w:hAnsi="Times New Roman" w:eastAsia="宋体" w:cs="Times New Roman"/>
                      <w:b/>
                      <w:bCs w:val="0"/>
                      <w:color w:val="auto"/>
                      <w:sz w:val="21"/>
                      <w:szCs w:val="21"/>
                      <w:u w:val="none"/>
                      <w:lang w:val="zh-CN"/>
                    </w:rPr>
                    <w:t>排放量t/a</w:t>
                  </w:r>
                </w:p>
              </w:tc>
            </w:tr>
            <w:tr w14:paraId="7D4436B3">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551" w:hRule="atLeast"/>
                <w:jc w:val="center"/>
              </w:trPr>
              <w:tc>
                <w:tcPr>
                  <w:tcW w:w="920" w:type="dxa"/>
                  <w:tcBorders>
                    <w:tl2br w:val="nil"/>
                    <w:tr2bl w:val="nil"/>
                  </w:tcBorders>
                  <w:vAlign w:val="center"/>
                </w:tcPr>
                <w:p w14:paraId="0FF7C2D2">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cs="Times New Roman"/>
                      <w:color w:val="auto"/>
                      <w:kern w:val="0"/>
                      <w:sz w:val="21"/>
                      <w:szCs w:val="21"/>
                      <w:u w:val="none"/>
                    </w:rPr>
                  </w:pPr>
                  <w:r>
                    <w:rPr>
                      <w:rFonts w:hint="eastAsia" w:ascii="Times New Roman" w:hAnsi="Times New Roman" w:cs="Times New Roman"/>
                      <w:color w:val="auto"/>
                      <w:sz w:val="21"/>
                      <w:szCs w:val="21"/>
                      <w:u w:val="none"/>
                      <w:lang w:val="en-US" w:eastAsia="zh-CN"/>
                    </w:rPr>
                    <w:t>颗粒物</w:t>
                  </w:r>
                </w:p>
              </w:tc>
              <w:tc>
                <w:tcPr>
                  <w:tcW w:w="760" w:type="dxa"/>
                  <w:tcBorders>
                    <w:tl2br w:val="nil"/>
                    <w:tr2bl w:val="nil"/>
                  </w:tcBorders>
                  <w:vAlign w:val="center"/>
                </w:tcPr>
                <w:p w14:paraId="12E2A13B">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cs="Times New Roman"/>
                      <w:color w:val="auto"/>
                      <w:kern w:val="0"/>
                      <w:sz w:val="21"/>
                      <w:szCs w:val="21"/>
                      <w:u w:val="none"/>
                    </w:rPr>
                  </w:pPr>
                  <w:r>
                    <w:rPr>
                      <w:rFonts w:hint="eastAsia" w:ascii="Times New Roman" w:hAnsi="Times New Roman" w:cs="Times New Roman"/>
                      <w:color w:val="auto"/>
                      <w:kern w:val="0"/>
                      <w:sz w:val="21"/>
                      <w:szCs w:val="21"/>
                      <w:u w:val="none"/>
                      <w:lang w:val="en-US" w:eastAsia="zh-CN" w:bidi="ar-SA"/>
                    </w:rPr>
                    <w:t>/</w:t>
                  </w:r>
                </w:p>
              </w:tc>
              <w:tc>
                <w:tcPr>
                  <w:tcW w:w="763" w:type="dxa"/>
                  <w:tcBorders>
                    <w:tl2br w:val="nil"/>
                    <w:tr2bl w:val="nil"/>
                  </w:tcBorders>
                  <w:vAlign w:val="center"/>
                </w:tcPr>
                <w:p w14:paraId="1B5DB83B">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u w:val="none"/>
                      <w:lang w:val="en-US" w:eastAsia="zh-CN" w:bidi="ar-SA"/>
                    </w:rPr>
                  </w:pPr>
                  <w:r>
                    <w:rPr>
                      <w:rFonts w:hint="eastAsia" w:cs="Times New Roman"/>
                      <w:color w:val="auto"/>
                      <w:kern w:val="0"/>
                      <w:sz w:val="21"/>
                      <w:szCs w:val="21"/>
                      <w:u w:val="none"/>
                      <w:lang w:val="en-US" w:eastAsia="zh-CN" w:bidi="ar-SA"/>
                    </w:rPr>
                    <w:t>0.207</w:t>
                  </w:r>
                </w:p>
              </w:tc>
              <w:tc>
                <w:tcPr>
                  <w:tcW w:w="1053" w:type="dxa"/>
                  <w:tcBorders>
                    <w:tl2br w:val="nil"/>
                    <w:tr2bl w:val="nil"/>
                  </w:tcBorders>
                  <w:vAlign w:val="center"/>
                </w:tcPr>
                <w:p w14:paraId="09B66E71">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cs="Times New Roman"/>
                      <w:color w:val="auto"/>
                      <w:kern w:val="0"/>
                      <w:sz w:val="21"/>
                      <w:szCs w:val="21"/>
                      <w:u w:val="none"/>
                    </w:rPr>
                  </w:pPr>
                  <w:r>
                    <w:rPr>
                      <w:rFonts w:ascii="Times New Roman" w:hAnsi="Times New Roman" w:cs="Times New Roman"/>
                      <w:color w:val="auto"/>
                      <w:sz w:val="21"/>
                      <w:szCs w:val="21"/>
                      <w:u w:val="none"/>
                    </w:rPr>
                    <w:t>有组织</w:t>
                  </w:r>
                </w:p>
              </w:tc>
              <w:tc>
                <w:tcPr>
                  <w:tcW w:w="2442" w:type="dxa"/>
                  <w:tcBorders>
                    <w:tl2br w:val="nil"/>
                    <w:tr2bl w:val="nil"/>
                  </w:tcBorders>
                  <w:vAlign w:val="center"/>
                </w:tcPr>
                <w:p w14:paraId="4656C52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kern w:val="0"/>
                      <w:sz w:val="21"/>
                      <w:szCs w:val="21"/>
                      <w:u w:val="none"/>
                      <w:lang w:val="en-US"/>
                    </w:rPr>
                  </w:pPr>
                  <w:r>
                    <w:rPr>
                      <w:rFonts w:hint="eastAsia" w:cs="Times New Roman"/>
                      <w:color w:val="auto"/>
                      <w:sz w:val="21"/>
                      <w:szCs w:val="21"/>
                      <w:u w:val="none"/>
                      <w:lang w:val="en-US" w:eastAsia="zh-CN"/>
                    </w:rPr>
                    <w:t>稀薄燃烧控制技术+15m高排气筒排放</w:t>
                  </w:r>
                </w:p>
              </w:tc>
              <w:tc>
                <w:tcPr>
                  <w:tcW w:w="961" w:type="dxa"/>
                  <w:tcBorders>
                    <w:tl2br w:val="nil"/>
                    <w:tr2bl w:val="nil"/>
                  </w:tcBorders>
                  <w:vAlign w:val="center"/>
                </w:tcPr>
                <w:p w14:paraId="0B9AF53C">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kern w:val="0"/>
                      <w:sz w:val="21"/>
                      <w:szCs w:val="21"/>
                      <w:u w:val="none"/>
                      <w:lang w:val="en-US"/>
                    </w:rPr>
                  </w:pPr>
                  <w:r>
                    <w:rPr>
                      <w:rFonts w:hint="eastAsia" w:cs="Times New Roman"/>
                      <w:color w:val="auto"/>
                      <w:kern w:val="0"/>
                      <w:sz w:val="21"/>
                      <w:szCs w:val="21"/>
                      <w:u w:val="none"/>
                      <w:lang w:val="en-US" w:eastAsia="zh-CN" w:bidi="ar-SA"/>
                    </w:rPr>
                    <w:t>9.0</w:t>
                  </w:r>
                </w:p>
              </w:tc>
              <w:tc>
                <w:tcPr>
                  <w:tcW w:w="934" w:type="dxa"/>
                  <w:tcBorders>
                    <w:tl2br w:val="nil"/>
                    <w:tr2bl w:val="nil"/>
                  </w:tcBorders>
                  <w:vAlign w:val="center"/>
                </w:tcPr>
                <w:p w14:paraId="75F008DB">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u w:val="none"/>
                      <w:lang w:val="en-US" w:eastAsia="zh-CN"/>
                    </w:rPr>
                  </w:pPr>
                  <w:r>
                    <w:rPr>
                      <w:rFonts w:hint="eastAsia" w:cs="Times New Roman"/>
                      <w:color w:val="auto"/>
                      <w:kern w:val="0"/>
                      <w:sz w:val="21"/>
                      <w:szCs w:val="21"/>
                      <w:u w:val="none"/>
                      <w:lang w:val="en-US" w:eastAsia="zh-CN"/>
                    </w:rPr>
                    <w:t>0.024</w:t>
                  </w:r>
                </w:p>
              </w:tc>
              <w:tc>
                <w:tcPr>
                  <w:tcW w:w="745" w:type="dxa"/>
                  <w:tcBorders>
                    <w:tl2br w:val="nil"/>
                    <w:tr2bl w:val="nil"/>
                  </w:tcBorders>
                  <w:shd w:val="clear" w:color="auto" w:fill="auto"/>
                  <w:vAlign w:val="center"/>
                </w:tcPr>
                <w:p w14:paraId="446BFECC">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u w:val="none"/>
                      <w:lang w:val="en-US" w:eastAsia="zh-CN" w:bidi="ar-SA"/>
                    </w:rPr>
                  </w:pPr>
                  <w:r>
                    <w:rPr>
                      <w:rFonts w:hint="eastAsia" w:cs="Times New Roman"/>
                      <w:color w:val="auto"/>
                      <w:kern w:val="0"/>
                      <w:sz w:val="21"/>
                      <w:szCs w:val="21"/>
                      <w:u w:val="none"/>
                      <w:lang w:val="en-US" w:eastAsia="zh-CN" w:bidi="ar-SA"/>
                    </w:rPr>
                    <w:t>0.207</w:t>
                  </w:r>
                </w:p>
              </w:tc>
            </w:tr>
            <w:tr w14:paraId="08626BE4">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550" w:hRule="atLeast"/>
                <w:jc w:val="center"/>
              </w:trPr>
              <w:tc>
                <w:tcPr>
                  <w:tcW w:w="920" w:type="dxa"/>
                  <w:tcBorders>
                    <w:tl2br w:val="nil"/>
                    <w:tr2bl w:val="nil"/>
                  </w:tcBorders>
                  <w:vAlign w:val="center"/>
                </w:tcPr>
                <w:p w14:paraId="57B55C54">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cs="Times New Roman"/>
                      <w:color w:val="auto"/>
                      <w:kern w:val="0"/>
                      <w:sz w:val="21"/>
                      <w:szCs w:val="21"/>
                      <w:u w:val="none"/>
                    </w:rPr>
                  </w:pPr>
                  <w:r>
                    <w:rPr>
                      <w:rFonts w:hint="eastAsia" w:ascii="Times New Roman" w:hAnsi="Times New Roman" w:cs="Times New Roman"/>
                      <w:color w:val="auto"/>
                      <w:sz w:val="21"/>
                      <w:szCs w:val="21"/>
                      <w:u w:val="none"/>
                      <w:lang w:val="en-US" w:eastAsia="zh-CN"/>
                    </w:rPr>
                    <w:t>NOx</w:t>
                  </w:r>
                </w:p>
              </w:tc>
              <w:tc>
                <w:tcPr>
                  <w:tcW w:w="760" w:type="dxa"/>
                  <w:tcBorders>
                    <w:tl2br w:val="nil"/>
                    <w:tr2bl w:val="nil"/>
                  </w:tcBorders>
                  <w:vAlign w:val="center"/>
                </w:tcPr>
                <w:p w14:paraId="3BC4D05A">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cs="Times New Roman"/>
                      <w:color w:val="auto"/>
                      <w:kern w:val="0"/>
                      <w:sz w:val="21"/>
                      <w:szCs w:val="21"/>
                      <w:u w:val="none"/>
                    </w:rPr>
                  </w:pPr>
                  <w:r>
                    <w:rPr>
                      <w:rFonts w:hint="eastAsia" w:ascii="Times New Roman" w:hAnsi="Times New Roman" w:cs="Times New Roman"/>
                      <w:color w:val="auto"/>
                      <w:kern w:val="0"/>
                      <w:sz w:val="21"/>
                      <w:szCs w:val="21"/>
                      <w:u w:val="none"/>
                      <w:lang w:val="en-US" w:eastAsia="zh-CN" w:bidi="ar-SA"/>
                    </w:rPr>
                    <w:t>/</w:t>
                  </w:r>
                </w:p>
              </w:tc>
              <w:tc>
                <w:tcPr>
                  <w:tcW w:w="763" w:type="dxa"/>
                  <w:tcBorders>
                    <w:tl2br w:val="nil"/>
                    <w:tr2bl w:val="nil"/>
                  </w:tcBorders>
                  <w:vAlign w:val="center"/>
                </w:tcPr>
                <w:p w14:paraId="06280971">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u w:val="none"/>
                      <w:lang w:val="en-US" w:eastAsia="zh-CN" w:bidi="ar-SA"/>
                    </w:rPr>
                  </w:pPr>
                  <w:r>
                    <w:rPr>
                      <w:rFonts w:hint="eastAsia"/>
                      <w:color w:val="auto"/>
                      <w:kern w:val="0"/>
                      <w:sz w:val="21"/>
                      <w:szCs w:val="21"/>
                      <w:u w:val="none"/>
                      <w:lang w:val="en-US" w:eastAsia="zh-CN"/>
                    </w:rPr>
                    <w:t>8.29</w:t>
                  </w:r>
                </w:p>
              </w:tc>
              <w:tc>
                <w:tcPr>
                  <w:tcW w:w="1053" w:type="dxa"/>
                  <w:tcBorders>
                    <w:tl2br w:val="nil"/>
                    <w:tr2bl w:val="nil"/>
                  </w:tcBorders>
                  <w:vAlign w:val="center"/>
                </w:tcPr>
                <w:p w14:paraId="494B09D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kern w:val="0"/>
                      <w:sz w:val="21"/>
                      <w:szCs w:val="21"/>
                      <w:u w:val="none"/>
                    </w:rPr>
                  </w:pPr>
                  <w:r>
                    <w:rPr>
                      <w:rFonts w:ascii="Times New Roman" w:hAnsi="Times New Roman" w:cs="Times New Roman"/>
                      <w:color w:val="auto"/>
                      <w:sz w:val="21"/>
                      <w:szCs w:val="21"/>
                      <w:u w:val="none"/>
                    </w:rPr>
                    <w:t>有组织</w:t>
                  </w:r>
                </w:p>
              </w:tc>
              <w:tc>
                <w:tcPr>
                  <w:tcW w:w="2442" w:type="dxa"/>
                  <w:tcBorders>
                    <w:tl2br w:val="nil"/>
                    <w:tr2bl w:val="nil"/>
                  </w:tcBorders>
                  <w:vAlign w:val="center"/>
                </w:tcPr>
                <w:p w14:paraId="33C0864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u w:val="none"/>
                      <w:lang w:eastAsia="zh-CN"/>
                    </w:rPr>
                  </w:pPr>
                  <w:r>
                    <w:rPr>
                      <w:rFonts w:hint="eastAsia" w:cs="Times New Roman"/>
                      <w:color w:val="auto"/>
                      <w:sz w:val="21"/>
                      <w:szCs w:val="21"/>
                      <w:u w:val="none"/>
                      <w:lang w:val="en-US" w:eastAsia="zh-CN"/>
                    </w:rPr>
                    <w:t>稀薄燃烧控制技术+15m高排气筒排放</w:t>
                  </w:r>
                </w:p>
              </w:tc>
              <w:tc>
                <w:tcPr>
                  <w:tcW w:w="961" w:type="dxa"/>
                  <w:tcBorders>
                    <w:tl2br w:val="nil"/>
                    <w:tr2bl w:val="nil"/>
                  </w:tcBorders>
                  <w:vAlign w:val="center"/>
                </w:tcPr>
                <w:p w14:paraId="310BB6BD">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u w:val="none"/>
                      <w:lang w:val="en-US" w:eastAsia="zh-CN"/>
                    </w:rPr>
                  </w:pPr>
                  <w:r>
                    <w:rPr>
                      <w:rFonts w:hint="eastAsia" w:cs="Times New Roman"/>
                      <w:color w:val="auto"/>
                      <w:kern w:val="0"/>
                      <w:sz w:val="21"/>
                      <w:szCs w:val="21"/>
                      <w:u w:val="none"/>
                      <w:lang w:val="en-US" w:eastAsia="zh-CN" w:bidi="ar-SA"/>
                    </w:rPr>
                    <w:t>360</w:t>
                  </w:r>
                </w:p>
              </w:tc>
              <w:tc>
                <w:tcPr>
                  <w:tcW w:w="934" w:type="dxa"/>
                  <w:tcBorders>
                    <w:tl2br w:val="nil"/>
                    <w:tr2bl w:val="nil"/>
                  </w:tcBorders>
                  <w:vAlign w:val="center"/>
                </w:tcPr>
                <w:p w14:paraId="27B03E21">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u w:val="none"/>
                      <w:lang w:val="en-US" w:eastAsia="zh-CN"/>
                    </w:rPr>
                  </w:pPr>
                  <w:r>
                    <w:rPr>
                      <w:rFonts w:hint="eastAsia" w:cs="Times New Roman"/>
                      <w:color w:val="auto"/>
                      <w:kern w:val="0"/>
                      <w:sz w:val="21"/>
                      <w:szCs w:val="21"/>
                      <w:u w:val="none"/>
                      <w:lang w:val="en-US" w:eastAsia="zh-CN"/>
                    </w:rPr>
                    <w:t>0.96</w:t>
                  </w:r>
                </w:p>
              </w:tc>
              <w:tc>
                <w:tcPr>
                  <w:tcW w:w="745" w:type="dxa"/>
                  <w:tcBorders>
                    <w:tl2br w:val="nil"/>
                    <w:tr2bl w:val="nil"/>
                  </w:tcBorders>
                  <w:shd w:val="clear" w:color="auto" w:fill="auto"/>
                  <w:vAlign w:val="center"/>
                </w:tcPr>
                <w:p w14:paraId="3E39C3C6">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u w:val="none"/>
                      <w:lang w:val="en-US" w:eastAsia="zh-CN" w:bidi="ar-SA"/>
                    </w:rPr>
                  </w:pPr>
                  <w:r>
                    <w:rPr>
                      <w:rFonts w:hint="eastAsia"/>
                      <w:color w:val="auto"/>
                      <w:kern w:val="0"/>
                      <w:sz w:val="21"/>
                      <w:szCs w:val="21"/>
                      <w:u w:val="none"/>
                      <w:lang w:val="en-US" w:eastAsia="zh-CN"/>
                    </w:rPr>
                    <w:t>8.29</w:t>
                  </w:r>
                </w:p>
              </w:tc>
            </w:tr>
            <w:tr w14:paraId="4C8C9A55">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551" w:hRule="atLeast"/>
                <w:jc w:val="center"/>
              </w:trPr>
              <w:tc>
                <w:tcPr>
                  <w:tcW w:w="920" w:type="dxa"/>
                  <w:tcBorders>
                    <w:tl2br w:val="nil"/>
                    <w:tr2bl w:val="nil"/>
                  </w:tcBorders>
                  <w:vAlign w:val="center"/>
                </w:tcPr>
                <w:p w14:paraId="2B07D23A">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1"/>
                      <w:u w:val="none"/>
                      <w:lang w:eastAsia="zh-CN"/>
                    </w:rPr>
                  </w:pPr>
                  <w:r>
                    <w:rPr>
                      <w:rFonts w:hint="eastAsia" w:ascii="Times New Roman" w:hAnsi="Times New Roman" w:cs="Times New Roman"/>
                      <w:color w:val="auto"/>
                      <w:sz w:val="21"/>
                      <w:szCs w:val="21"/>
                      <w:u w:val="none"/>
                      <w:lang w:val="en-US" w:eastAsia="zh-CN"/>
                    </w:rPr>
                    <w:t>CO</w:t>
                  </w:r>
                </w:p>
              </w:tc>
              <w:tc>
                <w:tcPr>
                  <w:tcW w:w="760" w:type="dxa"/>
                  <w:tcBorders>
                    <w:tl2br w:val="nil"/>
                    <w:tr2bl w:val="nil"/>
                  </w:tcBorders>
                  <w:vAlign w:val="center"/>
                </w:tcPr>
                <w:p w14:paraId="12BEEA02">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auto"/>
                      <w:kern w:val="0"/>
                      <w:sz w:val="21"/>
                      <w:szCs w:val="21"/>
                      <w:u w:val="none"/>
                      <w:lang w:val="en-US" w:eastAsia="zh-CN" w:bidi="ar-SA"/>
                    </w:rPr>
                  </w:pPr>
                  <w:r>
                    <w:rPr>
                      <w:rFonts w:hint="eastAsia" w:ascii="Times New Roman" w:hAnsi="Times New Roman" w:cs="Times New Roman"/>
                      <w:color w:val="auto"/>
                      <w:kern w:val="0"/>
                      <w:sz w:val="21"/>
                      <w:szCs w:val="21"/>
                      <w:u w:val="none"/>
                      <w:lang w:val="en-US" w:eastAsia="zh-CN" w:bidi="ar-SA"/>
                    </w:rPr>
                    <w:t>/</w:t>
                  </w:r>
                </w:p>
              </w:tc>
              <w:tc>
                <w:tcPr>
                  <w:tcW w:w="763" w:type="dxa"/>
                  <w:tcBorders>
                    <w:tl2br w:val="nil"/>
                    <w:tr2bl w:val="nil"/>
                  </w:tcBorders>
                  <w:vAlign w:val="center"/>
                </w:tcPr>
                <w:p w14:paraId="15E8D1C4">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eastAsia" w:cs="Times New Roman"/>
                      <w:color w:val="auto"/>
                      <w:kern w:val="0"/>
                      <w:sz w:val="21"/>
                      <w:szCs w:val="21"/>
                      <w:highlight w:val="none"/>
                      <w:u w:val="none"/>
                      <w:lang w:val="en-US" w:eastAsia="zh-CN" w:bidi="ar-SA"/>
                    </w:rPr>
                    <w:t>9.676</w:t>
                  </w:r>
                </w:p>
              </w:tc>
              <w:tc>
                <w:tcPr>
                  <w:tcW w:w="1053" w:type="dxa"/>
                  <w:tcBorders>
                    <w:tl2br w:val="nil"/>
                    <w:tr2bl w:val="nil"/>
                  </w:tcBorders>
                  <w:vAlign w:val="center"/>
                </w:tcPr>
                <w:p w14:paraId="63832F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u w:val="none"/>
                      <w:lang w:val="en-US" w:eastAsia="zh-CN"/>
                    </w:rPr>
                  </w:pPr>
                  <w:r>
                    <w:rPr>
                      <w:rFonts w:ascii="Times New Roman" w:hAnsi="Times New Roman" w:cs="Times New Roman"/>
                      <w:color w:val="auto"/>
                      <w:sz w:val="21"/>
                      <w:szCs w:val="21"/>
                      <w:highlight w:val="none"/>
                      <w:u w:val="none"/>
                    </w:rPr>
                    <w:t>有组织</w:t>
                  </w:r>
                </w:p>
              </w:tc>
              <w:tc>
                <w:tcPr>
                  <w:tcW w:w="2442" w:type="dxa"/>
                  <w:tcBorders>
                    <w:tl2br w:val="nil"/>
                    <w:tr2bl w:val="nil"/>
                  </w:tcBorders>
                  <w:vAlign w:val="center"/>
                </w:tcPr>
                <w:p w14:paraId="3816E9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snapToGrid w:val="0"/>
                      <w:color w:val="auto"/>
                      <w:kern w:val="0"/>
                      <w:sz w:val="21"/>
                      <w:szCs w:val="21"/>
                      <w:highlight w:val="none"/>
                      <w:u w:val="none"/>
                    </w:rPr>
                  </w:pPr>
                  <w:r>
                    <w:rPr>
                      <w:rFonts w:hint="eastAsia" w:cs="Times New Roman"/>
                      <w:color w:val="auto"/>
                      <w:sz w:val="21"/>
                      <w:szCs w:val="21"/>
                      <w:highlight w:val="none"/>
                      <w:u w:val="none"/>
                      <w:lang w:val="en-US" w:eastAsia="zh-CN"/>
                    </w:rPr>
                    <w:t>稀薄燃烧控制技术+15m高排气筒排放</w:t>
                  </w:r>
                </w:p>
              </w:tc>
              <w:tc>
                <w:tcPr>
                  <w:tcW w:w="961" w:type="dxa"/>
                  <w:tcBorders>
                    <w:tl2br w:val="nil"/>
                    <w:tr2bl w:val="nil"/>
                  </w:tcBorders>
                  <w:vAlign w:val="center"/>
                </w:tcPr>
                <w:p w14:paraId="6AA6FBCF">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highlight w:val="none"/>
                      <w:u w:val="none"/>
                      <w:lang w:val="en-US" w:eastAsia="zh-CN"/>
                    </w:rPr>
                  </w:pPr>
                  <w:r>
                    <w:rPr>
                      <w:rFonts w:hint="eastAsia" w:cs="Times New Roman"/>
                      <w:color w:val="auto"/>
                      <w:kern w:val="0"/>
                      <w:sz w:val="21"/>
                      <w:szCs w:val="21"/>
                      <w:highlight w:val="none"/>
                      <w:u w:val="none"/>
                      <w:lang w:val="en-US" w:eastAsia="zh-CN" w:bidi="ar-SA"/>
                    </w:rPr>
                    <w:t>420</w:t>
                  </w:r>
                </w:p>
              </w:tc>
              <w:tc>
                <w:tcPr>
                  <w:tcW w:w="934" w:type="dxa"/>
                  <w:tcBorders>
                    <w:tl2br w:val="nil"/>
                    <w:tr2bl w:val="nil"/>
                  </w:tcBorders>
                  <w:vAlign w:val="center"/>
                </w:tcPr>
                <w:p w14:paraId="322F28F4">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highlight w:val="none"/>
                      <w:u w:val="none"/>
                      <w:lang w:val="en-US" w:eastAsia="zh-CN"/>
                    </w:rPr>
                  </w:pPr>
                  <w:r>
                    <w:rPr>
                      <w:rFonts w:hint="eastAsia" w:cs="Times New Roman"/>
                      <w:color w:val="auto"/>
                      <w:kern w:val="0"/>
                      <w:sz w:val="21"/>
                      <w:szCs w:val="21"/>
                      <w:highlight w:val="none"/>
                      <w:u w:val="none"/>
                      <w:lang w:val="en-US" w:eastAsia="zh-CN"/>
                    </w:rPr>
                    <w:t>1.12</w:t>
                  </w:r>
                </w:p>
              </w:tc>
              <w:tc>
                <w:tcPr>
                  <w:tcW w:w="745" w:type="dxa"/>
                  <w:tcBorders>
                    <w:tl2br w:val="nil"/>
                    <w:tr2bl w:val="nil"/>
                  </w:tcBorders>
                  <w:shd w:val="clear" w:color="auto" w:fill="auto"/>
                  <w:vAlign w:val="center"/>
                </w:tcPr>
                <w:p w14:paraId="573BC5C8">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eastAsia" w:cs="Times New Roman"/>
                      <w:color w:val="auto"/>
                      <w:kern w:val="0"/>
                      <w:sz w:val="21"/>
                      <w:szCs w:val="21"/>
                      <w:highlight w:val="none"/>
                      <w:u w:val="none"/>
                      <w:lang w:val="en-US" w:eastAsia="zh-CN" w:bidi="ar-SA"/>
                    </w:rPr>
                    <w:t>9.676</w:t>
                  </w:r>
                </w:p>
              </w:tc>
            </w:tr>
            <w:tr w14:paraId="69EF8502">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340" w:hRule="atLeast"/>
                <w:jc w:val="center"/>
              </w:trPr>
              <w:tc>
                <w:tcPr>
                  <w:tcW w:w="920" w:type="dxa"/>
                  <w:tcBorders>
                    <w:tl2br w:val="nil"/>
                    <w:tr2bl w:val="nil"/>
                  </w:tcBorders>
                  <w:vAlign w:val="center"/>
                </w:tcPr>
                <w:p w14:paraId="0DA3FA57">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cs="Times New Roman"/>
                      <w:color w:val="auto"/>
                      <w:kern w:val="0"/>
                      <w:sz w:val="21"/>
                      <w:szCs w:val="21"/>
                      <w:u w:val="none"/>
                    </w:rPr>
                  </w:pPr>
                  <w:r>
                    <w:rPr>
                      <w:rFonts w:hint="eastAsia" w:ascii="Times New Roman" w:hAnsi="Times New Roman" w:cs="Times New Roman"/>
                      <w:color w:val="auto"/>
                      <w:sz w:val="21"/>
                      <w:szCs w:val="21"/>
                      <w:u w:val="none"/>
                      <w:lang w:val="en-US" w:eastAsia="zh-CN"/>
                    </w:rPr>
                    <w:t>非甲烷总烃</w:t>
                  </w:r>
                </w:p>
              </w:tc>
              <w:tc>
                <w:tcPr>
                  <w:tcW w:w="760" w:type="dxa"/>
                  <w:tcBorders>
                    <w:tl2br w:val="nil"/>
                    <w:tr2bl w:val="nil"/>
                  </w:tcBorders>
                  <w:vAlign w:val="center"/>
                </w:tcPr>
                <w:p w14:paraId="2E2FEEA0">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auto"/>
                      <w:kern w:val="0"/>
                      <w:sz w:val="21"/>
                      <w:szCs w:val="21"/>
                      <w:u w:val="none"/>
                      <w:lang w:val="en-US" w:eastAsia="zh-CN" w:bidi="ar-SA"/>
                    </w:rPr>
                  </w:pPr>
                  <w:r>
                    <w:rPr>
                      <w:rFonts w:hint="eastAsia" w:ascii="Times New Roman" w:hAnsi="Times New Roman" w:cs="Times New Roman"/>
                      <w:color w:val="auto"/>
                      <w:kern w:val="0"/>
                      <w:sz w:val="21"/>
                      <w:szCs w:val="21"/>
                      <w:u w:val="none"/>
                      <w:lang w:val="en-US" w:eastAsia="zh-CN"/>
                    </w:rPr>
                    <w:t>/</w:t>
                  </w:r>
                </w:p>
              </w:tc>
              <w:tc>
                <w:tcPr>
                  <w:tcW w:w="763" w:type="dxa"/>
                  <w:tcBorders>
                    <w:tl2br w:val="nil"/>
                    <w:tr2bl w:val="nil"/>
                  </w:tcBorders>
                  <w:vAlign w:val="center"/>
                </w:tcPr>
                <w:p w14:paraId="06A8598C">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u w:val="none"/>
                      <w:lang w:val="en-US" w:eastAsia="zh-CN" w:bidi="ar-SA"/>
                    </w:rPr>
                  </w:pPr>
                  <w:r>
                    <w:rPr>
                      <w:rFonts w:hint="eastAsia"/>
                      <w:color w:val="auto"/>
                      <w:kern w:val="0"/>
                      <w:sz w:val="21"/>
                      <w:szCs w:val="21"/>
                      <w:u w:val="none"/>
                      <w:lang w:val="en-US" w:eastAsia="zh-CN"/>
                    </w:rPr>
                    <w:t>1.59</w:t>
                  </w:r>
                </w:p>
              </w:tc>
              <w:tc>
                <w:tcPr>
                  <w:tcW w:w="1053" w:type="dxa"/>
                  <w:tcBorders>
                    <w:tl2br w:val="nil"/>
                    <w:tr2bl w:val="nil"/>
                  </w:tcBorders>
                  <w:vAlign w:val="center"/>
                </w:tcPr>
                <w:p w14:paraId="060F990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0"/>
                      <w:sz w:val="21"/>
                      <w:szCs w:val="21"/>
                      <w:u w:val="none"/>
                      <w:lang w:val="en-US" w:eastAsia="zh-CN"/>
                    </w:rPr>
                  </w:pPr>
                  <w:r>
                    <w:rPr>
                      <w:rFonts w:ascii="Times New Roman" w:hAnsi="Times New Roman" w:cs="Times New Roman"/>
                      <w:color w:val="auto"/>
                      <w:sz w:val="21"/>
                      <w:szCs w:val="21"/>
                      <w:u w:val="none"/>
                    </w:rPr>
                    <w:t>有组织</w:t>
                  </w:r>
                </w:p>
              </w:tc>
              <w:tc>
                <w:tcPr>
                  <w:tcW w:w="2442" w:type="dxa"/>
                  <w:tcBorders>
                    <w:tl2br w:val="nil"/>
                    <w:tr2bl w:val="nil"/>
                  </w:tcBorders>
                  <w:vAlign w:val="center"/>
                </w:tcPr>
                <w:p w14:paraId="2C299E3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snapToGrid w:val="0"/>
                      <w:color w:val="auto"/>
                      <w:kern w:val="0"/>
                      <w:sz w:val="21"/>
                      <w:szCs w:val="21"/>
                      <w:u w:val="none"/>
                    </w:rPr>
                  </w:pPr>
                  <w:r>
                    <w:rPr>
                      <w:rFonts w:hint="eastAsia" w:cs="Times New Roman"/>
                      <w:color w:val="auto"/>
                      <w:sz w:val="21"/>
                      <w:szCs w:val="21"/>
                      <w:u w:val="none"/>
                      <w:lang w:val="en-US" w:eastAsia="zh-CN"/>
                    </w:rPr>
                    <w:t>稀薄燃烧控制技术+15m高排气筒排放</w:t>
                  </w:r>
                </w:p>
              </w:tc>
              <w:tc>
                <w:tcPr>
                  <w:tcW w:w="961" w:type="dxa"/>
                  <w:tcBorders>
                    <w:tl2br w:val="nil"/>
                    <w:tr2bl w:val="nil"/>
                  </w:tcBorders>
                  <w:vAlign w:val="center"/>
                </w:tcPr>
                <w:p w14:paraId="077F9738">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u w:val="none"/>
                      <w:lang w:val="en-US" w:eastAsia="zh-CN"/>
                    </w:rPr>
                  </w:pPr>
                  <w:r>
                    <w:rPr>
                      <w:rFonts w:hint="eastAsia"/>
                      <w:color w:val="auto"/>
                      <w:kern w:val="0"/>
                      <w:sz w:val="21"/>
                      <w:szCs w:val="21"/>
                      <w:u w:val="none"/>
                      <w:lang w:val="en-US" w:eastAsia="zh-CN"/>
                    </w:rPr>
                    <w:t>69</w:t>
                  </w:r>
                </w:p>
              </w:tc>
              <w:tc>
                <w:tcPr>
                  <w:tcW w:w="934" w:type="dxa"/>
                  <w:tcBorders>
                    <w:tl2br w:val="nil"/>
                    <w:tr2bl w:val="nil"/>
                  </w:tcBorders>
                  <w:vAlign w:val="center"/>
                </w:tcPr>
                <w:p w14:paraId="1E22D96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u w:val="none"/>
                      <w:lang w:val="en-US" w:eastAsia="zh-CN"/>
                    </w:rPr>
                  </w:pPr>
                  <w:r>
                    <w:rPr>
                      <w:rFonts w:hint="eastAsia" w:cs="Times New Roman"/>
                      <w:color w:val="auto"/>
                      <w:kern w:val="0"/>
                      <w:sz w:val="21"/>
                      <w:szCs w:val="21"/>
                      <w:u w:val="none"/>
                      <w:lang w:val="en-US" w:eastAsia="zh-CN"/>
                    </w:rPr>
                    <w:t>0.18</w:t>
                  </w:r>
                </w:p>
              </w:tc>
              <w:tc>
                <w:tcPr>
                  <w:tcW w:w="745" w:type="dxa"/>
                  <w:tcBorders>
                    <w:tl2br w:val="nil"/>
                    <w:tr2bl w:val="nil"/>
                  </w:tcBorders>
                  <w:shd w:val="clear" w:color="auto" w:fill="auto"/>
                  <w:vAlign w:val="center"/>
                </w:tcPr>
                <w:p w14:paraId="54950B08">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0"/>
                      <w:sz w:val="21"/>
                      <w:szCs w:val="21"/>
                      <w:u w:val="none"/>
                      <w:lang w:val="en-US" w:eastAsia="zh-CN" w:bidi="ar-SA"/>
                    </w:rPr>
                  </w:pPr>
                  <w:r>
                    <w:rPr>
                      <w:rFonts w:hint="eastAsia"/>
                      <w:color w:val="auto"/>
                      <w:kern w:val="0"/>
                      <w:sz w:val="21"/>
                      <w:szCs w:val="21"/>
                      <w:u w:val="none"/>
                      <w:lang w:val="en-US" w:eastAsia="zh-CN"/>
                    </w:rPr>
                    <w:t>1.59</w:t>
                  </w:r>
                </w:p>
              </w:tc>
            </w:tr>
          </w:tbl>
          <w:p w14:paraId="2F69CE11">
            <w:pPr>
              <w:keepNext w:val="0"/>
              <w:keepLines w:val="0"/>
              <w:pageBreakBefore w:val="0"/>
              <w:widowControl w:val="0"/>
              <w:kinsoku/>
              <w:wordWrap/>
              <w:overflowPunct/>
              <w:topLinePunct w:val="0"/>
              <w:autoSpaceDE/>
              <w:autoSpaceDN/>
              <w:bidi w:val="0"/>
              <w:adjustRightInd/>
              <w:snapToGrid/>
              <w:spacing w:line="500" w:lineRule="exact"/>
              <w:ind w:left="481" w:leftChars="229" w:firstLine="0" w:firstLineChars="0"/>
              <w:textAlignment w:val="auto"/>
              <w:rPr>
                <w:rFonts w:ascii="Times New Roman" w:hAnsi="Times New Roman" w:cs="Times New Roman"/>
                <w:b/>
                <w:color w:val="auto"/>
                <w:sz w:val="24"/>
                <w:u w:val="none"/>
              </w:rPr>
            </w:pPr>
            <w:r>
              <w:rPr>
                <w:rFonts w:hint="eastAsia" w:cs="Times New Roman"/>
                <w:b/>
                <w:color w:val="auto"/>
                <w:sz w:val="24"/>
                <w:u w:val="none"/>
                <w:lang w:val="en-US" w:eastAsia="zh-CN"/>
              </w:rPr>
              <w:t>1</w:t>
            </w:r>
            <w:r>
              <w:rPr>
                <w:rFonts w:hint="eastAsia" w:ascii="Times New Roman" w:hAnsi="Times New Roman" w:cs="Times New Roman"/>
                <w:b/>
                <w:color w:val="auto"/>
                <w:sz w:val="24"/>
                <w:u w:val="none"/>
                <w:lang w:val="en-US" w:eastAsia="zh-CN"/>
              </w:rPr>
              <w:t>.</w:t>
            </w:r>
            <w:r>
              <w:rPr>
                <w:rFonts w:hint="eastAsia" w:cs="Times New Roman"/>
                <w:b/>
                <w:color w:val="auto"/>
                <w:sz w:val="24"/>
                <w:u w:val="none"/>
                <w:lang w:val="en-US" w:eastAsia="zh-CN"/>
              </w:rPr>
              <w:t>5</w:t>
            </w:r>
            <w:r>
              <w:rPr>
                <w:rFonts w:ascii="Times New Roman" w:hAnsi="Times New Roman" w:cs="Times New Roman"/>
                <w:b/>
                <w:color w:val="auto"/>
                <w:sz w:val="24"/>
                <w:u w:val="none"/>
              </w:rPr>
              <w:t>废气排放口情况</w:t>
            </w:r>
          </w:p>
          <w:p w14:paraId="3B2D90BF">
            <w:pPr>
              <w:pStyle w:val="7"/>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eastAsia" w:ascii="Times New Roman" w:hAnsi="Times New Roman" w:eastAsia="黑体" w:cs="Times New Roman"/>
                <w:b w:val="0"/>
                <w:bCs w:val="0"/>
                <w:color w:val="auto"/>
                <w:sz w:val="24"/>
                <w:szCs w:val="24"/>
                <w:u w:val="none"/>
                <w:lang w:val="en-US" w:eastAsia="zh-CN"/>
              </w:rPr>
            </w:pPr>
            <w:r>
              <w:rPr>
                <w:rFonts w:hint="eastAsia" w:ascii="Times New Roman" w:hAnsi="Times New Roman" w:eastAsia="黑体" w:cs="Times New Roman"/>
                <w:b w:val="0"/>
                <w:bCs w:val="0"/>
                <w:color w:val="auto"/>
                <w:sz w:val="24"/>
                <w:szCs w:val="24"/>
                <w:u w:val="none"/>
                <w:lang w:val="en-US" w:eastAsia="zh-CN"/>
              </w:rPr>
              <w:t>表</w:t>
            </w:r>
            <w:r>
              <w:rPr>
                <w:rFonts w:hint="eastAsia" w:eastAsia="黑体" w:cs="Times New Roman"/>
                <w:b w:val="0"/>
                <w:bCs w:val="0"/>
                <w:color w:val="auto"/>
                <w:sz w:val="24"/>
                <w:szCs w:val="24"/>
                <w:u w:val="none"/>
                <w:lang w:val="en-US" w:eastAsia="zh-CN"/>
              </w:rPr>
              <w:t>4-4</w:t>
            </w:r>
            <w:r>
              <w:rPr>
                <w:rFonts w:hint="eastAsia" w:ascii="Times New Roman" w:hAnsi="Times New Roman" w:eastAsia="黑体" w:cs="Times New Roman"/>
                <w:b w:val="0"/>
                <w:bCs w:val="0"/>
                <w:color w:val="auto"/>
                <w:sz w:val="24"/>
                <w:szCs w:val="24"/>
                <w:u w:val="none"/>
                <w:lang w:val="en-US" w:eastAsia="zh-CN"/>
              </w:rPr>
              <w:t xml:space="preserve"> 排放口基本情况表</w:t>
            </w:r>
          </w:p>
          <w:tbl>
            <w:tblPr>
              <w:tblStyle w:val="32"/>
              <w:tblW w:w="8535" w:type="dxa"/>
              <w:tblInd w:w="-2" w:type="dxa"/>
              <w:tblBorders>
                <w:top w:val="single" w:color="auto" w:sz="4" w:space="0"/>
                <w:left w:val="single" w:color="auto" w:sz="6" w:space="0"/>
                <w:bottom w:val="single" w:color="auto" w:sz="4" w:space="0"/>
                <w:right w:val="single" w:color="auto" w:sz="6" w:space="0"/>
                <w:insideH w:val="single" w:color="auto" w:sz="6" w:space="0"/>
                <w:insideV w:val="single" w:color="auto" w:sz="4" w:space="0"/>
              </w:tblBorders>
              <w:tblLayout w:type="fixed"/>
              <w:tblCellMar>
                <w:top w:w="0" w:type="dxa"/>
                <w:left w:w="108" w:type="dxa"/>
                <w:bottom w:w="0" w:type="dxa"/>
                <w:right w:w="108" w:type="dxa"/>
              </w:tblCellMar>
            </w:tblPr>
            <w:tblGrid>
              <w:gridCol w:w="444"/>
              <w:gridCol w:w="878"/>
              <w:gridCol w:w="953"/>
              <w:gridCol w:w="1500"/>
              <w:gridCol w:w="1123"/>
              <w:gridCol w:w="979"/>
              <w:gridCol w:w="847"/>
              <w:gridCol w:w="1021"/>
              <w:gridCol w:w="790"/>
            </w:tblGrid>
            <w:tr w14:paraId="3F5D5A7A">
              <w:tblPrEx>
                <w:tblBorders>
                  <w:top w:val="single" w:color="auto" w:sz="4" w:space="0"/>
                  <w:left w:val="single" w:color="auto" w:sz="6" w:space="0"/>
                  <w:bottom w:val="single" w:color="auto" w:sz="4"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374" w:hRule="atLeast"/>
              </w:trPr>
              <w:tc>
                <w:tcPr>
                  <w:tcW w:w="444" w:type="dxa"/>
                  <w:vMerge w:val="restart"/>
                  <w:tcBorders>
                    <w:tl2br w:val="nil"/>
                    <w:tr2bl w:val="nil"/>
                  </w:tcBorders>
                  <w:vAlign w:val="center"/>
                </w:tcPr>
                <w:p w14:paraId="569EC8BA">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序号</w:t>
                  </w:r>
                </w:p>
              </w:tc>
              <w:tc>
                <w:tcPr>
                  <w:tcW w:w="878" w:type="dxa"/>
                  <w:vMerge w:val="restart"/>
                  <w:tcBorders>
                    <w:tl2br w:val="nil"/>
                    <w:tr2bl w:val="nil"/>
                  </w:tcBorders>
                  <w:vAlign w:val="center"/>
                </w:tcPr>
                <w:p w14:paraId="5E613F80">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排放口编号</w:t>
                  </w:r>
                </w:p>
              </w:tc>
              <w:tc>
                <w:tcPr>
                  <w:tcW w:w="953" w:type="dxa"/>
                  <w:vMerge w:val="restart"/>
                  <w:tcBorders>
                    <w:tl2br w:val="nil"/>
                    <w:tr2bl w:val="nil"/>
                  </w:tcBorders>
                  <w:vAlign w:val="center"/>
                </w:tcPr>
                <w:p w14:paraId="4EEE7C74">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名称</w:t>
                  </w:r>
                </w:p>
              </w:tc>
              <w:tc>
                <w:tcPr>
                  <w:tcW w:w="1500" w:type="dxa"/>
                  <w:vMerge w:val="restart"/>
                  <w:tcBorders>
                    <w:tl2br w:val="nil"/>
                    <w:tr2bl w:val="nil"/>
                  </w:tcBorders>
                  <w:vAlign w:val="center"/>
                </w:tcPr>
                <w:p w14:paraId="79658F8E">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污染物</w:t>
                  </w:r>
                </w:p>
              </w:tc>
              <w:tc>
                <w:tcPr>
                  <w:tcW w:w="2102" w:type="dxa"/>
                  <w:gridSpan w:val="2"/>
                  <w:tcBorders>
                    <w:tl2br w:val="nil"/>
                    <w:tr2bl w:val="nil"/>
                  </w:tcBorders>
                  <w:vAlign w:val="center"/>
                </w:tcPr>
                <w:p w14:paraId="226A3170">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坐标</w:t>
                  </w:r>
                </w:p>
              </w:tc>
              <w:tc>
                <w:tcPr>
                  <w:tcW w:w="847" w:type="dxa"/>
                  <w:vMerge w:val="restart"/>
                  <w:tcBorders>
                    <w:tl2br w:val="nil"/>
                    <w:tr2bl w:val="nil"/>
                  </w:tcBorders>
                  <w:vAlign w:val="center"/>
                </w:tcPr>
                <w:p w14:paraId="142DD82E">
                  <w:pPr>
                    <w:pStyle w:val="90"/>
                    <w:keepNext w:val="0"/>
                    <w:keepLines w:val="0"/>
                    <w:pageBreakBefore w:val="0"/>
                    <w:widowControl w:val="0"/>
                    <w:kinsoku/>
                    <w:wordWrap/>
                    <w:overflowPunct/>
                    <w:topLinePunct w:val="0"/>
                    <w:autoSpaceDE/>
                    <w:autoSpaceDN/>
                    <w:bidi w:val="0"/>
                    <w:adjustRightInd/>
                    <w:snapToGrid/>
                    <w:spacing w:line="240" w:lineRule="auto"/>
                    <w:textAlignment w:val="auto"/>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排气筒高度/m</w:t>
                  </w:r>
                </w:p>
              </w:tc>
              <w:tc>
                <w:tcPr>
                  <w:tcW w:w="1021" w:type="dxa"/>
                  <w:vMerge w:val="restart"/>
                  <w:tcBorders>
                    <w:tl2br w:val="nil"/>
                    <w:tr2bl w:val="nil"/>
                  </w:tcBorders>
                  <w:vAlign w:val="center"/>
                </w:tcPr>
                <w:p w14:paraId="4FD0BEF6">
                  <w:pPr>
                    <w:pStyle w:val="90"/>
                    <w:keepNext w:val="0"/>
                    <w:keepLines w:val="0"/>
                    <w:pageBreakBefore w:val="0"/>
                    <w:widowControl w:val="0"/>
                    <w:kinsoku/>
                    <w:wordWrap/>
                    <w:overflowPunct/>
                    <w:topLinePunct w:val="0"/>
                    <w:autoSpaceDE/>
                    <w:autoSpaceDN/>
                    <w:bidi w:val="0"/>
                    <w:adjustRightInd/>
                    <w:snapToGrid/>
                    <w:spacing w:line="240" w:lineRule="auto"/>
                    <w:textAlignment w:val="auto"/>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排气筒出口内径/m</w:t>
                  </w:r>
                </w:p>
              </w:tc>
              <w:tc>
                <w:tcPr>
                  <w:tcW w:w="790" w:type="dxa"/>
                  <w:vMerge w:val="restart"/>
                  <w:tcBorders>
                    <w:tl2br w:val="nil"/>
                    <w:tr2bl w:val="nil"/>
                  </w:tcBorders>
                  <w:vAlign w:val="center"/>
                </w:tcPr>
                <w:p w14:paraId="73F91E5D">
                  <w:pPr>
                    <w:pStyle w:val="90"/>
                    <w:keepNext w:val="0"/>
                    <w:keepLines w:val="0"/>
                    <w:pageBreakBefore w:val="0"/>
                    <w:widowControl w:val="0"/>
                    <w:kinsoku/>
                    <w:wordWrap/>
                    <w:overflowPunct/>
                    <w:topLinePunct w:val="0"/>
                    <w:autoSpaceDE/>
                    <w:autoSpaceDN/>
                    <w:bidi w:val="0"/>
                    <w:adjustRightInd/>
                    <w:snapToGrid/>
                    <w:spacing w:line="240" w:lineRule="auto"/>
                    <w:textAlignment w:val="auto"/>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烟气温度/℃</w:t>
                  </w:r>
                </w:p>
              </w:tc>
            </w:tr>
            <w:tr w14:paraId="28089A90">
              <w:tblPrEx>
                <w:tblBorders>
                  <w:top w:val="single" w:color="auto" w:sz="4" w:space="0"/>
                  <w:left w:val="single" w:color="auto" w:sz="6" w:space="0"/>
                  <w:bottom w:val="single" w:color="auto" w:sz="4"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398" w:hRule="atLeast"/>
              </w:trPr>
              <w:tc>
                <w:tcPr>
                  <w:tcW w:w="444" w:type="dxa"/>
                  <w:vMerge w:val="continue"/>
                  <w:tcBorders>
                    <w:tl2br w:val="nil"/>
                    <w:tr2bl w:val="nil"/>
                  </w:tcBorders>
                  <w:vAlign w:val="center"/>
                </w:tcPr>
                <w:p w14:paraId="26591081">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 w:val="21"/>
                      <w:szCs w:val="21"/>
                      <w:u w:val="none"/>
                    </w:rPr>
                  </w:pPr>
                </w:p>
              </w:tc>
              <w:tc>
                <w:tcPr>
                  <w:tcW w:w="878" w:type="dxa"/>
                  <w:vMerge w:val="continue"/>
                  <w:tcBorders>
                    <w:tl2br w:val="nil"/>
                    <w:tr2bl w:val="nil"/>
                  </w:tcBorders>
                  <w:vAlign w:val="center"/>
                </w:tcPr>
                <w:p w14:paraId="56ABB4FF">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 w:val="21"/>
                      <w:szCs w:val="21"/>
                      <w:u w:val="none"/>
                    </w:rPr>
                  </w:pPr>
                </w:p>
              </w:tc>
              <w:tc>
                <w:tcPr>
                  <w:tcW w:w="953" w:type="dxa"/>
                  <w:vMerge w:val="continue"/>
                  <w:tcBorders>
                    <w:tl2br w:val="nil"/>
                    <w:tr2bl w:val="nil"/>
                  </w:tcBorders>
                  <w:vAlign w:val="center"/>
                </w:tcPr>
                <w:p w14:paraId="2BF3E540">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 w:val="21"/>
                      <w:szCs w:val="21"/>
                      <w:u w:val="none"/>
                    </w:rPr>
                  </w:pPr>
                </w:p>
              </w:tc>
              <w:tc>
                <w:tcPr>
                  <w:tcW w:w="1500" w:type="dxa"/>
                  <w:vMerge w:val="continue"/>
                  <w:tcBorders>
                    <w:tl2br w:val="nil"/>
                    <w:tr2bl w:val="nil"/>
                  </w:tcBorders>
                  <w:vAlign w:val="center"/>
                </w:tcPr>
                <w:p w14:paraId="237C2760">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 w:val="21"/>
                      <w:szCs w:val="21"/>
                      <w:u w:val="none"/>
                    </w:rPr>
                  </w:pPr>
                </w:p>
              </w:tc>
              <w:tc>
                <w:tcPr>
                  <w:tcW w:w="1123" w:type="dxa"/>
                  <w:tcBorders>
                    <w:tl2br w:val="nil"/>
                    <w:tr2bl w:val="nil"/>
                  </w:tcBorders>
                  <w:vAlign w:val="center"/>
                </w:tcPr>
                <w:p w14:paraId="54AD90F0">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经度</w:t>
                  </w:r>
                </w:p>
              </w:tc>
              <w:tc>
                <w:tcPr>
                  <w:tcW w:w="979" w:type="dxa"/>
                  <w:tcBorders>
                    <w:tl2br w:val="nil"/>
                    <w:tr2bl w:val="nil"/>
                  </w:tcBorders>
                  <w:vAlign w:val="center"/>
                </w:tcPr>
                <w:p w14:paraId="6681E1F4">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纬度</w:t>
                  </w:r>
                </w:p>
              </w:tc>
              <w:tc>
                <w:tcPr>
                  <w:tcW w:w="847" w:type="dxa"/>
                  <w:vMerge w:val="continue"/>
                  <w:tcBorders>
                    <w:tl2br w:val="nil"/>
                    <w:tr2bl w:val="nil"/>
                  </w:tcBorders>
                  <w:vAlign w:val="center"/>
                </w:tcPr>
                <w:p w14:paraId="5F702AEC">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 w:val="21"/>
                      <w:szCs w:val="21"/>
                      <w:u w:val="none"/>
                    </w:rPr>
                  </w:pPr>
                </w:p>
              </w:tc>
              <w:tc>
                <w:tcPr>
                  <w:tcW w:w="1021" w:type="dxa"/>
                  <w:vMerge w:val="continue"/>
                  <w:tcBorders>
                    <w:tl2br w:val="nil"/>
                    <w:tr2bl w:val="nil"/>
                  </w:tcBorders>
                  <w:vAlign w:val="center"/>
                </w:tcPr>
                <w:p w14:paraId="0CB20CD1">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 w:val="21"/>
                      <w:szCs w:val="21"/>
                      <w:u w:val="none"/>
                    </w:rPr>
                  </w:pPr>
                </w:p>
              </w:tc>
              <w:tc>
                <w:tcPr>
                  <w:tcW w:w="790" w:type="dxa"/>
                  <w:vMerge w:val="continue"/>
                  <w:tcBorders>
                    <w:tl2br w:val="nil"/>
                    <w:tr2bl w:val="nil"/>
                  </w:tcBorders>
                  <w:vAlign w:val="center"/>
                </w:tcPr>
                <w:p w14:paraId="6972B7BD">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 w:val="21"/>
                      <w:szCs w:val="21"/>
                      <w:u w:val="none"/>
                    </w:rPr>
                  </w:pPr>
                </w:p>
              </w:tc>
            </w:tr>
            <w:tr w14:paraId="0707FB7E">
              <w:tblPrEx>
                <w:tblBorders>
                  <w:top w:val="single" w:color="auto" w:sz="4" w:space="0"/>
                  <w:left w:val="single" w:color="auto" w:sz="6" w:space="0"/>
                  <w:bottom w:val="single" w:color="auto" w:sz="4"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963" w:hRule="atLeast"/>
              </w:trPr>
              <w:tc>
                <w:tcPr>
                  <w:tcW w:w="444" w:type="dxa"/>
                  <w:tcBorders>
                    <w:tl2br w:val="nil"/>
                    <w:tr2bl w:val="nil"/>
                  </w:tcBorders>
                  <w:vAlign w:val="center"/>
                </w:tcPr>
                <w:p w14:paraId="510CD9DB">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1</w:t>
                  </w:r>
                </w:p>
              </w:tc>
              <w:tc>
                <w:tcPr>
                  <w:tcW w:w="878" w:type="dxa"/>
                  <w:tcBorders>
                    <w:tl2br w:val="nil"/>
                    <w:tr2bl w:val="nil"/>
                  </w:tcBorders>
                  <w:vAlign w:val="center"/>
                </w:tcPr>
                <w:p w14:paraId="040F0CE4">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DA001</w:t>
                  </w:r>
                </w:p>
              </w:tc>
              <w:tc>
                <w:tcPr>
                  <w:tcW w:w="953" w:type="dxa"/>
                  <w:tcBorders>
                    <w:tl2br w:val="nil"/>
                    <w:tr2bl w:val="nil"/>
                  </w:tcBorders>
                  <w:vAlign w:val="center"/>
                </w:tcPr>
                <w:p w14:paraId="7E7BE8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1#发电机组排气筒</w:t>
                  </w:r>
                </w:p>
              </w:tc>
              <w:tc>
                <w:tcPr>
                  <w:tcW w:w="1500" w:type="dxa"/>
                  <w:tcBorders>
                    <w:tl2br w:val="nil"/>
                    <w:tr2bl w:val="nil"/>
                  </w:tcBorders>
                  <w:vAlign w:val="center"/>
                </w:tcPr>
                <w:p w14:paraId="64AE6DEE">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颗粒物、非甲烷总烃、一氧化碳、氮氧化物</w:t>
                  </w:r>
                </w:p>
              </w:tc>
              <w:tc>
                <w:tcPr>
                  <w:tcW w:w="1123" w:type="dxa"/>
                  <w:tcBorders>
                    <w:tl2br w:val="nil"/>
                    <w:tr2bl w:val="nil"/>
                  </w:tcBorders>
                  <w:vAlign w:val="center"/>
                </w:tcPr>
                <w:p w14:paraId="5194D215">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rPr>
                    <w:t>11</w:t>
                  </w:r>
                  <w:r>
                    <w:rPr>
                      <w:rFonts w:hint="eastAsia" w:ascii="Times New Roman" w:hAnsi="Times New Roman" w:cs="Times New Roman"/>
                      <w:color w:val="auto"/>
                      <w:sz w:val="21"/>
                      <w:szCs w:val="21"/>
                      <w:u w:val="none"/>
                      <w:lang w:val="en-US" w:eastAsia="zh-CN"/>
                    </w:rPr>
                    <w:t>3</w:t>
                  </w:r>
                  <w:r>
                    <w:rPr>
                      <w:rFonts w:hint="eastAsia" w:ascii="Times New Roman" w:hAnsi="Times New Roman" w:cs="Times New Roman"/>
                      <w:color w:val="auto"/>
                      <w:sz w:val="21"/>
                      <w:szCs w:val="21"/>
                      <w:u w:val="none"/>
                    </w:rPr>
                    <w:t>.</w:t>
                  </w:r>
                  <w:r>
                    <w:rPr>
                      <w:rFonts w:hint="eastAsia" w:cs="Times New Roman"/>
                      <w:color w:val="auto"/>
                      <w:sz w:val="21"/>
                      <w:szCs w:val="21"/>
                      <w:u w:val="none"/>
                      <w:lang w:val="en-US" w:eastAsia="zh-CN"/>
                    </w:rPr>
                    <w:t>47989738</w:t>
                  </w:r>
                </w:p>
              </w:tc>
              <w:tc>
                <w:tcPr>
                  <w:tcW w:w="979" w:type="dxa"/>
                  <w:tcBorders>
                    <w:tl2br w:val="nil"/>
                    <w:tr2bl w:val="nil"/>
                  </w:tcBorders>
                  <w:vAlign w:val="center"/>
                </w:tcPr>
                <w:p w14:paraId="75FC5922">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rPr>
                    <w:t>3</w:t>
                  </w:r>
                  <w:r>
                    <w:rPr>
                      <w:rFonts w:hint="eastAsia" w:ascii="Times New Roman" w:hAnsi="Times New Roman" w:cs="Times New Roman"/>
                      <w:color w:val="auto"/>
                      <w:sz w:val="21"/>
                      <w:szCs w:val="21"/>
                      <w:u w:val="none"/>
                      <w:lang w:val="en-US" w:eastAsia="zh-CN"/>
                    </w:rPr>
                    <w:t>3</w:t>
                  </w:r>
                  <w:r>
                    <w:rPr>
                      <w:rFonts w:hint="eastAsia" w:ascii="Times New Roman" w:hAnsi="Times New Roman" w:cs="Times New Roman"/>
                      <w:color w:val="auto"/>
                      <w:sz w:val="21"/>
                      <w:szCs w:val="21"/>
                      <w:u w:val="none"/>
                    </w:rPr>
                    <w:t>.</w:t>
                  </w:r>
                  <w:r>
                    <w:rPr>
                      <w:rFonts w:hint="eastAsia" w:cs="Times New Roman"/>
                      <w:color w:val="auto"/>
                      <w:sz w:val="21"/>
                      <w:szCs w:val="21"/>
                      <w:u w:val="none"/>
                      <w:lang w:val="en-US" w:eastAsia="zh-CN"/>
                    </w:rPr>
                    <w:t>73355903</w:t>
                  </w:r>
                </w:p>
              </w:tc>
              <w:tc>
                <w:tcPr>
                  <w:tcW w:w="847" w:type="dxa"/>
                  <w:tcBorders>
                    <w:tl2br w:val="nil"/>
                    <w:tr2bl w:val="nil"/>
                  </w:tcBorders>
                  <w:vAlign w:val="center"/>
                </w:tcPr>
                <w:p w14:paraId="4CD4A704">
                  <w:pPr>
                    <w:pStyle w:val="9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15</w:t>
                  </w:r>
                </w:p>
              </w:tc>
              <w:tc>
                <w:tcPr>
                  <w:tcW w:w="1021" w:type="dxa"/>
                  <w:tcBorders>
                    <w:tl2br w:val="nil"/>
                    <w:tr2bl w:val="nil"/>
                  </w:tcBorders>
                  <w:vAlign w:val="center"/>
                </w:tcPr>
                <w:p w14:paraId="4121F14D">
                  <w:pPr>
                    <w:pStyle w:val="9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0.3</w:t>
                  </w:r>
                </w:p>
              </w:tc>
              <w:tc>
                <w:tcPr>
                  <w:tcW w:w="790" w:type="dxa"/>
                  <w:tcBorders>
                    <w:tl2br w:val="nil"/>
                    <w:tr2bl w:val="nil"/>
                  </w:tcBorders>
                  <w:vAlign w:val="center"/>
                </w:tcPr>
                <w:p w14:paraId="63069B99">
                  <w:pPr>
                    <w:pStyle w:val="9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600</w:t>
                  </w:r>
                </w:p>
              </w:tc>
            </w:tr>
            <w:tr w14:paraId="3C249C25">
              <w:tblPrEx>
                <w:tblBorders>
                  <w:top w:val="single" w:color="auto" w:sz="4" w:space="0"/>
                  <w:left w:val="single" w:color="auto" w:sz="6" w:space="0"/>
                  <w:bottom w:val="single" w:color="auto" w:sz="4"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987" w:hRule="atLeast"/>
              </w:trPr>
              <w:tc>
                <w:tcPr>
                  <w:tcW w:w="444" w:type="dxa"/>
                  <w:tcBorders>
                    <w:tl2br w:val="nil"/>
                    <w:tr2bl w:val="nil"/>
                  </w:tcBorders>
                  <w:vAlign w:val="center"/>
                </w:tcPr>
                <w:p w14:paraId="5B0506ED">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2</w:t>
                  </w:r>
                </w:p>
              </w:tc>
              <w:tc>
                <w:tcPr>
                  <w:tcW w:w="878" w:type="dxa"/>
                  <w:tcBorders>
                    <w:tl2br w:val="nil"/>
                    <w:tr2bl w:val="nil"/>
                  </w:tcBorders>
                  <w:vAlign w:val="center"/>
                </w:tcPr>
                <w:p w14:paraId="2D4276E3">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 w:val="21"/>
                      <w:szCs w:val="21"/>
                      <w:u w:val="none"/>
                    </w:rPr>
                  </w:pPr>
                  <w:r>
                    <w:rPr>
                      <w:rFonts w:ascii="Times New Roman" w:hAnsi="Times New Roman" w:cs="Times New Roman"/>
                      <w:color w:val="auto"/>
                      <w:sz w:val="21"/>
                      <w:szCs w:val="21"/>
                      <w:u w:val="none"/>
                    </w:rPr>
                    <w:t>DA002</w:t>
                  </w:r>
                </w:p>
              </w:tc>
              <w:tc>
                <w:tcPr>
                  <w:tcW w:w="953" w:type="dxa"/>
                  <w:tcBorders>
                    <w:tl2br w:val="nil"/>
                    <w:tr2bl w:val="nil"/>
                  </w:tcBorders>
                  <w:vAlign w:val="center"/>
                </w:tcPr>
                <w:p w14:paraId="7411C5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u w:val="none"/>
                      <w:lang w:eastAsia="zh-CN"/>
                    </w:rPr>
                  </w:pPr>
                  <w:r>
                    <w:rPr>
                      <w:rFonts w:hint="eastAsia" w:ascii="Times New Roman" w:hAnsi="Times New Roman" w:cs="Times New Roman"/>
                      <w:color w:val="auto"/>
                      <w:sz w:val="21"/>
                      <w:szCs w:val="21"/>
                      <w:u w:val="none"/>
                      <w:lang w:val="en-US" w:eastAsia="zh-CN"/>
                    </w:rPr>
                    <w:t>2#发电机组排气筒</w:t>
                  </w:r>
                </w:p>
              </w:tc>
              <w:tc>
                <w:tcPr>
                  <w:tcW w:w="1500" w:type="dxa"/>
                  <w:tcBorders>
                    <w:tl2br w:val="nil"/>
                    <w:tr2bl w:val="nil"/>
                  </w:tcBorders>
                  <w:vAlign w:val="center"/>
                </w:tcPr>
                <w:p w14:paraId="3831F498">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u w:val="none"/>
                      <w:lang w:eastAsia="zh-CN"/>
                    </w:rPr>
                  </w:pPr>
                  <w:r>
                    <w:rPr>
                      <w:rFonts w:hint="eastAsia" w:ascii="Times New Roman" w:hAnsi="Times New Roman" w:eastAsia="宋体" w:cs="Times New Roman"/>
                      <w:color w:val="auto"/>
                      <w:sz w:val="21"/>
                      <w:szCs w:val="21"/>
                      <w:u w:val="none"/>
                      <w:lang w:val="en-US" w:eastAsia="zh-CN"/>
                    </w:rPr>
                    <w:t>颗粒物、非甲烷总烃、一氧化碳、氮氧化物</w:t>
                  </w:r>
                </w:p>
              </w:tc>
              <w:tc>
                <w:tcPr>
                  <w:tcW w:w="1123" w:type="dxa"/>
                  <w:tcBorders>
                    <w:tl2br w:val="nil"/>
                    <w:tr2bl w:val="nil"/>
                  </w:tcBorders>
                  <w:vAlign w:val="center"/>
                </w:tcPr>
                <w:p w14:paraId="33664F0D">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cs="Times New Roman"/>
                      <w:color w:val="auto"/>
                      <w:sz w:val="21"/>
                      <w:szCs w:val="21"/>
                      <w:u w:val="none"/>
                    </w:rPr>
                  </w:pPr>
                  <w:r>
                    <w:rPr>
                      <w:rFonts w:hint="eastAsia" w:ascii="Times New Roman" w:hAnsi="Times New Roman" w:cs="Times New Roman"/>
                      <w:color w:val="auto"/>
                      <w:sz w:val="21"/>
                      <w:szCs w:val="21"/>
                      <w:u w:val="none"/>
                    </w:rPr>
                    <w:t>11</w:t>
                  </w:r>
                  <w:r>
                    <w:rPr>
                      <w:rFonts w:hint="eastAsia" w:ascii="Times New Roman" w:hAnsi="Times New Roman" w:cs="Times New Roman"/>
                      <w:color w:val="auto"/>
                      <w:sz w:val="21"/>
                      <w:szCs w:val="21"/>
                      <w:u w:val="none"/>
                      <w:lang w:val="en-US" w:eastAsia="zh-CN"/>
                    </w:rPr>
                    <w:t>3</w:t>
                  </w:r>
                  <w:r>
                    <w:rPr>
                      <w:rFonts w:hint="eastAsia" w:ascii="Times New Roman" w:hAnsi="Times New Roman" w:cs="Times New Roman"/>
                      <w:color w:val="auto"/>
                      <w:sz w:val="21"/>
                      <w:szCs w:val="21"/>
                      <w:u w:val="none"/>
                    </w:rPr>
                    <w:t>.</w:t>
                  </w:r>
                  <w:r>
                    <w:rPr>
                      <w:rFonts w:hint="eastAsia" w:cs="Times New Roman"/>
                      <w:color w:val="auto"/>
                      <w:sz w:val="21"/>
                      <w:szCs w:val="21"/>
                      <w:u w:val="none"/>
                      <w:lang w:val="en-US" w:eastAsia="zh-CN"/>
                    </w:rPr>
                    <w:t>47989708</w:t>
                  </w:r>
                </w:p>
              </w:tc>
              <w:tc>
                <w:tcPr>
                  <w:tcW w:w="979" w:type="dxa"/>
                  <w:tcBorders>
                    <w:tl2br w:val="nil"/>
                    <w:tr2bl w:val="nil"/>
                  </w:tcBorders>
                  <w:vAlign w:val="center"/>
                </w:tcPr>
                <w:p w14:paraId="554CBC07">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lang w:val="en-US"/>
                    </w:rPr>
                  </w:pPr>
                  <w:r>
                    <w:rPr>
                      <w:rFonts w:hint="eastAsia" w:ascii="Times New Roman" w:hAnsi="Times New Roman" w:cs="Times New Roman"/>
                      <w:color w:val="auto"/>
                      <w:sz w:val="21"/>
                      <w:szCs w:val="21"/>
                      <w:u w:val="none"/>
                    </w:rPr>
                    <w:t>3</w:t>
                  </w:r>
                  <w:r>
                    <w:rPr>
                      <w:rFonts w:hint="eastAsia" w:ascii="Times New Roman" w:hAnsi="Times New Roman" w:cs="Times New Roman"/>
                      <w:color w:val="auto"/>
                      <w:sz w:val="21"/>
                      <w:szCs w:val="21"/>
                      <w:u w:val="none"/>
                      <w:lang w:val="en-US" w:eastAsia="zh-CN"/>
                    </w:rPr>
                    <w:t>3</w:t>
                  </w:r>
                  <w:r>
                    <w:rPr>
                      <w:rFonts w:hint="eastAsia" w:ascii="Times New Roman" w:hAnsi="Times New Roman" w:cs="Times New Roman"/>
                      <w:color w:val="auto"/>
                      <w:sz w:val="21"/>
                      <w:szCs w:val="21"/>
                      <w:u w:val="none"/>
                    </w:rPr>
                    <w:t>.</w:t>
                  </w:r>
                  <w:r>
                    <w:rPr>
                      <w:rFonts w:hint="eastAsia" w:cs="Times New Roman"/>
                      <w:color w:val="auto"/>
                      <w:sz w:val="21"/>
                      <w:szCs w:val="21"/>
                      <w:u w:val="none"/>
                      <w:lang w:val="en-US" w:eastAsia="zh-CN"/>
                    </w:rPr>
                    <w:t>73365803</w:t>
                  </w:r>
                </w:p>
              </w:tc>
              <w:tc>
                <w:tcPr>
                  <w:tcW w:w="847" w:type="dxa"/>
                  <w:tcBorders>
                    <w:tl2br w:val="nil"/>
                    <w:tr2bl w:val="nil"/>
                  </w:tcBorders>
                  <w:vAlign w:val="center"/>
                </w:tcPr>
                <w:p w14:paraId="0E133A01">
                  <w:pPr>
                    <w:pStyle w:val="9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1"/>
                      <w:szCs w:val="21"/>
                      <w:u w:val="none"/>
                      <w:lang w:val="en-US"/>
                    </w:rPr>
                  </w:pPr>
                  <w:r>
                    <w:rPr>
                      <w:rFonts w:hint="eastAsia" w:ascii="Times New Roman" w:hAnsi="Times New Roman" w:cs="Times New Roman"/>
                      <w:color w:val="auto"/>
                      <w:sz w:val="21"/>
                      <w:szCs w:val="21"/>
                      <w:u w:val="none"/>
                      <w:lang w:val="en-US" w:eastAsia="zh-CN"/>
                    </w:rPr>
                    <w:t>15</w:t>
                  </w:r>
                </w:p>
              </w:tc>
              <w:tc>
                <w:tcPr>
                  <w:tcW w:w="1021" w:type="dxa"/>
                  <w:tcBorders>
                    <w:tl2br w:val="nil"/>
                    <w:tr2bl w:val="nil"/>
                  </w:tcBorders>
                  <w:vAlign w:val="center"/>
                </w:tcPr>
                <w:p w14:paraId="7963A768">
                  <w:pPr>
                    <w:pStyle w:val="9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0.3</w:t>
                  </w:r>
                </w:p>
              </w:tc>
              <w:tc>
                <w:tcPr>
                  <w:tcW w:w="790" w:type="dxa"/>
                  <w:tcBorders>
                    <w:tl2br w:val="nil"/>
                    <w:tr2bl w:val="nil"/>
                  </w:tcBorders>
                  <w:vAlign w:val="center"/>
                </w:tcPr>
                <w:p w14:paraId="3290267A">
                  <w:pPr>
                    <w:pStyle w:val="9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1"/>
                      <w:szCs w:val="21"/>
                      <w:u w:val="none"/>
                      <w:lang w:val="en-US"/>
                    </w:rPr>
                  </w:pPr>
                  <w:r>
                    <w:rPr>
                      <w:rFonts w:hint="eastAsia" w:ascii="Times New Roman" w:hAnsi="Times New Roman" w:cs="Times New Roman"/>
                      <w:color w:val="auto"/>
                      <w:sz w:val="21"/>
                      <w:szCs w:val="21"/>
                      <w:u w:val="none"/>
                      <w:lang w:val="en-US" w:eastAsia="zh-CN"/>
                    </w:rPr>
                    <w:t>600</w:t>
                  </w:r>
                </w:p>
              </w:tc>
            </w:tr>
            <w:tr w14:paraId="3ECEAA9C">
              <w:tblPrEx>
                <w:tblBorders>
                  <w:top w:val="single" w:color="auto" w:sz="4" w:space="0"/>
                  <w:left w:val="single" w:color="auto" w:sz="6" w:space="0"/>
                  <w:bottom w:val="single" w:color="auto" w:sz="4"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626" w:hRule="atLeast"/>
              </w:trPr>
              <w:tc>
                <w:tcPr>
                  <w:tcW w:w="444" w:type="dxa"/>
                  <w:tcBorders>
                    <w:tl2br w:val="nil"/>
                    <w:tr2bl w:val="nil"/>
                  </w:tcBorders>
                  <w:vAlign w:val="center"/>
                </w:tcPr>
                <w:p w14:paraId="5232554A">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u w:val="none"/>
                      <w:lang w:eastAsia="zh-CN"/>
                    </w:rPr>
                  </w:pPr>
                  <w:r>
                    <w:rPr>
                      <w:rFonts w:hint="eastAsia" w:ascii="Times New Roman" w:hAnsi="Times New Roman" w:cs="Times New Roman"/>
                      <w:color w:val="auto"/>
                      <w:sz w:val="21"/>
                      <w:szCs w:val="21"/>
                      <w:u w:val="none"/>
                      <w:lang w:val="en-US" w:eastAsia="zh-CN"/>
                    </w:rPr>
                    <w:t>3</w:t>
                  </w:r>
                </w:p>
              </w:tc>
              <w:tc>
                <w:tcPr>
                  <w:tcW w:w="878" w:type="dxa"/>
                  <w:tcBorders>
                    <w:tl2br w:val="nil"/>
                    <w:tr2bl w:val="nil"/>
                  </w:tcBorders>
                  <w:vAlign w:val="center"/>
                </w:tcPr>
                <w:p w14:paraId="166B24A1">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u w:val="none"/>
                      <w:lang w:eastAsia="zh-CN"/>
                    </w:rPr>
                  </w:pPr>
                  <w:r>
                    <w:rPr>
                      <w:rFonts w:ascii="Times New Roman" w:hAnsi="Times New Roman" w:cs="Times New Roman"/>
                      <w:color w:val="auto"/>
                      <w:sz w:val="21"/>
                      <w:szCs w:val="21"/>
                      <w:u w:val="none"/>
                    </w:rPr>
                    <w:t>DA00</w:t>
                  </w:r>
                  <w:r>
                    <w:rPr>
                      <w:rFonts w:hint="eastAsia" w:ascii="Times New Roman" w:hAnsi="Times New Roman" w:cs="Times New Roman"/>
                      <w:color w:val="auto"/>
                      <w:sz w:val="21"/>
                      <w:szCs w:val="21"/>
                      <w:u w:val="none"/>
                      <w:lang w:val="en-US" w:eastAsia="zh-CN"/>
                    </w:rPr>
                    <w:t>3</w:t>
                  </w:r>
                </w:p>
              </w:tc>
              <w:tc>
                <w:tcPr>
                  <w:tcW w:w="953" w:type="dxa"/>
                  <w:tcBorders>
                    <w:tl2br w:val="nil"/>
                    <w:tr2bl w:val="nil"/>
                  </w:tcBorders>
                  <w:vAlign w:val="center"/>
                </w:tcPr>
                <w:p w14:paraId="1B11B0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3#发电机组排气筒</w:t>
                  </w:r>
                </w:p>
              </w:tc>
              <w:tc>
                <w:tcPr>
                  <w:tcW w:w="1500" w:type="dxa"/>
                  <w:tcBorders>
                    <w:tl2br w:val="nil"/>
                    <w:tr2bl w:val="nil"/>
                  </w:tcBorders>
                  <w:vAlign w:val="center"/>
                </w:tcPr>
                <w:p w14:paraId="59E25C72">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颗粒物、非甲烷总烃、一氧化碳、氮氧化物</w:t>
                  </w:r>
                </w:p>
              </w:tc>
              <w:tc>
                <w:tcPr>
                  <w:tcW w:w="1123" w:type="dxa"/>
                  <w:tcBorders>
                    <w:tl2br w:val="nil"/>
                    <w:tr2bl w:val="nil"/>
                  </w:tcBorders>
                  <w:vAlign w:val="center"/>
                </w:tcPr>
                <w:p w14:paraId="3CC98487">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lang w:val="en-US"/>
                    </w:rPr>
                  </w:pPr>
                  <w:r>
                    <w:rPr>
                      <w:rFonts w:hint="eastAsia" w:ascii="Times New Roman" w:hAnsi="Times New Roman" w:cs="Times New Roman"/>
                      <w:color w:val="auto"/>
                      <w:sz w:val="21"/>
                      <w:szCs w:val="21"/>
                      <w:u w:val="none"/>
                    </w:rPr>
                    <w:t>11</w:t>
                  </w:r>
                  <w:r>
                    <w:rPr>
                      <w:rFonts w:hint="eastAsia" w:ascii="Times New Roman" w:hAnsi="Times New Roman" w:cs="Times New Roman"/>
                      <w:color w:val="auto"/>
                      <w:sz w:val="21"/>
                      <w:szCs w:val="21"/>
                      <w:u w:val="none"/>
                      <w:lang w:val="en-US" w:eastAsia="zh-CN"/>
                    </w:rPr>
                    <w:t>3</w:t>
                  </w:r>
                  <w:r>
                    <w:rPr>
                      <w:rFonts w:hint="eastAsia" w:ascii="Times New Roman" w:hAnsi="Times New Roman" w:cs="Times New Roman"/>
                      <w:color w:val="auto"/>
                      <w:sz w:val="21"/>
                      <w:szCs w:val="21"/>
                      <w:u w:val="none"/>
                    </w:rPr>
                    <w:t>.</w:t>
                  </w:r>
                  <w:r>
                    <w:rPr>
                      <w:rFonts w:hint="eastAsia" w:cs="Times New Roman"/>
                      <w:color w:val="auto"/>
                      <w:sz w:val="21"/>
                      <w:szCs w:val="21"/>
                      <w:u w:val="none"/>
                      <w:lang w:val="en-US" w:eastAsia="zh-CN"/>
                    </w:rPr>
                    <w:t>47989916</w:t>
                  </w:r>
                </w:p>
              </w:tc>
              <w:tc>
                <w:tcPr>
                  <w:tcW w:w="979" w:type="dxa"/>
                  <w:tcBorders>
                    <w:tl2br w:val="nil"/>
                    <w:tr2bl w:val="nil"/>
                  </w:tcBorders>
                  <w:vAlign w:val="center"/>
                </w:tcPr>
                <w:p w14:paraId="72789A1E">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lang w:val="en-US"/>
                    </w:rPr>
                  </w:pPr>
                  <w:r>
                    <w:rPr>
                      <w:rFonts w:hint="eastAsia" w:ascii="Times New Roman" w:hAnsi="Times New Roman" w:cs="Times New Roman"/>
                      <w:color w:val="auto"/>
                      <w:sz w:val="21"/>
                      <w:szCs w:val="21"/>
                      <w:u w:val="none"/>
                    </w:rPr>
                    <w:t>3</w:t>
                  </w:r>
                  <w:r>
                    <w:rPr>
                      <w:rFonts w:hint="eastAsia" w:ascii="Times New Roman" w:hAnsi="Times New Roman" w:cs="Times New Roman"/>
                      <w:color w:val="auto"/>
                      <w:sz w:val="21"/>
                      <w:szCs w:val="21"/>
                      <w:u w:val="none"/>
                      <w:lang w:val="en-US" w:eastAsia="zh-CN"/>
                    </w:rPr>
                    <w:t>3</w:t>
                  </w:r>
                  <w:r>
                    <w:rPr>
                      <w:rFonts w:hint="eastAsia" w:ascii="Times New Roman" w:hAnsi="Times New Roman" w:cs="Times New Roman"/>
                      <w:color w:val="auto"/>
                      <w:sz w:val="21"/>
                      <w:szCs w:val="21"/>
                      <w:u w:val="none"/>
                    </w:rPr>
                    <w:t>.</w:t>
                  </w:r>
                  <w:r>
                    <w:rPr>
                      <w:rFonts w:hint="eastAsia" w:cs="Times New Roman"/>
                      <w:color w:val="auto"/>
                      <w:sz w:val="21"/>
                      <w:szCs w:val="21"/>
                      <w:u w:val="none"/>
                      <w:lang w:val="en-US" w:eastAsia="zh-CN"/>
                    </w:rPr>
                    <w:t>73355736</w:t>
                  </w:r>
                </w:p>
              </w:tc>
              <w:tc>
                <w:tcPr>
                  <w:tcW w:w="847" w:type="dxa"/>
                  <w:tcBorders>
                    <w:tl2br w:val="nil"/>
                    <w:tr2bl w:val="nil"/>
                  </w:tcBorders>
                  <w:vAlign w:val="center"/>
                </w:tcPr>
                <w:p w14:paraId="18417CC5">
                  <w:pPr>
                    <w:pStyle w:val="9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15</w:t>
                  </w:r>
                </w:p>
              </w:tc>
              <w:tc>
                <w:tcPr>
                  <w:tcW w:w="1021" w:type="dxa"/>
                  <w:tcBorders>
                    <w:tl2br w:val="nil"/>
                    <w:tr2bl w:val="nil"/>
                  </w:tcBorders>
                  <w:vAlign w:val="center"/>
                </w:tcPr>
                <w:p w14:paraId="66131544">
                  <w:pPr>
                    <w:pStyle w:val="9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0.3</w:t>
                  </w:r>
                </w:p>
              </w:tc>
              <w:tc>
                <w:tcPr>
                  <w:tcW w:w="790" w:type="dxa"/>
                  <w:tcBorders>
                    <w:tl2br w:val="nil"/>
                    <w:tr2bl w:val="nil"/>
                  </w:tcBorders>
                  <w:vAlign w:val="center"/>
                </w:tcPr>
                <w:p w14:paraId="41DD31FD">
                  <w:pPr>
                    <w:pStyle w:val="9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600</w:t>
                  </w:r>
                </w:p>
              </w:tc>
            </w:tr>
            <w:tr w14:paraId="22B71816">
              <w:tblPrEx>
                <w:tblBorders>
                  <w:top w:val="single" w:color="auto" w:sz="4" w:space="0"/>
                  <w:left w:val="single" w:color="auto" w:sz="6" w:space="0"/>
                  <w:bottom w:val="single" w:color="auto" w:sz="4"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626" w:hRule="atLeast"/>
              </w:trPr>
              <w:tc>
                <w:tcPr>
                  <w:tcW w:w="444" w:type="dxa"/>
                  <w:tcBorders>
                    <w:tl2br w:val="nil"/>
                    <w:tr2bl w:val="nil"/>
                  </w:tcBorders>
                  <w:vAlign w:val="center"/>
                </w:tcPr>
                <w:p w14:paraId="7649733B">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u w:val="none"/>
                      <w:lang w:eastAsia="zh-CN"/>
                    </w:rPr>
                  </w:pPr>
                  <w:r>
                    <w:rPr>
                      <w:rFonts w:hint="eastAsia" w:ascii="Times New Roman" w:hAnsi="Times New Roman" w:cs="Times New Roman"/>
                      <w:color w:val="auto"/>
                      <w:sz w:val="21"/>
                      <w:szCs w:val="21"/>
                      <w:u w:val="none"/>
                      <w:lang w:val="en-US" w:eastAsia="zh-CN"/>
                    </w:rPr>
                    <w:t>4</w:t>
                  </w:r>
                </w:p>
              </w:tc>
              <w:tc>
                <w:tcPr>
                  <w:tcW w:w="878" w:type="dxa"/>
                  <w:tcBorders>
                    <w:tl2br w:val="nil"/>
                    <w:tr2bl w:val="nil"/>
                  </w:tcBorders>
                  <w:vAlign w:val="center"/>
                </w:tcPr>
                <w:p w14:paraId="64AF3C4A">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u w:val="none"/>
                      <w:lang w:eastAsia="zh-CN"/>
                    </w:rPr>
                  </w:pPr>
                  <w:r>
                    <w:rPr>
                      <w:rFonts w:ascii="Times New Roman" w:hAnsi="Times New Roman" w:cs="Times New Roman"/>
                      <w:color w:val="auto"/>
                      <w:sz w:val="21"/>
                      <w:szCs w:val="21"/>
                      <w:u w:val="none"/>
                    </w:rPr>
                    <w:t>DA00</w:t>
                  </w:r>
                  <w:r>
                    <w:rPr>
                      <w:rFonts w:hint="eastAsia" w:ascii="Times New Roman" w:hAnsi="Times New Roman" w:cs="Times New Roman"/>
                      <w:color w:val="auto"/>
                      <w:sz w:val="21"/>
                      <w:szCs w:val="21"/>
                      <w:u w:val="none"/>
                      <w:lang w:val="en-US" w:eastAsia="zh-CN"/>
                    </w:rPr>
                    <w:t>4</w:t>
                  </w:r>
                </w:p>
              </w:tc>
              <w:tc>
                <w:tcPr>
                  <w:tcW w:w="953" w:type="dxa"/>
                  <w:tcBorders>
                    <w:tl2br w:val="nil"/>
                    <w:tr2bl w:val="nil"/>
                  </w:tcBorders>
                  <w:vAlign w:val="center"/>
                </w:tcPr>
                <w:p w14:paraId="0778DD8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4#发电机组排气筒</w:t>
                  </w:r>
                </w:p>
              </w:tc>
              <w:tc>
                <w:tcPr>
                  <w:tcW w:w="1500" w:type="dxa"/>
                  <w:tcBorders>
                    <w:tl2br w:val="nil"/>
                    <w:tr2bl w:val="nil"/>
                  </w:tcBorders>
                  <w:vAlign w:val="center"/>
                </w:tcPr>
                <w:p w14:paraId="146EA25A">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颗粒物、非甲烷总烃、一氧化碳、氮氧化物</w:t>
                  </w:r>
                </w:p>
              </w:tc>
              <w:tc>
                <w:tcPr>
                  <w:tcW w:w="1123" w:type="dxa"/>
                  <w:tcBorders>
                    <w:tl2br w:val="nil"/>
                    <w:tr2bl w:val="nil"/>
                  </w:tcBorders>
                  <w:vAlign w:val="center"/>
                </w:tcPr>
                <w:p w14:paraId="177B7C49">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u w:val="none"/>
                      <w:lang w:val="en-US"/>
                    </w:rPr>
                  </w:pPr>
                  <w:r>
                    <w:rPr>
                      <w:rFonts w:hint="eastAsia" w:ascii="Times New Roman" w:hAnsi="Times New Roman" w:cs="Times New Roman"/>
                      <w:color w:val="auto"/>
                      <w:sz w:val="21"/>
                      <w:szCs w:val="21"/>
                      <w:u w:val="none"/>
                    </w:rPr>
                    <w:t>11</w:t>
                  </w:r>
                  <w:r>
                    <w:rPr>
                      <w:rFonts w:hint="eastAsia" w:ascii="Times New Roman" w:hAnsi="Times New Roman" w:cs="Times New Roman"/>
                      <w:color w:val="auto"/>
                      <w:sz w:val="21"/>
                      <w:szCs w:val="21"/>
                      <w:u w:val="none"/>
                      <w:lang w:val="en-US" w:eastAsia="zh-CN"/>
                    </w:rPr>
                    <w:t>3</w:t>
                  </w:r>
                  <w:r>
                    <w:rPr>
                      <w:rFonts w:hint="eastAsia" w:ascii="Times New Roman" w:hAnsi="Times New Roman" w:cs="Times New Roman"/>
                      <w:color w:val="auto"/>
                      <w:sz w:val="21"/>
                      <w:szCs w:val="21"/>
                      <w:u w:val="none"/>
                    </w:rPr>
                    <w:t>.</w:t>
                  </w:r>
                  <w:r>
                    <w:rPr>
                      <w:rFonts w:hint="eastAsia" w:cs="Times New Roman"/>
                      <w:color w:val="auto"/>
                      <w:sz w:val="21"/>
                      <w:szCs w:val="21"/>
                      <w:u w:val="none"/>
                      <w:lang w:val="en-US" w:eastAsia="zh-CN"/>
                    </w:rPr>
                    <w:t>47989734</w:t>
                  </w:r>
                </w:p>
              </w:tc>
              <w:tc>
                <w:tcPr>
                  <w:tcW w:w="979" w:type="dxa"/>
                  <w:tcBorders>
                    <w:tl2br w:val="nil"/>
                    <w:tr2bl w:val="nil"/>
                  </w:tcBorders>
                  <w:vAlign w:val="center"/>
                </w:tcPr>
                <w:p w14:paraId="56C899CD">
                  <w:pPr>
                    <w:pStyle w:val="7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3</w:t>
                  </w:r>
                  <w:r>
                    <w:rPr>
                      <w:rFonts w:hint="eastAsia" w:ascii="Times New Roman" w:hAnsi="Times New Roman" w:cs="Times New Roman"/>
                      <w:color w:val="auto"/>
                      <w:sz w:val="21"/>
                      <w:szCs w:val="21"/>
                      <w:u w:val="none"/>
                      <w:lang w:val="en-US" w:eastAsia="zh-CN"/>
                    </w:rPr>
                    <w:t>3</w:t>
                  </w:r>
                  <w:r>
                    <w:rPr>
                      <w:rFonts w:hint="eastAsia" w:ascii="Times New Roman" w:hAnsi="Times New Roman" w:cs="Times New Roman"/>
                      <w:color w:val="auto"/>
                      <w:sz w:val="21"/>
                      <w:szCs w:val="21"/>
                      <w:u w:val="none"/>
                    </w:rPr>
                    <w:t>.</w:t>
                  </w:r>
                  <w:r>
                    <w:rPr>
                      <w:rFonts w:hint="eastAsia" w:cs="Times New Roman"/>
                      <w:color w:val="auto"/>
                      <w:sz w:val="21"/>
                      <w:szCs w:val="21"/>
                      <w:u w:val="none"/>
                      <w:lang w:val="en-US" w:eastAsia="zh-CN"/>
                    </w:rPr>
                    <w:t>73365913</w:t>
                  </w:r>
                </w:p>
              </w:tc>
              <w:tc>
                <w:tcPr>
                  <w:tcW w:w="847" w:type="dxa"/>
                  <w:tcBorders>
                    <w:tl2br w:val="nil"/>
                    <w:tr2bl w:val="nil"/>
                  </w:tcBorders>
                  <w:vAlign w:val="center"/>
                </w:tcPr>
                <w:p w14:paraId="708D5FBC">
                  <w:pPr>
                    <w:pStyle w:val="9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15</w:t>
                  </w:r>
                </w:p>
              </w:tc>
              <w:tc>
                <w:tcPr>
                  <w:tcW w:w="1021" w:type="dxa"/>
                  <w:tcBorders>
                    <w:tl2br w:val="nil"/>
                    <w:tr2bl w:val="nil"/>
                  </w:tcBorders>
                  <w:vAlign w:val="center"/>
                </w:tcPr>
                <w:p w14:paraId="234396C2">
                  <w:pPr>
                    <w:pStyle w:val="9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0.3</w:t>
                  </w:r>
                </w:p>
              </w:tc>
              <w:tc>
                <w:tcPr>
                  <w:tcW w:w="790" w:type="dxa"/>
                  <w:tcBorders>
                    <w:tl2br w:val="nil"/>
                    <w:tr2bl w:val="nil"/>
                  </w:tcBorders>
                  <w:vAlign w:val="center"/>
                </w:tcPr>
                <w:p w14:paraId="637DEA83">
                  <w:pPr>
                    <w:pStyle w:val="90"/>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600</w:t>
                  </w:r>
                </w:p>
              </w:tc>
            </w:tr>
          </w:tbl>
          <w:p w14:paraId="284F2BF9">
            <w:pPr>
              <w:keepNext w:val="0"/>
              <w:keepLines w:val="0"/>
              <w:pageBreakBefore w:val="0"/>
              <w:widowControl w:val="0"/>
              <w:kinsoku/>
              <w:wordWrap/>
              <w:overflowPunct/>
              <w:topLinePunct w:val="0"/>
              <w:autoSpaceDE/>
              <w:autoSpaceDN/>
              <w:bidi w:val="0"/>
              <w:adjustRightInd/>
              <w:snapToGrid/>
              <w:spacing w:line="500" w:lineRule="exact"/>
              <w:ind w:left="481" w:leftChars="229" w:firstLine="0" w:firstLineChars="0"/>
              <w:textAlignment w:val="auto"/>
              <w:rPr>
                <w:rFonts w:ascii="Times New Roman" w:hAnsi="Times New Roman" w:cs="Times New Roman"/>
                <w:b/>
                <w:color w:val="auto"/>
                <w:sz w:val="24"/>
                <w:u w:val="none"/>
              </w:rPr>
            </w:pPr>
            <w:r>
              <w:rPr>
                <w:rFonts w:hint="eastAsia" w:cs="Times New Roman"/>
                <w:b/>
                <w:color w:val="auto"/>
                <w:sz w:val="24"/>
                <w:u w:val="none"/>
                <w:lang w:val="en-US" w:eastAsia="zh-CN"/>
              </w:rPr>
              <w:t>1.6</w:t>
            </w:r>
            <w:r>
              <w:rPr>
                <w:rFonts w:ascii="Times New Roman" w:hAnsi="Times New Roman" w:cs="Times New Roman"/>
                <w:b/>
                <w:color w:val="auto"/>
                <w:sz w:val="24"/>
                <w:u w:val="none"/>
              </w:rPr>
              <w:t>污染源监测计划</w:t>
            </w:r>
          </w:p>
          <w:p w14:paraId="2F47594D">
            <w:pPr>
              <w:pStyle w:val="42"/>
              <w:keepNext w:val="0"/>
              <w:keepLines w:val="0"/>
              <w:pageBreakBefore w:val="0"/>
              <w:widowControl w:val="0"/>
              <w:kinsoku/>
              <w:wordWrap/>
              <w:overflowPunct/>
              <w:topLinePunct w:val="0"/>
              <w:autoSpaceDE/>
              <w:autoSpaceDN/>
              <w:bidi w:val="0"/>
              <w:adjustRightInd/>
              <w:spacing w:line="500" w:lineRule="exact"/>
              <w:ind w:left="0" w:leftChars="0" w:firstLine="480" w:firstLineChars="200"/>
              <w:jc w:val="left"/>
              <w:textAlignment w:val="auto"/>
              <w:rPr>
                <w:rFonts w:hint="eastAsia" w:ascii="Times New Roman" w:hAnsi="Times New Roman" w:eastAsia="宋体" w:cs="Times New Roman"/>
                <w:color w:val="auto"/>
                <w:sz w:val="24"/>
                <w:szCs w:val="24"/>
                <w:u w:val="none"/>
                <w:lang w:eastAsia="zh-CN"/>
              </w:rPr>
            </w:pPr>
            <w:r>
              <w:rPr>
                <w:rFonts w:ascii="Times New Roman" w:hAnsi="Times New Roman" w:eastAsia="宋体" w:cs="Times New Roman"/>
                <w:color w:val="auto"/>
                <w:kern w:val="2"/>
                <w:sz w:val="24"/>
                <w:szCs w:val="24"/>
                <w:u w:val="none"/>
                <w:lang w:val="en-US" w:eastAsia="zh-CN" w:bidi="ar-SA"/>
              </w:rPr>
              <w:t>根据《排污单位自行监测技术指南</w:t>
            </w:r>
            <w:r>
              <w:rPr>
                <w:rFonts w:hint="eastAsia" w:ascii="Times New Roman" w:hAnsi="Times New Roman" w:eastAsia="宋体" w:cs="Times New Roman"/>
                <w:color w:val="auto"/>
                <w:kern w:val="2"/>
                <w:sz w:val="24"/>
                <w:szCs w:val="24"/>
                <w:u w:val="none"/>
                <w:lang w:val="en-US" w:eastAsia="zh-CN" w:bidi="ar-SA"/>
              </w:rPr>
              <w:t>·</w:t>
            </w:r>
            <w:r>
              <w:rPr>
                <w:rFonts w:ascii="Times New Roman" w:hAnsi="Times New Roman" w:eastAsia="宋体" w:cs="Times New Roman"/>
                <w:color w:val="auto"/>
                <w:kern w:val="2"/>
                <w:sz w:val="24"/>
                <w:szCs w:val="24"/>
                <w:u w:val="none"/>
                <w:lang w:val="en-US" w:eastAsia="zh-CN" w:bidi="ar-SA"/>
              </w:rPr>
              <w:t xml:space="preserve">总则》（HJ819-2017）及本项目排污特点，并参考《排污单位自行监测技术指南 </w:t>
            </w:r>
            <w:r>
              <w:rPr>
                <w:rFonts w:hint="eastAsia" w:ascii="Times New Roman" w:hAnsi="Times New Roman" w:eastAsia="宋体" w:cs="Times New Roman"/>
                <w:color w:val="auto"/>
                <w:kern w:val="2"/>
                <w:sz w:val="24"/>
                <w:szCs w:val="24"/>
                <w:u w:val="none"/>
                <w:lang w:val="en-US" w:eastAsia="zh-CN" w:bidi="ar-SA"/>
              </w:rPr>
              <w:t>火力发电及锅炉</w:t>
            </w:r>
            <w:r>
              <w:rPr>
                <w:rFonts w:ascii="Times New Roman" w:hAnsi="Times New Roman" w:eastAsia="宋体" w:cs="Times New Roman"/>
                <w:color w:val="auto"/>
                <w:kern w:val="2"/>
                <w:sz w:val="24"/>
                <w:szCs w:val="24"/>
                <w:u w:val="none"/>
                <w:lang w:val="en-US" w:eastAsia="zh-CN" w:bidi="ar-SA"/>
              </w:rPr>
              <w:t>》HJ 8</w:t>
            </w:r>
            <w:r>
              <w:rPr>
                <w:rFonts w:hint="eastAsia" w:ascii="Times New Roman" w:hAnsi="Times New Roman" w:eastAsia="宋体" w:cs="Times New Roman"/>
                <w:color w:val="auto"/>
                <w:kern w:val="2"/>
                <w:sz w:val="24"/>
                <w:szCs w:val="24"/>
                <w:u w:val="none"/>
                <w:lang w:val="en-US" w:eastAsia="zh-CN" w:bidi="ar-SA"/>
              </w:rPr>
              <w:t>20</w:t>
            </w:r>
            <w:r>
              <w:rPr>
                <w:rFonts w:ascii="Times New Roman" w:hAnsi="Times New Roman" w:eastAsia="宋体" w:cs="Times New Roman"/>
                <w:color w:val="auto"/>
                <w:kern w:val="2"/>
                <w:sz w:val="24"/>
                <w:szCs w:val="24"/>
                <w:u w:val="none"/>
                <w:lang w:val="en-US" w:eastAsia="zh-CN" w:bidi="ar-SA"/>
              </w:rPr>
              <w:t>-2017，结</w:t>
            </w:r>
            <w:r>
              <w:rPr>
                <w:rFonts w:ascii="Times New Roman" w:hAnsi="Times New Roman" w:cs="Times New Roman"/>
                <w:color w:val="auto"/>
                <w:sz w:val="24"/>
                <w:szCs w:val="24"/>
                <w:u w:val="none"/>
              </w:rPr>
              <w:t>合本项目运行期产污特征、项目工程周围环境实际情况，制定出本项目运行期大气环境监测计划，详见下表</w:t>
            </w:r>
            <w:r>
              <w:rPr>
                <w:rFonts w:hint="eastAsia" w:ascii="Times New Roman" w:hAnsi="Times New Roman" w:cs="Times New Roman"/>
                <w:color w:val="auto"/>
                <w:sz w:val="24"/>
                <w:szCs w:val="24"/>
                <w:u w:val="none"/>
                <w:lang w:eastAsia="zh-CN"/>
              </w:rPr>
              <w:t>：</w:t>
            </w:r>
          </w:p>
          <w:p w14:paraId="590A5438">
            <w:pPr>
              <w:pStyle w:val="7"/>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eastAsia" w:ascii="Times New Roman" w:hAnsi="Times New Roman" w:eastAsia="黑体" w:cs="Times New Roman"/>
                <w:b w:val="0"/>
                <w:bCs w:val="0"/>
                <w:color w:val="auto"/>
                <w:sz w:val="24"/>
                <w:szCs w:val="24"/>
                <w:u w:val="none"/>
                <w:lang w:val="en-US" w:eastAsia="zh-CN"/>
              </w:rPr>
            </w:pPr>
            <w:r>
              <w:rPr>
                <w:rFonts w:hint="eastAsia" w:ascii="Times New Roman" w:hAnsi="Times New Roman" w:eastAsia="黑体" w:cs="Times New Roman"/>
                <w:b w:val="0"/>
                <w:bCs w:val="0"/>
                <w:color w:val="auto"/>
                <w:sz w:val="24"/>
                <w:szCs w:val="24"/>
                <w:u w:val="none"/>
                <w:lang w:val="en-US" w:eastAsia="zh-CN"/>
              </w:rPr>
              <w:t>表</w:t>
            </w:r>
            <w:r>
              <w:rPr>
                <w:rFonts w:hint="eastAsia" w:eastAsia="黑体" w:cs="Times New Roman"/>
                <w:b w:val="0"/>
                <w:bCs w:val="0"/>
                <w:color w:val="auto"/>
                <w:sz w:val="24"/>
                <w:szCs w:val="24"/>
                <w:u w:val="none"/>
                <w:lang w:val="en-US" w:eastAsia="zh-CN"/>
              </w:rPr>
              <w:t>4-5</w:t>
            </w:r>
            <w:r>
              <w:rPr>
                <w:rFonts w:hint="eastAsia" w:ascii="Times New Roman" w:hAnsi="Times New Roman" w:eastAsia="黑体" w:cs="Times New Roman"/>
                <w:b w:val="0"/>
                <w:bCs w:val="0"/>
                <w:color w:val="auto"/>
                <w:sz w:val="24"/>
                <w:szCs w:val="24"/>
                <w:u w:val="none"/>
                <w:lang w:val="en-US" w:eastAsia="zh-CN"/>
              </w:rPr>
              <w:t xml:space="preserve"> 废气监测计划表</w:t>
            </w:r>
          </w:p>
          <w:tbl>
            <w:tblPr>
              <w:tblStyle w:val="32"/>
              <w:tblW w:w="8517"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230"/>
              <w:gridCol w:w="1620"/>
              <w:gridCol w:w="1712"/>
              <w:gridCol w:w="1416"/>
              <w:gridCol w:w="2539"/>
            </w:tblGrid>
            <w:tr w14:paraId="7C432A5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1230" w:type="dxa"/>
                  <w:tcBorders>
                    <w:tl2br w:val="nil"/>
                    <w:tr2bl w:val="nil"/>
                  </w:tcBorders>
                  <w:vAlign w:val="center"/>
                </w:tcPr>
                <w:p w14:paraId="7DE7F3D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s="Times New Roman"/>
                      <w:b/>
                      <w:bCs/>
                      <w:color w:val="auto"/>
                      <w:kern w:val="2"/>
                      <w:sz w:val="21"/>
                      <w:szCs w:val="21"/>
                      <w:u w:val="none"/>
                      <w:lang w:val="en-GB" w:eastAsia="zh-CN" w:bidi="ar-SA"/>
                    </w:rPr>
                  </w:pPr>
                  <w:r>
                    <w:rPr>
                      <w:rFonts w:ascii="Times New Roman" w:hAnsi="Times New Roman" w:cs="Times New Roman"/>
                      <w:b/>
                      <w:bCs/>
                      <w:color w:val="auto"/>
                      <w:sz w:val="21"/>
                      <w:szCs w:val="21"/>
                      <w:u w:val="none"/>
                    </w:rPr>
                    <w:t>监测点位</w:t>
                  </w:r>
                </w:p>
              </w:tc>
              <w:tc>
                <w:tcPr>
                  <w:tcW w:w="1620" w:type="dxa"/>
                  <w:tcBorders>
                    <w:tl2br w:val="nil"/>
                    <w:tr2bl w:val="nil"/>
                  </w:tcBorders>
                  <w:vAlign w:val="center"/>
                </w:tcPr>
                <w:p w14:paraId="1F8E423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auto"/>
                      <w:sz w:val="21"/>
                      <w:szCs w:val="21"/>
                      <w:u w:val="none"/>
                      <w:lang w:val="en-US" w:eastAsia="zh-CN"/>
                    </w:rPr>
                  </w:pPr>
                  <w:r>
                    <w:rPr>
                      <w:rFonts w:hint="eastAsia" w:ascii="Times New Roman" w:hAnsi="Times New Roman" w:cs="Times New Roman"/>
                      <w:b/>
                      <w:bCs/>
                      <w:color w:val="auto"/>
                      <w:sz w:val="21"/>
                      <w:szCs w:val="21"/>
                      <w:u w:val="none"/>
                      <w:lang w:val="en-US" w:eastAsia="zh-CN"/>
                    </w:rPr>
                    <w:t>监测因子</w:t>
                  </w:r>
                </w:p>
              </w:tc>
              <w:tc>
                <w:tcPr>
                  <w:tcW w:w="1712" w:type="dxa"/>
                  <w:tcBorders>
                    <w:tl2br w:val="nil"/>
                    <w:tr2bl w:val="nil"/>
                  </w:tcBorders>
                  <w:vAlign w:val="center"/>
                </w:tcPr>
                <w:p w14:paraId="04541AD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s="Times New Roman"/>
                      <w:b/>
                      <w:bCs/>
                      <w:color w:val="auto"/>
                      <w:kern w:val="2"/>
                      <w:sz w:val="21"/>
                      <w:szCs w:val="21"/>
                      <w:u w:val="none"/>
                      <w:lang w:val="en-GB" w:eastAsia="zh-CN" w:bidi="ar-SA"/>
                    </w:rPr>
                  </w:pPr>
                  <w:r>
                    <w:rPr>
                      <w:rFonts w:ascii="Times New Roman" w:hAnsi="Times New Roman" w:cs="Times New Roman"/>
                      <w:b/>
                      <w:bCs/>
                      <w:color w:val="auto"/>
                      <w:sz w:val="21"/>
                      <w:szCs w:val="21"/>
                      <w:u w:val="none"/>
                    </w:rPr>
                    <w:t>监测指标</w:t>
                  </w:r>
                </w:p>
              </w:tc>
              <w:tc>
                <w:tcPr>
                  <w:tcW w:w="1416" w:type="dxa"/>
                  <w:tcBorders>
                    <w:tl2br w:val="nil"/>
                    <w:tr2bl w:val="nil"/>
                  </w:tcBorders>
                  <w:vAlign w:val="center"/>
                </w:tcPr>
                <w:p w14:paraId="5E86EDB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s="Times New Roman"/>
                      <w:b/>
                      <w:bCs/>
                      <w:color w:val="auto"/>
                      <w:kern w:val="2"/>
                      <w:sz w:val="21"/>
                      <w:szCs w:val="21"/>
                      <w:u w:val="none"/>
                      <w:lang w:val="en-US" w:eastAsia="zh-CN" w:bidi="ar-SA"/>
                    </w:rPr>
                  </w:pPr>
                  <w:r>
                    <w:rPr>
                      <w:rFonts w:ascii="Times New Roman" w:hAnsi="Times New Roman" w:cs="Times New Roman"/>
                      <w:b/>
                      <w:bCs/>
                      <w:color w:val="auto"/>
                      <w:sz w:val="21"/>
                      <w:szCs w:val="21"/>
                      <w:u w:val="none"/>
                    </w:rPr>
                    <w:t>监测频次</w:t>
                  </w:r>
                </w:p>
              </w:tc>
              <w:tc>
                <w:tcPr>
                  <w:tcW w:w="2539" w:type="dxa"/>
                  <w:tcBorders>
                    <w:tl2br w:val="nil"/>
                    <w:tr2bl w:val="nil"/>
                  </w:tcBorders>
                  <w:vAlign w:val="center"/>
                </w:tcPr>
                <w:p w14:paraId="3F7BF26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s="Times New Roman"/>
                      <w:b/>
                      <w:bCs/>
                      <w:color w:val="auto"/>
                      <w:kern w:val="2"/>
                      <w:sz w:val="21"/>
                      <w:szCs w:val="21"/>
                      <w:u w:val="none"/>
                      <w:lang w:val="en-US" w:eastAsia="zh-CN" w:bidi="ar-SA"/>
                    </w:rPr>
                  </w:pPr>
                  <w:r>
                    <w:rPr>
                      <w:rFonts w:ascii="Times New Roman" w:hAnsi="Times New Roman" w:cs="Times New Roman"/>
                      <w:b/>
                      <w:bCs/>
                      <w:color w:val="auto"/>
                      <w:sz w:val="21"/>
                      <w:szCs w:val="21"/>
                      <w:u w:val="none"/>
                    </w:rPr>
                    <w:t>执行排放标准</w:t>
                  </w:r>
                </w:p>
              </w:tc>
            </w:tr>
            <w:tr w14:paraId="15A102F4">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230" w:type="dxa"/>
                  <w:tcBorders>
                    <w:tl2br w:val="nil"/>
                    <w:tr2bl w:val="nil"/>
                  </w:tcBorders>
                  <w:vAlign w:val="center"/>
                </w:tcPr>
                <w:p w14:paraId="5ACAC9A1">
                  <w:pPr>
                    <w:pStyle w:val="71"/>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Cs/>
                      <w:color w:val="auto"/>
                      <w:sz w:val="21"/>
                      <w:szCs w:val="21"/>
                      <w:u w:val="none"/>
                      <w:lang w:val="en-GB" w:eastAsia="zh-CN"/>
                    </w:rPr>
                  </w:pPr>
                  <w:r>
                    <w:rPr>
                      <w:rFonts w:ascii="Times New Roman" w:hAnsi="Times New Roman" w:cs="Times New Roman"/>
                      <w:color w:val="auto"/>
                      <w:sz w:val="21"/>
                      <w:szCs w:val="21"/>
                      <w:u w:val="none"/>
                    </w:rPr>
                    <w:t>DA001</w:t>
                  </w:r>
                  <w:r>
                    <w:rPr>
                      <w:rFonts w:hint="eastAsia" w:ascii="Times New Roman" w:hAnsi="Times New Roman" w:cs="Times New Roman"/>
                      <w:color w:val="auto"/>
                      <w:sz w:val="21"/>
                      <w:szCs w:val="21"/>
                      <w:u w:val="none"/>
                      <w:lang w:eastAsia="zh-CN"/>
                    </w:rPr>
                    <w:t>、</w:t>
                  </w:r>
                  <w:r>
                    <w:rPr>
                      <w:rFonts w:ascii="Times New Roman" w:hAnsi="Times New Roman" w:cs="Times New Roman"/>
                      <w:color w:val="auto"/>
                      <w:sz w:val="21"/>
                      <w:szCs w:val="21"/>
                      <w:u w:val="none"/>
                    </w:rPr>
                    <w:t>DA00</w:t>
                  </w:r>
                  <w:r>
                    <w:rPr>
                      <w:rFonts w:hint="eastAsia" w:ascii="Times New Roman" w:hAnsi="Times New Roman" w:cs="Times New Roman"/>
                      <w:color w:val="auto"/>
                      <w:sz w:val="21"/>
                      <w:szCs w:val="21"/>
                      <w:u w:val="none"/>
                      <w:lang w:val="en-US" w:eastAsia="zh-CN"/>
                    </w:rPr>
                    <w:t>2</w:t>
                  </w:r>
                  <w:r>
                    <w:rPr>
                      <w:rFonts w:hint="eastAsia" w:cs="Times New Roman"/>
                      <w:color w:val="auto"/>
                      <w:sz w:val="21"/>
                      <w:szCs w:val="21"/>
                      <w:u w:val="none"/>
                      <w:lang w:val="en-US" w:eastAsia="zh-CN"/>
                    </w:rPr>
                    <w:t>、</w:t>
                  </w:r>
                  <w:r>
                    <w:rPr>
                      <w:rFonts w:ascii="Times New Roman" w:hAnsi="Times New Roman" w:cs="Times New Roman"/>
                      <w:color w:val="auto"/>
                      <w:sz w:val="21"/>
                      <w:szCs w:val="21"/>
                      <w:u w:val="none"/>
                    </w:rPr>
                    <w:t>DA00</w:t>
                  </w:r>
                  <w:r>
                    <w:rPr>
                      <w:rFonts w:hint="eastAsia" w:ascii="Times New Roman" w:hAnsi="Times New Roman" w:cs="Times New Roman"/>
                      <w:color w:val="auto"/>
                      <w:sz w:val="21"/>
                      <w:szCs w:val="21"/>
                      <w:u w:val="none"/>
                      <w:lang w:val="en-US" w:eastAsia="zh-CN"/>
                    </w:rPr>
                    <w:t>3</w:t>
                  </w:r>
                  <w:r>
                    <w:rPr>
                      <w:rFonts w:hint="eastAsia" w:ascii="Times New Roman" w:hAnsi="Times New Roman" w:cs="Times New Roman"/>
                      <w:color w:val="auto"/>
                      <w:sz w:val="21"/>
                      <w:szCs w:val="21"/>
                      <w:u w:val="none"/>
                      <w:lang w:eastAsia="zh-CN"/>
                    </w:rPr>
                    <w:t>、</w:t>
                  </w:r>
                  <w:r>
                    <w:rPr>
                      <w:rFonts w:ascii="Times New Roman" w:hAnsi="Times New Roman" w:cs="Times New Roman"/>
                      <w:color w:val="auto"/>
                      <w:sz w:val="21"/>
                      <w:szCs w:val="21"/>
                      <w:u w:val="none"/>
                    </w:rPr>
                    <w:t>DA00</w:t>
                  </w:r>
                  <w:r>
                    <w:rPr>
                      <w:rFonts w:hint="eastAsia" w:cs="Times New Roman"/>
                      <w:color w:val="auto"/>
                      <w:sz w:val="21"/>
                      <w:szCs w:val="21"/>
                      <w:u w:val="none"/>
                      <w:lang w:val="en-US" w:eastAsia="zh-CN"/>
                    </w:rPr>
                    <w:t>4</w:t>
                  </w:r>
                </w:p>
              </w:tc>
              <w:tc>
                <w:tcPr>
                  <w:tcW w:w="1620" w:type="dxa"/>
                  <w:tcBorders>
                    <w:tl2br w:val="nil"/>
                    <w:tr2bl w:val="nil"/>
                  </w:tcBorders>
                  <w:vAlign w:val="center"/>
                </w:tcPr>
                <w:p w14:paraId="13FBCC9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氮氧化物、颗粒物、非甲烷总烃、一氧化碳</w:t>
                  </w:r>
                </w:p>
              </w:tc>
              <w:tc>
                <w:tcPr>
                  <w:tcW w:w="1712" w:type="dxa"/>
                  <w:tcBorders>
                    <w:tl2br w:val="nil"/>
                    <w:tr2bl w:val="nil"/>
                  </w:tcBorders>
                  <w:vAlign w:val="center"/>
                </w:tcPr>
                <w:p w14:paraId="5D21972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s="Times New Roman"/>
                      <w:color w:val="auto"/>
                      <w:kern w:val="2"/>
                      <w:sz w:val="21"/>
                      <w:szCs w:val="21"/>
                      <w:u w:val="none"/>
                      <w:lang w:val="en-US" w:eastAsia="zh-CN" w:bidi="ar-SA"/>
                    </w:rPr>
                  </w:pPr>
                  <w:r>
                    <w:rPr>
                      <w:rFonts w:ascii="Times New Roman" w:hAnsi="Times New Roman" w:cs="Times New Roman"/>
                      <w:color w:val="auto"/>
                      <w:sz w:val="21"/>
                      <w:szCs w:val="21"/>
                      <w:u w:val="none"/>
                    </w:rPr>
                    <w:t>废气量、排放浓度及排放速率</w:t>
                  </w:r>
                </w:p>
              </w:tc>
              <w:tc>
                <w:tcPr>
                  <w:tcW w:w="1416" w:type="dxa"/>
                  <w:tcBorders>
                    <w:tl2br w:val="nil"/>
                    <w:tr2bl w:val="nil"/>
                  </w:tcBorders>
                  <w:vAlign w:val="center"/>
                </w:tcPr>
                <w:p w14:paraId="1141AD9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color w:val="auto"/>
                      <w:kern w:val="2"/>
                      <w:sz w:val="21"/>
                      <w:szCs w:val="21"/>
                      <w:u w:val="none"/>
                      <w:lang w:val="en-US" w:eastAsia="zh-CN" w:bidi="ar-SA"/>
                    </w:rPr>
                  </w:pPr>
                  <w:r>
                    <w:rPr>
                      <w:rFonts w:ascii="Times New Roman" w:hAnsi="Times New Roman" w:cs="Times New Roman"/>
                      <w:color w:val="auto"/>
                      <w:sz w:val="21"/>
                      <w:szCs w:val="21"/>
                      <w:u w:val="none"/>
                    </w:rPr>
                    <w:t>每</w:t>
                  </w:r>
                  <w:r>
                    <w:rPr>
                      <w:rFonts w:hint="eastAsia" w:ascii="Times New Roman" w:hAnsi="Times New Roman" w:cs="Times New Roman"/>
                      <w:color w:val="auto"/>
                      <w:sz w:val="21"/>
                      <w:szCs w:val="21"/>
                      <w:u w:val="none"/>
                      <w:lang w:val="en-US" w:eastAsia="zh-CN"/>
                    </w:rPr>
                    <w:t>年</w:t>
                  </w:r>
                  <w:r>
                    <w:rPr>
                      <w:rFonts w:ascii="Times New Roman" w:hAnsi="Times New Roman" w:cs="Times New Roman"/>
                      <w:color w:val="auto"/>
                      <w:sz w:val="21"/>
                      <w:szCs w:val="21"/>
                      <w:u w:val="none"/>
                    </w:rPr>
                    <w:t>一次</w:t>
                  </w:r>
                </w:p>
              </w:tc>
              <w:tc>
                <w:tcPr>
                  <w:tcW w:w="2539" w:type="dxa"/>
                  <w:tcBorders>
                    <w:tl2br w:val="nil"/>
                    <w:tr2bl w:val="nil"/>
                  </w:tcBorders>
                  <w:vAlign w:val="center"/>
                </w:tcPr>
                <w:p w14:paraId="67B7757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s="Times New Roman"/>
                      <w:color w:val="auto"/>
                      <w:kern w:val="2"/>
                      <w:sz w:val="21"/>
                      <w:szCs w:val="21"/>
                      <w:u w:val="none"/>
                      <w:lang w:val="en-US" w:eastAsia="zh-CN" w:bidi="ar-SA"/>
                    </w:rPr>
                  </w:pPr>
                  <w:r>
                    <w:rPr>
                      <w:rFonts w:hint="eastAsia" w:ascii="Times New Roman" w:hAnsi="Times New Roman" w:eastAsia="宋体" w:cs="Times New Roman"/>
                      <w:color w:val="auto"/>
                      <w:sz w:val="21"/>
                      <w:szCs w:val="21"/>
                      <w:u w:val="none"/>
                      <w:lang w:val="en-US" w:eastAsia="zh-CN"/>
                    </w:rPr>
                    <w:t>《重型柴油车污染物排放限值及测量方法（中国第六阶段）》GB 17691-2018</w:t>
                  </w:r>
                </w:p>
              </w:tc>
            </w:tr>
          </w:tbl>
          <w:p w14:paraId="61FEEAD4">
            <w:pPr>
              <w:keepNext w:val="0"/>
              <w:keepLines w:val="0"/>
              <w:pageBreakBefore w:val="0"/>
              <w:widowControl/>
              <w:kinsoku/>
              <w:wordWrap/>
              <w:overflowPunct/>
              <w:topLinePunct w:val="0"/>
              <w:autoSpaceDE/>
              <w:autoSpaceDN/>
              <w:bidi w:val="0"/>
              <w:adjustRightInd w:val="0"/>
              <w:snapToGrid w:val="0"/>
              <w:spacing w:line="500" w:lineRule="exact"/>
              <w:ind w:left="0" w:firstLine="482" w:firstLineChars="200"/>
              <w:jc w:val="left"/>
              <w:textAlignment w:val="auto"/>
              <w:rPr>
                <w:rFonts w:ascii="Times New Roman" w:hAnsi="Times New Roman" w:cs="Times New Roman"/>
                <w:b/>
                <w:bCs/>
                <w:color w:val="auto"/>
                <w:sz w:val="24"/>
                <w:u w:val="none"/>
              </w:rPr>
            </w:pPr>
            <w:r>
              <w:rPr>
                <w:rFonts w:hint="eastAsia" w:cs="Times New Roman"/>
                <w:b/>
                <w:bCs/>
                <w:color w:val="auto"/>
                <w:sz w:val="24"/>
                <w:u w:val="none"/>
                <w:lang w:val="en-US" w:eastAsia="zh-CN"/>
              </w:rPr>
              <w:t>1.7</w:t>
            </w:r>
            <w:r>
              <w:rPr>
                <w:rFonts w:ascii="Times New Roman" w:hAnsi="Times New Roman" w:cs="Times New Roman"/>
                <w:b/>
                <w:bCs/>
                <w:color w:val="auto"/>
                <w:sz w:val="24"/>
                <w:u w:val="none"/>
              </w:rPr>
              <w:t>大气环境</w:t>
            </w:r>
            <w:r>
              <w:rPr>
                <w:rFonts w:ascii="Times New Roman" w:hAnsi="Times New Roman" w:cs="Times New Roman"/>
                <w:b/>
                <w:bCs/>
                <w:color w:val="auto"/>
                <w:sz w:val="24"/>
                <w:highlight w:val="none"/>
                <w:u w:val="none"/>
              </w:rPr>
              <w:t>影响</w:t>
            </w:r>
            <w:r>
              <w:rPr>
                <w:rFonts w:ascii="Times New Roman" w:hAnsi="Times New Roman" w:cs="Times New Roman"/>
                <w:b/>
                <w:bCs/>
                <w:color w:val="auto"/>
                <w:sz w:val="24"/>
                <w:u w:val="none"/>
              </w:rPr>
              <w:t>分析</w:t>
            </w:r>
          </w:p>
          <w:p w14:paraId="1B51E6E6">
            <w:pPr>
              <w:pStyle w:val="98"/>
              <w:keepNext w:val="0"/>
              <w:keepLines w:val="0"/>
              <w:pageBreakBefore w:val="0"/>
              <w:kinsoku/>
              <w:wordWrap/>
              <w:overflowPunct/>
              <w:topLinePunct w:val="0"/>
              <w:autoSpaceDE/>
              <w:autoSpaceDN/>
              <w:bidi w:val="0"/>
              <w:snapToGrid w:val="0"/>
              <w:spacing w:line="500" w:lineRule="exact"/>
              <w:ind w:firstLine="480"/>
              <w:textAlignment w:val="auto"/>
              <w:rPr>
                <w:rFonts w:hint="eastAsia" w:ascii="Times New Roman" w:hAnsi="Times New Roman" w:cs="Times New Roman"/>
                <w:color w:val="auto"/>
                <w:sz w:val="24"/>
                <w:u w:val="none"/>
              </w:rPr>
            </w:pPr>
            <w:r>
              <w:rPr>
                <w:rFonts w:ascii="Times New Roman" w:hAnsi="Times New Roman" w:eastAsia="宋体" w:cs="Times New Roman"/>
                <w:color w:val="auto"/>
                <w:kern w:val="2"/>
                <w:sz w:val="24"/>
                <w:szCs w:val="24"/>
                <w:u w:val="none"/>
                <w:lang w:val="en-US" w:eastAsia="zh-CN" w:bidi="ar-SA"/>
              </w:rPr>
              <w:t>根据空气现状监测结果，区域环境空气质量</w:t>
            </w:r>
            <w:r>
              <w:rPr>
                <w:rFonts w:hint="eastAsia" w:ascii="Times New Roman" w:hAnsi="Times New Roman" w:eastAsia="宋体" w:cs="Times New Roman"/>
                <w:color w:val="auto"/>
                <w:kern w:val="2"/>
                <w:sz w:val="24"/>
                <w:szCs w:val="24"/>
                <w:u w:val="none"/>
                <w:lang w:val="en-US" w:eastAsia="zh-CN" w:bidi="ar-SA"/>
              </w:rPr>
              <w:t>各项</w:t>
            </w:r>
            <w:r>
              <w:rPr>
                <w:rFonts w:ascii="Times New Roman" w:hAnsi="Times New Roman" w:eastAsia="宋体" w:cs="Times New Roman"/>
                <w:color w:val="auto"/>
                <w:kern w:val="2"/>
                <w:sz w:val="24"/>
                <w:szCs w:val="24"/>
                <w:u w:val="none"/>
                <w:lang w:val="en-US" w:eastAsia="zh-CN" w:bidi="ar-SA"/>
              </w:rPr>
              <w:t>监测因子均满足《环境空气质量标准》（GB3095-2012）二级标准</w:t>
            </w:r>
            <w:r>
              <w:rPr>
                <w:rFonts w:hint="eastAsia" w:ascii="Times New Roman" w:hAnsi="Times New Roman" w:eastAsia="宋体" w:cs="Times New Roman"/>
                <w:color w:val="auto"/>
                <w:kern w:val="2"/>
                <w:sz w:val="24"/>
                <w:szCs w:val="24"/>
                <w:u w:val="none"/>
                <w:lang w:val="en-US" w:eastAsia="zh-CN" w:bidi="ar-SA"/>
              </w:rPr>
              <w:t>，因此本项目所在区域属于城市环境空气达标区。为了深入推进大气污染防治工作，有效降低污染物浓度，持续改善空气质量，</w:t>
            </w:r>
            <w:r>
              <w:rPr>
                <w:rFonts w:hint="default" w:ascii="Times New Roman" w:hAnsi="Times New Roman" w:cs="Times New Roman"/>
                <w:color w:val="auto"/>
                <w:u w:val="none"/>
                <w:lang w:val="en-US" w:eastAsia="zh-CN"/>
              </w:rPr>
              <w:t>为持续改善全市环境空气质量，打赢打好污染防治攻坚战，</w:t>
            </w:r>
            <w:r>
              <w:rPr>
                <w:rFonts w:hint="default" w:ascii="Times New Roman" w:hAnsi="Times New Roman" w:eastAsia="宋体" w:cs="Times New Roman"/>
                <w:color w:val="auto"/>
                <w:u w:val="none"/>
                <w:lang w:val="en-US" w:eastAsia="zh-CN"/>
              </w:rPr>
              <w:t>平顶山市生态环境保护委员会办公室</w:t>
            </w:r>
            <w:r>
              <w:rPr>
                <w:rFonts w:hint="eastAsia" w:ascii="Times New Roman" w:hAnsi="Times New Roman" w:eastAsia="宋体" w:cs="Times New Roman"/>
                <w:color w:val="auto"/>
                <w:u w:val="none"/>
                <w:lang w:val="en-US" w:eastAsia="zh-CN"/>
              </w:rPr>
              <w:t>发布</w:t>
            </w:r>
            <w:r>
              <w:rPr>
                <w:rFonts w:hint="default" w:ascii="Times New Roman" w:hAnsi="Times New Roman" w:eastAsia="宋体" w:cs="Times New Roman"/>
                <w:color w:val="auto"/>
                <w:u w:val="none"/>
                <w:lang w:val="en-US" w:eastAsia="zh-CN"/>
              </w:rPr>
              <w:t>文件</w:t>
            </w:r>
            <w:r>
              <w:rPr>
                <w:rFonts w:hint="eastAsia" w:ascii="Times New Roman" w:hAnsi="Times New Roman" w:eastAsia="宋体" w:cs="Times New Roman"/>
                <w:color w:val="auto"/>
                <w:u w:val="none"/>
                <w:lang w:val="en-US" w:eastAsia="zh-CN"/>
              </w:rPr>
              <w:t>《平顶山市生态环境保护委员会办公室关于印发平顶山市 202</w:t>
            </w:r>
            <w:r>
              <w:rPr>
                <w:rFonts w:hint="eastAsia" w:ascii="Times New Roman" w:hAnsi="Times New Roman" w:cs="Times New Roman"/>
                <w:color w:val="auto"/>
                <w:u w:val="none"/>
                <w:lang w:val="en-US" w:eastAsia="zh-CN"/>
              </w:rPr>
              <w:t>4</w:t>
            </w:r>
            <w:r>
              <w:rPr>
                <w:rFonts w:hint="eastAsia" w:ascii="Times New Roman" w:hAnsi="Times New Roman" w:eastAsia="宋体" w:cs="Times New Roman"/>
                <w:color w:val="auto"/>
                <w:u w:val="none"/>
                <w:lang w:val="en-US" w:eastAsia="zh-CN"/>
              </w:rPr>
              <w:t>年蓝天保卫战实施方案的通知》</w:t>
            </w:r>
            <w:r>
              <w:rPr>
                <w:rFonts w:hint="default" w:ascii="Times New Roman" w:hAnsi="Times New Roman" w:eastAsia="宋体" w:cs="Times New Roman"/>
                <w:color w:val="auto"/>
                <w:u w:val="none"/>
                <w:lang w:val="en-US" w:eastAsia="zh-CN"/>
              </w:rPr>
              <w:t>（</w:t>
            </w:r>
            <w:r>
              <w:rPr>
                <w:rFonts w:hint="eastAsia" w:ascii="Times New Roman" w:hAnsi="Times New Roman" w:eastAsia="宋体" w:cs="Times New Roman"/>
                <w:color w:val="auto"/>
                <w:u w:val="none"/>
                <w:lang w:val="en-US" w:eastAsia="zh-CN"/>
              </w:rPr>
              <w:t>平环委办〔202</w:t>
            </w:r>
            <w:r>
              <w:rPr>
                <w:rFonts w:hint="eastAsia" w:ascii="Times New Roman" w:hAnsi="Times New Roman" w:cs="Times New Roman"/>
                <w:color w:val="auto"/>
                <w:u w:val="none"/>
                <w:lang w:val="en-US" w:eastAsia="zh-CN"/>
              </w:rPr>
              <w:t>4</w:t>
            </w:r>
            <w:r>
              <w:rPr>
                <w:rFonts w:hint="eastAsia" w:ascii="Times New Roman" w:hAnsi="Times New Roman" w:eastAsia="宋体" w:cs="Times New Roman"/>
                <w:color w:val="auto"/>
                <w:u w:val="none"/>
                <w:lang w:val="en-US" w:eastAsia="zh-CN"/>
              </w:rPr>
              <w:t>〕13号</w:t>
            </w:r>
            <w:r>
              <w:rPr>
                <w:rFonts w:hint="default" w:ascii="Times New Roman" w:hAnsi="Times New Roman" w:eastAsia="宋体" w:cs="Times New Roman"/>
                <w:color w:val="auto"/>
                <w:u w:val="none"/>
                <w:lang w:val="en-US" w:eastAsia="zh-CN"/>
              </w:rPr>
              <w:t>）</w:t>
            </w:r>
            <w:r>
              <w:rPr>
                <w:rFonts w:hint="eastAsia" w:ascii="Times New Roman" w:hAnsi="Times New Roman" w:cs="Times New Roman"/>
                <w:color w:val="auto"/>
                <w:u w:val="none"/>
                <w:lang w:val="en-US" w:eastAsia="zh-CN"/>
              </w:rPr>
              <w:t>，</w:t>
            </w:r>
            <w:r>
              <w:rPr>
                <w:rFonts w:hint="eastAsia" w:ascii="宋体" w:hAnsi="宋体" w:eastAsia="宋体" w:cs="宋体"/>
                <w:color w:val="auto"/>
                <w:sz w:val="24"/>
                <w:szCs w:val="24"/>
                <w:u w:val="none"/>
                <w:lang w:val="en-US" w:eastAsia="zh-CN"/>
              </w:rPr>
              <w:t>经</w:t>
            </w:r>
            <w:r>
              <w:rPr>
                <w:rFonts w:ascii="宋体" w:hAnsi="宋体" w:eastAsia="宋体" w:cs="宋体"/>
                <w:color w:val="auto"/>
                <w:sz w:val="24"/>
                <w:szCs w:val="24"/>
                <w:u w:val="none"/>
              </w:rPr>
              <w:t>全市上下认真贯彻落实攻坚方案提供各项措施和要求后，区域环境空气质量将进一步得到有效改善。</w:t>
            </w:r>
            <w:r>
              <w:rPr>
                <w:rFonts w:hint="eastAsia" w:ascii="Times New Roman" w:hAnsi="Times New Roman" w:cs="Times New Roman"/>
                <w:color w:val="auto"/>
                <w:sz w:val="24"/>
                <w:u w:val="none"/>
                <w:lang w:eastAsia="zh-CN"/>
              </w:rPr>
              <w:t>项目</w:t>
            </w:r>
            <w:r>
              <w:rPr>
                <w:rFonts w:hint="eastAsia" w:ascii="Times New Roman" w:hAnsi="Times New Roman" w:cs="Times New Roman"/>
                <w:color w:val="auto"/>
                <w:sz w:val="24"/>
                <w:u w:val="none"/>
              </w:rPr>
              <w:t>完成后</w:t>
            </w:r>
            <w:r>
              <w:rPr>
                <w:rFonts w:hint="eastAsia" w:ascii="Times New Roman" w:hAnsi="Times New Roman" w:cs="Times New Roman"/>
                <w:color w:val="auto"/>
                <w:sz w:val="24"/>
                <w:u w:val="none"/>
                <w:lang w:eastAsia="zh-CN"/>
              </w:rPr>
              <w:t>废气排放口</w:t>
            </w:r>
            <w:r>
              <w:rPr>
                <w:rFonts w:hint="eastAsia" w:ascii="Times New Roman" w:hAnsi="Times New Roman" w:cs="Times New Roman"/>
                <w:color w:val="auto"/>
                <w:sz w:val="24"/>
                <w:u w:val="none"/>
                <w:lang w:val="en-US" w:eastAsia="zh-CN"/>
              </w:rPr>
              <w:t>满足《重型柴油车污染物排放限值及测量方法（中国第六阶段）》GB 17691-2018相关标准</w:t>
            </w:r>
            <w:r>
              <w:rPr>
                <w:rFonts w:hint="eastAsia" w:ascii="Times New Roman" w:hAnsi="Times New Roman" w:cs="Times New Roman"/>
                <w:color w:val="auto"/>
                <w:sz w:val="24"/>
                <w:u w:val="none"/>
                <w:lang w:eastAsia="zh-CN"/>
              </w:rPr>
              <w:t>。</w:t>
            </w:r>
            <w:r>
              <w:rPr>
                <w:rFonts w:ascii="Times New Roman" w:hAnsi="Times New Roman" w:cs="Times New Roman"/>
                <w:color w:val="auto"/>
                <w:sz w:val="24"/>
                <w:u w:val="none"/>
              </w:rPr>
              <w:t>因此</w:t>
            </w:r>
            <w:r>
              <w:rPr>
                <w:rFonts w:hint="eastAsia" w:ascii="Times New Roman" w:hAnsi="Times New Roman" w:cs="Times New Roman"/>
                <w:color w:val="auto"/>
                <w:sz w:val="24"/>
                <w:u w:val="none"/>
                <w:lang w:eastAsia="zh-CN"/>
              </w:rPr>
              <w:t>项目</w:t>
            </w:r>
            <w:r>
              <w:rPr>
                <w:rFonts w:ascii="Times New Roman" w:hAnsi="Times New Roman" w:cs="Times New Roman"/>
                <w:color w:val="auto"/>
                <w:sz w:val="24"/>
                <w:u w:val="none"/>
              </w:rPr>
              <w:t>的建设对周围大气环境影响较小</w:t>
            </w:r>
            <w:r>
              <w:rPr>
                <w:rFonts w:hint="eastAsia" w:ascii="Times New Roman" w:hAnsi="Times New Roman" w:cs="Times New Roman"/>
                <w:color w:val="auto"/>
                <w:sz w:val="24"/>
                <w:u w:val="none"/>
              </w:rPr>
              <w:t>。</w:t>
            </w:r>
          </w:p>
          <w:p w14:paraId="39E10E26">
            <w:pPr>
              <w:keepNext w:val="0"/>
              <w:keepLines w:val="0"/>
              <w:pageBreakBefore w:val="0"/>
              <w:widowControl/>
              <w:kinsoku/>
              <w:wordWrap/>
              <w:overflowPunct/>
              <w:topLinePunct w:val="0"/>
              <w:autoSpaceDE/>
              <w:autoSpaceDN/>
              <w:bidi w:val="0"/>
              <w:adjustRightInd w:val="0"/>
              <w:snapToGrid w:val="0"/>
              <w:spacing w:line="500" w:lineRule="exact"/>
              <w:ind w:left="0" w:firstLine="482" w:firstLineChars="200"/>
              <w:jc w:val="left"/>
              <w:textAlignment w:val="auto"/>
              <w:rPr>
                <w:rFonts w:ascii="Times New Roman" w:hAnsi="Times New Roman" w:cs="Times New Roman"/>
                <w:b/>
                <w:bCs/>
                <w:color w:val="auto"/>
                <w:sz w:val="24"/>
                <w:u w:val="none"/>
              </w:rPr>
            </w:pPr>
            <w:r>
              <w:rPr>
                <w:rFonts w:hint="eastAsia" w:cs="Times New Roman"/>
                <w:b/>
                <w:bCs/>
                <w:color w:val="auto"/>
                <w:sz w:val="24"/>
                <w:u w:val="none"/>
                <w:lang w:val="en-US" w:eastAsia="zh-CN"/>
              </w:rPr>
              <w:t>2、</w:t>
            </w:r>
            <w:r>
              <w:rPr>
                <w:rFonts w:ascii="Times New Roman" w:hAnsi="Times New Roman" w:cs="Times New Roman"/>
                <w:b/>
                <w:bCs/>
                <w:color w:val="auto"/>
                <w:sz w:val="24"/>
                <w:u w:val="none"/>
              </w:rPr>
              <w:t>废水</w:t>
            </w:r>
          </w:p>
          <w:p w14:paraId="3207B20C">
            <w:pPr>
              <w:keepNext w:val="0"/>
              <w:keepLines w:val="0"/>
              <w:pageBreakBefore w:val="0"/>
              <w:widowControl w:val="0"/>
              <w:kinsoku/>
              <w:wordWrap/>
              <w:overflowPunct/>
              <w:topLinePunct w:val="0"/>
              <w:autoSpaceDE/>
              <w:autoSpaceDN/>
              <w:bidi w:val="0"/>
              <w:spacing w:line="500" w:lineRule="exact"/>
              <w:ind w:left="0" w:firstLine="480" w:firstLineChars="200"/>
              <w:jc w:val="left"/>
              <w:textAlignment w:val="auto"/>
              <w:rPr>
                <w:rFonts w:hint="default"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本项目废水主要为职工生活污水</w:t>
            </w:r>
            <w:r>
              <w:rPr>
                <w:rFonts w:hint="eastAsia" w:cs="Times New Roman"/>
                <w:color w:val="auto"/>
                <w:kern w:val="2"/>
                <w:sz w:val="24"/>
                <w:szCs w:val="24"/>
                <w:u w:val="none"/>
                <w:lang w:val="en-US" w:eastAsia="zh-CN" w:bidi="ar-SA"/>
              </w:rPr>
              <w:t>和机组发电时产生的冷凝水。</w:t>
            </w:r>
          </w:p>
          <w:p w14:paraId="454BDB78">
            <w:pPr>
              <w:keepNext w:val="0"/>
              <w:keepLines w:val="0"/>
              <w:pageBreakBefore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color w:val="auto"/>
                <w:sz w:val="24"/>
                <w:highlight w:val="none"/>
                <w:u w:val="none"/>
                <w:lang w:val="en-US" w:eastAsia="zh-CN"/>
              </w:rPr>
            </w:pPr>
            <w:r>
              <w:rPr>
                <w:rFonts w:hint="eastAsia" w:cs="Times New Roman"/>
                <w:color w:val="auto"/>
                <w:sz w:val="24"/>
                <w:highlight w:val="none"/>
                <w:u w:val="none"/>
                <w:lang w:val="en-US" w:eastAsia="zh-CN"/>
              </w:rPr>
              <w:t>冷凝水：</w:t>
            </w:r>
            <w:r>
              <w:rPr>
                <w:rFonts w:hint="eastAsia" w:cs="Times New Roman"/>
                <w:color w:val="auto"/>
                <w:sz w:val="24"/>
                <w:szCs w:val="24"/>
                <w:highlight w:val="none"/>
                <w:u w:val="none"/>
                <w:lang w:val="en-US" w:eastAsia="zh-CN"/>
              </w:rPr>
              <w:t>机组发电过程中生的</w:t>
            </w:r>
            <w:r>
              <w:rPr>
                <w:rFonts w:hint="eastAsia" w:ascii="Times New Roman" w:hAnsi="Times New Roman" w:eastAsia="宋体" w:cs="Times New Roman"/>
                <w:color w:val="auto"/>
                <w:sz w:val="24"/>
                <w:szCs w:val="24"/>
                <w:highlight w:val="none"/>
                <w:u w:val="none"/>
                <w:lang w:val="en-US" w:eastAsia="zh-CN"/>
              </w:rPr>
              <w:t>冷凝水</w:t>
            </w:r>
            <w:r>
              <w:rPr>
                <w:rFonts w:hint="eastAsia" w:cs="Times New Roman"/>
                <w:color w:val="auto"/>
                <w:sz w:val="24"/>
                <w:szCs w:val="24"/>
                <w:highlight w:val="none"/>
                <w:u w:val="none"/>
                <w:lang w:val="en-US" w:eastAsia="zh-CN"/>
              </w:rPr>
              <w:t>经过</w:t>
            </w:r>
            <w:r>
              <w:rPr>
                <w:rFonts w:hint="eastAsia" w:ascii="Times New Roman" w:hAnsi="Times New Roman" w:eastAsia="宋体" w:cs="Times New Roman"/>
                <w:color w:val="auto"/>
                <w:sz w:val="24"/>
                <w:szCs w:val="24"/>
                <w:highlight w:val="none"/>
                <w:u w:val="none"/>
                <w:lang w:val="en-US" w:eastAsia="zh-CN"/>
              </w:rPr>
              <w:t>集中收集到</w:t>
            </w:r>
            <w:r>
              <w:rPr>
                <w:rFonts w:hint="eastAsia" w:cs="Times New Roman"/>
                <w:color w:val="auto"/>
                <w:sz w:val="24"/>
                <w:szCs w:val="24"/>
                <w:highlight w:val="none"/>
                <w:u w:val="none"/>
                <w:lang w:val="en-US" w:eastAsia="zh-CN"/>
              </w:rPr>
              <w:t>贮</w:t>
            </w:r>
            <w:r>
              <w:rPr>
                <w:rFonts w:hint="eastAsia" w:ascii="Times New Roman" w:hAnsi="Times New Roman" w:eastAsia="宋体" w:cs="Times New Roman"/>
                <w:color w:val="auto"/>
                <w:sz w:val="24"/>
                <w:szCs w:val="24"/>
                <w:highlight w:val="none"/>
                <w:u w:val="none"/>
                <w:lang w:val="en-US" w:eastAsia="zh-CN"/>
              </w:rPr>
              <w:t>水池</w:t>
            </w:r>
            <w:r>
              <w:rPr>
                <w:rFonts w:hint="eastAsia" w:cs="Times New Roman"/>
                <w:color w:val="auto"/>
                <w:sz w:val="24"/>
                <w:szCs w:val="24"/>
                <w:highlight w:val="none"/>
                <w:u w:val="none"/>
                <w:lang w:val="en-US" w:eastAsia="zh-CN"/>
              </w:rPr>
              <w:t>（体积</w:t>
            </w:r>
            <w:r>
              <w:rPr>
                <w:rFonts w:hint="default" w:ascii="Times New Roman" w:hAnsi="Times New Roman" w:cs="Times New Roman"/>
                <w:color w:val="auto"/>
                <w:spacing w:val="5"/>
                <w:sz w:val="24"/>
                <w:highlight w:val="none"/>
                <w:u w:val="none"/>
              </w:rPr>
              <w:t>为</w:t>
            </w:r>
            <w:r>
              <w:rPr>
                <w:rFonts w:hint="eastAsia" w:cs="Times New Roman"/>
                <w:color w:val="auto"/>
                <w:spacing w:val="5"/>
                <w:sz w:val="24"/>
                <w:highlight w:val="none"/>
                <w:u w:val="none"/>
                <w:lang w:val="en-US" w:eastAsia="zh-CN"/>
              </w:rPr>
              <w:t>20</w:t>
            </w:r>
            <w:r>
              <w:rPr>
                <w:rFonts w:hint="eastAsia" w:ascii="Times New Roman" w:hAnsi="Times New Roman" w:cs="Times New Roman"/>
                <w:color w:val="auto"/>
                <w:spacing w:val="5"/>
                <w:sz w:val="24"/>
                <w:highlight w:val="none"/>
                <w:u w:val="none"/>
                <w:lang w:val="en-US" w:eastAsia="zh-CN"/>
              </w:rPr>
              <w:t>m</w:t>
            </w:r>
            <w:r>
              <w:rPr>
                <w:rFonts w:hint="eastAsia" w:cs="Times New Roman"/>
                <w:color w:val="auto"/>
                <w:spacing w:val="5"/>
                <w:sz w:val="24"/>
                <w:highlight w:val="none"/>
                <w:u w:val="none"/>
                <w:vertAlign w:val="superscript"/>
                <w:lang w:val="en-US" w:eastAsia="zh-CN"/>
              </w:rPr>
              <w:t>3</w:t>
            </w:r>
            <w:r>
              <w:rPr>
                <w:rFonts w:hint="eastAsia" w:cs="Times New Roman"/>
                <w:color w:val="auto"/>
                <w:sz w:val="24"/>
                <w:szCs w:val="24"/>
                <w:highlight w:val="none"/>
                <w:u w:val="none"/>
                <w:lang w:val="en-US" w:eastAsia="zh-CN"/>
              </w:rPr>
              <w:t>）</w:t>
            </w:r>
            <w:r>
              <w:rPr>
                <w:rFonts w:hint="eastAsia" w:ascii="Times New Roman" w:hAnsi="Times New Roman" w:eastAsia="宋体" w:cs="Times New Roman"/>
                <w:color w:val="auto"/>
                <w:sz w:val="24"/>
                <w:szCs w:val="24"/>
                <w:highlight w:val="none"/>
                <w:u w:val="none"/>
                <w:lang w:val="en-US" w:eastAsia="zh-CN"/>
              </w:rPr>
              <w:t>中</w:t>
            </w:r>
            <w:r>
              <w:rPr>
                <w:rFonts w:hint="eastAsia" w:cs="Times New Roman"/>
                <w:color w:val="auto"/>
                <w:sz w:val="24"/>
                <w:szCs w:val="24"/>
                <w:highlight w:val="none"/>
                <w:u w:val="none"/>
                <w:lang w:val="en-US" w:eastAsia="zh-CN"/>
              </w:rPr>
              <w:t>后</w:t>
            </w:r>
            <w:r>
              <w:rPr>
                <w:rFonts w:hint="eastAsia" w:ascii="Times New Roman" w:hAnsi="Times New Roman" w:eastAsia="宋体" w:cs="Times New Roman"/>
                <w:color w:val="auto"/>
                <w:sz w:val="24"/>
                <w:szCs w:val="24"/>
                <w:highlight w:val="none"/>
                <w:u w:val="none"/>
                <w:lang w:val="en-US" w:eastAsia="zh-CN"/>
              </w:rPr>
              <w:t>进行日常场地降尘洒水</w:t>
            </w:r>
            <w:r>
              <w:rPr>
                <w:rFonts w:hint="eastAsia" w:cs="Times New Roman"/>
                <w:color w:val="auto"/>
                <w:sz w:val="24"/>
                <w:szCs w:val="24"/>
                <w:highlight w:val="none"/>
                <w:u w:val="none"/>
                <w:lang w:val="en-US" w:eastAsia="zh-CN"/>
              </w:rPr>
              <w:t>和日常清扫用水，</w:t>
            </w:r>
            <w:r>
              <w:rPr>
                <w:rFonts w:hint="eastAsia" w:cs="Times New Roman"/>
                <w:color w:val="auto"/>
                <w:sz w:val="24"/>
                <w:szCs w:val="24"/>
                <w:u w:val="none"/>
                <w:lang w:val="en-US" w:eastAsia="zh-CN"/>
              </w:rPr>
              <w:t>重新利用，不外排</w:t>
            </w:r>
            <w:r>
              <w:rPr>
                <w:rFonts w:hint="eastAsia" w:ascii="Times New Roman" w:hAnsi="Times New Roman" w:eastAsia="宋体" w:cs="Times New Roman"/>
                <w:color w:val="auto"/>
                <w:sz w:val="24"/>
                <w:szCs w:val="24"/>
                <w:u w:val="none"/>
                <w:lang w:val="en-US" w:eastAsia="zh-CN"/>
              </w:rPr>
              <w:t>。</w:t>
            </w:r>
            <w:r>
              <w:rPr>
                <w:rFonts w:hint="eastAsia" w:cs="Times New Roman"/>
                <w:color w:val="auto"/>
                <w:sz w:val="24"/>
                <w:szCs w:val="24"/>
                <w:u w:val="none"/>
                <w:lang w:val="en-US" w:eastAsia="zh-CN"/>
              </w:rPr>
              <w:t>根据企业提供的六矿上冷凝水正常工况下的产</w:t>
            </w:r>
            <w:r>
              <w:rPr>
                <w:rFonts w:hint="eastAsia" w:cs="Times New Roman"/>
                <w:color w:val="auto"/>
                <w:sz w:val="24"/>
                <w:szCs w:val="24"/>
                <w:highlight w:val="none"/>
                <w:u w:val="none"/>
                <w:lang w:val="en-US" w:eastAsia="zh-CN"/>
              </w:rPr>
              <w:t>生量是极少的，按照六矿经验，本项目冷凝水产生量为2t/a。</w:t>
            </w:r>
          </w:p>
          <w:p w14:paraId="536E3ED0">
            <w:pPr>
              <w:keepNext w:val="0"/>
              <w:keepLines w:val="0"/>
              <w:pageBreakBefore w:val="0"/>
              <w:widowControl w:val="0"/>
              <w:kinsoku/>
              <w:wordWrap/>
              <w:overflowPunct/>
              <w:topLinePunct w:val="0"/>
              <w:autoSpaceDE/>
              <w:autoSpaceDN/>
              <w:bidi w:val="0"/>
              <w:spacing w:line="500" w:lineRule="exact"/>
              <w:ind w:left="0" w:firstLine="480" w:firstLineChars="200"/>
              <w:jc w:val="left"/>
              <w:textAlignment w:val="auto"/>
              <w:rPr>
                <w:rFonts w:ascii="Times New Roman" w:hAnsi="Times New Roman" w:cs="Times New Roman"/>
                <w:color w:val="auto"/>
                <w:sz w:val="24"/>
                <w:u w:val="none"/>
              </w:rPr>
            </w:pPr>
            <w:r>
              <w:rPr>
                <w:rFonts w:hint="eastAsia" w:ascii="Times New Roman" w:hAnsi="Times New Roman" w:cs="Times New Roman"/>
                <w:color w:val="auto"/>
                <w:sz w:val="24"/>
                <w:highlight w:val="none"/>
                <w:u w:val="none"/>
                <w:lang w:val="en-US" w:eastAsia="zh-CN"/>
              </w:rPr>
              <w:t>本项目劳动定员11</w:t>
            </w:r>
            <w:r>
              <w:rPr>
                <w:rFonts w:ascii="Times New Roman" w:hAnsi="Times New Roman" w:cs="Times New Roman"/>
                <w:color w:val="auto"/>
                <w:sz w:val="24"/>
                <w:highlight w:val="none"/>
                <w:u w:val="none"/>
              </w:rPr>
              <w:t>人，</w:t>
            </w:r>
            <w:r>
              <w:rPr>
                <w:rFonts w:hint="eastAsia" w:ascii="Times New Roman" w:hAnsi="Times New Roman" w:cs="Times New Roman"/>
                <w:color w:val="auto"/>
                <w:sz w:val="24"/>
                <w:highlight w:val="none"/>
                <w:u w:val="none"/>
              </w:rPr>
              <w:t>均不在厂区</w:t>
            </w:r>
            <w:r>
              <w:rPr>
                <w:rFonts w:hint="eastAsia" w:ascii="Times New Roman" w:hAnsi="Times New Roman" w:cs="Times New Roman"/>
                <w:color w:val="auto"/>
                <w:sz w:val="24"/>
                <w:u w:val="none"/>
              </w:rPr>
              <w:t>食宿，年工作时间3</w:t>
            </w:r>
            <w:r>
              <w:rPr>
                <w:rFonts w:hint="eastAsia" w:cs="Times New Roman"/>
                <w:color w:val="auto"/>
                <w:sz w:val="24"/>
                <w:u w:val="none"/>
                <w:lang w:val="en-US" w:eastAsia="zh-CN"/>
              </w:rPr>
              <w:t>6</w:t>
            </w:r>
            <w:r>
              <w:rPr>
                <w:rFonts w:hint="eastAsia" w:ascii="Times New Roman" w:hAnsi="Times New Roman" w:cs="Times New Roman"/>
                <w:color w:val="auto"/>
                <w:sz w:val="24"/>
                <w:u w:val="none"/>
              </w:rPr>
              <w:t>0天。</w:t>
            </w:r>
            <w:r>
              <w:rPr>
                <w:rFonts w:ascii="Times New Roman" w:hAnsi="Times New Roman" w:cs="Times New Roman"/>
                <w:color w:val="auto"/>
                <w:sz w:val="24"/>
                <w:u w:val="none"/>
              </w:rPr>
              <w:t>根据河南省地方标准《工业与城镇生活用水定额》（DB41/T385-2020），</w:t>
            </w:r>
            <w:r>
              <w:rPr>
                <w:rFonts w:hint="eastAsia" w:ascii="Times New Roman" w:hAnsi="Times New Roman" w:cs="Times New Roman"/>
                <w:color w:val="auto"/>
                <w:sz w:val="24"/>
                <w:u w:val="none"/>
              </w:rPr>
              <w:t>不住宿人员</w:t>
            </w:r>
            <w:r>
              <w:rPr>
                <w:rFonts w:ascii="Times New Roman" w:hAnsi="Times New Roman" w:cs="Times New Roman"/>
                <w:color w:val="auto"/>
                <w:sz w:val="24"/>
                <w:u w:val="none"/>
              </w:rPr>
              <w:t>用水定额</w:t>
            </w:r>
            <w:r>
              <w:rPr>
                <w:rFonts w:hint="eastAsia" w:ascii="Times New Roman" w:hAnsi="Times New Roman" w:cs="Times New Roman"/>
                <w:color w:val="auto"/>
                <w:sz w:val="24"/>
                <w:u w:val="none"/>
              </w:rPr>
              <w:t>40</w:t>
            </w:r>
            <w:r>
              <w:rPr>
                <w:rFonts w:ascii="Times New Roman" w:hAnsi="Times New Roman" w:cs="Times New Roman"/>
                <w:color w:val="auto"/>
                <w:sz w:val="24"/>
                <w:u w:val="none"/>
              </w:rPr>
              <w:t>L/（人·d），则本项目</w:t>
            </w:r>
            <w:r>
              <w:rPr>
                <w:rFonts w:hint="eastAsia" w:ascii="Times New Roman" w:hAnsi="Times New Roman" w:cs="Times New Roman"/>
                <w:color w:val="auto"/>
                <w:sz w:val="24"/>
                <w:u w:val="none"/>
              </w:rPr>
              <w:t>生活用水量为</w:t>
            </w:r>
            <w:r>
              <w:rPr>
                <w:rFonts w:hint="eastAsia" w:cs="Times New Roman"/>
                <w:color w:val="auto"/>
                <w:sz w:val="24"/>
                <w:u w:val="none"/>
                <w:lang w:val="en-US" w:eastAsia="zh-CN"/>
              </w:rPr>
              <w:t>158.4</w:t>
            </w:r>
            <w:r>
              <w:rPr>
                <w:rFonts w:hint="eastAsia" w:ascii="Times New Roman" w:hAnsi="Times New Roman" w:cs="Times New Roman"/>
                <w:color w:val="auto"/>
                <w:sz w:val="24"/>
                <w:u w:val="none"/>
              </w:rPr>
              <w:t>t/a（</w:t>
            </w:r>
            <w:r>
              <w:rPr>
                <w:rFonts w:hint="eastAsia" w:ascii="Times New Roman" w:hAnsi="Times New Roman" w:cs="Times New Roman"/>
                <w:color w:val="auto"/>
                <w:sz w:val="24"/>
                <w:u w:val="none"/>
                <w:lang w:val="en-US" w:eastAsia="zh-CN"/>
              </w:rPr>
              <w:t>0.44</w:t>
            </w:r>
            <w:r>
              <w:rPr>
                <w:rFonts w:hint="eastAsia" w:ascii="Times New Roman" w:hAnsi="Times New Roman" w:cs="Times New Roman"/>
                <w:color w:val="auto"/>
                <w:sz w:val="24"/>
                <w:u w:val="none"/>
              </w:rPr>
              <w:t>t/d）</w:t>
            </w:r>
            <w:r>
              <w:rPr>
                <w:rFonts w:hint="eastAsia" w:ascii="Times New Roman" w:hAnsi="Times New Roman" w:cs="Times New Roman"/>
                <w:color w:val="auto"/>
                <w:sz w:val="24"/>
                <w:u w:val="none"/>
                <w:lang w:eastAsia="zh-CN"/>
              </w:rPr>
              <w:t>，排污系数按80%计，污水产生量为</w:t>
            </w:r>
            <w:r>
              <w:rPr>
                <w:rFonts w:hint="eastAsia" w:cs="Times New Roman"/>
                <w:color w:val="auto"/>
                <w:sz w:val="24"/>
                <w:u w:val="none"/>
                <w:lang w:val="en-US" w:eastAsia="zh-CN"/>
              </w:rPr>
              <w:t>126.72</w:t>
            </w:r>
            <w:r>
              <w:rPr>
                <w:rFonts w:hint="eastAsia" w:ascii="Times New Roman" w:hAnsi="Times New Roman" w:cs="Times New Roman"/>
                <w:color w:val="auto"/>
                <w:sz w:val="24"/>
                <w:u w:val="none"/>
                <w:lang w:val="en-US" w:eastAsia="zh-CN"/>
              </w:rPr>
              <w:t>t</w:t>
            </w:r>
            <w:r>
              <w:rPr>
                <w:rFonts w:hint="eastAsia" w:ascii="Times New Roman" w:hAnsi="Times New Roman" w:cs="Times New Roman"/>
                <w:color w:val="auto"/>
                <w:sz w:val="24"/>
                <w:u w:val="none"/>
                <w:lang w:eastAsia="zh-CN"/>
              </w:rPr>
              <w:t>/a（</w:t>
            </w:r>
            <w:r>
              <w:rPr>
                <w:rFonts w:hint="eastAsia" w:ascii="Times New Roman" w:hAnsi="Times New Roman" w:cs="Times New Roman"/>
                <w:color w:val="auto"/>
                <w:sz w:val="24"/>
                <w:u w:val="none"/>
                <w:lang w:val="en-US" w:eastAsia="zh-CN"/>
              </w:rPr>
              <w:t>0.352</w:t>
            </w:r>
            <w:r>
              <w:rPr>
                <w:rFonts w:hint="eastAsia" w:ascii="Times New Roman" w:hAnsi="Times New Roman" w:cs="Times New Roman"/>
                <w:color w:val="auto"/>
                <w:sz w:val="24"/>
                <w:u w:val="none"/>
                <w:lang w:eastAsia="zh-CN"/>
              </w:rPr>
              <w:t>t/d）。</w:t>
            </w:r>
            <w:r>
              <w:rPr>
                <w:rFonts w:hint="eastAsia" w:ascii="Times New Roman" w:hAnsi="Times New Roman" w:eastAsia="宋体" w:cs="Times New Roman"/>
                <w:color w:val="auto"/>
                <w:kern w:val="2"/>
                <w:sz w:val="24"/>
                <w:szCs w:val="24"/>
                <w:u w:val="none"/>
                <w:lang w:val="en-US" w:eastAsia="zh-CN" w:bidi="ar-SA"/>
              </w:rPr>
              <w:t>项目</w:t>
            </w:r>
            <w:r>
              <w:rPr>
                <w:rFonts w:hint="eastAsia" w:cs="Times New Roman"/>
                <w:color w:val="auto"/>
                <w:kern w:val="2"/>
                <w:sz w:val="24"/>
                <w:szCs w:val="24"/>
                <w:u w:val="none"/>
                <w:lang w:val="en-US" w:eastAsia="zh-CN" w:bidi="ar-SA"/>
              </w:rPr>
              <w:t>生活污水</w:t>
            </w:r>
            <w:r>
              <w:rPr>
                <w:rFonts w:hint="eastAsia" w:ascii="Times New Roman" w:hAnsi="Times New Roman" w:eastAsia="宋体" w:cs="Times New Roman"/>
                <w:color w:val="auto"/>
                <w:kern w:val="2"/>
                <w:sz w:val="24"/>
                <w:szCs w:val="24"/>
                <w:u w:val="none"/>
                <w:lang w:val="en-US" w:eastAsia="zh-CN" w:bidi="ar-SA"/>
              </w:rPr>
              <w:t>主要污染物产生浓度为COD</w:t>
            </w:r>
            <w:r>
              <w:rPr>
                <w:rFonts w:hint="eastAsia" w:cs="Times New Roman"/>
                <w:color w:val="auto"/>
                <w:kern w:val="2"/>
                <w:sz w:val="24"/>
                <w:szCs w:val="24"/>
                <w:u w:val="none"/>
                <w:lang w:val="en-US" w:eastAsia="zh-CN" w:bidi="ar-SA"/>
              </w:rPr>
              <w:t>：</w:t>
            </w:r>
            <w:r>
              <w:rPr>
                <w:rFonts w:hint="eastAsia" w:ascii="Times New Roman" w:hAnsi="Times New Roman" w:eastAsia="宋体" w:cs="Times New Roman"/>
                <w:color w:val="auto"/>
                <w:kern w:val="2"/>
                <w:sz w:val="24"/>
                <w:szCs w:val="24"/>
                <w:u w:val="none"/>
                <w:lang w:val="en-US" w:eastAsia="zh-CN" w:bidi="ar-SA"/>
              </w:rPr>
              <w:t>350mg/L、SS</w:t>
            </w:r>
            <w:r>
              <w:rPr>
                <w:rFonts w:hint="eastAsia" w:cs="Times New Roman"/>
                <w:color w:val="auto"/>
                <w:kern w:val="2"/>
                <w:sz w:val="24"/>
                <w:szCs w:val="24"/>
                <w:u w:val="none"/>
                <w:lang w:val="en-US" w:eastAsia="zh-CN" w:bidi="ar-SA"/>
              </w:rPr>
              <w:t>：</w:t>
            </w:r>
            <w:r>
              <w:rPr>
                <w:rFonts w:hint="eastAsia" w:ascii="Times New Roman" w:hAnsi="Times New Roman" w:eastAsia="宋体" w:cs="Times New Roman"/>
                <w:color w:val="auto"/>
                <w:kern w:val="2"/>
                <w:sz w:val="24"/>
                <w:szCs w:val="24"/>
                <w:u w:val="none"/>
                <w:lang w:val="en-US" w:eastAsia="zh-CN" w:bidi="ar-SA"/>
              </w:rPr>
              <w:t>200mg/L、NH</w:t>
            </w:r>
            <w:r>
              <w:rPr>
                <w:rFonts w:hint="eastAsia" w:ascii="Times New Roman" w:hAnsi="Times New Roman" w:eastAsia="宋体" w:cs="Times New Roman"/>
                <w:color w:val="auto"/>
                <w:kern w:val="2"/>
                <w:sz w:val="24"/>
                <w:szCs w:val="24"/>
                <w:u w:val="none"/>
                <w:vertAlign w:val="subscript"/>
                <w:lang w:val="en-US" w:eastAsia="zh-CN" w:bidi="ar-SA"/>
              </w:rPr>
              <w:t>3</w:t>
            </w:r>
            <w:r>
              <w:rPr>
                <w:rFonts w:hint="eastAsia" w:ascii="Times New Roman" w:hAnsi="Times New Roman" w:eastAsia="宋体" w:cs="Times New Roman"/>
                <w:color w:val="auto"/>
                <w:kern w:val="2"/>
                <w:sz w:val="24"/>
                <w:szCs w:val="24"/>
                <w:u w:val="none"/>
                <w:lang w:val="en-US" w:eastAsia="zh-CN" w:bidi="ar-SA"/>
              </w:rPr>
              <w:t>-N</w:t>
            </w:r>
            <w:r>
              <w:rPr>
                <w:rFonts w:hint="eastAsia" w:cs="Times New Roman"/>
                <w:color w:val="auto"/>
                <w:kern w:val="2"/>
                <w:sz w:val="24"/>
                <w:szCs w:val="24"/>
                <w:u w:val="none"/>
                <w:lang w:val="en-US" w:eastAsia="zh-CN" w:bidi="ar-SA"/>
              </w:rPr>
              <w:t>：</w:t>
            </w:r>
            <w:r>
              <w:rPr>
                <w:rFonts w:hint="eastAsia" w:ascii="Times New Roman" w:hAnsi="Times New Roman" w:eastAsia="宋体" w:cs="Times New Roman"/>
                <w:color w:val="auto"/>
                <w:kern w:val="2"/>
                <w:sz w:val="24"/>
                <w:szCs w:val="24"/>
                <w:u w:val="none"/>
                <w:lang w:val="en-US" w:eastAsia="zh-CN" w:bidi="ar-SA"/>
              </w:rPr>
              <w:t>30mg/L。</w:t>
            </w:r>
            <w:r>
              <w:rPr>
                <w:rFonts w:hint="eastAsia" w:ascii="Times New Roman" w:hAnsi="Times New Roman" w:cs="Times New Roman"/>
                <w:color w:val="auto"/>
                <w:sz w:val="24"/>
                <w:u w:val="none"/>
                <w:lang w:eastAsia="zh-CN"/>
              </w:rPr>
              <w:t>生活污水</w:t>
            </w:r>
            <w:r>
              <w:rPr>
                <w:rFonts w:hint="eastAsia" w:ascii="Times New Roman" w:hAnsi="Times New Roman" w:cs="Times New Roman"/>
                <w:color w:val="auto"/>
                <w:sz w:val="24"/>
                <w:u w:val="none"/>
                <w:lang w:val="en-US" w:eastAsia="zh-CN"/>
              </w:rPr>
              <w:t>经</w:t>
            </w:r>
            <w:r>
              <w:rPr>
                <w:rFonts w:hint="eastAsia" w:ascii="Times New Roman" w:hAnsi="Times New Roman" w:cs="Times New Roman"/>
                <w:color w:val="auto"/>
                <w:sz w:val="24"/>
                <w:u w:val="none"/>
                <w:lang w:eastAsia="zh-CN"/>
              </w:rPr>
              <w:t>化粪池</w:t>
            </w:r>
            <w:r>
              <w:rPr>
                <w:rFonts w:hint="eastAsia" w:cs="Times New Roman"/>
                <w:color w:val="auto"/>
                <w:sz w:val="24"/>
                <w:szCs w:val="24"/>
                <w:highlight w:val="none"/>
                <w:u w:val="none"/>
                <w:lang w:val="en-US" w:eastAsia="zh-CN"/>
              </w:rPr>
              <w:t>（容积</w:t>
            </w:r>
            <w:r>
              <w:rPr>
                <w:rFonts w:hint="default" w:ascii="Times New Roman" w:hAnsi="Times New Roman" w:cs="Times New Roman"/>
                <w:color w:val="auto"/>
                <w:spacing w:val="5"/>
                <w:sz w:val="24"/>
                <w:highlight w:val="none"/>
                <w:u w:val="none"/>
              </w:rPr>
              <w:t>为</w:t>
            </w:r>
            <w:r>
              <w:rPr>
                <w:rFonts w:hint="eastAsia" w:cs="Times New Roman"/>
                <w:color w:val="auto"/>
                <w:spacing w:val="5"/>
                <w:sz w:val="24"/>
                <w:highlight w:val="none"/>
                <w:u w:val="none"/>
                <w:lang w:val="en-US" w:eastAsia="zh-CN"/>
              </w:rPr>
              <w:t>3</w:t>
            </w:r>
            <w:r>
              <w:rPr>
                <w:rFonts w:hint="eastAsia" w:ascii="Times New Roman" w:hAnsi="Times New Roman" w:cs="Times New Roman"/>
                <w:color w:val="auto"/>
                <w:spacing w:val="5"/>
                <w:sz w:val="24"/>
                <w:highlight w:val="none"/>
                <w:u w:val="none"/>
                <w:lang w:val="en-US" w:eastAsia="zh-CN"/>
              </w:rPr>
              <w:t>m</w:t>
            </w:r>
            <w:r>
              <w:rPr>
                <w:rFonts w:hint="eastAsia" w:cs="Times New Roman"/>
                <w:color w:val="auto"/>
                <w:spacing w:val="5"/>
                <w:sz w:val="24"/>
                <w:highlight w:val="none"/>
                <w:u w:val="none"/>
                <w:vertAlign w:val="superscript"/>
                <w:lang w:val="en-US" w:eastAsia="zh-CN"/>
              </w:rPr>
              <w:t>3</w:t>
            </w:r>
            <w:r>
              <w:rPr>
                <w:rFonts w:hint="eastAsia" w:cs="Times New Roman"/>
                <w:color w:val="auto"/>
                <w:sz w:val="24"/>
                <w:szCs w:val="24"/>
                <w:highlight w:val="none"/>
                <w:u w:val="none"/>
                <w:lang w:val="en-US" w:eastAsia="zh-CN"/>
              </w:rPr>
              <w:t>）</w:t>
            </w:r>
            <w:r>
              <w:rPr>
                <w:rFonts w:hint="eastAsia" w:ascii="Times New Roman" w:hAnsi="Times New Roman" w:cs="Times New Roman"/>
                <w:color w:val="auto"/>
                <w:sz w:val="24"/>
                <w:u w:val="none"/>
                <w:lang w:eastAsia="zh-CN"/>
              </w:rPr>
              <w:t>收集</w:t>
            </w:r>
            <w:r>
              <w:rPr>
                <w:rFonts w:hint="eastAsia" w:ascii="Times New Roman" w:hAnsi="Times New Roman" w:cs="Times New Roman"/>
                <w:i w:val="0"/>
                <w:iCs w:val="0"/>
                <w:color w:val="auto"/>
                <w:kern w:val="24"/>
                <w:sz w:val="24"/>
                <w:szCs w:val="24"/>
                <w:u w:val="none"/>
                <w:lang w:val="en-US" w:eastAsia="zh-CN" w:bidi="ar-SA"/>
              </w:rPr>
              <w:t>预</w:t>
            </w:r>
            <w:r>
              <w:rPr>
                <w:rFonts w:hint="eastAsia" w:ascii="Times New Roman" w:hAnsi="Times New Roman" w:cs="Times New Roman"/>
                <w:color w:val="auto"/>
                <w:sz w:val="24"/>
                <w:u w:val="none"/>
                <w:lang w:eastAsia="zh-CN"/>
              </w:rPr>
              <w:t>处理后，</w:t>
            </w:r>
            <w:r>
              <w:rPr>
                <w:rFonts w:hint="eastAsia" w:ascii="Times New Roman" w:hAnsi="Times New Roman" w:cs="Times New Roman"/>
                <w:color w:val="auto"/>
                <w:sz w:val="24"/>
                <w:u w:val="none"/>
                <w:lang w:val="en-US" w:eastAsia="zh-CN"/>
              </w:rPr>
              <w:t>用于农田施肥</w:t>
            </w:r>
            <w:r>
              <w:rPr>
                <w:rFonts w:hint="eastAsia" w:cs="Times New Roman"/>
                <w:color w:val="auto"/>
                <w:sz w:val="24"/>
                <w:u w:val="none"/>
                <w:lang w:val="en-US" w:eastAsia="zh-CN"/>
              </w:rPr>
              <w:t>，不外排</w:t>
            </w:r>
            <w:r>
              <w:rPr>
                <w:rFonts w:ascii="Times New Roman" w:hAnsi="Times New Roman" w:cs="Times New Roman"/>
                <w:color w:val="auto"/>
                <w:sz w:val="24"/>
                <w:u w:val="none"/>
              </w:rPr>
              <w:t>。</w:t>
            </w:r>
          </w:p>
          <w:p w14:paraId="4B92F34C">
            <w:pPr>
              <w:keepNext w:val="0"/>
              <w:keepLines w:val="0"/>
              <w:pageBreakBefore w:val="0"/>
              <w:widowControl w:val="0"/>
              <w:kinsoku/>
              <w:wordWrap/>
              <w:overflowPunct/>
              <w:topLinePunct w:val="0"/>
              <w:autoSpaceDE/>
              <w:autoSpaceDN/>
              <w:bidi w:val="0"/>
              <w:spacing w:line="240" w:lineRule="auto"/>
              <w:ind w:left="0" w:firstLine="0" w:firstLineChars="0"/>
              <w:jc w:val="center"/>
              <w:textAlignment w:val="auto"/>
              <w:rPr>
                <w:rFonts w:hint="default" w:ascii="Times New Roman" w:hAnsi="Times New Roman" w:eastAsia="宋体" w:cs="Times New Roman"/>
                <w:color w:val="auto"/>
                <w:sz w:val="24"/>
                <w:u w:val="none"/>
                <w:lang w:val="en-US" w:eastAsia="zh-CN"/>
              </w:rPr>
            </w:pPr>
            <w:r>
              <w:drawing>
                <wp:inline distT="0" distB="0" distL="114300" distR="114300">
                  <wp:extent cx="5194935" cy="1453515"/>
                  <wp:effectExtent l="0" t="0" r="1905" b="9525"/>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18"/>
                          <a:stretch>
                            <a:fillRect/>
                          </a:stretch>
                        </pic:blipFill>
                        <pic:spPr>
                          <a:xfrm>
                            <a:off x="0" y="0"/>
                            <a:ext cx="5194935" cy="1453515"/>
                          </a:xfrm>
                          <a:prstGeom prst="rect">
                            <a:avLst/>
                          </a:prstGeom>
                          <a:noFill/>
                          <a:ln>
                            <a:noFill/>
                          </a:ln>
                        </pic:spPr>
                      </pic:pic>
                    </a:graphicData>
                  </a:graphic>
                </wp:inline>
              </w:drawing>
            </w:r>
          </w:p>
          <w:p w14:paraId="0FBF2D3E">
            <w:pPr>
              <w:pStyle w:val="7"/>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eastAsia" w:ascii="Times New Roman" w:hAnsi="Times New Roman" w:eastAsia="黑体" w:cs="Times New Roman"/>
                <w:b w:val="0"/>
                <w:bCs w:val="0"/>
                <w:color w:val="auto"/>
                <w:sz w:val="24"/>
                <w:szCs w:val="24"/>
                <w:u w:val="none"/>
                <w:lang w:val="en-US" w:eastAsia="zh-CN"/>
              </w:rPr>
            </w:pPr>
            <w:r>
              <w:rPr>
                <w:rFonts w:hint="eastAsia" w:ascii="Times New Roman" w:hAnsi="Times New Roman" w:eastAsia="黑体" w:cs="Times New Roman"/>
                <w:b w:val="0"/>
                <w:bCs w:val="0"/>
                <w:color w:val="auto"/>
                <w:sz w:val="24"/>
                <w:szCs w:val="24"/>
                <w:u w:val="none"/>
                <w:lang w:val="en-US" w:eastAsia="zh-CN"/>
              </w:rPr>
              <w:t>表</w:t>
            </w:r>
            <w:r>
              <w:rPr>
                <w:rFonts w:hint="eastAsia" w:eastAsia="黑体" w:cs="Times New Roman"/>
                <w:b w:val="0"/>
                <w:bCs w:val="0"/>
                <w:color w:val="auto"/>
                <w:sz w:val="24"/>
                <w:szCs w:val="24"/>
                <w:u w:val="none"/>
                <w:lang w:val="en-US" w:eastAsia="zh-CN"/>
              </w:rPr>
              <w:t>4-6</w:t>
            </w:r>
            <w:r>
              <w:rPr>
                <w:rFonts w:hint="eastAsia" w:ascii="Times New Roman" w:hAnsi="Times New Roman" w:eastAsia="黑体" w:cs="Times New Roman"/>
                <w:b w:val="0"/>
                <w:bCs w:val="0"/>
                <w:color w:val="auto"/>
                <w:sz w:val="24"/>
                <w:szCs w:val="24"/>
                <w:u w:val="none"/>
                <w:lang w:val="en-US" w:eastAsia="zh-CN"/>
              </w:rPr>
              <w:t xml:space="preserve"> 本项目废水产排情况一览表</w:t>
            </w:r>
          </w:p>
          <w:tbl>
            <w:tblPr>
              <w:tblStyle w:val="32"/>
              <w:tblW w:w="825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720"/>
              <w:gridCol w:w="1725"/>
              <w:gridCol w:w="1182"/>
              <w:gridCol w:w="1212"/>
              <w:gridCol w:w="1314"/>
              <w:gridCol w:w="1104"/>
            </w:tblGrid>
            <w:tr w14:paraId="25036D7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47" w:hRule="atLeast"/>
                <w:jc w:val="center"/>
              </w:trPr>
              <w:tc>
                <w:tcPr>
                  <w:tcW w:w="3445" w:type="dxa"/>
                  <w:gridSpan w:val="2"/>
                  <w:tcBorders>
                    <w:tl2br w:val="nil"/>
                    <w:tr2bl w:val="nil"/>
                  </w:tcBorders>
                  <w:vAlign w:val="center"/>
                </w:tcPr>
                <w:p w14:paraId="0D53A1E5">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b/>
                      <w:bCs/>
                      <w:color w:val="auto"/>
                      <w:sz w:val="21"/>
                      <w:szCs w:val="21"/>
                      <w:u w:val="none"/>
                    </w:rPr>
                  </w:pPr>
                  <w:r>
                    <w:rPr>
                      <w:rFonts w:hint="eastAsia" w:ascii="Times New Roman" w:hAnsi="Times New Roman" w:cs="Times New Roman"/>
                      <w:b/>
                      <w:bCs/>
                      <w:color w:val="auto"/>
                      <w:sz w:val="21"/>
                      <w:szCs w:val="21"/>
                      <w:u w:val="none"/>
                    </w:rPr>
                    <w:t>类别</w:t>
                  </w:r>
                </w:p>
              </w:tc>
              <w:tc>
                <w:tcPr>
                  <w:tcW w:w="1182" w:type="dxa"/>
                  <w:tcBorders>
                    <w:tl2br w:val="nil"/>
                    <w:tr2bl w:val="nil"/>
                  </w:tcBorders>
                  <w:vAlign w:val="center"/>
                </w:tcPr>
                <w:p w14:paraId="31BCD457">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b/>
                      <w:bCs/>
                      <w:color w:val="auto"/>
                      <w:sz w:val="21"/>
                      <w:szCs w:val="21"/>
                      <w:u w:val="none"/>
                    </w:rPr>
                  </w:pPr>
                  <w:r>
                    <w:rPr>
                      <w:rFonts w:hint="eastAsia" w:ascii="Times New Roman" w:hAnsi="Times New Roman" w:cs="Times New Roman"/>
                      <w:b/>
                      <w:bCs/>
                      <w:color w:val="auto"/>
                      <w:sz w:val="21"/>
                      <w:szCs w:val="21"/>
                      <w:u w:val="none"/>
                    </w:rPr>
                    <w:t>水量</w:t>
                  </w:r>
                </w:p>
              </w:tc>
              <w:tc>
                <w:tcPr>
                  <w:tcW w:w="1212" w:type="dxa"/>
                  <w:tcBorders>
                    <w:tl2br w:val="nil"/>
                    <w:tr2bl w:val="nil"/>
                  </w:tcBorders>
                  <w:vAlign w:val="center"/>
                </w:tcPr>
                <w:p w14:paraId="3A3D6531">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b/>
                      <w:bCs/>
                      <w:color w:val="auto"/>
                      <w:sz w:val="21"/>
                      <w:szCs w:val="21"/>
                      <w:u w:val="none"/>
                    </w:rPr>
                  </w:pPr>
                  <w:r>
                    <w:rPr>
                      <w:rFonts w:hint="eastAsia" w:ascii="Times New Roman" w:hAnsi="Times New Roman" w:cs="Times New Roman"/>
                      <w:b/>
                      <w:bCs/>
                      <w:color w:val="auto"/>
                      <w:sz w:val="21"/>
                      <w:szCs w:val="21"/>
                      <w:u w:val="none"/>
                    </w:rPr>
                    <w:t>COD</w:t>
                  </w:r>
                </w:p>
              </w:tc>
              <w:tc>
                <w:tcPr>
                  <w:tcW w:w="1314" w:type="dxa"/>
                  <w:tcBorders>
                    <w:tl2br w:val="nil"/>
                    <w:tr2bl w:val="nil"/>
                  </w:tcBorders>
                  <w:vAlign w:val="center"/>
                </w:tcPr>
                <w:p w14:paraId="56085D7A">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b/>
                      <w:bCs/>
                      <w:color w:val="auto"/>
                      <w:sz w:val="21"/>
                      <w:szCs w:val="21"/>
                      <w:u w:val="none"/>
                    </w:rPr>
                  </w:pPr>
                  <w:r>
                    <w:rPr>
                      <w:rFonts w:hint="eastAsia" w:ascii="Times New Roman" w:hAnsi="Times New Roman" w:cs="Times New Roman"/>
                      <w:b/>
                      <w:bCs/>
                      <w:color w:val="auto"/>
                      <w:sz w:val="21"/>
                      <w:szCs w:val="21"/>
                      <w:u w:val="none"/>
                    </w:rPr>
                    <w:t>氨氮</w:t>
                  </w:r>
                </w:p>
              </w:tc>
              <w:tc>
                <w:tcPr>
                  <w:tcW w:w="1104" w:type="dxa"/>
                  <w:tcBorders>
                    <w:tl2br w:val="nil"/>
                    <w:tr2bl w:val="nil"/>
                  </w:tcBorders>
                  <w:vAlign w:val="center"/>
                </w:tcPr>
                <w:p w14:paraId="72A1AD17">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b/>
                      <w:bCs/>
                      <w:color w:val="auto"/>
                      <w:sz w:val="21"/>
                      <w:szCs w:val="21"/>
                      <w:u w:val="none"/>
                    </w:rPr>
                  </w:pPr>
                  <w:r>
                    <w:rPr>
                      <w:rFonts w:hint="eastAsia" w:ascii="Times New Roman" w:hAnsi="Times New Roman" w:cs="Times New Roman"/>
                      <w:b/>
                      <w:bCs/>
                      <w:color w:val="auto"/>
                      <w:sz w:val="21"/>
                      <w:szCs w:val="21"/>
                      <w:u w:val="none"/>
                    </w:rPr>
                    <w:t>SS</w:t>
                  </w:r>
                </w:p>
              </w:tc>
            </w:tr>
            <w:tr w14:paraId="0E33EB0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4" w:hRule="atLeast"/>
                <w:jc w:val="center"/>
              </w:trPr>
              <w:tc>
                <w:tcPr>
                  <w:tcW w:w="1720" w:type="dxa"/>
                  <w:vMerge w:val="restart"/>
                  <w:tcBorders>
                    <w:tl2br w:val="nil"/>
                    <w:tr2bl w:val="nil"/>
                  </w:tcBorders>
                  <w:vAlign w:val="center"/>
                </w:tcPr>
                <w:p w14:paraId="3F089E27">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生活污水处理前</w:t>
                  </w:r>
                </w:p>
              </w:tc>
              <w:tc>
                <w:tcPr>
                  <w:tcW w:w="1725" w:type="dxa"/>
                  <w:tcBorders>
                    <w:tl2br w:val="nil"/>
                    <w:tr2bl w:val="nil"/>
                  </w:tcBorders>
                  <w:vAlign w:val="center"/>
                </w:tcPr>
                <w:p w14:paraId="2E2EF9E1">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浓度（mg/L）</w:t>
                  </w:r>
                </w:p>
              </w:tc>
              <w:tc>
                <w:tcPr>
                  <w:tcW w:w="1182" w:type="dxa"/>
                  <w:tcBorders>
                    <w:tl2br w:val="nil"/>
                    <w:tr2bl w:val="nil"/>
                  </w:tcBorders>
                  <w:vAlign w:val="center"/>
                </w:tcPr>
                <w:p w14:paraId="5CF25BDF">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w:t>
                  </w:r>
                </w:p>
              </w:tc>
              <w:tc>
                <w:tcPr>
                  <w:tcW w:w="1212" w:type="dxa"/>
                  <w:tcBorders>
                    <w:tl2br w:val="nil"/>
                    <w:tr2bl w:val="nil"/>
                  </w:tcBorders>
                  <w:vAlign w:val="center"/>
                </w:tcPr>
                <w:p w14:paraId="25428517">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350</w:t>
                  </w:r>
                </w:p>
              </w:tc>
              <w:tc>
                <w:tcPr>
                  <w:tcW w:w="1314" w:type="dxa"/>
                  <w:tcBorders>
                    <w:tl2br w:val="nil"/>
                    <w:tr2bl w:val="nil"/>
                  </w:tcBorders>
                  <w:vAlign w:val="center"/>
                </w:tcPr>
                <w:p w14:paraId="2FF4EDB4">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30</w:t>
                  </w:r>
                </w:p>
              </w:tc>
              <w:tc>
                <w:tcPr>
                  <w:tcW w:w="1104" w:type="dxa"/>
                  <w:tcBorders>
                    <w:tl2br w:val="nil"/>
                    <w:tr2bl w:val="nil"/>
                  </w:tcBorders>
                  <w:vAlign w:val="center"/>
                </w:tcPr>
                <w:p w14:paraId="0BB60266">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200</w:t>
                  </w:r>
                </w:p>
              </w:tc>
            </w:tr>
            <w:tr w14:paraId="423317F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4" w:hRule="atLeast"/>
                <w:jc w:val="center"/>
              </w:trPr>
              <w:tc>
                <w:tcPr>
                  <w:tcW w:w="1720" w:type="dxa"/>
                  <w:vMerge w:val="continue"/>
                  <w:tcBorders>
                    <w:tl2br w:val="nil"/>
                    <w:tr2bl w:val="nil"/>
                  </w:tcBorders>
                  <w:vAlign w:val="center"/>
                </w:tcPr>
                <w:p w14:paraId="0EAF7550">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rPr>
                  </w:pPr>
                </w:p>
              </w:tc>
              <w:tc>
                <w:tcPr>
                  <w:tcW w:w="1725" w:type="dxa"/>
                  <w:tcBorders>
                    <w:tl2br w:val="nil"/>
                    <w:tr2bl w:val="nil"/>
                  </w:tcBorders>
                  <w:vAlign w:val="center"/>
                </w:tcPr>
                <w:p w14:paraId="7B99ED82">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产生量（t/a）</w:t>
                  </w:r>
                </w:p>
              </w:tc>
              <w:tc>
                <w:tcPr>
                  <w:tcW w:w="1182" w:type="dxa"/>
                  <w:tcBorders>
                    <w:tl2br w:val="nil"/>
                    <w:tr2bl w:val="nil"/>
                  </w:tcBorders>
                  <w:vAlign w:val="center"/>
                </w:tcPr>
                <w:p w14:paraId="1A483AB5">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126.72</w:t>
                  </w:r>
                </w:p>
              </w:tc>
              <w:tc>
                <w:tcPr>
                  <w:tcW w:w="1212" w:type="dxa"/>
                  <w:tcBorders>
                    <w:tl2br w:val="nil"/>
                    <w:tr2bl w:val="nil"/>
                  </w:tcBorders>
                  <w:vAlign w:val="center"/>
                </w:tcPr>
                <w:p w14:paraId="390A0156">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0.0</w:t>
                  </w:r>
                  <w:r>
                    <w:rPr>
                      <w:rFonts w:hint="eastAsia" w:cs="Times New Roman"/>
                      <w:color w:val="auto"/>
                      <w:sz w:val="21"/>
                      <w:szCs w:val="21"/>
                      <w:u w:val="none"/>
                      <w:lang w:val="en-US" w:eastAsia="zh-CN"/>
                    </w:rPr>
                    <w:t>444</w:t>
                  </w:r>
                </w:p>
              </w:tc>
              <w:tc>
                <w:tcPr>
                  <w:tcW w:w="1314" w:type="dxa"/>
                  <w:tcBorders>
                    <w:tl2br w:val="nil"/>
                    <w:tr2bl w:val="nil"/>
                  </w:tcBorders>
                  <w:vAlign w:val="center"/>
                </w:tcPr>
                <w:p w14:paraId="4697E98E">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0.003</w:t>
                  </w:r>
                  <w:r>
                    <w:rPr>
                      <w:rFonts w:hint="eastAsia" w:cs="Times New Roman"/>
                      <w:color w:val="auto"/>
                      <w:sz w:val="21"/>
                      <w:szCs w:val="21"/>
                      <w:u w:val="none"/>
                      <w:lang w:val="en-US" w:eastAsia="zh-CN"/>
                    </w:rPr>
                    <w:t>8</w:t>
                  </w:r>
                </w:p>
              </w:tc>
              <w:tc>
                <w:tcPr>
                  <w:tcW w:w="1104" w:type="dxa"/>
                  <w:tcBorders>
                    <w:tl2br w:val="nil"/>
                    <w:tr2bl w:val="nil"/>
                  </w:tcBorders>
                  <w:vAlign w:val="center"/>
                </w:tcPr>
                <w:p w14:paraId="4FC648C5">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0.0</w:t>
                  </w:r>
                  <w:r>
                    <w:rPr>
                      <w:rFonts w:hint="eastAsia" w:cs="Times New Roman"/>
                      <w:color w:val="auto"/>
                      <w:sz w:val="21"/>
                      <w:szCs w:val="21"/>
                      <w:u w:val="none"/>
                      <w:lang w:val="en-US" w:eastAsia="zh-CN"/>
                    </w:rPr>
                    <w:t>253</w:t>
                  </w:r>
                </w:p>
              </w:tc>
            </w:tr>
            <w:tr w14:paraId="5B3AA3E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4" w:hRule="atLeast"/>
                <w:jc w:val="center"/>
              </w:trPr>
              <w:tc>
                <w:tcPr>
                  <w:tcW w:w="3445" w:type="dxa"/>
                  <w:gridSpan w:val="2"/>
                  <w:tcBorders>
                    <w:tl2br w:val="nil"/>
                    <w:tr2bl w:val="nil"/>
                  </w:tcBorders>
                  <w:vAlign w:val="center"/>
                </w:tcPr>
                <w:p w14:paraId="1913520F">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化粪池去除效率</w:t>
                  </w:r>
                </w:p>
              </w:tc>
              <w:tc>
                <w:tcPr>
                  <w:tcW w:w="1182" w:type="dxa"/>
                  <w:tcBorders>
                    <w:tl2br w:val="nil"/>
                    <w:tr2bl w:val="nil"/>
                  </w:tcBorders>
                  <w:vAlign w:val="center"/>
                </w:tcPr>
                <w:p w14:paraId="075F664F">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w:t>
                  </w:r>
                </w:p>
              </w:tc>
              <w:tc>
                <w:tcPr>
                  <w:tcW w:w="1212" w:type="dxa"/>
                  <w:tcBorders>
                    <w:tl2br w:val="nil"/>
                    <w:tr2bl w:val="nil"/>
                  </w:tcBorders>
                  <w:vAlign w:val="center"/>
                </w:tcPr>
                <w:p w14:paraId="7C86BC15">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20%</w:t>
                  </w:r>
                </w:p>
              </w:tc>
              <w:tc>
                <w:tcPr>
                  <w:tcW w:w="1314" w:type="dxa"/>
                  <w:tcBorders>
                    <w:tl2br w:val="nil"/>
                    <w:tr2bl w:val="nil"/>
                  </w:tcBorders>
                  <w:vAlign w:val="center"/>
                </w:tcPr>
                <w:p w14:paraId="0785BD33">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3%</w:t>
                  </w:r>
                </w:p>
              </w:tc>
              <w:tc>
                <w:tcPr>
                  <w:tcW w:w="1104" w:type="dxa"/>
                  <w:tcBorders>
                    <w:tl2br w:val="nil"/>
                    <w:tr2bl w:val="nil"/>
                  </w:tcBorders>
                  <w:vAlign w:val="center"/>
                </w:tcPr>
                <w:p w14:paraId="32619FBF">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lang w:val="en-US" w:eastAsia="zh-CN"/>
                    </w:rPr>
                    <w:t>3</w:t>
                  </w:r>
                  <w:r>
                    <w:rPr>
                      <w:rFonts w:hint="eastAsia" w:ascii="Times New Roman" w:hAnsi="Times New Roman" w:cs="Times New Roman"/>
                      <w:color w:val="auto"/>
                      <w:sz w:val="21"/>
                      <w:szCs w:val="21"/>
                      <w:u w:val="none"/>
                    </w:rPr>
                    <w:t>0%</w:t>
                  </w:r>
                </w:p>
              </w:tc>
            </w:tr>
            <w:tr w14:paraId="69DC155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4" w:hRule="atLeast"/>
                <w:jc w:val="center"/>
              </w:trPr>
              <w:tc>
                <w:tcPr>
                  <w:tcW w:w="1720" w:type="dxa"/>
                  <w:vMerge w:val="restart"/>
                  <w:tcBorders>
                    <w:tl2br w:val="nil"/>
                    <w:tr2bl w:val="nil"/>
                  </w:tcBorders>
                  <w:vAlign w:val="center"/>
                </w:tcPr>
                <w:p w14:paraId="3AF9F385">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生活污水处理后</w:t>
                  </w:r>
                </w:p>
              </w:tc>
              <w:tc>
                <w:tcPr>
                  <w:tcW w:w="1725" w:type="dxa"/>
                  <w:tcBorders>
                    <w:tl2br w:val="nil"/>
                    <w:tr2bl w:val="nil"/>
                  </w:tcBorders>
                  <w:vAlign w:val="center"/>
                </w:tcPr>
                <w:p w14:paraId="4DD67D7B">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浓度（mg/L）</w:t>
                  </w:r>
                </w:p>
              </w:tc>
              <w:tc>
                <w:tcPr>
                  <w:tcW w:w="1182" w:type="dxa"/>
                  <w:tcBorders>
                    <w:tl2br w:val="nil"/>
                    <w:tr2bl w:val="nil"/>
                  </w:tcBorders>
                  <w:vAlign w:val="center"/>
                </w:tcPr>
                <w:p w14:paraId="6F0564C1">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w:t>
                  </w:r>
                </w:p>
              </w:tc>
              <w:tc>
                <w:tcPr>
                  <w:tcW w:w="1212" w:type="dxa"/>
                  <w:tcBorders>
                    <w:tl2br w:val="nil"/>
                    <w:tr2bl w:val="nil"/>
                  </w:tcBorders>
                  <w:vAlign w:val="center"/>
                </w:tcPr>
                <w:p w14:paraId="45BCF2E8">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280</w:t>
                  </w:r>
                </w:p>
              </w:tc>
              <w:tc>
                <w:tcPr>
                  <w:tcW w:w="1314" w:type="dxa"/>
                  <w:tcBorders>
                    <w:tl2br w:val="nil"/>
                    <w:tr2bl w:val="nil"/>
                  </w:tcBorders>
                  <w:vAlign w:val="center"/>
                </w:tcPr>
                <w:p w14:paraId="41E23B1B">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29.1</w:t>
                  </w:r>
                </w:p>
              </w:tc>
              <w:tc>
                <w:tcPr>
                  <w:tcW w:w="1104" w:type="dxa"/>
                  <w:tcBorders>
                    <w:tl2br w:val="nil"/>
                    <w:tr2bl w:val="nil"/>
                  </w:tcBorders>
                  <w:vAlign w:val="center"/>
                </w:tcPr>
                <w:p w14:paraId="650E27F8">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140</w:t>
                  </w:r>
                </w:p>
              </w:tc>
            </w:tr>
            <w:tr w14:paraId="020AF70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91" w:hRule="atLeast"/>
                <w:jc w:val="center"/>
              </w:trPr>
              <w:tc>
                <w:tcPr>
                  <w:tcW w:w="1720" w:type="dxa"/>
                  <w:vMerge w:val="continue"/>
                  <w:tcBorders>
                    <w:tl2br w:val="nil"/>
                    <w:tr2bl w:val="nil"/>
                  </w:tcBorders>
                  <w:vAlign w:val="center"/>
                </w:tcPr>
                <w:p w14:paraId="7B4D512A">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rPr>
                  </w:pPr>
                </w:p>
              </w:tc>
              <w:tc>
                <w:tcPr>
                  <w:tcW w:w="1725" w:type="dxa"/>
                  <w:tcBorders>
                    <w:tl2br w:val="nil"/>
                    <w:tr2bl w:val="nil"/>
                  </w:tcBorders>
                  <w:vAlign w:val="center"/>
                </w:tcPr>
                <w:p w14:paraId="769F3D43">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排放量（t/a）</w:t>
                  </w:r>
                </w:p>
              </w:tc>
              <w:tc>
                <w:tcPr>
                  <w:tcW w:w="1182" w:type="dxa"/>
                  <w:tcBorders>
                    <w:tl2br w:val="nil"/>
                    <w:tr2bl w:val="nil"/>
                  </w:tcBorders>
                  <w:vAlign w:val="center"/>
                </w:tcPr>
                <w:p w14:paraId="1E9B8E9B">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126.72</w:t>
                  </w:r>
                </w:p>
              </w:tc>
              <w:tc>
                <w:tcPr>
                  <w:tcW w:w="1212" w:type="dxa"/>
                  <w:tcBorders>
                    <w:tl2br w:val="nil"/>
                    <w:tr2bl w:val="nil"/>
                  </w:tcBorders>
                  <w:vAlign w:val="center"/>
                </w:tcPr>
                <w:p w14:paraId="4BDF81F3">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0.0</w:t>
                  </w:r>
                  <w:r>
                    <w:rPr>
                      <w:rFonts w:hint="eastAsia" w:cs="Times New Roman"/>
                      <w:color w:val="auto"/>
                      <w:sz w:val="21"/>
                      <w:szCs w:val="21"/>
                      <w:u w:val="none"/>
                      <w:lang w:val="en-US" w:eastAsia="zh-CN"/>
                    </w:rPr>
                    <w:t>355</w:t>
                  </w:r>
                </w:p>
              </w:tc>
              <w:tc>
                <w:tcPr>
                  <w:tcW w:w="1314" w:type="dxa"/>
                  <w:tcBorders>
                    <w:tl2br w:val="nil"/>
                    <w:tr2bl w:val="nil"/>
                  </w:tcBorders>
                  <w:vAlign w:val="center"/>
                </w:tcPr>
                <w:p w14:paraId="675DF1C3">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0.00</w:t>
                  </w:r>
                  <w:r>
                    <w:rPr>
                      <w:rFonts w:hint="eastAsia" w:cs="Times New Roman"/>
                      <w:color w:val="auto"/>
                      <w:sz w:val="21"/>
                      <w:szCs w:val="21"/>
                      <w:u w:val="none"/>
                      <w:lang w:val="en-US" w:eastAsia="zh-CN"/>
                    </w:rPr>
                    <w:t>37</w:t>
                  </w:r>
                </w:p>
              </w:tc>
              <w:tc>
                <w:tcPr>
                  <w:tcW w:w="1104" w:type="dxa"/>
                  <w:tcBorders>
                    <w:tl2br w:val="nil"/>
                    <w:tr2bl w:val="nil"/>
                  </w:tcBorders>
                  <w:vAlign w:val="center"/>
                </w:tcPr>
                <w:p w14:paraId="07FA5832">
                  <w:pPr>
                    <w:pStyle w:val="6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0.01</w:t>
                  </w:r>
                  <w:r>
                    <w:rPr>
                      <w:rFonts w:hint="eastAsia" w:cs="Times New Roman"/>
                      <w:color w:val="auto"/>
                      <w:sz w:val="21"/>
                      <w:szCs w:val="21"/>
                      <w:u w:val="none"/>
                      <w:lang w:val="en-US" w:eastAsia="zh-CN"/>
                    </w:rPr>
                    <w:t>77</w:t>
                  </w:r>
                </w:p>
              </w:tc>
            </w:tr>
          </w:tbl>
          <w:p w14:paraId="0C3B5DB4">
            <w:pPr>
              <w:keepNext w:val="0"/>
              <w:keepLines w:val="0"/>
              <w:pageBreakBefore w:val="0"/>
              <w:widowControl w:val="0"/>
              <w:kinsoku/>
              <w:wordWrap/>
              <w:overflowPunct/>
              <w:topLinePunct w:val="0"/>
              <w:autoSpaceDE/>
              <w:autoSpaceDN/>
              <w:bidi w:val="0"/>
              <w:adjustRightInd w:val="0"/>
              <w:snapToGrid w:val="0"/>
              <w:spacing w:line="500" w:lineRule="atLeast"/>
              <w:ind w:firstLine="480" w:firstLineChars="200"/>
              <w:jc w:val="left"/>
              <w:textAlignment w:val="auto"/>
              <w:rPr>
                <w:rFonts w:ascii="Times New Roman" w:hAnsi="Times New Roman" w:cs="Times New Roman"/>
                <w:b/>
                <w:bCs/>
                <w:color w:val="auto"/>
                <w:sz w:val="24"/>
                <w:u w:val="none"/>
              </w:rPr>
            </w:pPr>
            <w:r>
              <w:rPr>
                <w:rFonts w:hint="default" w:ascii="Times New Roman" w:hAnsi="Times New Roman" w:eastAsia="宋体" w:cs="Times New Roman"/>
                <w:b w:val="0"/>
                <w:bCs w:val="0"/>
                <w:color w:val="auto"/>
                <w:sz w:val="24"/>
                <w:u w:val="none"/>
              </w:rPr>
              <w:t>由</w:t>
            </w:r>
            <w:r>
              <w:rPr>
                <w:rFonts w:hint="eastAsia" w:ascii="Times New Roman" w:hAnsi="Times New Roman" w:cs="Times New Roman"/>
                <w:b w:val="0"/>
                <w:bCs w:val="0"/>
                <w:color w:val="auto"/>
                <w:sz w:val="24"/>
                <w:u w:val="none"/>
                <w:lang w:val="en-US" w:eastAsia="zh-CN"/>
              </w:rPr>
              <w:t>以上分析</w:t>
            </w:r>
            <w:r>
              <w:rPr>
                <w:rFonts w:hint="default" w:ascii="Times New Roman" w:hAnsi="Times New Roman" w:eastAsia="宋体" w:cs="Times New Roman"/>
                <w:b w:val="0"/>
                <w:bCs w:val="0"/>
                <w:color w:val="auto"/>
                <w:sz w:val="24"/>
                <w:u w:val="none"/>
              </w:rPr>
              <w:t>可知，本项目</w:t>
            </w:r>
            <w:r>
              <w:rPr>
                <w:rFonts w:hint="eastAsia" w:cs="Times New Roman"/>
                <w:b w:val="0"/>
                <w:bCs w:val="0"/>
                <w:color w:val="auto"/>
                <w:sz w:val="24"/>
                <w:u w:val="none"/>
                <w:lang w:val="en-US" w:eastAsia="zh-CN"/>
              </w:rPr>
              <w:t>冷凝水经过收集在贮水池内重新利用，</w:t>
            </w:r>
            <w:r>
              <w:rPr>
                <w:rFonts w:hint="eastAsia" w:ascii="Times New Roman" w:hAnsi="Times New Roman" w:cs="Times New Roman"/>
                <w:b w:val="0"/>
                <w:bCs w:val="0"/>
                <w:color w:val="auto"/>
                <w:sz w:val="24"/>
                <w:u w:val="none"/>
                <w:lang w:val="en-US" w:eastAsia="zh-CN"/>
              </w:rPr>
              <w:t>生活污水</w:t>
            </w:r>
            <w:r>
              <w:rPr>
                <w:rFonts w:hint="default" w:ascii="Times New Roman" w:hAnsi="Times New Roman" w:eastAsia="宋体" w:cs="Times New Roman"/>
                <w:b w:val="0"/>
                <w:bCs w:val="0"/>
                <w:color w:val="auto"/>
                <w:sz w:val="24"/>
                <w:u w:val="none"/>
              </w:rPr>
              <w:t>经化粪池预处理后中</w:t>
            </w:r>
            <w:r>
              <w:rPr>
                <w:rFonts w:hint="eastAsia" w:ascii="Times New Roman" w:hAnsi="Times New Roman" w:cs="Times New Roman"/>
                <w:b w:val="0"/>
                <w:bCs w:val="0"/>
                <w:color w:val="auto"/>
                <w:sz w:val="24"/>
                <w:u w:val="none"/>
                <w:lang w:val="en-US" w:eastAsia="zh-CN"/>
              </w:rPr>
              <w:t>用于农田施肥</w:t>
            </w:r>
            <w:r>
              <w:rPr>
                <w:rFonts w:hint="default" w:ascii="Times New Roman" w:hAnsi="Times New Roman" w:eastAsia="宋体" w:cs="Times New Roman"/>
                <w:color w:val="auto"/>
                <w:sz w:val="24"/>
                <w:szCs w:val="24"/>
                <w:u w:val="none"/>
              </w:rPr>
              <w:t>。</w:t>
            </w:r>
            <w:r>
              <w:rPr>
                <w:rFonts w:ascii="Times New Roman" w:hAnsi="Times New Roman" w:cs="Times New Roman"/>
                <w:bCs/>
                <w:color w:val="auto"/>
                <w:sz w:val="24"/>
                <w:u w:val="none"/>
              </w:rPr>
              <w:t>综上，项目最终无废水排放。</w:t>
            </w:r>
          </w:p>
          <w:p w14:paraId="005F9D34">
            <w:pPr>
              <w:keepNext w:val="0"/>
              <w:keepLines w:val="0"/>
              <w:pageBreakBefore w:val="0"/>
              <w:widowControl w:val="0"/>
              <w:kinsoku/>
              <w:wordWrap/>
              <w:overflowPunct/>
              <w:topLinePunct w:val="0"/>
              <w:autoSpaceDE/>
              <w:autoSpaceDN/>
              <w:bidi w:val="0"/>
              <w:adjustRightInd w:val="0"/>
              <w:snapToGrid w:val="0"/>
              <w:spacing w:line="500" w:lineRule="atLeast"/>
              <w:ind w:firstLine="482" w:firstLineChars="200"/>
              <w:rPr>
                <w:rFonts w:ascii="Times New Roman" w:hAnsi="Times New Roman" w:cs="Times New Roman"/>
                <w:color w:val="auto"/>
                <w:sz w:val="24"/>
                <w:u w:val="none"/>
              </w:rPr>
            </w:pPr>
            <w:r>
              <w:rPr>
                <w:rFonts w:hint="eastAsia" w:cs="Times New Roman"/>
                <w:b/>
                <w:bCs/>
                <w:color w:val="auto"/>
                <w:sz w:val="24"/>
                <w:u w:val="none"/>
                <w:lang w:val="en-US" w:eastAsia="zh-CN"/>
              </w:rPr>
              <w:t>3、</w:t>
            </w:r>
            <w:r>
              <w:rPr>
                <w:rFonts w:ascii="Times New Roman" w:hAnsi="Times New Roman" w:cs="Times New Roman"/>
                <w:b/>
                <w:bCs/>
                <w:color w:val="auto"/>
                <w:sz w:val="24"/>
                <w:u w:val="none"/>
              </w:rPr>
              <w:t>噪声</w:t>
            </w:r>
          </w:p>
          <w:p w14:paraId="03CD140D">
            <w:pPr>
              <w:keepNext w:val="0"/>
              <w:keepLines w:val="0"/>
              <w:pageBreakBefore w:val="0"/>
              <w:widowControl w:val="0"/>
              <w:kinsoku/>
              <w:wordWrap/>
              <w:overflowPunct/>
              <w:topLinePunct w:val="0"/>
              <w:autoSpaceDE/>
              <w:autoSpaceDN/>
              <w:bidi w:val="0"/>
              <w:adjustRightInd/>
              <w:snapToGrid/>
              <w:spacing w:line="500" w:lineRule="atLeast"/>
              <w:ind w:firstLine="482" w:firstLineChars="200"/>
              <w:textAlignment w:val="auto"/>
              <w:rPr>
                <w:rFonts w:ascii="Times New Roman" w:hAnsi="Times New Roman" w:cs="Times New Roman"/>
                <w:b/>
                <w:bCs/>
                <w:color w:val="auto"/>
                <w:sz w:val="24"/>
                <w:u w:val="none"/>
              </w:rPr>
            </w:pPr>
            <w:r>
              <w:rPr>
                <w:rFonts w:hint="eastAsia" w:cs="Times New Roman"/>
                <w:b/>
                <w:bCs/>
                <w:color w:val="auto"/>
                <w:sz w:val="24"/>
                <w:u w:val="none"/>
                <w:lang w:val="en-US" w:eastAsia="zh-CN"/>
              </w:rPr>
              <w:t>3.1</w:t>
            </w:r>
            <w:r>
              <w:rPr>
                <w:rFonts w:ascii="Times New Roman" w:hAnsi="Times New Roman" w:cs="Times New Roman"/>
                <w:b/>
                <w:bCs/>
                <w:color w:val="auto"/>
                <w:sz w:val="24"/>
                <w:u w:val="none"/>
              </w:rPr>
              <w:t>噪声污染源及治理措施</w:t>
            </w:r>
          </w:p>
          <w:p w14:paraId="15612C6C">
            <w:pPr>
              <w:pStyle w:val="79"/>
              <w:keepNext w:val="0"/>
              <w:keepLines w:val="0"/>
              <w:pageBreakBefore w:val="0"/>
              <w:widowControl w:val="0"/>
              <w:kinsoku/>
              <w:wordWrap/>
              <w:overflowPunct/>
              <w:topLinePunct w:val="0"/>
              <w:bidi w:val="0"/>
              <w:spacing w:line="500" w:lineRule="atLeast"/>
              <w:ind w:firstLine="480"/>
              <w:rPr>
                <w:rFonts w:hint="default"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项目</w:t>
            </w:r>
            <w:r>
              <w:rPr>
                <w:rFonts w:hint="default" w:ascii="Times New Roman" w:hAnsi="Times New Roman" w:eastAsia="宋体" w:cs="Times New Roman"/>
                <w:color w:val="auto"/>
                <w:kern w:val="2"/>
                <w:sz w:val="24"/>
                <w:szCs w:val="24"/>
                <w:u w:val="none"/>
                <w:lang w:val="en-US" w:eastAsia="zh-CN" w:bidi="ar-SA"/>
              </w:rPr>
              <w:t>噪声源主要为</w:t>
            </w:r>
            <w:r>
              <w:rPr>
                <w:rFonts w:hint="eastAsia" w:ascii="Times New Roman" w:hAnsi="Times New Roman" w:cs="Times New Roman"/>
                <w:color w:val="auto"/>
                <w:kern w:val="2"/>
                <w:sz w:val="24"/>
                <w:szCs w:val="24"/>
                <w:u w:val="none"/>
                <w:lang w:val="en-US" w:eastAsia="zh-CN" w:bidi="ar-SA"/>
              </w:rPr>
              <w:t>发电机组</w:t>
            </w:r>
            <w:r>
              <w:rPr>
                <w:rFonts w:hint="default" w:ascii="Times New Roman" w:hAnsi="Times New Roman" w:eastAsia="宋体" w:cs="Times New Roman"/>
                <w:color w:val="auto"/>
                <w:kern w:val="2"/>
                <w:sz w:val="24"/>
                <w:szCs w:val="24"/>
                <w:u w:val="none"/>
                <w:lang w:val="en-US" w:eastAsia="zh-CN" w:bidi="ar-SA"/>
              </w:rPr>
              <w:t>设备工作时的机械噪声，经类比同类设备，声级为</w:t>
            </w:r>
            <w:r>
              <w:rPr>
                <w:rFonts w:hint="eastAsia" w:ascii="Times New Roman" w:hAnsi="Times New Roman" w:eastAsia="宋体" w:cs="Times New Roman"/>
                <w:color w:val="auto"/>
                <w:kern w:val="2"/>
                <w:sz w:val="24"/>
                <w:szCs w:val="24"/>
                <w:u w:val="none"/>
                <w:lang w:val="en-US" w:eastAsia="zh-CN" w:bidi="ar-SA"/>
              </w:rPr>
              <w:t>70~80</w:t>
            </w:r>
            <w:r>
              <w:rPr>
                <w:rFonts w:hint="default" w:ascii="Times New Roman" w:hAnsi="Times New Roman" w:eastAsia="宋体" w:cs="Times New Roman"/>
                <w:color w:val="auto"/>
                <w:kern w:val="2"/>
                <w:sz w:val="24"/>
                <w:szCs w:val="24"/>
                <w:u w:val="none"/>
                <w:lang w:val="en-US" w:eastAsia="zh-CN" w:bidi="ar-SA"/>
              </w:rPr>
              <w:t>dB（A）</w:t>
            </w:r>
            <w:r>
              <w:rPr>
                <w:rFonts w:hint="eastAsia" w:ascii="Times New Roman" w:hAnsi="Times New Roman" w:eastAsia="宋体" w:cs="Times New Roman"/>
                <w:color w:val="auto"/>
                <w:kern w:val="2"/>
                <w:sz w:val="24"/>
                <w:szCs w:val="24"/>
                <w:u w:val="none"/>
                <w:lang w:val="en-US" w:eastAsia="zh-CN" w:bidi="ar-SA"/>
              </w:rPr>
              <w:t>，</w:t>
            </w:r>
            <w:r>
              <w:rPr>
                <w:rFonts w:hint="default" w:ascii="Times New Roman" w:hAnsi="Times New Roman" w:eastAsia="宋体" w:cs="Times New Roman"/>
                <w:color w:val="auto"/>
                <w:kern w:val="2"/>
                <w:sz w:val="24"/>
                <w:szCs w:val="24"/>
                <w:u w:val="none"/>
                <w:lang w:val="en-US" w:eastAsia="zh-CN" w:bidi="ar-SA"/>
              </w:rPr>
              <w:t>经采取消声、基础减振、建筑物隔声等措施以降低噪声对周围环境的影响。</w:t>
            </w:r>
          </w:p>
          <w:p w14:paraId="1277B67B">
            <w:pPr>
              <w:keepNext w:val="0"/>
              <w:keepLines w:val="0"/>
              <w:pageBreakBefore w:val="0"/>
              <w:widowControl w:val="0"/>
              <w:kinsoku/>
              <w:wordWrap/>
              <w:overflowPunct/>
              <w:topLinePunct w:val="0"/>
              <w:autoSpaceDE/>
              <w:autoSpaceDN/>
              <w:bidi w:val="0"/>
              <w:spacing w:line="500" w:lineRule="atLeast"/>
              <w:ind w:firstLine="480" w:firstLineChars="200"/>
              <w:textAlignment w:val="baseline"/>
              <w:rPr>
                <w:rFonts w:hint="default" w:ascii="Times New Roman" w:hAnsi="Times New Roman" w:eastAsia="宋体" w:cs="Times New Roman"/>
                <w:color w:val="auto"/>
                <w:sz w:val="24"/>
                <w:u w:val="none"/>
              </w:rPr>
            </w:pPr>
            <w:r>
              <w:rPr>
                <w:rFonts w:hint="eastAsia" w:ascii="Times New Roman" w:hAnsi="Times New Roman" w:eastAsia="宋体" w:cs="Times New Roman"/>
                <w:color w:val="auto"/>
                <w:kern w:val="2"/>
                <w:sz w:val="24"/>
                <w:szCs w:val="24"/>
                <w:u w:val="none"/>
                <w:lang w:val="en-US" w:eastAsia="zh-CN" w:bidi="ar-SA"/>
              </w:rPr>
              <w:t>根据《环境影响评价技术导则声环境》（HJ2.4-</w:t>
            </w:r>
            <w:r>
              <w:rPr>
                <w:rFonts w:hint="default" w:ascii="Times New Roman" w:hAnsi="Times New Roman" w:eastAsia="宋体" w:cs="Times New Roman"/>
                <w:color w:val="auto"/>
                <w:kern w:val="2"/>
                <w:sz w:val="24"/>
                <w:szCs w:val="24"/>
                <w:u w:val="none"/>
                <w:lang w:val="en-US" w:eastAsia="zh-CN" w:bidi="ar-SA"/>
              </w:rPr>
              <w:t>2021</w:t>
            </w:r>
            <w:r>
              <w:rPr>
                <w:rFonts w:hint="eastAsia" w:ascii="Times New Roman" w:hAnsi="Times New Roman" w:eastAsia="宋体" w:cs="Times New Roman"/>
                <w:color w:val="auto"/>
                <w:kern w:val="2"/>
                <w:sz w:val="24"/>
                <w:szCs w:val="24"/>
                <w:u w:val="none"/>
                <w:lang w:val="en-US" w:eastAsia="zh-CN" w:bidi="ar-SA"/>
              </w:rPr>
              <w:t>）要求，本项目运营期主要噪声源设备位置及噪声源强见下表，</w:t>
            </w:r>
            <w:r>
              <w:rPr>
                <w:rFonts w:hint="default" w:ascii="Times New Roman" w:hAnsi="Times New Roman" w:eastAsia="宋体" w:cs="Times New Roman"/>
                <w:color w:val="auto"/>
                <w:kern w:val="2"/>
                <w:sz w:val="24"/>
                <w:szCs w:val="24"/>
                <w:u w:val="none"/>
                <w:lang w:val="en-US" w:eastAsia="zh-CN" w:bidi="ar-SA"/>
              </w:rPr>
              <w:t>空间位置以</w:t>
            </w:r>
            <w:r>
              <w:rPr>
                <w:rFonts w:hint="eastAsia" w:cs="Times New Roman"/>
                <w:color w:val="auto"/>
                <w:kern w:val="2"/>
                <w:sz w:val="24"/>
                <w:szCs w:val="24"/>
                <w:u w:val="none"/>
                <w:lang w:val="en-US" w:eastAsia="zh-CN" w:bidi="ar-SA"/>
              </w:rPr>
              <w:t>站区</w:t>
            </w:r>
            <w:r>
              <w:rPr>
                <w:rFonts w:hint="eastAsia" w:ascii="Times New Roman" w:hAnsi="Times New Roman" w:cs="Times New Roman"/>
                <w:color w:val="auto"/>
                <w:kern w:val="2"/>
                <w:sz w:val="24"/>
                <w:szCs w:val="24"/>
                <w:u w:val="none"/>
                <w:lang w:val="en-US" w:eastAsia="zh-CN" w:bidi="ar-SA"/>
              </w:rPr>
              <w:t>西</w:t>
            </w:r>
            <w:r>
              <w:rPr>
                <w:rFonts w:hint="eastAsia" w:ascii="Times New Roman" w:hAnsi="Times New Roman" w:eastAsia="宋体" w:cs="Times New Roman"/>
                <w:color w:val="auto"/>
                <w:kern w:val="2"/>
                <w:sz w:val="24"/>
                <w:szCs w:val="24"/>
                <w:u w:val="none"/>
                <w:lang w:val="en-US" w:eastAsia="zh-CN" w:bidi="ar-SA"/>
              </w:rPr>
              <w:t>南角（</w:t>
            </w:r>
            <w:r>
              <w:rPr>
                <w:rFonts w:hint="eastAsia" w:ascii="Times New Roman" w:hAnsi="Times New Roman" w:cs="Times New Roman"/>
                <w:color w:val="auto"/>
                <w:kern w:val="2"/>
                <w:sz w:val="24"/>
                <w:szCs w:val="24"/>
                <w:u w:val="none"/>
                <w:lang w:val="en-US" w:eastAsia="zh-CN" w:bidi="ar-SA"/>
              </w:rPr>
              <w:t>站区左</w:t>
            </w:r>
            <w:r>
              <w:rPr>
                <w:rFonts w:hint="eastAsia" w:ascii="Times New Roman" w:hAnsi="Times New Roman" w:eastAsia="宋体" w:cs="Times New Roman"/>
                <w:color w:val="auto"/>
                <w:kern w:val="2"/>
                <w:sz w:val="24"/>
                <w:szCs w:val="24"/>
                <w:u w:val="none"/>
                <w:lang w:val="en-US" w:eastAsia="zh-CN" w:bidi="ar-SA"/>
              </w:rPr>
              <w:t>下角）</w:t>
            </w:r>
            <w:r>
              <w:rPr>
                <w:rFonts w:hint="default" w:ascii="Times New Roman" w:hAnsi="Times New Roman" w:eastAsia="宋体" w:cs="Times New Roman"/>
                <w:color w:val="auto"/>
                <w:kern w:val="2"/>
                <w:sz w:val="24"/>
                <w:szCs w:val="24"/>
                <w:u w:val="none"/>
                <w:lang w:val="en-US" w:eastAsia="zh-CN" w:bidi="ar-SA"/>
              </w:rPr>
              <w:t>为</w:t>
            </w:r>
            <w:r>
              <w:rPr>
                <w:rFonts w:hint="eastAsia" w:ascii="Times New Roman" w:hAnsi="Times New Roman" w:eastAsia="宋体" w:cs="Times New Roman"/>
                <w:color w:val="auto"/>
                <w:kern w:val="2"/>
                <w:sz w:val="24"/>
                <w:szCs w:val="24"/>
                <w:u w:val="none"/>
                <w:lang w:val="en-US" w:eastAsia="zh-CN" w:bidi="ar-SA"/>
              </w:rPr>
              <w:t>起始点。</w:t>
            </w:r>
          </w:p>
        </w:tc>
      </w:tr>
    </w:tbl>
    <w:p w14:paraId="0FD92523">
      <w:pPr>
        <w:adjustRightInd w:val="0"/>
        <w:snapToGrid w:val="0"/>
        <w:spacing w:line="360" w:lineRule="auto"/>
        <w:rPr>
          <w:rFonts w:ascii="Times New Roman" w:hAnsi="Times New Roman" w:cs="Times New Roman"/>
          <w:b/>
          <w:color w:val="auto"/>
          <w:kern w:val="0"/>
          <w:sz w:val="28"/>
          <w:szCs w:val="28"/>
          <w:u w:val="none"/>
        </w:rPr>
        <w:sectPr>
          <w:pgSz w:w="11907" w:h="16840"/>
          <w:pgMar w:top="1134" w:right="1417" w:bottom="1134" w:left="1417"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32"/>
        <w:tblW w:w="1470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00"/>
        <w:gridCol w:w="14305"/>
      </w:tblGrid>
      <w:tr w14:paraId="160E4F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29" w:hRule="atLeast"/>
          <w:jc w:val="center"/>
        </w:trPr>
        <w:tc>
          <w:tcPr>
            <w:tcW w:w="400" w:type="dxa"/>
            <w:tcMar>
              <w:left w:w="28" w:type="dxa"/>
              <w:right w:w="28" w:type="dxa"/>
            </w:tcMar>
            <w:vAlign w:val="center"/>
          </w:tcPr>
          <w:p w14:paraId="7DF033DB">
            <w:pPr>
              <w:adjustRightInd w:val="0"/>
              <w:snapToGrid w:val="0"/>
              <w:jc w:val="center"/>
              <w:rPr>
                <w:rFonts w:ascii="Times New Roman" w:hAnsi="Times New Roman" w:cs="Times New Roman"/>
                <w:bCs/>
                <w:color w:val="auto"/>
                <w:szCs w:val="21"/>
                <w:u w:val="none"/>
              </w:rPr>
            </w:pPr>
            <w:r>
              <w:rPr>
                <w:rFonts w:ascii="Times New Roman" w:hAnsi="Times New Roman" w:cs="Times New Roman"/>
                <w:b/>
                <w:bCs/>
                <w:color w:val="auto"/>
                <w:sz w:val="24"/>
                <w:szCs w:val="24"/>
                <w:u w:val="none"/>
              </w:rPr>
              <w:t>运营期环境影响和保护措施</w:t>
            </w:r>
          </w:p>
        </w:tc>
        <w:tc>
          <w:tcPr>
            <w:tcW w:w="14305" w:type="dxa"/>
            <w:vAlign w:val="top"/>
          </w:tcPr>
          <w:p w14:paraId="7FC115E8">
            <w:pPr>
              <w:pStyle w:val="7"/>
              <w:keepNext w:val="0"/>
              <w:keepLines w:val="0"/>
              <w:pageBreakBefore w:val="0"/>
              <w:widowControl w:val="0"/>
              <w:numPr>
                <w:ilvl w:val="0"/>
                <w:numId w:val="0"/>
              </w:numPr>
              <w:kinsoku/>
              <w:wordWrap/>
              <w:overflowPunct/>
              <w:topLinePunct w:val="0"/>
              <w:autoSpaceDE/>
              <w:autoSpaceDN/>
              <w:bidi w:val="0"/>
              <w:spacing w:line="520" w:lineRule="exact"/>
              <w:jc w:val="center"/>
              <w:textAlignment w:val="auto"/>
              <w:rPr>
                <w:rFonts w:hint="eastAsia" w:ascii="Times New Roman" w:hAnsi="Times New Roman" w:eastAsia="黑体" w:cs="Times New Roman"/>
                <w:b w:val="0"/>
                <w:bCs w:val="0"/>
                <w:color w:val="auto"/>
                <w:sz w:val="24"/>
                <w:szCs w:val="24"/>
                <w:u w:val="none"/>
                <w:lang w:val="en-US" w:eastAsia="zh-CN"/>
              </w:rPr>
            </w:pPr>
            <w:r>
              <w:rPr>
                <w:rFonts w:hint="eastAsia" w:ascii="Times New Roman" w:hAnsi="Times New Roman" w:eastAsia="黑体" w:cs="Times New Roman"/>
                <w:b w:val="0"/>
                <w:bCs w:val="0"/>
                <w:color w:val="auto"/>
                <w:sz w:val="24"/>
                <w:szCs w:val="24"/>
                <w:u w:val="none"/>
                <w:lang w:val="en-US" w:eastAsia="zh-CN"/>
              </w:rPr>
              <w:t>表</w:t>
            </w:r>
            <w:r>
              <w:rPr>
                <w:rFonts w:hint="eastAsia" w:eastAsia="黑体" w:cs="Times New Roman"/>
                <w:b w:val="0"/>
                <w:bCs w:val="0"/>
                <w:color w:val="auto"/>
                <w:sz w:val="24"/>
                <w:szCs w:val="24"/>
                <w:u w:val="none"/>
                <w:lang w:val="en-US" w:eastAsia="zh-CN"/>
              </w:rPr>
              <w:t>4-7</w:t>
            </w:r>
            <w:r>
              <w:rPr>
                <w:rFonts w:hint="eastAsia" w:ascii="Times New Roman" w:hAnsi="Times New Roman" w:eastAsia="黑体" w:cs="Times New Roman"/>
                <w:b w:val="0"/>
                <w:bCs w:val="0"/>
                <w:color w:val="auto"/>
                <w:sz w:val="24"/>
                <w:szCs w:val="24"/>
                <w:u w:val="none"/>
                <w:lang w:val="en-US" w:eastAsia="zh-CN"/>
              </w:rPr>
              <w:t xml:space="preserve"> 本项目主要声源调查清单</w:t>
            </w:r>
            <w:r>
              <w:rPr>
                <w:rFonts w:hint="eastAsia" w:eastAsia="黑体" w:cs="Times New Roman"/>
                <w:b w:val="0"/>
                <w:bCs w:val="0"/>
                <w:color w:val="auto"/>
                <w:sz w:val="24"/>
                <w:szCs w:val="24"/>
                <w:u w:val="none"/>
                <w:lang w:val="en-US" w:eastAsia="zh-CN"/>
              </w:rPr>
              <w:t>（室外声源）</w:t>
            </w:r>
          </w:p>
          <w:tbl>
            <w:tblPr>
              <w:tblStyle w:val="32"/>
              <w:tblW w:w="13817"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957"/>
              <w:gridCol w:w="1918"/>
              <w:gridCol w:w="1260"/>
              <w:gridCol w:w="1067"/>
              <w:gridCol w:w="1102"/>
              <w:gridCol w:w="1055"/>
              <w:gridCol w:w="2003"/>
              <w:gridCol w:w="3362"/>
              <w:gridCol w:w="1093"/>
            </w:tblGrid>
            <w:tr w14:paraId="2B4C51D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957" w:type="dxa"/>
                  <w:vMerge w:val="restart"/>
                  <w:tcBorders>
                    <w:tl2br w:val="nil"/>
                    <w:tr2bl w:val="nil"/>
                  </w:tcBorders>
                  <w:vAlign w:val="center"/>
                </w:tcPr>
                <w:p w14:paraId="1779F0F3">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位置</w:t>
                  </w:r>
                </w:p>
              </w:tc>
              <w:tc>
                <w:tcPr>
                  <w:tcW w:w="1918" w:type="dxa"/>
                  <w:vMerge w:val="restart"/>
                  <w:tcBorders>
                    <w:tl2br w:val="nil"/>
                    <w:tr2bl w:val="nil"/>
                  </w:tcBorders>
                  <w:vAlign w:val="center"/>
                </w:tcPr>
                <w:p w14:paraId="6BE46954">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声源名称</w:t>
                  </w:r>
                </w:p>
              </w:tc>
              <w:tc>
                <w:tcPr>
                  <w:tcW w:w="1260" w:type="dxa"/>
                  <w:vMerge w:val="restart"/>
                  <w:tcBorders>
                    <w:tl2br w:val="nil"/>
                    <w:tr2bl w:val="nil"/>
                  </w:tcBorders>
                  <w:vAlign w:val="center"/>
                </w:tcPr>
                <w:p w14:paraId="3F3C0692">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eastAsia="宋体" w:cs="Times New Roman"/>
                      <w:b/>
                      <w:bCs/>
                      <w:color w:val="auto"/>
                      <w:sz w:val="21"/>
                      <w:szCs w:val="21"/>
                      <w:u w:val="none"/>
                      <w:lang w:val="en-US" w:eastAsia="zh-CN"/>
                    </w:rPr>
                  </w:pPr>
                  <w:r>
                    <w:rPr>
                      <w:rFonts w:hint="eastAsia" w:ascii="Times New Roman" w:hAnsi="Times New Roman" w:cs="Times New Roman"/>
                      <w:b/>
                      <w:bCs/>
                      <w:color w:val="auto"/>
                      <w:sz w:val="21"/>
                      <w:szCs w:val="21"/>
                      <w:u w:val="none"/>
                      <w:lang w:val="en-US" w:eastAsia="zh-CN"/>
                    </w:rPr>
                    <w:t>型号</w:t>
                  </w:r>
                </w:p>
              </w:tc>
              <w:tc>
                <w:tcPr>
                  <w:tcW w:w="3224" w:type="dxa"/>
                  <w:gridSpan w:val="3"/>
                  <w:tcBorders>
                    <w:tl2br w:val="nil"/>
                    <w:tr2bl w:val="nil"/>
                  </w:tcBorders>
                  <w:tcMar>
                    <w:left w:w="11" w:type="dxa"/>
                    <w:right w:w="11" w:type="dxa"/>
                  </w:tcMar>
                  <w:vAlign w:val="center"/>
                </w:tcPr>
                <w:p w14:paraId="3109B615">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cs="Times New Roman"/>
                      <w:b/>
                      <w:bCs/>
                      <w:color w:val="auto"/>
                      <w:sz w:val="21"/>
                      <w:szCs w:val="21"/>
                      <w:u w:val="none"/>
                    </w:rPr>
                  </w:pPr>
                  <w:r>
                    <w:rPr>
                      <w:rFonts w:hint="eastAsia" w:ascii="Times New Roman" w:hAnsi="Times New Roman" w:cs="Times New Roman"/>
                      <w:b/>
                      <w:bCs/>
                      <w:color w:val="auto"/>
                      <w:sz w:val="21"/>
                      <w:szCs w:val="21"/>
                      <w:u w:val="none"/>
                    </w:rPr>
                    <w:t>空间</w:t>
                  </w:r>
                  <w:r>
                    <w:rPr>
                      <w:rFonts w:ascii="Times New Roman" w:hAnsi="Times New Roman" w:cs="Times New Roman"/>
                      <w:b/>
                      <w:bCs/>
                      <w:color w:val="auto"/>
                      <w:sz w:val="21"/>
                      <w:szCs w:val="21"/>
                      <w:u w:val="none"/>
                    </w:rPr>
                    <w:t>相对位置</w:t>
                  </w:r>
                </w:p>
              </w:tc>
              <w:tc>
                <w:tcPr>
                  <w:tcW w:w="2003" w:type="dxa"/>
                  <w:tcBorders>
                    <w:tl2br w:val="nil"/>
                    <w:tr2bl w:val="nil"/>
                  </w:tcBorders>
                  <w:tcMar>
                    <w:left w:w="11" w:type="dxa"/>
                    <w:right w:w="11" w:type="dxa"/>
                  </w:tcMar>
                  <w:vAlign w:val="center"/>
                </w:tcPr>
                <w:p w14:paraId="79C9317C">
                  <w:pPr>
                    <w:spacing w:line="240" w:lineRule="auto"/>
                    <w:jc w:val="center"/>
                    <w:rPr>
                      <w:rFonts w:ascii="Times New Roman" w:hAnsi="Times New Roman" w:cs="Times New Roman"/>
                      <w:b/>
                      <w:bCs/>
                      <w:color w:val="auto"/>
                      <w:sz w:val="21"/>
                      <w:szCs w:val="21"/>
                      <w:u w:val="none"/>
                    </w:rPr>
                  </w:pPr>
                  <w:r>
                    <w:rPr>
                      <w:rFonts w:hint="eastAsia" w:ascii="Times New Roman" w:hAnsi="Times New Roman" w:cs="Times New Roman"/>
                      <w:color w:val="auto"/>
                      <w:szCs w:val="21"/>
                      <w:u w:val="none"/>
                    </w:rPr>
                    <w:t>声源源强</w:t>
                  </w:r>
                </w:p>
              </w:tc>
              <w:tc>
                <w:tcPr>
                  <w:tcW w:w="3362" w:type="dxa"/>
                  <w:vMerge w:val="restart"/>
                  <w:tcBorders>
                    <w:tl2br w:val="nil"/>
                    <w:tr2bl w:val="nil"/>
                  </w:tcBorders>
                  <w:tcMar>
                    <w:left w:w="11" w:type="dxa"/>
                    <w:right w:w="11" w:type="dxa"/>
                  </w:tcMar>
                  <w:vAlign w:val="center"/>
                </w:tcPr>
                <w:p w14:paraId="12B8C281">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cs="Times New Roman"/>
                      <w:b/>
                      <w:bCs/>
                      <w:color w:val="auto"/>
                      <w:sz w:val="21"/>
                      <w:szCs w:val="21"/>
                      <w:u w:val="none"/>
                    </w:rPr>
                  </w:pPr>
                  <w:r>
                    <w:rPr>
                      <w:rFonts w:ascii="Times New Roman" w:hAnsi="Times New Roman" w:cs="Times New Roman"/>
                      <w:b/>
                      <w:bCs/>
                      <w:color w:val="auto"/>
                      <w:sz w:val="21"/>
                      <w:szCs w:val="21"/>
                      <w:u w:val="none"/>
                    </w:rPr>
                    <w:t>声源控制措施</w:t>
                  </w:r>
                </w:p>
              </w:tc>
              <w:tc>
                <w:tcPr>
                  <w:tcW w:w="1093" w:type="dxa"/>
                  <w:vMerge w:val="restart"/>
                  <w:tcBorders>
                    <w:tl2br w:val="nil"/>
                    <w:tr2bl w:val="nil"/>
                  </w:tcBorders>
                  <w:vAlign w:val="center"/>
                </w:tcPr>
                <w:p w14:paraId="66E0414F">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cs="Times New Roman"/>
                      <w:b/>
                      <w:bCs/>
                      <w:color w:val="auto"/>
                      <w:sz w:val="21"/>
                      <w:szCs w:val="21"/>
                      <w:u w:val="none"/>
                    </w:rPr>
                  </w:pPr>
                  <w:r>
                    <w:rPr>
                      <w:rFonts w:hint="eastAsia" w:ascii="Times New Roman" w:hAnsi="Times New Roman" w:cs="Times New Roman"/>
                      <w:b/>
                      <w:bCs/>
                      <w:color w:val="auto"/>
                      <w:sz w:val="21"/>
                      <w:szCs w:val="21"/>
                      <w:u w:val="none"/>
                    </w:rPr>
                    <w:t>运行时段</w:t>
                  </w:r>
                </w:p>
              </w:tc>
            </w:tr>
            <w:tr w14:paraId="1FD1A32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957" w:type="dxa"/>
                  <w:vMerge w:val="continue"/>
                  <w:tcBorders>
                    <w:tl2br w:val="nil"/>
                    <w:tr2bl w:val="nil"/>
                  </w:tcBorders>
                  <w:vAlign w:val="center"/>
                </w:tcPr>
                <w:p w14:paraId="474ECF30">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cs="Times New Roman"/>
                      <w:color w:val="auto"/>
                      <w:sz w:val="21"/>
                      <w:szCs w:val="21"/>
                      <w:u w:val="none"/>
                    </w:rPr>
                  </w:pPr>
                </w:p>
              </w:tc>
              <w:tc>
                <w:tcPr>
                  <w:tcW w:w="1918" w:type="dxa"/>
                  <w:vMerge w:val="continue"/>
                  <w:tcBorders>
                    <w:tl2br w:val="nil"/>
                    <w:tr2bl w:val="nil"/>
                  </w:tcBorders>
                  <w:vAlign w:val="center"/>
                </w:tcPr>
                <w:p w14:paraId="453636A5">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cs="Times New Roman"/>
                      <w:color w:val="auto"/>
                      <w:sz w:val="21"/>
                      <w:szCs w:val="21"/>
                      <w:u w:val="none"/>
                    </w:rPr>
                  </w:pPr>
                </w:p>
              </w:tc>
              <w:tc>
                <w:tcPr>
                  <w:tcW w:w="1260" w:type="dxa"/>
                  <w:vMerge w:val="continue"/>
                  <w:tcBorders>
                    <w:tl2br w:val="nil"/>
                    <w:tr2bl w:val="nil"/>
                  </w:tcBorders>
                  <w:vAlign w:val="center"/>
                </w:tcPr>
                <w:p w14:paraId="1EB7C606">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cs="Times New Roman"/>
                      <w:color w:val="auto"/>
                      <w:sz w:val="21"/>
                      <w:szCs w:val="21"/>
                      <w:u w:val="none"/>
                    </w:rPr>
                  </w:pPr>
                </w:p>
              </w:tc>
              <w:tc>
                <w:tcPr>
                  <w:tcW w:w="1067" w:type="dxa"/>
                  <w:tcBorders>
                    <w:tl2br w:val="nil"/>
                    <w:tr2bl w:val="nil"/>
                  </w:tcBorders>
                  <w:tcMar>
                    <w:left w:w="11" w:type="dxa"/>
                    <w:right w:w="11" w:type="dxa"/>
                  </w:tcMar>
                  <w:vAlign w:val="center"/>
                </w:tcPr>
                <w:p w14:paraId="6D8704CC">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cs="Times New Roman"/>
                      <w:b/>
                      <w:bCs/>
                      <w:color w:val="auto"/>
                      <w:sz w:val="21"/>
                      <w:szCs w:val="21"/>
                      <w:u w:val="none"/>
                    </w:rPr>
                  </w:pPr>
                  <w:r>
                    <w:rPr>
                      <w:rFonts w:hint="eastAsia" w:ascii="Times New Roman" w:hAnsi="Times New Roman" w:cs="Times New Roman"/>
                      <w:b/>
                      <w:bCs/>
                      <w:color w:val="auto"/>
                      <w:sz w:val="21"/>
                      <w:szCs w:val="21"/>
                      <w:u w:val="none"/>
                    </w:rPr>
                    <w:t>X</w:t>
                  </w:r>
                </w:p>
              </w:tc>
              <w:tc>
                <w:tcPr>
                  <w:tcW w:w="1102" w:type="dxa"/>
                  <w:tcBorders>
                    <w:tl2br w:val="nil"/>
                    <w:tr2bl w:val="nil"/>
                  </w:tcBorders>
                  <w:vAlign w:val="center"/>
                </w:tcPr>
                <w:p w14:paraId="45340FC5">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cs="Times New Roman"/>
                      <w:b/>
                      <w:bCs/>
                      <w:color w:val="auto"/>
                      <w:sz w:val="21"/>
                      <w:szCs w:val="21"/>
                      <w:u w:val="none"/>
                    </w:rPr>
                  </w:pPr>
                  <w:r>
                    <w:rPr>
                      <w:rFonts w:hint="eastAsia" w:ascii="Times New Roman" w:hAnsi="Times New Roman" w:cs="Times New Roman"/>
                      <w:b/>
                      <w:bCs/>
                      <w:color w:val="auto"/>
                      <w:sz w:val="21"/>
                      <w:szCs w:val="21"/>
                      <w:u w:val="none"/>
                    </w:rPr>
                    <w:t>Y</w:t>
                  </w:r>
                </w:p>
              </w:tc>
              <w:tc>
                <w:tcPr>
                  <w:tcW w:w="1055" w:type="dxa"/>
                  <w:tcBorders>
                    <w:tl2br w:val="nil"/>
                    <w:tr2bl w:val="nil"/>
                  </w:tcBorders>
                  <w:vAlign w:val="center"/>
                </w:tcPr>
                <w:p w14:paraId="28C35FC6">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cs="Times New Roman"/>
                      <w:b/>
                      <w:bCs/>
                      <w:color w:val="auto"/>
                      <w:sz w:val="21"/>
                      <w:szCs w:val="21"/>
                      <w:u w:val="none"/>
                    </w:rPr>
                  </w:pPr>
                  <w:r>
                    <w:rPr>
                      <w:rFonts w:hint="eastAsia" w:ascii="Times New Roman" w:hAnsi="Times New Roman" w:cs="Times New Roman"/>
                      <w:b/>
                      <w:bCs/>
                      <w:color w:val="auto"/>
                      <w:sz w:val="21"/>
                      <w:szCs w:val="21"/>
                      <w:u w:val="none"/>
                    </w:rPr>
                    <w:t>Z</w:t>
                  </w:r>
                </w:p>
              </w:tc>
              <w:tc>
                <w:tcPr>
                  <w:tcW w:w="2003" w:type="dxa"/>
                  <w:tcBorders>
                    <w:tl2br w:val="nil"/>
                    <w:tr2bl w:val="nil"/>
                  </w:tcBorders>
                  <w:tcMar>
                    <w:left w:w="11" w:type="dxa"/>
                    <w:right w:w="11" w:type="dxa"/>
                  </w:tcMar>
                  <w:vAlign w:val="center"/>
                </w:tcPr>
                <w:p w14:paraId="0FAB6448">
                  <w:pPr>
                    <w:spacing w:line="240" w:lineRule="auto"/>
                    <w:jc w:val="center"/>
                    <w:rPr>
                      <w:rFonts w:ascii="Times New Roman" w:hAnsi="Times New Roman" w:cs="Times New Roman"/>
                      <w:color w:val="auto"/>
                      <w:sz w:val="21"/>
                      <w:szCs w:val="21"/>
                      <w:u w:val="none"/>
                    </w:rPr>
                  </w:pPr>
                  <w:r>
                    <w:rPr>
                      <w:rFonts w:hint="eastAsia" w:ascii="Times New Roman" w:hAnsi="Times New Roman" w:cs="Times New Roman"/>
                      <w:color w:val="auto"/>
                      <w:szCs w:val="21"/>
                      <w:u w:val="none"/>
                    </w:rPr>
                    <w:t>声功率级/dB（</w:t>
                  </w:r>
                  <w:r>
                    <w:rPr>
                      <w:rFonts w:ascii="Times New Roman" w:hAnsi="Times New Roman" w:cs="Times New Roman"/>
                      <w:color w:val="auto"/>
                      <w:szCs w:val="21"/>
                      <w:u w:val="none"/>
                    </w:rPr>
                    <w:t>A</w:t>
                  </w:r>
                  <w:r>
                    <w:rPr>
                      <w:rFonts w:hint="eastAsia" w:ascii="Times New Roman" w:hAnsi="Times New Roman" w:cs="Times New Roman"/>
                      <w:color w:val="auto"/>
                      <w:szCs w:val="21"/>
                      <w:u w:val="none"/>
                    </w:rPr>
                    <w:t>）</w:t>
                  </w:r>
                </w:p>
              </w:tc>
              <w:tc>
                <w:tcPr>
                  <w:tcW w:w="3362" w:type="dxa"/>
                  <w:vMerge w:val="continue"/>
                  <w:tcBorders>
                    <w:tl2br w:val="nil"/>
                    <w:tr2bl w:val="nil"/>
                  </w:tcBorders>
                  <w:tcMar>
                    <w:left w:w="11" w:type="dxa"/>
                    <w:right w:w="11" w:type="dxa"/>
                  </w:tcMar>
                  <w:vAlign w:val="center"/>
                </w:tcPr>
                <w:p w14:paraId="5E9DEE54">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cs="Times New Roman"/>
                      <w:color w:val="auto"/>
                      <w:sz w:val="21"/>
                      <w:szCs w:val="21"/>
                      <w:u w:val="none"/>
                    </w:rPr>
                  </w:pPr>
                </w:p>
              </w:tc>
              <w:tc>
                <w:tcPr>
                  <w:tcW w:w="1093" w:type="dxa"/>
                  <w:vMerge w:val="continue"/>
                  <w:tcBorders>
                    <w:tl2br w:val="nil"/>
                    <w:tr2bl w:val="nil"/>
                  </w:tcBorders>
                  <w:vAlign w:val="center"/>
                </w:tcPr>
                <w:p w14:paraId="2717EED6">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cs="Times New Roman"/>
                      <w:color w:val="auto"/>
                      <w:sz w:val="21"/>
                      <w:szCs w:val="21"/>
                      <w:u w:val="none"/>
                    </w:rPr>
                  </w:pPr>
                </w:p>
              </w:tc>
            </w:tr>
            <w:tr w14:paraId="32FC4B2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616" w:hRule="atLeast"/>
                <w:jc w:val="center"/>
              </w:trPr>
              <w:tc>
                <w:tcPr>
                  <w:tcW w:w="957" w:type="dxa"/>
                  <w:vMerge w:val="restart"/>
                  <w:tcBorders>
                    <w:tl2br w:val="nil"/>
                    <w:tr2bl w:val="nil"/>
                  </w:tcBorders>
                  <w:vAlign w:val="center"/>
                </w:tcPr>
                <w:p w14:paraId="5C5B1DA1">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u w:val="none"/>
                      <w:lang w:eastAsia="zh-CN"/>
                    </w:rPr>
                  </w:pPr>
                  <w:r>
                    <w:rPr>
                      <w:rFonts w:hint="eastAsia" w:ascii="Times New Roman" w:hAnsi="Times New Roman" w:cs="Times New Roman"/>
                      <w:color w:val="auto"/>
                      <w:sz w:val="21"/>
                      <w:szCs w:val="21"/>
                      <w:u w:val="none"/>
                      <w:lang w:val="en-US" w:eastAsia="zh-CN"/>
                    </w:rPr>
                    <w:t>站区内</w:t>
                  </w:r>
                </w:p>
              </w:tc>
              <w:tc>
                <w:tcPr>
                  <w:tcW w:w="1918" w:type="dxa"/>
                  <w:tcBorders>
                    <w:tl2br w:val="nil"/>
                    <w:tr2bl w:val="nil"/>
                  </w:tcBorders>
                  <w:tcMar>
                    <w:left w:w="11" w:type="dxa"/>
                    <w:right w:w="11" w:type="dxa"/>
                  </w:tcMar>
                  <w:vAlign w:val="center"/>
                </w:tcPr>
                <w:p w14:paraId="6B1BF10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1#发电机组</w:t>
                  </w:r>
                </w:p>
              </w:tc>
              <w:tc>
                <w:tcPr>
                  <w:tcW w:w="1260" w:type="dxa"/>
                  <w:tcBorders>
                    <w:tl2br w:val="nil"/>
                    <w:tr2bl w:val="nil"/>
                  </w:tcBorders>
                  <w:vAlign w:val="center"/>
                </w:tcPr>
                <w:p w14:paraId="5BACE68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w:t>
                  </w:r>
                </w:p>
              </w:tc>
              <w:tc>
                <w:tcPr>
                  <w:tcW w:w="1067" w:type="dxa"/>
                  <w:tcBorders>
                    <w:tl2br w:val="nil"/>
                    <w:tr2bl w:val="nil"/>
                  </w:tcBorders>
                  <w:tcMar>
                    <w:left w:w="11" w:type="dxa"/>
                    <w:right w:w="11" w:type="dxa"/>
                  </w:tcMar>
                  <w:vAlign w:val="center"/>
                </w:tcPr>
                <w:p w14:paraId="2BEED9D4">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25</w:t>
                  </w:r>
                </w:p>
              </w:tc>
              <w:tc>
                <w:tcPr>
                  <w:tcW w:w="1102" w:type="dxa"/>
                  <w:tcBorders>
                    <w:tl2br w:val="nil"/>
                    <w:tr2bl w:val="nil"/>
                  </w:tcBorders>
                  <w:vAlign w:val="center"/>
                </w:tcPr>
                <w:p w14:paraId="0B5CEA4C">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20</w:t>
                  </w:r>
                </w:p>
              </w:tc>
              <w:tc>
                <w:tcPr>
                  <w:tcW w:w="1055" w:type="dxa"/>
                  <w:tcBorders>
                    <w:tl2br w:val="nil"/>
                    <w:tr2bl w:val="nil"/>
                  </w:tcBorders>
                  <w:vAlign w:val="center"/>
                </w:tcPr>
                <w:p w14:paraId="5F4B5DDF">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u w:val="none"/>
                      <w:lang w:eastAsia="zh-CN"/>
                    </w:rPr>
                  </w:pPr>
                  <w:r>
                    <w:rPr>
                      <w:rFonts w:hint="eastAsia" w:cs="Times New Roman"/>
                      <w:color w:val="auto"/>
                      <w:sz w:val="21"/>
                      <w:szCs w:val="21"/>
                      <w:u w:val="none"/>
                      <w:lang w:val="en-US" w:eastAsia="zh-CN"/>
                    </w:rPr>
                    <w:t>2</w:t>
                  </w:r>
                </w:p>
              </w:tc>
              <w:tc>
                <w:tcPr>
                  <w:tcW w:w="2003" w:type="dxa"/>
                  <w:tcBorders>
                    <w:tl2br w:val="nil"/>
                    <w:tr2bl w:val="nil"/>
                  </w:tcBorders>
                  <w:tcMar>
                    <w:left w:w="11" w:type="dxa"/>
                    <w:right w:w="11" w:type="dxa"/>
                  </w:tcMar>
                  <w:vAlign w:val="center"/>
                </w:tcPr>
                <w:p w14:paraId="5AC9914A">
                  <w:pPr>
                    <w:widowControl/>
                    <w:spacing w:line="240" w:lineRule="auto"/>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cs="Times New Roman"/>
                      <w:color w:val="auto"/>
                      <w:szCs w:val="21"/>
                      <w:highlight w:val="none"/>
                      <w:u w:val="none"/>
                      <w:lang w:val="en-US" w:eastAsia="zh-CN"/>
                    </w:rPr>
                    <w:t>8</w:t>
                  </w:r>
                  <w:r>
                    <w:rPr>
                      <w:rFonts w:ascii="Times New Roman" w:hAnsi="Times New Roman" w:cs="Times New Roman"/>
                      <w:color w:val="auto"/>
                      <w:szCs w:val="21"/>
                      <w:highlight w:val="none"/>
                      <w:u w:val="none"/>
                    </w:rPr>
                    <w:t>5</w:t>
                  </w:r>
                </w:p>
              </w:tc>
              <w:tc>
                <w:tcPr>
                  <w:tcW w:w="3362" w:type="dxa"/>
                  <w:tcBorders>
                    <w:tl2br w:val="nil"/>
                    <w:tr2bl w:val="nil"/>
                  </w:tcBorders>
                  <w:tcMar>
                    <w:left w:w="11" w:type="dxa"/>
                    <w:right w:w="11" w:type="dxa"/>
                  </w:tcMar>
                  <w:vAlign w:val="center"/>
                </w:tcPr>
                <w:p w14:paraId="52C637A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在发电机组燃料后出气口安装消声器，撬装式发电机组内壁设吸声材料</w:t>
                  </w:r>
                </w:p>
              </w:tc>
              <w:tc>
                <w:tcPr>
                  <w:tcW w:w="1093" w:type="dxa"/>
                  <w:tcBorders>
                    <w:tl2br w:val="nil"/>
                    <w:tr2bl w:val="nil"/>
                  </w:tcBorders>
                  <w:vAlign w:val="center"/>
                </w:tcPr>
                <w:p w14:paraId="6D9DBA5F">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u w:val="none"/>
                      <w:lang w:eastAsia="zh-CN"/>
                    </w:rPr>
                  </w:pPr>
                  <w:r>
                    <w:rPr>
                      <w:rFonts w:hint="eastAsia" w:ascii="Times New Roman" w:hAnsi="Times New Roman" w:cs="Times New Roman"/>
                      <w:color w:val="auto"/>
                      <w:sz w:val="21"/>
                      <w:szCs w:val="21"/>
                      <w:u w:val="none"/>
                      <w:lang w:val="en-US" w:eastAsia="zh-CN"/>
                    </w:rPr>
                    <w:t>全天</w:t>
                  </w:r>
                </w:p>
              </w:tc>
            </w:tr>
            <w:tr w14:paraId="0DDF4A24">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957" w:type="dxa"/>
                  <w:vMerge w:val="continue"/>
                  <w:tcBorders>
                    <w:tl2br w:val="nil"/>
                    <w:tr2bl w:val="nil"/>
                  </w:tcBorders>
                  <w:vAlign w:val="center"/>
                </w:tcPr>
                <w:p w14:paraId="76A3904C">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cs="Times New Roman"/>
                      <w:color w:val="auto"/>
                      <w:sz w:val="21"/>
                      <w:szCs w:val="21"/>
                      <w:u w:val="none"/>
                    </w:rPr>
                  </w:pPr>
                </w:p>
              </w:tc>
              <w:tc>
                <w:tcPr>
                  <w:tcW w:w="1918" w:type="dxa"/>
                  <w:tcBorders>
                    <w:tl2br w:val="nil"/>
                    <w:tr2bl w:val="nil"/>
                  </w:tcBorders>
                  <w:tcMar>
                    <w:left w:w="11" w:type="dxa"/>
                    <w:right w:w="11" w:type="dxa"/>
                  </w:tcMar>
                  <w:vAlign w:val="center"/>
                </w:tcPr>
                <w:p w14:paraId="30A3CF1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lang w:val="en-US" w:eastAsia="zh-CN"/>
                    </w:rPr>
                    <w:t>2#发电机组</w:t>
                  </w:r>
                </w:p>
              </w:tc>
              <w:tc>
                <w:tcPr>
                  <w:tcW w:w="1260" w:type="dxa"/>
                  <w:tcBorders>
                    <w:tl2br w:val="nil"/>
                    <w:tr2bl w:val="nil"/>
                  </w:tcBorders>
                  <w:vAlign w:val="center"/>
                </w:tcPr>
                <w:p w14:paraId="29612A9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w:t>
                  </w:r>
                </w:p>
              </w:tc>
              <w:tc>
                <w:tcPr>
                  <w:tcW w:w="1067" w:type="dxa"/>
                  <w:tcBorders>
                    <w:tl2br w:val="nil"/>
                    <w:tr2bl w:val="nil"/>
                  </w:tcBorders>
                  <w:tcMar>
                    <w:left w:w="11" w:type="dxa"/>
                    <w:right w:w="11" w:type="dxa"/>
                  </w:tcMar>
                  <w:vAlign w:val="center"/>
                </w:tcPr>
                <w:p w14:paraId="3A02EE50">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25</w:t>
                  </w:r>
                </w:p>
              </w:tc>
              <w:tc>
                <w:tcPr>
                  <w:tcW w:w="1102" w:type="dxa"/>
                  <w:tcBorders>
                    <w:tl2br w:val="nil"/>
                    <w:tr2bl w:val="nil"/>
                  </w:tcBorders>
                  <w:vAlign w:val="center"/>
                </w:tcPr>
                <w:p w14:paraId="2EFA35A4">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23</w:t>
                  </w:r>
                </w:p>
              </w:tc>
              <w:tc>
                <w:tcPr>
                  <w:tcW w:w="1055" w:type="dxa"/>
                  <w:tcBorders>
                    <w:tl2br w:val="nil"/>
                    <w:tr2bl w:val="nil"/>
                  </w:tcBorders>
                  <w:vAlign w:val="center"/>
                </w:tcPr>
                <w:p w14:paraId="015CEE47">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rPr>
                  </w:pPr>
                  <w:r>
                    <w:rPr>
                      <w:rFonts w:hint="eastAsia" w:cs="Times New Roman"/>
                      <w:color w:val="auto"/>
                      <w:sz w:val="21"/>
                      <w:szCs w:val="21"/>
                      <w:u w:val="none"/>
                      <w:lang w:val="en-US" w:eastAsia="zh-CN"/>
                    </w:rPr>
                    <w:t>2</w:t>
                  </w:r>
                </w:p>
              </w:tc>
              <w:tc>
                <w:tcPr>
                  <w:tcW w:w="2003" w:type="dxa"/>
                  <w:tcBorders>
                    <w:tl2br w:val="nil"/>
                    <w:tr2bl w:val="nil"/>
                  </w:tcBorders>
                  <w:tcMar>
                    <w:left w:w="11" w:type="dxa"/>
                    <w:right w:w="11" w:type="dxa"/>
                  </w:tcMar>
                  <w:vAlign w:val="center"/>
                </w:tcPr>
                <w:p w14:paraId="45392DAE">
                  <w:pPr>
                    <w:widowControl/>
                    <w:spacing w:line="240" w:lineRule="auto"/>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cs="Times New Roman"/>
                      <w:color w:val="auto"/>
                      <w:szCs w:val="21"/>
                      <w:highlight w:val="none"/>
                      <w:u w:val="none"/>
                      <w:lang w:val="en-US" w:eastAsia="zh-CN"/>
                    </w:rPr>
                    <w:t>8</w:t>
                  </w:r>
                  <w:r>
                    <w:rPr>
                      <w:rFonts w:ascii="Times New Roman" w:hAnsi="Times New Roman" w:cs="Times New Roman"/>
                      <w:color w:val="auto"/>
                      <w:szCs w:val="21"/>
                      <w:highlight w:val="none"/>
                      <w:u w:val="none"/>
                    </w:rPr>
                    <w:t>5</w:t>
                  </w:r>
                </w:p>
              </w:tc>
              <w:tc>
                <w:tcPr>
                  <w:tcW w:w="3362" w:type="dxa"/>
                  <w:tcBorders>
                    <w:tl2br w:val="nil"/>
                    <w:tr2bl w:val="nil"/>
                  </w:tcBorders>
                  <w:tcMar>
                    <w:left w:w="11" w:type="dxa"/>
                    <w:right w:w="11" w:type="dxa"/>
                  </w:tcMar>
                  <w:vAlign w:val="center"/>
                </w:tcPr>
                <w:p w14:paraId="77A4467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在发电机组燃料后出气口安装消声器，撬装式发电机组内壁设吸声材料</w:t>
                  </w:r>
                </w:p>
              </w:tc>
              <w:tc>
                <w:tcPr>
                  <w:tcW w:w="1093" w:type="dxa"/>
                  <w:tcBorders>
                    <w:tl2br w:val="nil"/>
                    <w:tr2bl w:val="nil"/>
                  </w:tcBorders>
                  <w:vAlign w:val="center"/>
                </w:tcPr>
                <w:p w14:paraId="2AEF4D79">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cs="Times New Roman"/>
                      <w:color w:val="auto"/>
                      <w:sz w:val="21"/>
                      <w:szCs w:val="21"/>
                      <w:u w:val="none"/>
                    </w:rPr>
                  </w:pPr>
                  <w:r>
                    <w:rPr>
                      <w:rFonts w:hint="eastAsia" w:ascii="Times New Roman" w:hAnsi="Times New Roman" w:cs="Times New Roman"/>
                      <w:color w:val="auto"/>
                      <w:sz w:val="21"/>
                      <w:szCs w:val="21"/>
                      <w:u w:val="none"/>
                      <w:lang w:val="en-US" w:eastAsia="zh-CN"/>
                    </w:rPr>
                    <w:t>全天</w:t>
                  </w:r>
                </w:p>
              </w:tc>
            </w:tr>
            <w:tr w14:paraId="5E4CD26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957" w:type="dxa"/>
                  <w:vMerge w:val="continue"/>
                  <w:tcBorders>
                    <w:tl2br w:val="nil"/>
                    <w:tr2bl w:val="nil"/>
                  </w:tcBorders>
                  <w:vAlign w:val="center"/>
                </w:tcPr>
                <w:p w14:paraId="6F09EB9D">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cs="Times New Roman"/>
                      <w:color w:val="auto"/>
                      <w:sz w:val="21"/>
                      <w:szCs w:val="21"/>
                      <w:u w:val="none"/>
                    </w:rPr>
                  </w:pPr>
                </w:p>
              </w:tc>
              <w:tc>
                <w:tcPr>
                  <w:tcW w:w="1918" w:type="dxa"/>
                  <w:tcBorders>
                    <w:tl2br w:val="nil"/>
                    <w:tr2bl w:val="nil"/>
                  </w:tcBorders>
                  <w:tcMar>
                    <w:left w:w="11" w:type="dxa"/>
                    <w:right w:w="11" w:type="dxa"/>
                  </w:tcMar>
                  <w:vAlign w:val="center"/>
                </w:tcPr>
                <w:p w14:paraId="30D51D7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3#发电机组</w:t>
                  </w:r>
                </w:p>
              </w:tc>
              <w:tc>
                <w:tcPr>
                  <w:tcW w:w="1260" w:type="dxa"/>
                  <w:tcBorders>
                    <w:tl2br w:val="nil"/>
                    <w:tr2bl w:val="nil"/>
                  </w:tcBorders>
                  <w:vAlign w:val="center"/>
                </w:tcPr>
                <w:p w14:paraId="1E08B6A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w:t>
                  </w:r>
                </w:p>
              </w:tc>
              <w:tc>
                <w:tcPr>
                  <w:tcW w:w="1067" w:type="dxa"/>
                  <w:tcBorders>
                    <w:tl2br w:val="nil"/>
                    <w:tr2bl w:val="nil"/>
                  </w:tcBorders>
                  <w:tcMar>
                    <w:left w:w="11" w:type="dxa"/>
                    <w:right w:w="11" w:type="dxa"/>
                  </w:tcMar>
                  <w:vAlign w:val="center"/>
                </w:tcPr>
                <w:p w14:paraId="491D3402">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cs="Times New Roman"/>
                      <w:color w:val="auto"/>
                      <w:sz w:val="21"/>
                      <w:szCs w:val="21"/>
                      <w:u w:val="none"/>
                      <w:lang w:val="en-US" w:eastAsia="zh-CN"/>
                    </w:rPr>
                  </w:pPr>
                  <w:r>
                    <w:rPr>
                      <w:rFonts w:hint="eastAsia" w:cs="Times New Roman"/>
                      <w:color w:val="auto"/>
                      <w:sz w:val="21"/>
                      <w:szCs w:val="21"/>
                      <w:u w:val="none"/>
                      <w:lang w:val="en-US" w:eastAsia="zh-CN"/>
                    </w:rPr>
                    <w:t>25</w:t>
                  </w:r>
                </w:p>
              </w:tc>
              <w:tc>
                <w:tcPr>
                  <w:tcW w:w="1102" w:type="dxa"/>
                  <w:tcBorders>
                    <w:tl2br w:val="nil"/>
                    <w:tr2bl w:val="nil"/>
                  </w:tcBorders>
                  <w:vAlign w:val="center"/>
                </w:tcPr>
                <w:p w14:paraId="6A8C73B2">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cs="Times New Roman"/>
                      <w:color w:val="auto"/>
                      <w:sz w:val="21"/>
                      <w:szCs w:val="21"/>
                      <w:u w:val="none"/>
                      <w:lang w:val="en-US" w:eastAsia="zh-CN"/>
                    </w:rPr>
                  </w:pPr>
                  <w:r>
                    <w:rPr>
                      <w:rFonts w:hint="eastAsia" w:cs="Times New Roman"/>
                      <w:color w:val="auto"/>
                      <w:sz w:val="21"/>
                      <w:szCs w:val="21"/>
                      <w:u w:val="none"/>
                      <w:lang w:val="en-US" w:eastAsia="zh-CN"/>
                    </w:rPr>
                    <w:t>25</w:t>
                  </w:r>
                </w:p>
              </w:tc>
              <w:tc>
                <w:tcPr>
                  <w:tcW w:w="1055" w:type="dxa"/>
                  <w:tcBorders>
                    <w:tl2br w:val="nil"/>
                    <w:tr2bl w:val="nil"/>
                  </w:tcBorders>
                  <w:vAlign w:val="center"/>
                </w:tcPr>
                <w:p w14:paraId="0B1D48C6">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cs="Times New Roman"/>
                      <w:color w:val="auto"/>
                      <w:sz w:val="21"/>
                      <w:szCs w:val="21"/>
                      <w:u w:val="none"/>
                      <w:lang w:val="en-US" w:eastAsia="zh-CN"/>
                    </w:rPr>
                  </w:pPr>
                  <w:r>
                    <w:rPr>
                      <w:rFonts w:hint="eastAsia" w:cs="Times New Roman"/>
                      <w:color w:val="auto"/>
                      <w:sz w:val="21"/>
                      <w:szCs w:val="21"/>
                      <w:u w:val="none"/>
                      <w:lang w:val="en-US" w:eastAsia="zh-CN"/>
                    </w:rPr>
                    <w:t>2</w:t>
                  </w:r>
                </w:p>
              </w:tc>
              <w:tc>
                <w:tcPr>
                  <w:tcW w:w="2003" w:type="dxa"/>
                  <w:tcBorders>
                    <w:tl2br w:val="nil"/>
                    <w:tr2bl w:val="nil"/>
                  </w:tcBorders>
                  <w:tcMar>
                    <w:left w:w="11" w:type="dxa"/>
                    <w:right w:w="11" w:type="dxa"/>
                  </w:tcMar>
                  <w:vAlign w:val="center"/>
                </w:tcPr>
                <w:p w14:paraId="5F0B7564">
                  <w:pPr>
                    <w:widowControl/>
                    <w:spacing w:line="240" w:lineRule="auto"/>
                    <w:jc w:val="center"/>
                    <w:rPr>
                      <w:rFonts w:hint="eastAsia" w:ascii="Times New Roman" w:hAnsi="Times New Roman" w:cs="Times New Roman"/>
                      <w:color w:val="auto"/>
                      <w:szCs w:val="21"/>
                      <w:highlight w:val="none"/>
                      <w:u w:val="none"/>
                      <w:lang w:val="en-US" w:eastAsia="zh-CN"/>
                    </w:rPr>
                  </w:pPr>
                  <w:r>
                    <w:rPr>
                      <w:rFonts w:hint="eastAsia" w:ascii="Times New Roman" w:hAnsi="Times New Roman" w:cs="Times New Roman"/>
                      <w:color w:val="auto"/>
                      <w:szCs w:val="21"/>
                      <w:highlight w:val="none"/>
                      <w:u w:val="none"/>
                      <w:lang w:val="en-US" w:eastAsia="zh-CN"/>
                    </w:rPr>
                    <w:t>8</w:t>
                  </w:r>
                  <w:r>
                    <w:rPr>
                      <w:rFonts w:ascii="Times New Roman" w:hAnsi="Times New Roman" w:cs="Times New Roman"/>
                      <w:color w:val="auto"/>
                      <w:szCs w:val="21"/>
                      <w:highlight w:val="none"/>
                      <w:u w:val="none"/>
                    </w:rPr>
                    <w:t>5</w:t>
                  </w:r>
                </w:p>
              </w:tc>
              <w:tc>
                <w:tcPr>
                  <w:tcW w:w="3362" w:type="dxa"/>
                  <w:tcBorders>
                    <w:tl2br w:val="nil"/>
                    <w:tr2bl w:val="nil"/>
                  </w:tcBorders>
                  <w:tcMar>
                    <w:left w:w="11" w:type="dxa"/>
                    <w:right w:w="11" w:type="dxa"/>
                  </w:tcMar>
                  <w:vAlign w:val="center"/>
                </w:tcPr>
                <w:p w14:paraId="131E7AC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在发电机组燃料后出气口安装消声器，撬装式发电机组内壁设吸声材料</w:t>
                  </w:r>
                </w:p>
              </w:tc>
              <w:tc>
                <w:tcPr>
                  <w:tcW w:w="1093" w:type="dxa"/>
                  <w:tcBorders>
                    <w:tl2br w:val="nil"/>
                    <w:tr2bl w:val="nil"/>
                  </w:tcBorders>
                  <w:vAlign w:val="center"/>
                </w:tcPr>
                <w:p w14:paraId="2695F706">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全天</w:t>
                  </w:r>
                </w:p>
              </w:tc>
            </w:tr>
            <w:tr w14:paraId="690B172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957" w:type="dxa"/>
                  <w:vMerge w:val="continue"/>
                  <w:tcBorders>
                    <w:tl2br w:val="nil"/>
                    <w:tr2bl w:val="nil"/>
                  </w:tcBorders>
                  <w:vAlign w:val="center"/>
                </w:tcPr>
                <w:p w14:paraId="56C3BEEF">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cs="Times New Roman"/>
                      <w:color w:val="auto"/>
                      <w:sz w:val="21"/>
                      <w:szCs w:val="21"/>
                      <w:u w:val="none"/>
                    </w:rPr>
                  </w:pPr>
                </w:p>
              </w:tc>
              <w:tc>
                <w:tcPr>
                  <w:tcW w:w="1918" w:type="dxa"/>
                  <w:tcBorders>
                    <w:tl2br w:val="nil"/>
                    <w:tr2bl w:val="nil"/>
                  </w:tcBorders>
                  <w:tcMar>
                    <w:left w:w="11" w:type="dxa"/>
                    <w:right w:w="11" w:type="dxa"/>
                  </w:tcMar>
                  <w:vAlign w:val="center"/>
                </w:tcPr>
                <w:p w14:paraId="5AE3329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4#发电机组</w:t>
                  </w:r>
                </w:p>
              </w:tc>
              <w:tc>
                <w:tcPr>
                  <w:tcW w:w="1260" w:type="dxa"/>
                  <w:tcBorders>
                    <w:tl2br w:val="nil"/>
                    <w:tr2bl w:val="nil"/>
                  </w:tcBorders>
                  <w:vAlign w:val="center"/>
                </w:tcPr>
                <w:p w14:paraId="6A2A48A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w:t>
                  </w:r>
                </w:p>
              </w:tc>
              <w:tc>
                <w:tcPr>
                  <w:tcW w:w="1067" w:type="dxa"/>
                  <w:tcBorders>
                    <w:tl2br w:val="nil"/>
                    <w:tr2bl w:val="nil"/>
                  </w:tcBorders>
                  <w:tcMar>
                    <w:left w:w="11" w:type="dxa"/>
                    <w:right w:w="11" w:type="dxa"/>
                  </w:tcMar>
                  <w:vAlign w:val="center"/>
                </w:tcPr>
                <w:p w14:paraId="132627AB">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cs="Times New Roman"/>
                      <w:color w:val="auto"/>
                      <w:sz w:val="21"/>
                      <w:szCs w:val="21"/>
                      <w:u w:val="none"/>
                      <w:lang w:val="en-US" w:eastAsia="zh-CN"/>
                    </w:rPr>
                  </w:pPr>
                  <w:r>
                    <w:rPr>
                      <w:rFonts w:hint="eastAsia" w:cs="Times New Roman"/>
                      <w:color w:val="auto"/>
                      <w:sz w:val="21"/>
                      <w:szCs w:val="21"/>
                      <w:u w:val="none"/>
                      <w:lang w:val="en-US" w:eastAsia="zh-CN"/>
                    </w:rPr>
                    <w:t>25</w:t>
                  </w:r>
                </w:p>
              </w:tc>
              <w:tc>
                <w:tcPr>
                  <w:tcW w:w="1102" w:type="dxa"/>
                  <w:tcBorders>
                    <w:tl2br w:val="nil"/>
                    <w:tr2bl w:val="nil"/>
                  </w:tcBorders>
                  <w:vAlign w:val="center"/>
                </w:tcPr>
                <w:p w14:paraId="74D9119A">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cs="Times New Roman"/>
                      <w:color w:val="auto"/>
                      <w:sz w:val="21"/>
                      <w:szCs w:val="21"/>
                      <w:u w:val="none"/>
                      <w:lang w:val="en-US" w:eastAsia="zh-CN"/>
                    </w:rPr>
                  </w:pPr>
                  <w:r>
                    <w:rPr>
                      <w:rFonts w:hint="eastAsia" w:cs="Times New Roman"/>
                      <w:color w:val="auto"/>
                      <w:sz w:val="21"/>
                      <w:szCs w:val="21"/>
                      <w:u w:val="none"/>
                      <w:lang w:val="en-US" w:eastAsia="zh-CN"/>
                    </w:rPr>
                    <w:t>28</w:t>
                  </w:r>
                </w:p>
              </w:tc>
              <w:tc>
                <w:tcPr>
                  <w:tcW w:w="1055" w:type="dxa"/>
                  <w:tcBorders>
                    <w:tl2br w:val="nil"/>
                    <w:tr2bl w:val="nil"/>
                  </w:tcBorders>
                  <w:vAlign w:val="center"/>
                </w:tcPr>
                <w:p w14:paraId="1AFA2D5A">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cs="Times New Roman"/>
                      <w:color w:val="auto"/>
                      <w:sz w:val="21"/>
                      <w:szCs w:val="21"/>
                      <w:u w:val="none"/>
                      <w:lang w:val="en-US" w:eastAsia="zh-CN"/>
                    </w:rPr>
                  </w:pPr>
                  <w:r>
                    <w:rPr>
                      <w:rFonts w:hint="eastAsia" w:cs="Times New Roman"/>
                      <w:color w:val="auto"/>
                      <w:sz w:val="21"/>
                      <w:szCs w:val="21"/>
                      <w:u w:val="none"/>
                      <w:lang w:val="en-US" w:eastAsia="zh-CN"/>
                    </w:rPr>
                    <w:t>2</w:t>
                  </w:r>
                </w:p>
              </w:tc>
              <w:tc>
                <w:tcPr>
                  <w:tcW w:w="2003" w:type="dxa"/>
                  <w:tcBorders>
                    <w:tl2br w:val="nil"/>
                    <w:tr2bl w:val="nil"/>
                  </w:tcBorders>
                  <w:tcMar>
                    <w:left w:w="11" w:type="dxa"/>
                    <w:right w:w="11" w:type="dxa"/>
                  </w:tcMar>
                  <w:vAlign w:val="center"/>
                </w:tcPr>
                <w:p w14:paraId="0902EB59">
                  <w:pPr>
                    <w:widowControl/>
                    <w:spacing w:line="240" w:lineRule="auto"/>
                    <w:jc w:val="center"/>
                    <w:rPr>
                      <w:rFonts w:hint="eastAsia" w:ascii="Times New Roman" w:hAnsi="Times New Roman" w:cs="Times New Roman"/>
                      <w:color w:val="auto"/>
                      <w:szCs w:val="21"/>
                      <w:highlight w:val="none"/>
                      <w:u w:val="none"/>
                      <w:lang w:val="en-US" w:eastAsia="zh-CN"/>
                    </w:rPr>
                  </w:pPr>
                  <w:r>
                    <w:rPr>
                      <w:rFonts w:hint="eastAsia" w:ascii="Times New Roman" w:hAnsi="Times New Roman" w:cs="Times New Roman"/>
                      <w:color w:val="auto"/>
                      <w:szCs w:val="21"/>
                      <w:highlight w:val="none"/>
                      <w:u w:val="none"/>
                      <w:lang w:val="en-US" w:eastAsia="zh-CN"/>
                    </w:rPr>
                    <w:t>8</w:t>
                  </w:r>
                  <w:r>
                    <w:rPr>
                      <w:rFonts w:ascii="Times New Roman" w:hAnsi="Times New Roman" w:cs="Times New Roman"/>
                      <w:color w:val="auto"/>
                      <w:szCs w:val="21"/>
                      <w:highlight w:val="none"/>
                      <w:u w:val="none"/>
                    </w:rPr>
                    <w:t>5</w:t>
                  </w:r>
                </w:p>
              </w:tc>
              <w:tc>
                <w:tcPr>
                  <w:tcW w:w="3362" w:type="dxa"/>
                  <w:tcBorders>
                    <w:tl2br w:val="nil"/>
                    <w:tr2bl w:val="nil"/>
                  </w:tcBorders>
                  <w:tcMar>
                    <w:left w:w="11" w:type="dxa"/>
                    <w:right w:w="11" w:type="dxa"/>
                  </w:tcMar>
                  <w:vAlign w:val="center"/>
                </w:tcPr>
                <w:p w14:paraId="6213C5B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在发电机组燃料后出气口安装消声器，撬装式发电机组内壁设吸声材料</w:t>
                  </w:r>
                </w:p>
              </w:tc>
              <w:tc>
                <w:tcPr>
                  <w:tcW w:w="1093" w:type="dxa"/>
                  <w:tcBorders>
                    <w:tl2br w:val="nil"/>
                    <w:tr2bl w:val="nil"/>
                  </w:tcBorders>
                  <w:vAlign w:val="center"/>
                </w:tcPr>
                <w:p w14:paraId="5A4FF4D4">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全天</w:t>
                  </w:r>
                </w:p>
              </w:tc>
            </w:tr>
            <w:tr w14:paraId="178DC5F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957" w:type="dxa"/>
                  <w:vMerge w:val="continue"/>
                  <w:tcBorders>
                    <w:tl2br w:val="nil"/>
                    <w:tr2bl w:val="nil"/>
                  </w:tcBorders>
                  <w:vAlign w:val="center"/>
                </w:tcPr>
                <w:p w14:paraId="1B2BE212">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cs="Times New Roman"/>
                      <w:color w:val="auto"/>
                      <w:sz w:val="21"/>
                      <w:szCs w:val="21"/>
                      <w:u w:val="none"/>
                    </w:rPr>
                  </w:pPr>
                </w:p>
              </w:tc>
              <w:tc>
                <w:tcPr>
                  <w:tcW w:w="1918" w:type="dxa"/>
                  <w:tcBorders>
                    <w:tl2br w:val="nil"/>
                    <w:tr2bl w:val="nil"/>
                  </w:tcBorders>
                  <w:tcMar>
                    <w:left w:w="11" w:type="dxa"/>
                    <w:right w:w="11" w:type="dxa"/>
                  </w:tcMar>
                  <w:vAlign w:val="center"/>
                </w:tcPr>
                <w:p w14:paraId="15D2469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1#</w:t>
                  </w:r>
                  <w:r>
                    <w:rPr>
                      <w:rFonts w:hint="eastAsia" w:cs="Times New Roman"/>
                      <w:color w:val="auto"/>
                      <w:sz w:val="21"/>
                      <w:szCs w:val="21"/>
                      <w:u w:val="none"/>
                      <w:lang w:val="en-US" w:eastAsia="zh-CN"/>
                    </w:rPr>
                    <w:t>风冷冷水</w:t>
                  </w:r>
                  <w:r>
                    <w:rPr>
                      <w:rFonts w:hint="eastAsia" w:ascii="Times New Roman" w:hAnsi="Times New Roman" w:cs="Times New Roman"/>
                      <w:color w:val="auto"/>
                      <w:sz w:val="21"/>
                      <w:szCs w:val="21"/>
                      <w:u w:val="none"/>
                      <w:lang w:val="en-US" w:eastAsia="zh-CN"/>
                    </w:rPr>
                    <w:t>机组</w:t>
                  </w:r>
                </w:p>
              </w:tc>
              <w:tc>
                <w:tcPr>
                  <w:tcW w:w="1260" w:type="dxa"/>
                  <w:tcBorders>
                    <w:tl2br w:val="nil"/>
                    <w:tr2bl w:val="nil"/>
                  </w:tcBorders>
                  <w:vAlign w:val="center"/>
                </w:tcPr>
                <w:p w14:paraId="384D6C9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w:t>
                  </w:r>
                </w:p>
              </w:tc>
              <w:tc>
                <w:tcPr>
                  <w:tcW w:w="1067" w:type="dxa"/>
                  <w:tcBorders>
                    <w:tl2br w:val="nil"/>
                    <w:tr2bl w:val="nil"/>
                  </w:tcBorders>
                  <w:tcMar>
                    <w:left w:w="11" w:type="dxa"/>
                    <w:right w:w="11" w:type="dxa"/>
                  </w:tcMar>
                  <w:vAlign w:val="center"/>
                </w:tcPr>
                <w:p w14:paraId="5EC0D892">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cs="Times New Roman"/>
                      <w:color w:val="auto"/>
                      <w:sz w:val="21"/>
                      <w:szCs w:val="21"/>
                      <w:u w:val="none"/>
                      <w:lang w:val="en-US" w:eastAsia="zh-CN"/>
                    </w:rPr>
                  </w:pPr>
                  <w:r>
                    <w:rPr>
                      <w:rFonts w:hint="eastAsia" w:cs="Times New Roman"/>
                      <w:color w:val="auto"/>
                      <w:sz w:val="21"/>
                      <w:szCs w:val="21"/>
                      <w:u w:val="none"/>
                      <w:lang w:val="en-US" w:eastAsia="zh-CN"/>
                    </w:rPr>
                    <w:t>25</w:t>
                  </w:r>
                </w:p>
              </w:tc>
              <w:tc>
                <w:tcPr>
                  <w:tcW w:w="1102" w:type="dxa"/>
                  <w:tcBorders>
                    <w:tl2br w:val="nil"/>
                    <w:tr2bl w:val="nil"/>
                  </w:tcBorders>
                  <w:vAlign w:val="center"/>
                </w:tcPr>
                <w:p w14:paraId="596D7787">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cs="Times New Roman"/>
                      <w:color w:val="auto"/>
                      <w:sz w:val="21"/>
                      <w:szCs w:val="21"/>
                      <w:u w:val="none"/>
                      <w:lang w:val="en-US" w:eastAsia="zh-CN"/>
                    </w:rPr>
                  </w:pPr>
                  <w:r>
                    <w:rPr>
                      <w:rFonts w:hint="eastAsia" w:cs="Times New Roman"/>
                      <w:color w:val="auto"/>
                      <w:sz w:val="21"/>
                      <w:szCs w:val="21"/>
                      <w:u w:val="none"/>
                      <w:lang w:val="en-US" w:eastAsia="zh-CN"/>
                    </w:rPr>
                    <w:t>20</w:t>
                  </w:r>
                </w:p>
              </w:tc>
              <w:tc>
                <w:tcPr>
                  <w:tcW w:w="1055" w:type="dxa"/>
                  <w:tcBorders>
                    <w:tl2br w:val="nil"/>
                    <w:tr2bl w:val="nil"/>
                  </w:tcBorders>
                  <w:vAlign w:val="center"/>
                </w:tcPr>
                <w:p w14:paraId="29F91F8B">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cs="Times New Roman"/>
                      <w:color w:val="auto"/>
                      <w:sz w:val="21"/>
                      <w:szCs w:val="21"/>
                      <w:u w:val="none"/>
                      <w:lang w:val="en-US" w:eastAsia="zh-CN"/>
                    </w:rPr>
                  </w:pPr>
                  <w:r>
                    <w:rPr>
                      <w:rFonts w:hint="eastAsia" w:cs="Times New Roman"/>
                      <w:color w:val="auto"/>
                      <w:sz w:val="21"/>
                      <w:szCs w:val="21"/>
                      <w:u w:val="none"/>
                      <w:lang w:val="en-US" w:eastAsia="zh-CN"/>
                    </w:rPr>
                    <w:t>4</w:t>
                  </w:r>
                </w:p>
              </w:tc>
              <w:tc>
                <w:tcPr>
                  <w:tcW w:w="2003" w:type="dxa"/>
                  <w:tcBorders>
                    <w:tl2br w:val="nil"/>
                    <w:tr2bl w:val="nil"/>
                  </w:tcBorders>
                  <w:tcMar>
                    <w:left w:w="11" w:type="dxa"/>
                    <w:right w:w="11" w:type="dxa"/>
                  </w:tcMar>
                  <w:vAlign w:val="center"/>
                </w:tcPr>
                <w:p w14:paraId="0DBDED84">
                  <w:pPr>
                    <w:widowControl/>
                    <w:spacing w:line="240" w:lineRule="auto"/>
                    <w:jc w:val="center"/>
                    <w:rPr>
                      <w:rFonts w:hint="eastAsia" w:ascii="Times New Roman" w:hAnsi="Times New Roman" w:cs="Times New Roman"/>
                      <w:color w:val="auto"/>
                      <w:szCs w:val="21"/>
                      <w:highlight w:val="none"/>
                      <w:u w:val="none"/>
                      <w:lang w:val="en-US" w:eastAsia="zh-CN"/>
                    </w:rPr>
                  </w:pPr>
                  <w:r>
                    <w:rPr>
                      <w:rFonts w:hint="eastAsia" w:ascii="Times New Roman" w:hAnsi="Times New Roman" w:cs="Times New Roman"/>
                      <w:color w:val="auto"/>
                      <w:szCs w:val="21"/>
                      <w:highlight w:val="none"/>
                      <w:u w:val="none"/>
                      <w:lang w:val="en-US" w:eastAsia="zh-CN"/>
                    </w:rPr>
                    <w:t>8</w:t>
                  </w:r>
                  <w:r>
                    <w:rPr>
                      <w:rFonts w:ascii="Times New Roman" w:hAnsi="Times New Roman" w:cs="Times New Roman"/>
                      <w:color w:val="auto"/>
                      <w:szCs w:val="21"/>
                      <w:highlight w:val="none"/>
                      <w:u w:val="none"/>
                    </w:rPr>
                    <w:t>5</w:t>
                  </w:r>
                </w:p>
              </w:tc>
              <w:tc>
                <w:tcPr>
                  <w:tcW w:w="3362" w:type="dxa"/>
                  <w:tcBorders>
                    <w:tl2br w:val="nil"/>
                    <w:tr2bl w:val="nil"/>
                  </w:tcBorders>
                  <w:tcMar>
                    <w:left w:w="11" w:type="dxa"/>
                    <w:right w:w="11" w:type="dxa"/>
                  </w:tcMar>
                  <w:vAlign w:val="center"/>
                </w:tcPr>
                <w:p w14:paraId="3B7AFA4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通过基础减震、距离衰减方式减弱</w:t>
                  </w:r>
                </w:p>
              </w:tc>
              <w:tc>
                <w:tcPr>
                  <w:tcW w:w="1093" w:type="dxa"/>
                  <w:tcBorders>
                    <w:tl2br w:val="nil"/>
                    <w:tr2bl w:val="nil"/>
                  </w:tcBorders>
                  <w:vAlign w:val="center"/>
                </w:tcPr>
                <w:p w14:paraId="1E04E5B1">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全天</w:t>
                  </w:r>
                </w:p>
              </w:tc>
            </w:tr>
            <w:tr w14:paraId="08CFB60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957" w:type="dxa"/>
                  <w:vMerge w:val="continue"/>
                  <w:tcBorders>
                    <w:tl2br w:val="nil"/>
                    <w:tr2bl w:val="nil"/>
                  </w:tcBorders>
                  <w:vAlign w:val="center"/>
                </w:tcPr>
                <w:p w14:paraId="7443326B">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cs="Times New Roman"/>
                      <w:color w:val="auto"/>
                      <w:sz w:val="21"/>
                      <w:szCs w:val="21"/>
                      <w:u w:val="none"/>
                    </w:rPr>
                  </w:pPr>
                </w:p>
              </w:tc>
              <w:tc>
                <w:tcPr>
                  <w:tcW w:w="1918" w:type="dxa"/>
                  <w:tcBorders>
                    <w:tl2br w:val="nil"/>
                    <w:tr2bl w:val="nil"/>
                  </w:tcBorders>
                  <w:tcMar>
                    <w:left w:w="11" w:type="dxa"/>
                    <w:right w:w="11" w:type="dxa"/>
                  </w:tcMar>
                  <w:vAlign w:val="center"/>
                </w:tcPr>
                <w:p w14:paraId="379CA86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2</w:t>
                  </w:r>
                  <w:r>
                    <w:rPr>
                      <w:rFonts w:hint="eastAsia" w:ascii="Times New Roman" w:hAnsi="Times New Roman" w:cs="Times New Roman"/>
                      <w:color w:val="auto"/>
                      <w:sz w:val="21"/>
                      <w:szCs w:val="21"/>
                      <w:u w:val="none"/>
                      <w:lang w:val="en-US" w:eastAsia="zh-CN"/>
                    </w:rPr>
                    <w:t>#</w:t>
                  </w:r>
                  <w:r>
                    <w:rPr>
                      <w:rFonts w:hint="eastAsia" w:cs="Times New Roman"/>
                      <w:color w:val="auto"/>
                      <w:sz w:val="21"/>
                      <w:szCs w:val="21"/>
                      <w:u w:val="none"/>
                      <w:lang w:val="en-US" w:eastAsia="zh-CN"/>
                    </w:rPr>
                    <w:t>风冷冷水</w:t>
                  </w:r>
                  <w:r>
                    <w:rPr>
                      <w:rFonts w:hint="eastAsia" w:ascii="Times New Roman" w:hAnsi="Times New Roman" w:cs="Times New Roman"/>
                      <w:color w:val="auto"/>
                      <w:sz w:val="21"/>
                      <w:szCs w:val="21"/>
                      <w:u w:val="none"/>
                      <w:lang w:val="en-US" w:eastAsia="zh-CN"/>
                    </w:rPr>
                    <w:t>机组</w:t>
                  </w:r>
                </w:p>
              </w:tc>
              <w:tc>
                <w:tcPr>
                  <w:tcW w:w="1260" w:type="dxa"/>
                  <w:tcBorders>
                    <w:tl2br w:val="nil"/>
                    <w:tr2bl w:val="nil"/>
                  </w:tcBorders>
                  <w:vAlign w:val="center"/>
                </w:tcPr>
                <w:p w14:paraId="365A276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w:t>
                  </w:r>
                </w:p>
              </w:tc>
              <w:tc>
                <w:tcPr>
                  <w:tcW w:w="1067" w:type="dxa"/>
                  <w:tcBorders>
                    <w:tl2br w:val="nil"/>
                    <w:tr2bl w:val="nil"/>
                  </w:tcBorders>
                  <w:tcMar>
                    <w:left w:w="11" w:type="dxa"/>
                    <w:right w:w="11" w:type="dxa"/>
                  </w:tcMar>
                  <w:vAlign w:val="center"/>
                </w:tcPr>
                <w:p w14:paraId="35E13600">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cs="Times New Roman"/>
                      <w:color w:val="auto"/>
                      <w:sz w:val="21"/>
                      <w:szCs w:val="21"/>
                      <w:u w:val="none"/>
                      <w:lang w:val="en-US" w:eastAsia="zh-CN"/>
                    </w:rPr>
                  </w:pPr>
                  <w:r>
                    <w:rPr>
                      <w:rFonts w:hint="eastAsia" w:cs="Times New Roman"/>
                      <w:color w:val="auto"/>
                      <w:sz w:val="21"/>
                      <w:szCs w:val="21"/>
                      <w:u w:val="none"/>
                      <w:lang w:val="en-US" w:eastAsia="zh-CN"/>
                    </w:rPr>
                    <w:t>25</w:t>
                  </w:r>
                </w:p>
              </w:tc>
              <w:tc>
                <w:tcPr>
                  <w:tcW w:w="1102" w:type="dxa"/>
                  <w:tcBorders>
                    <w:tl2br w:val="nil"/>
                    <w:tr2bl w:val="nil"/>
                  </w:tcBorders>
                  <w:vAlign w:val="center"/>
                </w:tcPr>
                <w:p w14:paraId="653D4191">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cs="Times New Roman"/>
                      <w:color w:val="auto"/>
                      <w:sz w:val="21"/>
                      <w:szCs w:val="21"/>
                      <w:u w:val="none"/>
                      <w:lang w:val="en-US" w:eastAsia="zh-CN"/>
                    </w:rPr>
                  </w:pPr>
                  <w:r>
                    <w:rPr>
                      <w:rFonts w:hint="eastAsia" w:cs="Times New Roman"/>
                      <w:color w:val="auto"/>
                      <w:sz w:val="21"/>
                      <w:szCs w:val="21"/>
                      <w:u w:val="none"/>
                      <w:lang w:val="en-US" w:eastAsia="zh-CN"/>
                    </w:rPr>
                    <w:t>23</w:t>
                  </w:r>
                </w:p>
              </w:tc>
              <w:tc>
                <w:tcPr>
                  <w:tcW w:w="1055" w:type="dxa"/>
                  <w:tcBorders>
                    <w:tl2br w:val="nil"/>
                    <w:tr2bl w:val="nil"/>
                  </w:tcBorders>
                  <w:vAlign w:val="center"/>
                </w:tcPr>
                <w:p w14:paraId="7423F4A8">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cs="Times New Roman"/>
                      <w:color w:val="auto"/>
                      <w:sz w:val="21"/>
                      <w:szCs w:val="21"/>
                      <w:u w:val="none"/>
                      <w:lang w:val="en-US" w:eastAsia="zh-CN"/>
                    </w:rPr>
                  </w:pPr>
                  <w:r>
                    <w:rPr>
                      <w:rFonts w:hint="eastAsia" w:cs="Times New Roman"/>
                      <w:color w:val="auto"/>
                      <w:sz w:val="21"/>
                      <w:szCs w:val="21"/>
                      <w:u w:val="none"/>
                      <w:lang w:val="en-US" w:eastAsia="zh-CN"/>
                    </w:rPr>
                    <w:t>4</w:t>
                  </w:r>
                </w:p>
              </w:tc>
              <w:tc>
                <w:tcPr>
                  <w:tcW w:w="2003" w:type="dxa"/>
                  <w:tcBorders>
                    <w:tl2br w:val="nil"/>
                    <w:tr2bl w:val="nil"/>
                  </w:tcBorders>
                  <w:tcMar>
                    <w:left w:w="11" w:type="dxa"/>
                    <w:right w:w="11" w:type="dxa"/>
                  </w:tcMar>
                  <w:vAlign w:val="center"/>
                </w:tcPr>
                <w:p w14:paraId="038C5906">
                  <w:pPr>
                    <w:widowControl/>
                    <w:spacing w:line="240" w:lineRule="auto"/>
                    <w:jc w:val="center"/>
                    <w:rPr>
                      <w:rFonts w:hint="eastAsia" w:ascii="Times New Roman" w:hAnsi="Times New Roman" w:cs="Times New Roman"/>
                      <w:color w:val="auto"/>
                      <w:szCs w:val="21"/>
                      <w:highlight w:val="none"/>
                      <w:u w:val="none"/>
                      <w:lang w:val="en-US" w:eastAsia="zh-CN"/>
                    </w:rPr>
                  </w:pPr>
                  <w:r>
                    <w:rPr>
                      <w:rFonts w:hint="eastAsia" w:ascii="Times New Roman" w:hAnsi="Times New Roman" w:cs="Times New Roman"/>
                      <w:color w:val="auto"/>
                      <w:szCs w:val="21"/>
                      <w:highlight w:val="none"/>
                      <w:u w:val="none"/>
                      <w:lang w:val="en-US" w:eastAsia="zh-CN"/>
                    </w:rPr>
                    <w:t>8</w:t>
                  </w:r>
                  <w:r>
                    <w:rPr>
                      <w:rFonts w:ascii="Times New Roman" w:hAnsi="Times New Roman" w:cs="Times New Roman"/>
                      <w:color w:val="auto"/>
                      <w:szCs w:val="21"/>
                      <w:highlight w:val="none"/>
                      <w:u w:val="none"/>
                    </w:rPr>
                    <w:t>5</w:t>
                  </w:r>
                </w:p>
              </w:tc>
              <w:tc>
                <w:tcPr>
                  <w:tcW w:w="3362" w:type="dxa"/>
                  <w:tcBorders>
                    <w:tl2br w:val="nil"/>
                    <w:tr2bl w:val="nil"/>
                  </w:tcBorders>
                  <w:tcMar>
                    <w:left w:w="11" w:type="dxa"/>
                    <w:right w:w="11" w:type="dxa"/>
                  </w:tcMar>
                  <w:vAlign w:val="center"/>
                </w:tcPr>
                <w:p w14:paraId="1022042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通过基础减震、距离衰减方式减弱</w:t>
                  </w:r>
                </w:p>
              </w:tc>
              <w:tc>
                <w:tcPr>
                  <w:tcW w:w="1093" w:type="dxa"/>
                  <w:tcBorders>
                    <w:tl2br w:val="nil"/>
                    <w:tr2bl w:val="nil"/>
                  </w:tcBorders>
                  <w:vAlign w:val="center"/>
                </w:tcPr>
                <w:p w14:paraId="388D6778">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全天</w:t>
                  </w:r>
                </w:p>
              </w:tc>
            </w:tr>
            <w:tr w14:paraId="272CE05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957" w:type="dxa"/>
                  <w:vMerge w:val="continue"/>
                  <w:tcBorders>
                    <w:tl2br w:val="nil"/>
                    <w:tr2bl w:val="nil"/>
                  </w:tcBorders>
                  <w:vAlign w:val="center"/>
                </w:tcPr>
                <w:p w14:paraId="1C29223F">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cs="Times New Roman"/>
                      <w:color w:val="auto"/>
                      <w:sz w:val="21"/>
                      <w:szCs w:val="21"/>
                      <w:u w:val="none"/>
                    </w:rPr>
                  </w:pPr>
                </w:p>
              </w:tc>
              <w:tc>
                <w:tcPr>
                  <w:tcW w:w="1918" w:type="dxa"/>
                  <w:tcBorders>
                    <w:tl2br w:val="nil"/>
                    <w:tr2bl w:val="nil"/>
                  </w:tcBorders>
                  <w:tcMar>
                    <w:left w:w="11" w:type="dxa"/>
                    <w:right w:w="11" w:type="dxa"/>
                  </w:tcMar>
                  <w:vAlign w:val="center"/>
                </w:tcPr>
                <w:p w14:paraId="2E05E44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3</w:t>
                  </w:r>
                  <w:r>
                    <w:rPr>
                      <w:rFonts w:hint="eastAsia" w:ascii="Times New Roman" w:hAnsi="Times New Roman" w:cs="Times New Roman"/>
                      <w:color w:val="auto"/>
                      <w:sz w:val="21"/>
                      <w:szCs w:val="21"/>
                      <w:u w:val="none"/>
                      <w:lang w:val="en-US" w:eastAsia="zh-CN"/>
                    </w:rPr>
                    <w:t>#</w:t>
                  </w:r>
                  <w:r>
                    <w:rPr>
                      <w:rFonts w:hint="eastAsia" w:cs="Times New Roman"/>
                      <w:color w:val="auto"/>
                      <w:sz w:val="21"/>
                      <w:szCs w:val="21"/>
                      <w:u w:val="none"/>
                      <w:lang w:val="en-US" w:eastAsia="zh-CN"/>
                    </w:rPr>
                    <w:t>风冷冷水</w:t>
                  </w:r>
                  <w:r>
                    <w:rPr>
                      <w:rFonts w:hint="eastAsia" w:ascii="Times New Roman" w:hAnsi="Times New Roman" w:cs="Times New Roman"/>
                      <w:color w:val="auto"/>
                      <w:sz w:val="21"/>
                      <w:szCs w:val="21"/>
                      <w:u w:val="none"/>
                      <w:lang w:val="en-US" w:eastAsia="zh-CN"/>
                    </w:rPr>
                    <w:t>机组</w:t>
                  </w:r>
                </w:p>
              </w:tc>
              <w:tc>
                <w:tcPr>
                  <w:tcW w:w="1260" w:type="dxa"/>
                  <w:tcBorders>
                    <w:tl2br w:val="nil"/>
                    <w:tr2bl w:val="nil"/>
                  </w:tcBorders>
                  <w:vAlign w:val="center"/>
                </w:tcPr>
                <w:p w14:paraId="6BB8085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21"/>
                      <w:szCs w:val="21"/>
                      <w:u w:val="none"/>
                      <w:lang w:val="en-US" w:eastAsia="zh-CN"/>
                    </w:rPr>
                  </w:pPr>
                  <w:r>
                    <w:rPr>
                      <w:rFonts w:hint="eastAsia" w:cs="Times New Roman"/>
                      <w:color w:val="auto"/>
                      <w:sz w:val="21"/>
                      <w:szCs w:val="21"/>
                      <w:u w:val="none"/>
                      <w:lang w:val="en-US" w:eastAsia="zh-CN"/>
                    </w:rPr>
                    <w:t>/</w:t>
                  </w:r>
                </w:p>
              </w:tc>
              <w:tc>
                <w:tcPr>
                  <w:tcW w:w="1067" w:type="dxa"/>
                  <w:tcBorders>
                    <w:tl2br w:val="nil"/>
                    <w:tr2bl w:val="nil"/>
                  </w:tcBorders>
                  <w:tcMar>
                    <w:left w:w="11" w:type="dxa"/>
                    <w:right w:w="11" w:type="dxa"/>
                  </w:tcMar>
                  <w:vAlign w:val="center"/>
                </w:tcPr>
                <w:p w14:paraId="25BE9210">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cs="Times New Roman"/>
                      <w:color w:val="auto"/>
                      <w:sz w:val="21"/>
                      <w:szCs w:val="21"/>
                      <w:u w:val="none"/>
                      <w:lang w:val="en-US" w:eastAsia="zh-CN"/>
                    </w:rPr>
                  </w:pPr>
                  <w:r>
                    <w:rPr>
                      <w:rFonts w:hint="eastAsia" w:cs="Times New Roman"/>
                      <w:color w:val="auto"/>
                      <w:sz w:val="21"/>
                      <w:szCs w:val="21"/>
                      <w:u w:val="none"/>
                      <w:lang w:val="en-US" w:eastAsia="zh-CN"/>
                    </w:rPr>
                    <w:t>25</w:t>
                  </w:r>
                </w:p>
              </w:tc>
              <w:tc>
                <w:tcPr>
                  <w:tcW w:w="1102" w:type="dxa"/>
                  <w:tcBorders>
                    <w:tl2br w:val="nil"/>
                    <w:tr2bl w:val="nil"/>
                  </w:tcBorders>
                  <w:vAlign w:val="center"/>
                </w:tcPr>
                <w:p w14:paraId="62BFF1C5">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cs="Times New Roman"/>
                      <w:color w:val="auto"/>
                      <w:sz w:val="21"/>
                      <w:szCs w:val="21"/>
                      <w:u w:val="none"/>
                      <w:lang w:val="en-US" w:eastAsia="zh-CN"/>
                    </w:rPr>
                  </w:pPr>
                  <w:r>
                    <w:rPr>
                      <w:rFonts w:hint="eastAsia" w:cs="Times New Roman"/>
                      <w:color w:val="auto"/>
                      <w:sz w:val="21"/>
                      <w:szCs w:val="21"/>
                      <w:u w:val="none"/>
                      <w:lang w:val="en-US" w:eastAsia="zh-CN"/>
                    </w:rPr>
                    <w:t>25</w:t>
                  </w:r>
                </w:p>
              </w:tc>
              <w:tc>
                <w:tcPr>
                  <w:tcW w:w="1055" w:type="dxa"/>
                  <w:tcBorders>
                    <w:tl2br w:val="nil"/>
                    <w:tr2bl w:val="nil"/>
                  </w:tcBorders>
                  <w:vAlign w:val="center"/>
                </w:tcPr>
                <w:p w14:paraId="095BD397">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cs="Times New Roman"/>
                      <w:color w:val="auto"/>
                      <w:sz w:val="21"/>
                      <w:szCs w:val="21"/>
                      <w:u w:val="none"/>
                      <w:lang w:val="en-US" w:eastAsia="zh-CN"/>
                    </w:rPr>
                  </w:pPr>
                  <w:r>
                    <w:rPr>
                      <w:rFonts w:hint="eastAsia" w:cs="Times New Roman"/>
                      <w:color w:val="auto"/>
                      <w:sz w:val="21"/>
                      <w:szCs w:val="21"/>
                      <w:u w:val="none"/>
                      <w:lang w:val="en-US" w:eastAsia="zh-CN"/>
                    </w:rPr>
                    <w:t>4</w:t>
                  </w:r>
                </w:p>
              </w:tc>
              <w:tc>
                <w:tcPr>
                  <w:tcW w:w="2003" w:type="dxa"/>
                  <w:tcBorders>
                    <w:tl2br w:val="nil"/>
                    <w:tr2bl w:val="nil"/>
                  </w:tcBorders>
                  <w:tcMar>
                    <w:left w:w="11" w:type="dxa"/>
                    <w:right w:w="11" w:type="dxa"/>
                  </w:tcMar>
                  <w:vAlign w:val="center"/>
                </w:tcPr>
                <w:p w14:paraId="64A88E05">
                  <w:pPr>
                    <w:widowControl/>
                    <w:spacing w:line="240" w:lineRule="auto"/>
                    <w:jc w:val="center"/>
                    <w:rPr>
                      <w:rFonts w:hint="eastAsia" w:ascii="Times New Roman" w:hAnsi="Times New Roman" w:cs="Times New Roman"/>
                      <w:color w:val="auto"/>
                      <w:szCs w:val="21"/>
                      <w:highlight w:val="none"/>
                      <w:u w:val="none"/>
                      <w:lang w:val="en-US" w:eastAsia="zh-CN"/>
                    </w:rPr>
                  </w:pPr>
                  <w:r>
                    <w:rPr>
                      <w:rFonts w:hint="eastAsia" w:ascii="Times New Roman" w:hAnsi="Times New Roman" w:cs="Times New Roman"/>
                      <w:color w:val="auto"/>
                      <w:szCs w:val="21"/>
                      <w:highlight w:val="none"/>
                      <w:u w:val="none"/>
                      <w:lang w:val="en-US" w:eastAsia="zh-CN"/>
                    </w:rPr>
                    <w:t>8</w:t>
                  </w:r>
                  <w:r>
                    <w:rPr>
                      <w:rFonts w:ascii="Times New Roman" w:hAnsi="Times New Roman" w:cs="Times New Roman"/>
                      <w:color w:val="auto"/>
                      <w:szCs w:val="21"/>
                      <w:highlight w:val="none"/>
                      <w:u w:val="none"/>
                    </w:rPr>
                    <w:t>5</w:t>
                  </w:r>
                </w:p>
              </w:tc>
              <w:tc>
                <w:tcPr>
                  <w:tcW w:w="3362" w:type="dxa"/>
                  <w:tcBorders>
                    <w:tl2br w:val="nil"/>
                    <w:tr2bl w:val="nil"/>
                  </w:tcBorders>
                  <w:tcMar>
                    <w:left w:w="11" w:type="dxa"/>
                    <w:right w:w="11" w:type="dxa"/>
                  </w:tcMar>
                  <w:vAlign w:val="center"/>
                </w:tcPr>
                <w:p w14:paraId="62E5E1B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通过基础减震、距离衰减方式减弱</w:t>
                  </w:r>
                </w:p>
              </w:tc>
              <w:tc>
                <w:tcPr>
                  <w:tcW w:w="1093" w:type="dxa"/>
                  <w:tcBorders>
                    <w:tl2br w:val="nil"/>
                    <w:tr2bl w:val="nil"/>
                  </w:tcBorders>
                  <w:vAlign w:val="center"/>
                </w:tcPr>
                <w:p w14:paraId="7302358D">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全天</w:t>
                  </w:r>
                </w:p>
              </w:tc>
            </w:tr>
            <w:tr w14:paraId="66C19A6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957" w:type="dxa"/>
                  <w:vMerge w:val="continue"/>
                  <w:tcBorders>
                    <w:tl2br w:val="nil"/>
                    <w:tr2bl w:val="nil"/>
                  </w:tcBorders>
                  <w:vAlign w:val="center"/>
                </w:tcPr>
                <w:p w14:paraId="52403D53">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cs="Times New Roman"/>
                      <w:color w:val="auto"/>
                      <w:sz w:val="21"/>
                      <w:szCs w:val="21"/>
                      <w:u w:val="none"/>
                    </w:rPr>
                  </w:pPr>
                </w:p>
              </w:tc>
              <w:tc>
                <w:tcPr>
                  <w:tcW w:w="1918" w:type="dxa"/>
                  <w:tcBorders>
                    <w:tl2br w:val="nil"/>
                    <w:tr2bl w:val="nil"/>
                  </w:tcBorders>
                  <w:tcMar>
                    <w:left w:w="11" w:type="dxa"/>
                    <w:right w:w="11" w:type="dxa"/>
                  </w:tcMar>
                  <w:vAlign w:val="center"/>
                </w:tcPr>
                <w:p w14:paraId="5D25CC6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4</w:t>
                  </w:r>
                  <w:r>
                    <w:rPr>
                      <w:rFonts w:hint="eastAsia" w:ascii="Times New Roman" w:hAnsi="Times New Roman" w:cs="Times New Roman"/>
                      <w:color w:val="auto"/>
                      <w:sz w:val="21"/>
                      <w:szCs w:val="21"/>
                      <w:u w:val="none"/>
                      <w:lang w:val="en-US" w:eastAsia="zh-CN"/>
                    </w:rPr>
                    <w:t>#</w:t>
                  </w:r>
                  <w:r>
                    <w:rPr>
                      <w:rFonts w:hint="eastAsia" w:cs="Times New Roman"/>
                      <w:color w:val="auto"/>
                      <w:sz w:val="21"/>
                      <w:szCs w:val="21"/>
                      <w:u w:val="none"/>
                      <w:lang w:val="en-US" w:eastAsia="zh-CN"/>
                    </w:rPr>
                    <w:t>风冷冷水</w:t>
                  </w:r>
                  <w:r>
                    <w:rPr>
                      <w:rFonts w:hint="eastAsia" w:ascii="Times New Roman" w:hAnsi="Times New Roman" w:cs="Times New Roman"/>
                      <w:color w:val="auto"/>
                      <w:sz w:val="21"/>
                      <w:szCs w:val="21"/>
                      <w:u w:val="none"/>
                      <w:lang w:val="en-US" w:eastAsia="zh-CN"/>
                    </w:rPr>
                    <w:t>机组</w:t>
                  </w:r>
                </w:p>
              </w:tc>
              <w:tc>
                <w:tcPr>
                  <w:tcW w:w="1260" w:type="dxa"/>
                  <w:tcBorders>
                    <w:tl2br w:val="nil"/>
                    <w:tr2bl w:val="nil"/>
                  </w:tcBorders>
                  <w:vAlign w:val="center"/>
                </w:tcPr>
                <w:p w14:paraId="5F87684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21"/>
                      <w:szCs w:val="21"/>
                      <w:u w:val="none"/>
                      <w:lang w:val="en-US" w:eastAsia="zh-CN"/>
                    </w:rPr>
                  </w:pPr>
                  <w:r>
                    <w:rPr>
                      <w:rFonts w:hint="eastAsia" w:cs="Times New Roman"/>
                      <w:color w:val="auto"/>
                      <w:sz w:val="21"/>
                      <w:szCs w:val="21"/>
                      <w:u w:val="none"/>
                      <w:lang w:val="en-US" w:eastAsia="zh-CN"/>
                    </w:rPr>
                    <w:t>/</w:t>
                  </w:r>
                </w:p>
              </w:tc>
              <w:tc>
                <w:tcPr>
                  <w:tcW w:w="1067" w:type="dxa"/>
                  <w:tcBorders>
                    <w:tl2br w:val="nil"/>
                    <w:tr2bl w:val="nil"/>
                  </w:tcBorders>
                  <w:tcMar>
                    <w:left w:w="11" w:type="dxa"/>
                    <w:right w:w="11" w:type="dxa"/>
                  </w:tcMar>
                  <w:vAlign w:val="center"/>
                </w:tcPr>
                <w:p w14:paraId="0F8868D8">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cs="Times New Roman"/>
                      <w:color w:val="auto"/>
                      <w:sz w:val="21"/>
                      <w:szCs w:val="21"/>
                      <w:u w:val="none"/>
                      <w:lang w:val="en-US" w:eastAsia="zh-CN"/>
                    </w:rPr>
                  </w:pPr>
                  <w:r>
                    <w:rPr>
                      <w:rFonts w:hint="eastAsia" w:cs="Times New Roman"/>
                      <w:color w:val="auto"/>
                      <w:sz w:val="21"/>
                      <w:szCs w:val="21"/>
                      <w:u w:val="none"/>
                      <w:lang w:val="en-US" w:eastAsia="zh-CN"/>
                    </w:rPr>
                    <w:t>25</w:t>
                  </w:r>
                </w:p>
              </w:tc>
              <w:tc>
                <w:tcPr>
                  <w:tcW w:w="1102" w:type="dxa"/>
                  <w:tcBorders>
                    <w:tl2br w:val="nil"/>
                    <w:tr2bl w:val="nil"/>
                  </w:tcBorders>
                  <w:vAlign w:val="center"/>
                </w:tcPr>
                <w:p w14:paraId="323D980C">
                  <w:pPr>
                    <w:pStyle w:val="91"/>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cs="Times New Roman"/>
                      <w:color w:val="auto"/>
                      <w:sz w:val="21"/>
                      <w:szCs w:val="21"/>
                      <w:u w:val="none"/>
                      <w:lang w:val="en-US" w:eastAsia="zh-CN"/>
                    </w:rPr>
                  </w:pPr>
                  <w:r>
                    <w:rPr>
                      <w:rFonts w:hint="eastAsia" w:cs="Times New Roman"/>
                      <w:color w:val="auto"/>
                      <w:sz w:val="21"/>
                      <w:szCs w:val="21"/>
                      <w:u w:val="none"/>
                      <w:lang w:val="en-US" w:eastAsia="zh-CN"/>
                    </w:rPr>
                    <w:t>28</w:t>
                  </w:r>
                </w:p>
              </w:tc>
              <w:tc>
                <w:tcPr>
                  <w:tcW w:w="1055" w:type="dxa"/>
                  <w:tcBorders>
                    <w:tl2br w:val="nil"/>
                    <w:tr2bl w:val="nil"/>
                  </w:tcBorders>
                  <w:vAlign w:val="center"/>
                </w:tcPr>
                <w:p w14:paraId="032F1FC5">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cs="Times New Roman"/>
                      <w:color w:val="auto"/>
                      <w:sz w:val="21"/>
                      <w:szCs w:val="21"/>
                      <w:u w:val="none"/>
                      <w:lang w:val="en-US" w:eastAsia="zh-CN"/>
                    </w:rPr>
                  </w:pPr>
                  <w:r>
                    <w:rPr>
                      <w:rFonts w:hint="eastAsia" w:cs="Times New Roman"/>
                      <w:color w:val="auto"/>
                      <w:sz w:val="21"/>
                      <w:szCs w:val="21"/>
                      <w:u w:val="none"/>
                      <w:lang w:val="en-US" w:eastAsia="zh-CN"/>
                    </w:rPr>
                    <w:t>4</w:t>
                  </w:r>
                </w:p>
              </w:tc>
              <w:tc>
                <w:tcPr>
                  <w:tcW w:w="2003" w:type="dxa"/>
                  <w:tcBorders>
                    <w:tl2br w:val="nil"/>
                    <w:tr2bl w:val="nil"/>
                  </w:tcBorders>
                  <w:tcMar>
                    <w:left w:w="11" w:type="dxa"/>
                    <w:right w:w="11" w:type="dxa"/>
                  </w:tcMar>
                  <w:vAlign w:val="center"/>
                </w:tcPr>
                <w:p w14:paraId="3F8BC88A">
                  <w:pPr>
                    <w:widowControl/>
                    <w:spacing w:line="240" w:lineRule="auto"/>
                    <w:jc w:val="center"/>
                    <w:rPr>
                      <w:rFonts w:hint="eastAsia" w:ascii="Times New Roman" w:hAnsi="Times New Roman" w:cs="Times New Roman"/>
                      <w:color w:val="auto"/>
                      <w:szCs w:val="21"/>
                      <w:highlight w:val="none"/>
                      <w:u w:val="none"/>
                      <w:lang w:val="en-US" w:eastAsia="zh-CN"/>
                    </w:rPr>
                  </w:pPr>
                  <w:r>
                    <w:rPr>
                      <w:rFonts w:hint="eastAsia" w:ascii="Times New Roman" w:hAnsi="Times New Roman" w:cs="Times New Roman"/>
                      <w:color w:val="auto"/>
                      <w:szCs w:val="21"/>
                      <w:highlight w:val="none"/>
                      <w:u w:val="none"/>
                      <w:lang w:val="en-US" w:eastAsia="zh-CN"/>
                    </w:rPr>
                    <w:t>8</w:t>
                  </w:r>
                  <w:r>
                    <w:rPr>
                      <w:rFonts w:ascii="Times New Roman" w:hAnsi="Times New Roman" w:cs="Times New Roman"/>
                      <w:color w:val="auto"/>
                      <w:szCs w:val="21"/>
                      <w:highlight w:val="none"/>
                      <w:u w:val="none"/>
                    </w:rPr>
                    <w:t>5</w:t>
                  </w:r>
                </w:p>
              </w:tc>
              <w:tc>
                <w:tcPr>
                  <w:tcW w:w="3362" w:type="dxa"/>
                  <w:tcBorders>
                    <w:tl2br w:val="nil"/>
                    <w:tr2bl w:val="nil"/>
                  </w:tcBorders>
                  <w:tcMar>
                    <w:left w:w="11" w:type="dxa"/>
                    <w:right w:w="11" w:type="dxa"/>
                  </w:tcMar>
                  <w:vAlign w:val="center"/>
                </w:tcPr>
                <w:p w14:paraId="6CA049E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通过基础减震、距离衰减方式减弱</w:t>
                  </w:r>
                </w:p>
              </w:tc>
              <w:tc>
                <w:tcPr>
                  <w:tcW w:w="1093" w:type="dxa"/>
                  <w:tcBorders>
                    <w:tl2br w:val="nil"/>
                    <w:tr2bl w:val="nil"/>
                  </w:tcBorders>
                  <w:vAlign w:val="center"/>
                </w:tcPr>
                <w:p w14:paraId="63C4660B">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全天</w:t>
                  </w:r>
                </w:p>
              </w:tc>
            </w:tr>
          </w:tbl>
          <w:p w14:paraId="0D66E885">
            <w:pPr>
              <w:keepNext w:val="0"/>
              <w:keepLines w:val="0"/>
              <w:pageBreakBefore w:val="0"/>
              <w:widowControl w:val="0"/>
              <w:numPr>
                <w:ilvl w:val="0"/>
                <w:numId w:val="0"/>
              </w:numPr>
              <w:kinsoku/>
              <w:wordWrap/>
              <w:overflowPunct/>
              <w:topLinePunct w:val="0"/>
              <w:autoSpaceDE/>
              <w:autoSpaceDN/>
              <w:bidi w:val="0"/>
              <w:adjustRightInd/>
              <w:snapToGrid/>
              <w:spacing w:line="500" w:lineRule="atLeast"/>
              <w:ind w:left="119" w:leftChars="0"/>
              <w:jc w:val="left"/>
              <w:textAlignment w:val="auto"/>
              <w:rPr>
                <w:rFonts w:ascii="Times New Roman" w:hAnsi="Times New Roman" w:cs="Times New Roman"/>
                <w:color w:val="auto"/>
                <w:u w:val="none"/>
              </w:rPr>
            </w:pPr>
            <w:r>
              <w:rPr>
                <w:rFonts w:ascii="Times New Roman" w:hAnsi="Times New Roman" w:cs="Times New Roman"/>
                <w:color w:val="auto"/>
                <w:sz w:val="24"/>
                <w:u w:val="none"/>
              </w:rPr>
              <w:t>注：表中坐标以</w:t>
            </w:r>
            <w:r>
              <w:rPr>
                <w:rFonts w:hint="eastAsia" w:cs="Times New Roman"/>
                <w:color w:val="auto"/>
                <w:kern w:val="2"/>
                <w:sz w:val="24"/>
                <w:szCs w:val="24"/>
                <w:u w:val="none"/>
                <w:lang w:val="en-US" w:eastAsia="zh-CN" w:bidi="ar-SA"/>
              </w:rPr>
              <w:t>站区</w:t>
            </w:r>
            <w:r>
              <w:rPr>
                <w:rFonts w:hint="eastAsia" w:cs="Times New Roman"/>
                <w:color w:val="auto"/>
                <w:sz w:val="24"/>
                <w:u w:val="none"/>
                <w:lang w:val="en-US" w:eastAsia="zh-CN"/>
              </w:rPr>
              <w:t>西南角</w:t>
            </w:r>
            <w:r>
              <w:rPr>
                <w:rFonts w:ascii="Times New Roman" w:hAnsi="Times New Roman" w:cs="Times New Roman"/>
                <w:color w:val="auto"/>
                <w:sz w:val="24"/>
                <w:u w:val="none"/>
              </w:rPr>
              <w:t>（</w:t>
            </w:r>
            <w:r>
              <w:rPr>
                <w:rFonts w:ascii="Times New Roman" w:hAnsi="Times New Roman" w:cs="Times New Roman"/>
                <w:color w:val="auto"/>
                <w:sz w:val="24"/>
                <w:highlight w:val="none"/>
                <w:u w:val="none"/>
              </w:rPr>
              <w:t>经度11</w:t>
            </w:r>
            <w:r>
              <w:rPr>
                <w:rFonts w:hint="eastAsia" w:ascii="Times New Roman" w:hAnsi="Times New Roman" w:cs="Times New Roman"/>
                <w:color w:val="auto"/>
                <w:sz w:val="24"/>
                <w:highlight w:val="none"/>
                <w:u w:val="none"/>
                <w:lang w:val="en-US" w:eastAsia="zh-CN"/>
              </w:rPr>
              <w:t>3</w:t>
            </w:r>
            <w:r>
              <w:rPr>
                <w:rFonts w:ascii="Times New Roman" w:hAnsi="Times New Roman" w:cs="Times New Roman"/>
                <w:color w:val="auto"/>
                <w:sz w:val="24"/>
                <w:highlight w:val="none"/>
                <w:u w:val="none"/>
              </w:rPr>
              <w:t>度</w:t>
            </w:r>
            <w:r>
              <w:rPr>
                <w:rFonts w:hint="eastAsia" w:cs="Times New Roman"/>
                <w:color w:val="auto"/>
                <w:sz w:val="24"/>
                <w:highlight w:val="none"/>
                <w:u w:val="none"/>
                <w:lang w:val="en-US" w:eastAsia="zh-CN"/>
              </w:rPr>
              <w:t>47</w:t>
            </w:r>
            <w:r>
              <w:rPr>
                <w:rFonts w:ascii="Times New Roman" w:hAnsi="Times New Roman" w:cs="Times New Roman"/>
                <w:color w:val="auto"/>
                <w:sz w:val="24"/>
                <w:highlight w:val="none"/>
                <w:u w:val="none"/>
              </w:rPr>
              <w:t>分</w:t>
            </w:r>
            <w:r>
              <w:rPr>
                <w:rFonts w:hint="eastAsia" w:cs="Times New Roman"/>
                <w:color w:val="auto"/>
                <w:sz w:val="24"/>
                <w:highlight w:val="none"/>
                <w:u w:val="none"/>
                <w:lang w:val="en-US" w:eastAsia="zh-CN"/>
              </w:rPr>
              <w:t>91</w:t>
            </w:r>
            <w:r>
              <w:rPr>
                <w:rFonts w:hint="eastAsia" w:ascii="Times New Roman" w:hAnsi="Times New Roman" w:cs="Times New Roman"/>
                <w:color w:val="auto"/>
                <w:sz w:val="24"/>
                <w:highlight w:val="none"/>
                <w:u w:val="none"/>
                <w:lang w:val="en-US" w:eastAsia="zh-CN"/>
              </w:rPr>
              <w:t>.</w:t>
            </w:r>
            <w:r>
              <w:rPr>
                <w:rFonts w:hint="eastAsia" w:cs="Times New Roman"/>
                <w:color w:val="auto"/>
                <w:sz w:val="24"/>
                <w:highlight w:val="none"/>
                <w:u w:val="none"/>
                <w:lang w:val="en-US" w:eastAsia="zh-CN"/>
              </w:rPr>
              <w:t>03</w:t>
            </w:r>
            <w:r>
              <w:rPr>
                <w:rFonts w:ascii="Times New Roman" w:hAnsi="Times New Roman" w:cs="Times New Roman"/>
                <w:color w:val="auto"/>
                <w:sz w:val="24"/>
                <w:highlight w:val="none"/>
                <w:u w:val="none"/>
              </w:rPr>
              <w:t>秒，纬度3</w:t>
            </w:r>
            <w:r>
              <w:rPr>
                <w:rFonts w:hint="eastAsia" w:ascii="Times New Roman" w:hAnsi="Times New Roman" w:cs="Times New Roman"/>
                <w:color w:val="auto"/>
                <w:sz w:val="24"/>
                <w:highlight w:val="none"/>
                <w:u w:val="none"/>
                <w:lang w:val="en-US" w:eastAsia="zh-CN"/>
              </w:rPr>
              <w:t>3</w:t>
            </w:r>
            <w:r>
              <w:rPr>
                <w:rFonts w:ascii="Times New Roman" w:hAnsi="Times New Roman" w:cs="Times New Roman"/>
                <w:color w:val="auto"/>
                <w:sz w:val="24"/>
                <w:highlight w:val="none"/>
                <w:u w:val="none"/>
              </w:rPr>
              <w:t>度</w:t>
            </w:r>
            <w:r>
              <w:rPr>
                <w:rFonts w:hint="eastAsia" w:cs="Times New Roman"/>
                <w:color w:val="auto"/>
                <w:sz w:val="24"/>
                <w:highlight w:val="none"/>
                <w:u w:val="none"/>
                <w:lang w:val="en-US" w:eastAsia="zh-CN"/>
              </w:rPr>
              <w:t>7</w:t>
            </w:r>
            <w:r>
              <w:rPr>
                <w:rFonts w:hint="eastAsia" w:ascii="Times New Roman" w:hAnsi="Times New Roman" w:cs="Times New Roman"/>
                <w:color w:val="auto"/>
                <w:sz w:val="24"/>
                <w:highlight w:val="none"/>
                <w:u w:val="none"/>
                <w:lang w:val="en-US" w:eastAsia="zh-CN"/>
              </w:rPr>
              <w:t>3</w:t>
            </w:r>
            <w:r>
              <w:rPr>
                <w:rFonts w:ascii="Times New Roman" w:hAnsi="Times New Roman" w:cs="Times New Roman"/>
                <w:color w:val="auto"/>
                <w:sz w:val="24"/>
                <w:highlight w:val="none"/>
                <w:u w:val="none"/>
              </w:rPr>
              <w:t>分</w:t>
            </w:r>
            <w:r>
              <w:rPr>
                <w:rFonts w:hint="eastAsia" w:cs="Times New Roman"/>
                <w:color w:val="auto"/>
                <w:sz w:val="24"/>
                <w:highlight w:val="none"/>
                <w:u w:val="none"/>
                <w:lang w:val="en-US" w:eastAsia="zh-CN"/>
              </w:rPr>
              <w:t>34</w:t>
            </w:r>
            <w:r>
              <w:rPr>
                <w:rFonts w:hint="eastAsia" w:ascii="Times New Roman" w:hAnsi="Times New Roman" w:cs="Times New Roman"/>
                <w:color w:val="auto"/>
                <w:sz w:val="24"/>
                <w:highlight w:val="none"/>
                <w:u w:val="none"/>
                <w:lang w:val="en-US" w:eastAsia="zh-CN"/>
              </w:rPr>
              <w:t>.</w:t>
            </w:r>
            <w:r>
              <w:rPr>
                <w:rFonts w:hint="eastAsia" w:cs="Times New Roman"/>
                <w:color w:val="auto"/>
                <w:sz w:val="24"/>
                <w:highlight w:val="none"/>
                <w:u w:val="none"/>
                <w:lang w:val="en-US" w:eastAsia="zh-CN"/>
              </w:rPr>
              <w:t>69</w:t>
            </w:r>
            <w:r>
              <w:rPr>
                <w:rFonts w:ascii="Times New Roman" w:hAnsi="Times New Roman" w:cs="Times New Roman"/>
                <w:color w:val="auto"/>
                <w:sz w:val="24"/>
                <w:highlight w:val="none"/>
                <w:u w:val="none"/>
              </w:rPr>
              <w:t>秒</w:t>
            </w:r>
            <w:r>
              <w:rPr>
                <w:rFonts w:ascii="Times New Roman" w:hAnsi="Times New Roman" w:cs="Times New Roman"/>
                <w:color w:val="auto"/>
                <w:sz w:val="24"/>
                <w:u w:val="none"/>
              </w:rPr>
              <w:t>）为坐标原点，正东向为 X 轴正方向，正北向为 Y 轴正方向</w:t>
            </w:r>
            <w:r>
              <w:rPr>
                <w:rFonts w:hint="eastAsia" w:ascii="Times New Roman" w:hAnsi="Times New Roman" w:cs="Times New Roman"/>
                <w:color w:val="auto"/>
                <w:sz w:val="24"/>
                <w:u w:val="none"/>
                <w:lang w:eastAsia="zh-CN"/>
              </w:rPr>
              <w:t>。</w:t>
            </w:r>
          </w:p>
        </w:tc>
      </w:tr>
    </w:tbl>
    <w:p w14:paraId="4C872E63">
      <w:pPr>
        <w:pStyle w:val="14"/>
        <w:rPr>
          <w:rFonts w:ascii="Times New Roman" w:hAnsi="Times New Roman" w:cs="Times New Roman"/>
          <w:color w:val="auto"/>
          <w:u w:val="none"/>
        </w:rPr>
        <w:sectPr>
          <w:pgSz w:w="16840" w:h="11907" w:orient="landscape"/>
          <w:pgMar w:top="1417" w:right="1134" w:bottom="1417" w:left="1134"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32"/>
        <w:tblW w:w="920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18"/>
        <w:gridCol w:w="8789"/>
      </w:tblGrid>
      <w:tr w14:paraId="0C6F35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8" w:type="dxa"/>
            <w:tcMar>
              <w:left w:w="28" w:type="dxa"/>
              <w:right w:w="28" w:type="dxa"/>
            </w:tcMar>
            <w:vAlign w:val="center"/>
          </w:tcPr>
          <w:p w14:paraId="5C4F7024">
            <w:pPr>
              <w:adjustRightInd w:val="0"/>
              <w:snapToGrid w:val="0"/>
              <w:jc w:val="center"/>
              <w:rPr>
                <w:rFonts w:hint="default" w:ascii="Times New Roman" w:hAnsi="Times New Roman" w:cs="Times New Roman"/>
                <w:bCs/>
                <w:color w:val="auto"/>
                <w:szCs w:val="21"/>
                <w:u w:val="none"/>
              </w:rPr>
            </w:pPr>
            <w:r>
              <w:rPr>
                <w:rFonts w:hint="default" w:ascii="Times New Roman" w:hAnsi="Times New Roman" w:cs="Times New Roman"/>
                <w:b/>
                <w:bCs/>
                <w:color w:val="auto"/>
                <w:sz w:val="24"/>
                <w:szCs w:val="24"/>
                <w:u w:val="none"/>
              </w:rPr>
              <w:t>运营期环境影响和保护措施</w:t>
            </w:r>
          </w:p>
        </w:tc>
        <w:tc>
          <w:tcPr>
            <w:tcW w:w="8789" w:type="dxa"/>
            <w:vAlign w:val="top"/>
          </w:tcPr>
          <w:p w14:paraId="76F01954">
            <w:pPr>
              <w:keepNext w:val="0"/>
              <w:keepLines w:val="0"/>
              <w:pageBreakBefore w:val="0"/>
              <w:widowControl w:val="0"/>
              <w:kinsoku/>
              <w:wordWrap/>
              <w:overflowPunct/>
              <w:topLinePunct w:val="0"/>
              <w:autoSpaceDE/>
              <w:autoSpaceDN/>
              <w:bidi w:val="0"/>
              <w:adjustRightInd w:val="0"/>
              <w:snapToGrid w:val="0"/>
              <w:spacing w:line="500" w:lineRule="exact"/>
              <w:ind w:left="0" w:leftChars="0" w:firstLine="482" w:firstLineChars="200"/>
              <w:textAlignment w:val="auto"/>
              <w:rPr>
                <w:rFonts w:hint="default" w:ascii="Times New Roman" w:hAnsi="Times New Roman" w:cs="Times New Roman"/>
                <w:color w:val="auto"/>
                <w:sz w:val="24"/>
                <w:szCs w:val="24"/>
                <w:u w:val="none"/>
              </w:rPr>
            </w:pPr>
            <w:r>
              <w:rPr>
                <w:rFonts w:hint="eastAsia" w:cs="Times New Roman"/>
                <w:b/>
                <w:bCs/>
                <w:color w:val="auto"/>
                <w:sz w:val="24"/>
                <w:szCs w:val="24"/>
                <w:u w:val="none"/>
                <w:lang w:val="en-US" w:eastAsia="zh-CN"/>
              </w:rPr>
              <w:t>3.2</w:t>
            </w:r>
            <w:r>
              <w:rPr>
                <w:rFonts w:hint="default" w:ascii="Times New Roman" w:hAnsi="Times New Roman" w:cs="Times New Roman"/>
                <w:b/>
                <w:bCs/>
                <w:color w:val="auto"/>
                <w:sz w:val="24"/>
                <w:szCs w:val="24"/>
                <w:u w:val="none"/>
              </w:rPr>
              <w:t>噪声预测及达标情况</w:t>
            </w:r>
          </w:p>
          <w:p w14:paraId="07292F51">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ascii="Times New Roman" w:hAnsi="Times New Roman" w:cs="Times New Roman"/>
                <w:bCs/>
                <w:color w:val="auto"/>
                <w:sz w:val="24"/>
                <w:u w:val="none"/>
              </w:rPr>
            </w:pPr>
            <w:r>
              <w:rPr>
                <w:rFonts w:ascii="Times New Roman" w:hAnsi="Times New Roman" w:cs="Times New Roman"/>
                <w:bCs/>
                <w:color w:val="auto"/>
                <w:sz w:val="24"/>
                <w:u w:val="none"/>
              </w:rPr>
              <w:t>根据本项目主要高噪声设备的分布状况和</w:t>
            </w:r>
            <w:r>
              <w:rPr>
                <w:rFonts w:hint="eastAsia" w:ascii="Times New Roman" w:hAnsi="Times New Roman" w:cs="Times New Roman"/>
                <w:bCs/>
                <w:color w:val="auto"/>
                <w:sz w:val="24"/>
                <w:u w:val="none"/>
              </w:rPr>
              <w:t>室</w:t>
            </w:r>
            <w:r>
              <w:rPr>
                <w:rFonts w:ascii="Times New Roman" w:hAnsi="Times New Roman" w:cs="Times New Roman"/>
                <w:bCs/>
                <w:color w:val="auto"/>
                <w:sz w:val="24"/>
                <w:u w:val="none"/>
              </w:rPr>
              <w:t>外源强，</w:t>
            </w:r>
            <w:r>
              <w:rPr>
                <w:rFonts w:hint="eastAsia" w:ascii="Times New Roman" w:hAnsi="Times New Roman" w:cs="Times New Roman"/>
                <w:bCs/>
                <w:color w:val="auto"/>
                <w:sz w:val="24"/>
                <w:u w:val="none"/>
              </w:rPr>
              <w:t>依据</w:t>
            </w:r>
            <w:r>
              <w:rPr>
                <w:rFonts w:ascii="Times New Roman" w:hAnsi="Times New Roman" w:cs="Times New Roman"/>
                <w:color w:val="auto"/>
                <w:sz w:val="24"/>
                <w:u w:val="none"/>
              </w:rPr>
              <w:t>《环境影响评价技术导则 声环境》（HJ2.4-2021）</w:t>
            </w:r>
            <w:r>
              <w:rPr>
                <w:rFonts w:hint="eastAsia" w:ascii="Times New Roman" w:hAnsi="Times New Roman" w:cs="Times New Roman"/>
                <w:bCs/>
                <w:color w:val="auto"/>
                <w:sz w:val="24"/>
                <w:u w:val="none"/>
              </w:rPr>
              <w:t>中</w:t>
            </w:r>
            <w:r>
              <w:rPr>
                <w:rFonts w:ascii="Times New Roman" w:hAnsi="Times New Roman" w:cs="Times New Roman"/>
                <w:bCs/>
                <w:color w:val="auto"/>
                <w:sz w:val="24"/>
                <w:u w:val="none"/>
              </w:rPr>
              <w:t>噪声预测模型</w:t>
            </w:r>
            <w:r>
              <w:rPr>
                <w:rFonts w:hint="eastAsia" w:ascii="Times New Roman" w:hAnsi="Times New Roman" w:cs="Times New Roman"/>
                <w:bCs/>
                <w:color w:val="auto"/>
                <w:sz w:val="24"/>
                <w:u w:val="none"/>
              </w:rPr>
              <w:t>，</w:t>
            </w:r>
            <w:r>
              <w:rPr>
                <w:rFonts w:ascii="Times New Roman" w:hAnsi="Times New Roman" w:cs="Times New Roman"/>
                <w:bCs/>
                <w:color w:val="auto"/>
                <w:sz w:val="24"/>
                <w:u w:val="none"/>
              </w:rPr>
              <w:t>计算出各声源对</w:t>
            </w:r>
            <w:r>
              <w:rPr>
                <w:rFonts w:hint="eastAsia" w:ascii="Times New Roman" w:hAnsi="Times New Roman" w:cs="Times New Roman"/>
                <w:bCs/>
                <w:color w:val="auto"/>
                <w:sz w:val="24"/>
                <w:u w:val="none"/>
              </w:rPr>
              <w:t>厂界的噪声</w:t>
            </w:r>
            <w:r>
              <w:rPr>
                <w:rFonts w:ascii="Times New Roman" w:hAnsi="Times New Roman" w:cs="Times New Roman"/>
                <w:bCs/>
                <w:color w:val="auto"/>
                <w:sz w:val="24"/>
                <w:u w:val="none"/>
              </w:rPr>
              <w:t>贡献值</w:t>
            </w:r>
            <w:r>
              <w:rPr>
                <w:rFonts w:hint="eastAsia" w:ascii="Times New Roman" w:hAnsi="Times New Roman" w:cs="Times New Roman"/>
                <w:bCs/>
                <w:color w:val="auto"/>
                <w:sz w:val="24"/>
                <w:u w:val="none"/>
              </w:rPr>
              <w:t>。</w:t>
            </w:r>
          </w:p>
          <w:p w14:paraId="4522DE60">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ascii="Times New Roman" w:hAnsi="Times New Roman" w:cs="Times New Roman"/>
                <w:bCs/>
                <w:color w:val="auto"/>
                <w:sz w:val="24"/>
                <w:u w:val="none"/>
              </w:rPr>
            </w:pPr>
            <w:r>
              <w:rPr>
                <w:rFonts w:hint="eastAsia" w:ascii="Times New Roman" w:hAnsi="Times New Roman" w:cs="Times New Roman"/>
                <w:bCs/>
                <w:color w:val="auto"/>
                <w:sz w:val="24"/>
                <w:u w:val="none"/>
              </w:rPr>
              <w:t>点声源</w:t>
            </w:r>
            <w:r>
              <w:rPr>
                <w:rFonts w:ascii="Times New Roman" w:hAnsi="Times New Roman" w:cs="Times New Roman"/>
                <w:bCs/>
                <w:color w:val="auto"/>
                <w:sz w:val="24"/>
                <w:u w:val="none"/>
              </w:rPr>
              <w:t>的</w:t>
            </w:r>
            <w:r>
              <w:rPr>
                <w:rFonts w:hint="eastAsia" w:ascii="Times New Roman" w:hAnsi="Times New Roman" w:cs="Times New Roman"/>
                <w:bCs/>
                <w:color w:val="auto"/>
                <w:sz w:val="24"/>
                <w:u w:val="none"/>
              </w:rPr>
              <w:t>几何</w:t>
            </w:r>
            <w:r>
              <w:rPr>
                <w:rFonts w:ascii="Times New Roman" w:hAnsi="Times New Roman" w:cs="Times New Roman"/>
                <w:bCs/>
                <w:color w:val="auto"/>
                <w:sz w:val="24"/>
                <w:u w:val="none"/>
              </w:rPr>
              <w:t>发散衰减的</w:t>
            </w:r>
            <w:r>
              <w:rPr>
                <w:rFonts w:hint="eastAsia" w:ascii="Times New Roman" w:hAnsi="Times New Roman" w:cs="Times New Roman"/>
                <w:bCs/>
                <w:color w:val="auto"/>
                <w:sz w:val="24"/>
                <w:u w:val="none"/>
              </w:rPr>
              <w:t>基本公式</w:t>
            </w:r>
            <w:r>
              <w:rPr>
                <w:rFonts w:ascii="Times New Roman" w:hAnsi="Times New Roman" w:cs="Times New Roman"/>
                <w:bCs/>
                <w:color w:val="auto"/>
                <w:sz w:val="24"/>
                <w:u w:val="none"/>
              </w:rPr>
              <w:t>如下：</w:t>
            </w:r>
          </w:p>
          <w:p w14:paraId="12BC70C6">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ascii="Times New Roman" w:hAnsi="Times New Roman" w:cs="Times New Roman"/>
                <w:bCs/>
                <w:color w:val="auto"/>
                <w:sz w:val="24"/>
                <w:u w:val="none"/>
              </w:rPr>
            </w:pPr>
            <w:r>
              <w:rPr>
                <w:rFonts w:hint="eastAsia" w:ascii="Times New Roman" w:hAnsi="Times New Roman" w:cs="Times New Roman"/>
                <w:bCs/>
                <w:color w:val="auto"/>
                <w:sz w:val="24"/>
                <w:u w:val="none"/>
              </w:rPr>
              <w:t>式中</w:t>
            </w:r>
            <w:r>
              <w:rPr>
                <w:rFonts w:ascii="Times New Roman" w:hAnsi="Times New Roman" w:cs="Times New Roman"/>
                <w:bCs/>
                <w:color w:val="auto"/>
                <w:sz w:val="24"/>
                <w:u w:val="none"/>
              </w:rPr>
              <w:t>：L</w:t>
            </w:r>
            <w:r>
              <w:rPr>
                <w:rFonts w:ascii="Times New Roman" w:hAnsi="Times New Roman" w:cs="Times New Roman"/>
                <w:bCs/>
                <w:color w:val="auto"/>
                <w:sz w:val="24"/>
                <w:u w:val="none"/>
                <w:vertAlign w:val="subscript"/>
              </w:rPr>
              <w:t>p</w:t>
            </w:r>
            <w:r>
              <w:rPr>
                <w:rFonts w:ascii="Times New Roman" w:hAnsi="Times New Roman" w:cs="Times New Roman"/>
                <w:bCs/>
                <w:color w:val="auto"/>
                <w:sz w:val="24"/>
                <w:u w:val="none"/>
              </w:rPr>
              <w:t>（</w:t>
            </w:r>
            <w:r>
              <w:rPr>
                <w:rFonts w:hint="eastAsia" w:ascii="Times New Roman" w:hAnsi="Times New Roman" w:cs="Times New Roman"/>
                <w:bCs/>
                <w:color w:val="auto"/>
                <w:sz w:val="24"/>
                <w:u w:val="none"/>
              </w:rPr>
              <w:t>r</w:t>
            </w:r>
            <w:r>
              <w:rPr>
                <w:rFonts w:ascii="Times New Roman" w:hAnsi="Times New Roman" w:cs="Times New Roman"/>
                <w:bCs/>
                <w:color w:val="auto"/>
                <w:sz w:val="24"/>
                <w:u w:val="none"/>
              </w:rPr>
              <w:t>）</w:t>
            </w:r>
            <w:r>
              <w:rPr>
                <w:rFonts w:hint="eastAsia" w:ascii="Times New Roman" w:hAnsi="Times New Roman" w:cs="Times New Roman"/>
                <w:bCs/>
                <w:color w:val="auto"/>
                <w:sz w:val="24"/>
                <w:u w:val="none"/>
              </w:rPr>
              <w:t>=</w:t>
            </w:r>
            <w:r>
              <w:rPr>
                <w:rFonts w:ascii="Times New Roman" w:hAnsi="Times New Roman" w:cs="Times New Roman"/>
                <w:bCs/>
                <w:color w:val="auto"/>
                <w:sz w:val="24"/>
                <w:u w:val="none"/>
              </w:rPr>
              <w:t>L</w:t>
            </w:r>
            <w:r>
              <w:rPr>
                <w:rFonts w:ascii="Times New Roman" w:hAnsi="Times New Roman" w:cs="Times New Roman"/>
                <w:bCs/>
                <w:color w:val="auto"/>
                <w:sz w:val="24"/>
                <w:u w:val="none"/>
                <w:vertAlign w:val="subscript"/>
              </w:rPr>
              <w:t>p</w:t>
            </w:r>
            <w:r>
              <w:rPr>
                <w:rFonts w:ascii="Times New Roman" w:hAnsi="Times New Roman" w:cs="Times New Roman"/>
                <w:bCs/>
                <w:color w:val="auto"/>
                <w:sz w:val="24"/>
                <w:u w:val="none"/>
              </w:rPr>
              <w:t>（</w:t>
            </w:r>
            <w:r>
              <w:rPr>
                <w:rFonts w:hint="eastAsia" w:ascii="Times New Roman" w:hAnsi="Times New Roman" w:cs="Times New Roman"/>
                <w:bCs/>
                <w:color w:val="auto"/>
                <w:sz w:val="24"/>
                <w:u w:val="none"/>
              </w:rPr>
              <w:t>r</w:t>
            </w:r>
            <w:r>
              <w:rPr>
                <w:rFonts w:ascii="Times New Roman" w:hAnsi="Times New Roman" w:cs="Times New Roman"/>
                <w:bCs/>
                <w:color w:val="auto"/>
                <w:sz w:val="24"/>
                <w:u w:val="none"/>
                <w:vertAlign w:val="subscript"/>
              </w:rPr>
              <w:t>0</w:t>
            </w:r>
            <w:r>
              <w:rPr>
                <w:rFonts w:ascii="Times New Roman" w:hAnsi="Times New Roman" w:cs="Times New Roman"/>
                <w:bCs/>
                <w:color w:val="auto"/>
                <w:sz w:val="24"/>
                <w:u w:val="none"/>
              </w:rPr>
              <w:t>）</w:t>
            </w:r>
            <w:r>
              <w:rPr>
                <w:rFonts w:hint="eastAsia" w:ascii="Times New Roman" w:hAnsi="Times New Roman" w:cs="Times New Roman"/>
                <w:bCs/>
                <w:color w:val="auto"/>
                <w:sz w:val="24"/>
                <w:u w:val="none"/>
              </w:rPr>
              <w:t>-20</w:t>
            </w:r>
            <w:r>
              <w:rPr>
                <w:rFonts w:ascii="Times New Roman" w:hAnsi="Times New Roman" w:cs="Times New Roman"/>
                <w:bCs/>
                <w:color w:val="auto"/>
                <w:sz w:val="24"/>
                <w:u w:val="none"/>
              </w:rPr>
              <w:t>lg（</w:t>
            </w:r>
            <w:r>
              <w:rPr>
                <w:rFonts w:hint="eastAsia" w:ascii="Times New Roman" w:hAnsi="Times New Roman" w:cs="Times New Roman"/>
                <w:bCs/>
                <w:color w:val="auto"/>
                <w:sz w:val="24"/>
                <w:u w:val="none"/>
              </w:rPr>
              <w:t>r</w:t>
            </w:r>
            <w:r>
              <w:rPr>
                <w:rFonts w:ascii="Times New Roman" w:hAnsi="Times New Roman" w:cs="Times New Roman"/>
                <w:bCs/>
                <w:color w:val="auto"/>
                <w:sz w:val="24"/>
                <w:u w:val="none"/>
              </w:rPr>
              <w:t>/r</w:t>
            </w:r>
            <w:r>
              <w:rPr>
                <w:rFonts w:ascii="Times New Roman" w:hAnsi="Times New Roman" w:cs="Times New Roman"/>
                <w:bCs/>
                <w:color w:val="auto"/>
                <w:sz w:val="24"/>
                <w:u w:val="none"/>
                <w:vertAlign w:val="subscript"/>
              </w:rPr>
              <w:t>0</w:t>
            </w:r>
            <w:r>
              <w:rPr>
                <w:rFonts w:ascii="Times New Roman" w:hAnsi="Times New Roman" w:cs="Times New Roman"/>
                <w:bCs/>
                <w:color w:val="auto"/>
                <w:sz w:val="24"/>
                <w:u w:val="none"/>
              </w:rPr>
              <w:t>）</w:t>
            </w:r>
          </w:p>
          <w:p w14:paraId="770E5A59">
            <w:pPr>
              <w:keepNext w:val="0"/>
              <w:keepLines w:val="0"/>
              <w:pageBreakBefore w:val="0"/>
              <w:widowControl w:val="0"/>
              <w:kinsoku/>
              <w:wordWrap/>
              <w:overflowPunct/>
              <w:topLinePunct w:val="0"/>
              <w:autoSpaceDE/>
              <w:autoSpaceDN/>
              <w:bidi w:val="0"/>
              <w:spacing w:line="500" w:lineRule="exact"/>
              <w:ind w:firstLine="1200" w:firstLineChars="500"/>
              <w:textAlignment w:val="auto"/>
              <w:rPr>
                <w:rFonts w:ascii="Times New Roman" w:hAnsi="Times New Roman" w:cs="Times New Roman"/>
                <w:bCs/>
                <w:color w:val="auto"/>
                <w:sz w:val="24"/>
                <w:u w:val="none"/>
              </w:rPr>
            </w:pPr>
            <w:r>
              <w:rPr>
                <w:rFonts w:ascii="Times New Roman" w:hAnsi="Times New Roman" w:cs="Times New Roman"/>
                <w:bCs/>
                <w:color w:val="auto"/>
                <w:sz w:val="24"/>
                <w:u w:val="none"/>
              </w:rPr>
              <w:t>L</w:t>
            </w:r>
            <w:r>
              <w:rPr>
                <w:rFonts w:ascii="Times New Roman" w:hAnsi="Times New Roman" w:cs="Times New Roman"/>
                <w:bCs/>
                <w:color w:val="auto"/>
                <w:sz w:val="24"/>
                <w:u w:val="none"/>
                <w:vertAlign w:val="subscript"/>
              </w:rPr>
              <w:t>p</w:t>
            </w:r>
            <w:r>
              <w:rPr>
                <w:rFonts w:ascii="Times New Roman" w:hAnsi="Times New Roman" w:cs="Times New Roman"/>
                <w:bCs/>
                <w:color w:val="auto"/>
                <w:sz w:val="24"/>
                <w:u w:val="none"/>
              </w:rPr>
              <w:t>（</w:t>
            </w:r>
            <w:r>
              <w:rPr>
                <w:rFonts w:hint="eastAsia" w:ascii="Times New Roman" w:hAnsi="Times New Roman" w:cs="Times New Roman"/>
                <w:bCs/>
                <w:color w:val="auto"/>
                <w:sz w:val="24"/>
                <w:u w:val="none"/>
              </w:rPr>
              <w:t>r</w:t>
            </w:r>
            <w:r>
              <w:rPr>
                <w:rFonts w:ascii="Times New Roman" w:hAnsi="Times New Roman" w:cs="Times New Roman"/>
                <w:bCs/>
                <w:color w:val="auto"/>
                <w:sz w:val="24"/>
                <w:u w:val="none"/>
              </w:rPr>
              <w:t>）</w:t>
            </w:r>
            <w:r>
              <w:rPr>
                <w:rFonts w:hint="eastAsia" w:ascii="Times New Roman" w:hAnsi="Times New Roman" w:cs="Times New Roman"/>
                <w:bCs/>
                <w:color w:val="auto"/>
                <w:sz w:val="24"/>
                <w:u w:val="none"/>
              </w:rPr>
              <w:t>——预测点处声压级，dB；</w:t>
            </w:r>
          </w:p>
          <w:p w14:paraId="45F0FB5D">
            <w:pPr>
              <w:keepNext w:val="0"/>
              <w:keepLines w:val="0"/>
              <w:pageBreakBefore w:val="0"/>
              <w:widowControl w:val="0"/>
              <w:kinsoku/>
              <w:wordWrap/>
              <w:overflowPunct/>
              <w:topLinePunct w:val="0"/>
              <w:autoSpaceDE/>
              <w:autoSpaceDN/>
              <w:bidi w:val="0"/>
              <w:spacing w:line="500" w:lineRule="exact"/>
              <w:ind w:firstLine="480"/>
              <w:textAlignment w:val="auto"/>
              <w:rPr>
                <w:rFonts w:ascii="Times New Roman" w:hAnsi="Times New Roman" w:cs="Times New Roman"/>
                <w:bCs/>
                <w:color w:val="auto"/>
                <w:sz w:val="24"/>
                <w:u w:val="none"/>
              </w:rPr>
            </w:pPr>
            <w:r>
              <w:rPr>
                <w:rFonts w:ascii="Times New Roman" w:hAnsi="Times New Roman" w:cs="Times New Roman"/>
                <w:bCs/>
                <w:color w:val="auto"/>
                <w:sz w:val="24"/>
                <w:u w:val="none"/>
              </w:rPr>
              <w:t xml:space="preserve">      L</w:t>
            </w:r>
            <w:r>
              <w:rPr>
                <w:rFonts w:ascii="Times New Roman" w:hAnsi="Times New Roman" w:cs="Times New Roman"/>
                <w:bCs/>
                <w:color w:val="auto"/>
                <w:sz w:val="24"/>
                <w:u w:val="none"/>
                <w:vertAlign w:val="subscript"/>
              </w:rPr>
              <w:t>p</w:t>
            </w:r>
            <w:r>
              <w:rPr>
                <w:rFonts w:ascii="Times New Roman" w:hAnsi="Times New Roman" w:cs="Times New Roman"/>
                <w:bCs/>
                <w:color w:val="auto"/>
                <w:sz w:val="24"/>
                <w:u w:val="none"/>
              </w:rPr>
              <w:t>（</w:t>
            </w:r>
            <w:r>
              <w:rPr>
                <w:rFonts w:hint="eastAsia" w:ascii="Times New Roman" w:hAnsi="Times New Roman" w:cs="Times New Roman"/>
                <w:bCs/>
                <w:color w:val="auto"/>
                <w:sz w:val="24"/>
                <w:u w:val="none"/>
              </w:rPr>
              <w:t>r</w:t>
            </w:r>
            <w:r>
              <w:rPr>
                <w:rFonts w:ascii="Times New Roman" w:hAnsi="Times New Roman" w:cs="Times New Roman"/>
                <w:bCs/>
                <w:color w:val="auto"/>
                <w:sz w:val="24"/>
                <w:u w:val="none"/>
                <w:vertAlign w:val="subscript"/>
              </w:rPr>
              <w:t>0</w:t>
            </w:r>
            <w:r>
              <w:rPr>
                <w:rFonts w:ascii="Times New Roman" w:hAnsi="Times New Roman" w:cs="Times New Roman"/>
                <w:bCs/>
                <w:color w:val="auto"/>
                <w:sz w:val="24"/>
                <w:u w:val="none"/>
              </w:rPr>
              <w:t>）</w:t>
            </w:r>
            <w:r>
              <w:rPr>
                <w:rFonts w:hint="eastAsia" w:ascii="Times New Roman" w:hAnsi="Times New Roman" w:cs="Times New Roman"/>
                <w:bCs/>
                <w:color w:val="auto"/>
                <w:sz w:val="24"/>
                <w:u w:val="none"/>
              </w:rPr>
              <w:t>——参考位置r</w:t>
            </w:r>
            <w:r>
              <w:rPr>
                <w:rFonts w:ascii="Times New Roman" w:hAnsi="Times New Roman" w:cs="Times New Roman"/>
                <w:bCs/>
                <w:color w:val="auto"/>
                <w:sz w:val="24"/>
                <w:u w:val="none"/>
                <w:vertAlign w:val="subscript"/>
              </w:rPr>
              <w:t>0</w:t>
            </w:r>
            <w:r>
              <w:rPr>
                <w:rFonts w:hint="eastAsia" w:ascii="Times New Roman" w:hAnsi="Times New Roman" w:cs="Times New Roman"/>
                <w:bCs/>
                <w:color w:val="auto"/>
                <w:sz w:val="24"/>
                <w:u w:val="none"/>
              </w:rPr>
              <w:t>处的声压级，dB；</w:t>
            </w:r>
          </w:p>
          <w:p w14:paraId="1E69FFD6">
            <w:pPr>
              <w:keepNext w:val="0"/>
              <w:keepLines w:val="0"/>
              <w:pageBreakBefore w:val="0"/>
              <w:widowControl w:val="0"/>
              <w:kinsoku/>
              <w:wordWrap/>
              <w:overflowPunct/>
              <w:topLinePunct w:val="0"/>
              <w:autoSpaceDE/>
              <w:autoSpaceDN/>
              <w:bidi w:val="0"/>
              <w:spacing w:line="500" w:lineRule="exact"/>
              <w:ind w:firstLine="480"/>
              <w:textAlignment w:val="auto"/>
              <w:rPr>
                <w:rFonts w:ascii="Times New Roman" w:hAnsi="Times New Roman" w:cs="Times New Roman"/>
                <w:bCs/>
                <w:color w:val="auto"/>
                <w:sz w:val="24"/>
                <w:u w:val="none"/>
              </w:rPr>
            </w:pPr>
            <w:r>
              <w:rPr>
                <w:rFonts w:ascii="Times New Roman" w:hAnsi="Times New Roman" w:cs="Times New Roman"/>
                <w:bCs/>
                <w:color w:val="auto"/>
                <w:sz w:val="24"/>
                <w:u w:val="none"/>
              </w:rPr>
              <w:t xml:space="preserve">      r——</w:t>
            </w:r>
            <w:r>
              <w:rPr>
                <w:rFonts w:hint="eastAsia" w:ascii="Times New Roman" w:hAnsi="Times New Roman" w:cs="Times New Roman"/>
                <w:bCs/>
                <w:color w:val="auto"/>
                <w:sz w:val="24"/>
                <w:u w:val="none"/>
              </w:rPr>
              <w:t>预测点距声源的距离，</w:t>
            </w:r>
            <w:r>
              <w:rPr>
                <w:rFonts w:ascii="Times New Roman" w:hAnsi="Times New Roman" w:cs="Times New Roman"/>
                <w:bCs/>
                <w:color w:val="auto"/>
                <w:sz w:val="24"/>
                <w:u w:val="none"/>
              </w:rPr>
              <w:t>m；</w:t>
            </w:r>
          </w:p>
          <w:p w14:paraId="5C7D3CEB">
            <w:pPr>
              <w:keepNext w:val="0"/>
              <w:keepLines w:val="0"/>
              <w:pageBreakBefore w:val="0"/>
              <w:widowControl w:val="0"/>
              <w:kinsoku/>
              <w:wordWrap/>
              <w:overflowPunct/>
              <w:topLinePunct w:val="0"/>
              <w:autoSpaceDE/>
              <w:autoSpaceDN/>
              <w:bidi w:val="0"/>
              <w:spacing w:line="500" w:lineRule="exact"/>
              <w:ind w:firstLine="1200" w:firstLineChars="500"/>
              <w:textAlignment w:val="auto"/>
              <w:rPr>
                <w:rFonts w:ascii="Times New Roman" w:hAnsi="Times New Roman" w:cs="Times New Roman"/>
                <w:bCs/>
                <w:color w:val="auto"/>
                <w:sz w:val="24"/>
                <w:u w:val="none"/>
              </w:rPr>
            </w:pPr>
            <w:r>
              <w:rPr>
                <w:rFonts w:hint="eastAsia" w:ascii="Times New Roman" w:hAnsi="Times New Roman" w:cs="Times New Roman"/>
                <w:bCs/>
                <w:color w:val="auto"/>
                <w:sz w:val="24"/>
                <w:u w:val="none"/>
              </w:rPr>
              <w:t>r</w:t>
            </w:r>
            <w:r>
              <w:rPr>
                <w:rFonts w:ascii="Times New Roman" w:hAnsi="Times New Roman" w:cs="Times New Roman"/>
                <w:bCs/>
                <w:color w:val="auto"/>
                <w:sz w:val="24"/>
                <w:u w:val="none"/>
                <w:vertAlign w:val="subscript"/>
              </w:rPr>
              <w:t>0</w:t>
            </w:r>
            <w:r>
              <w:rPr>
                <w:rFonts w:hint="eastAsia" w:ascii="Times New Roman" w:hAnsi="Times New Roman" w:cs="Times New Roman"/>
                <w:bCs/>
                <w:color w:val="auto"/>
                <w:sz w:val="24"/>
                <w:u w:val="none"/>
              </w:rPr>
              <w:t>——参考位置距声源的距离，</w:t>
            </w:r>
            <w:r>
              <w:rPr>
                <w:rFonts w:ascii="Times New Roman" w:hAnsi="Times New Roman" w:cs="Times New Roman"/>
                <w:bCs/>
                <w:color w:val="auto"/>
                <w:sz w:val="24"/>
                <w:u w:val="none"/>
              </w:rPr>
              <w:t>m。</w:t>
            </w:r>
          </w:p>
          <w:p w14:paraId="6A5931DE">
            <w:pPr>
              <w:keepNext w:val="0"/>
              <w:keepLines w:val="0"/>
              <w:pageBreakBefore w:val="0"/>
              <w:widowControl w:val="0"/>
              <w:kinsoku/>
              <w:wordWrap/>
              <w:overflowPunct/>
              <w:topLinePunct w:val="0"/>
              <w:autoSpaceDE/>
              <w:autoSpaceDN/>
              <w:bidi w:val="0"/>
              <w:spacing w:line="500" w:lineRule="exact"/>
              <w:ind w:firstLine="420" w:firstLineChars="200"/>
              <w:textAlignment w:val="auto"/>
              <w:rPr>
                <w:rFonts w:ascii="Times New Roman" w:hAnsi="Times New Roman" w:cs="Times New Roman"/>
                <w:bCs/>
                <w:color w:val="auto"/>
                <w:sz w:val="24"/>
                <w:u w:val="none"/>
              </w:rPr>
            </w:pPr>
            <w:r>
              <w:rPr>
                <w:rFonts w:ascii="Times New Roman" w:hAnsi="Times New Roman" w:cs="Times New Roman"/>
                <w:color w:val="auto"/>
                <w:u w:val="none"/>
              </w:rPr>
              <w:drawing>
                <wp:anchor distT="0" distB="0" distL="114300" distR="114300" simplePos="0" relativeHeight="251663360" behindDoc="0" locked="0" layoutInCell="1" allowOverlap="1">
                  <wp:simplePos x="0" y="0"/>
                  <wp:positionH relativeFrom="column">
                    <wp:posOffset>862965</wp:posOffset>
                  </wp:positionH>
                  <wp:positionV relativeFrom="paragraph">
                    <wp:posOffset>412750</wp:posOffset>
                  </wp:positionV>
                  <wp:extent cx="2837180" cy="544830"/>
                  <wp:effectExtent l="0" t="0" r="1270" b="7620"/>
                  <wp:wrapTopAndBottom/>
                  <wp:docPr id="20" name="图片 20" descr="C:\Users\ADMINI~1\AppData\Local\Temp\ksohtml11864\wps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I~1\AppData\Local\Temp\ksohtml11864\wps2.wmf"/>
                          <pic:cNvPicPr>
                            <a:picLocks noChangeAspect="1" noChangeArrowheads="1"/>
                          </pic:cNvPicPr>
                        </pic:nvPicPr>
                        <pic:blipFill>
                          <a:blip r:embed="rId23"/>
                          <a:srcRect/>
                          <a:stretch>
                            <a:fillRect/>
                          </a:stretch>
                        </pic:blipFill>
                        <pic:spPr>
                          <a:xfrm>
                            <a:off x="0" y="0"/>
                            <a:ext cx="2837180" cy="544830"/>
                          </a:xfrm>
                          <a:prstGeom prst="rect">
                            <a:avLst/>
                          </a:prstGeom>
                          <a:noFill/>
                          <a:ln>
                            <a:noFill/>
                          </a:ln>
                        </pic:spPr>
                      </pic:pic>
                    </a:graphicData>
                  </a:graphic>
                </wp:anchor>
              </w:drawing>
            </w:r>
            <w:r>
              <w:rPr>
                <w:rFonts w:hint="eastAsia" w:ascii="Times New Roman" w:hAnsi="Times New Roman" w:cs="Times New Roman"/>
                <w:bCs/>
                <w:color w:val="auto"/>
                <w:sz w:val="24"/>
                <w:u w:val="none"/>
              </w:rPr>
              <w:t>拟建</w:t>
            </w:r>
            <w:r>
              <w:rPr>
                <w:rFonts w:ascii="Times New Roman" w:hAnsi="Times New Roman" w:cs="Times New Roman"/>
                <w:bCs/>
                <w:color w:val="auto"/>
                <w:sz w:val="24"/>
                <w:u w:val="none"/>
              </w:rPr>
              <w:t>工程声源在预测点产生的贡献值（L</w:t>
            </w:r>
            <w:r>
              <w:rPr>
                <w:rFonts w:ascii="Times New Roman" w:hAnsi="Times New Roman" w:cs="Times New Roman"/>
                <w:bCs/>
                <w:color w:val="auto"/>
                <w:sz w:val="24"/>
                <w:u w:val="none"/>
                <w:vertAlign w:val="subscript"/>
              </w:rPr>
              <w:t>eqg</w:t>
            </w:r>
            <w:r>
              <w:rPr>
                <w:rFonts w:ascii="Times New Roman" w:hAnsi="Times New Roman" w:cs="Times New Roman"/>
                <w:bCs/>
                <w:color w:val="auto"/>
                <w:sz w:val="24"/>
                <w:u w:val="none"/>
              </w:rPr>
              <w:t>）计算公式：</w:t>
            </w:r>
          </w:p>
          <w:p w14:paraId="3564A613">
            <w:pPr>
              <w:keepNext w:val="0"/>
              <w:keepLines w:val="0"/>
              <w:pageBreakBefore w:val="0"/>
              <w:widowControl w:val="0"/>
              <w:kinsoku/>
              <w:wordWrap/>
              <w:overflowPunct/>
              <w:topLinePunct w:val="0"/>
              <w:autoSpaceDE/>
              <w:autoSpaceDN/>
              <w:bidi w:val="0"/>
              <w:spacing w:line="500" w:lineRule="exact"/>
              <w:ind w:firstLine="720" w:firstLineChars="300"/>
              <w:textAlignment w:val="auto"/>
              <w:rPr>
                <w:rFonts w:ascii="Times New Roman" w:hAnsi="Times New Roman" w:cs="Times New Roman"/>
                <w:bCs/>
                <w:color w:val="auto"/>
                <w:sz w:val="24"/>
                <w:u w:val="none"/>
              </w:rPr>
            </w:pPr>
            <w:r>
              <w:rPr>
                <w:rFonts w:ascii="Times New Roman" w:hAnsi="Times New Roman" w:cs="Times New Roman"/>
                <w:bCs/>
                <w:color w:val="auto"/>
                <w:sz w:val="24"/>
                <w:u w:val="none"/>
              </w:rPr>
              <w:t>式中：</w:t>
            </w:r>
            <w:r>
              <w:rPr>
                <w:rFonts w:ascii="Times New Roman" w:hAnsi="Times New Roman" w:cs="Times New Roman"/>
                <w:bCs/>
                <w:i/>
                <w:color w:val="auto"/>
                <w:sz w:val="24"/>
                <w:u w:val="none"/>
              </w:rPr>
              <w:t>L</w:t>
            </w:r>
            <w:r>
              <w:rPr>
                <w:rFonts w:ascii="Times New Roman" w:hAnsi="Times New Roman" w:cs="Times New Roman"/>
                <w:bCs/>
                <w:color w:val="auto"/>
                <w:sz w:val="24"/>
                <w:u w:val="none"/>
                <w:vertAlign w:val="subscript"/>
              </w:rPr>
              <w:t>eqg</w:t>
            </w:r>
            <w:r>
              <w:rPr>
                <w:rFonts w:hint="eastAsia" w:ascii="Times New Roman" w:hAnsi="Times New Roman" w:cs="Times New Roman"/>
                <w:bCs/>
                <w:color w:val="auto"/>
                <w:sz w:val="24"/>
                <w:u w:val="none"/>
              </w:rPr>
              <w:t>——建设</w:t>
            </w:r>
            <w:r>
              <w:rPr>
                <w:rFonts w:ascii="Times New Roman" w:hAnsi="Times New Roman" w:cs="Times New Roman"/>
                <w:bCs/>
                <w:color w:val="auto"/>
                <w:sz w:val="24"/>
                <w:u w:val="none"/>
              </w:rPr>
              <w:t>项目</w:t>
            </w:r>
            <w:r>
              <w:rPr>
                <w:rFonts w:hint="eastAsia" w:ascii="Times New Roman" w:hAnsi="Times New Roman" w:cs="Times New Roman"/>
                <w:bCs/>
                <w:color w:val="auto"/>
                <w:sz w:val="24"/>
                <w:u w:val="none"/>
              </w:rPr>
              <w:t>声源在</w:t>
            </w:r>
            <w:r>
              <w:rPr>
                <w:rFonts w:ascii="Times New Roman" w:hAnsi="Times New Roman" w:cs="Times New Roman"/>
                <w:bCs/>
                <w:color w:val="auto"/>
                <w:sz w:val="24"/>
                <w:u w:val="none"/>
              </w:rPr>
              <w:t>预测的产生的</w:t>
            </w:r>
            <w:r>
              <w:rPr>
                <w:rFonts w:hint="eastAsia" w:ascii="Times New Roman" w:hAnsi="Times New Roman" w:cs="Times New Roman"/>
                <w:bCs/>
                <w:color w:val="auto"/>
                <w:sz w:val="24"/>
                <w:u w:val="none"/>
              </w:rPr>
              <w:t>噪声</w:t>
            </w:r>
            <w:r>
              <w:rPr>
                <w:rFonts w:ascii="Times New Roman" w:hAnsi="Times New Roman" w:cs="Times New Roman"/>
                <w:bCs/>
                <w:color w:val="auto"/>
                <w:sz w:val="24"/>
                <w:u w:val="none"/>
              </w:rPr>
              <w:t>贡献值，dB；</w:t>
            </w:r>
          </w:p>
          <w:p w14:paraId="68506563">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ascii="Times New Roman" w:hAnsi="Times New Roman" w:cs="Times New Roman"/>
                <w:bCs/>
                <w:color w:val="auto"/>
                <w:sz w:val="24"/>
                <w:u w:val="none"/>
              </w:rPr>
            </w:pPr>
            <w:r>
              <w:rPr>
                <w:rFonts w:ascii="Times New Roman" w:hAnsi="Times New Roman" w:cs="Times New Roman"/>
                <w:bCs/>
                <w:color w:val="auto"/>
                <w:sz w:val="24"/>
                <w:u w:val="none"/>
              </w:rPr>
              <w:t xml:space="preserve">        </w:t>
            </w:r>
            <w:r>
              <w:rPr>
                <w:rFonts w:ascii="Times New Roman" w:hAnsi="Times New Roman" w:cs="Times New Roman"/>
                <w:bCs/>
                <w:i/>
                <w:color w:val="auto"/>
                <w:sz w:val="24"/>
                <w:u w:val="none"/>
              </w:rPr>
              <w:t>T</w:t>
            </w:r>
            <w:r>
              <w:rPr>
                <w:rFonts w:hint="eastAsia" w:ascii="Times New Roman" w:hAnsi="Times New Roman" w:cs="Times New Roman"/>
                <w:bCs/>
                <w:color w:val="auto"/>
                <w:sz w:val="24"/>
                <w:u w:val="none"/>
              </w:rPr>
              <w:t>——用于计算等效声级的时间</w:t>
            </w:r>
            <w:r>
              <w:rPr>
                <w:rFonts w:ascii="Times New Roman" w:hAnsi="Times New Roman" w:cs="Times New Roman"/>
                <w:bCs/>
                <w:color w:val="auto"/>
                <w:sz w:val="24"/>
                <w:u w:val="none"/>
              </w:rPr>
              <w:t>，s；</w:t>
            </w:r>
          </w:p>
          <w:p w14:paraId="084CB9BE">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ascii="Times New Roman" w:hAnsi="Times New Roman" w:cs="Times New Roman"/>
                <w:bCs/>
                <w:color w:val="auto"/>
                <w:sz w:val="24"/>
                <w:u w:val="none"/>
              </w:rPr>
            </w:pPr>
            <w:r>
              <w:rPr>
                <w:rFonts w:hint="eastAsia" w:ascii="Times New Roman" w:hAnsi="Times New Roman" w:cs="Times New Roman"/>
                <w:bCs/>
                <w:color w:val="auto"/>
                <w:sz w:val="24"/>
                <w:u w:val="none"/>
              </w:rPr>
              <w:t xml:space="preserve">    </w:t>
            </w:r>
            <w:r>
              <w:rPr>
                <w:rFonts w:ascii="Times New Roman" w:hAnsi="Times New Roman" w:cs="Times New Roman"/>
                <w:bCs/>
                <w:color w:val="auto"/>
                <w:sz w:val="24"/>
                <w:u w:val="none"/>
              </w:rPr>
              <w:t xml:space="preserve"> </w:t>
            </w:r>
            <w:r>
              <w:rPr>
                <w:rFonts w:hint="eastAsia" w:ascii="Times New Roman" w:hAnsi="Times New Roman" w:cs="Times New Roman"/>
                <w:bCs/>
                <w:color w:val="auto"/>
                <w:sz w:val="24"/>
                <w:u w:val="none"/>
              </w:rPr>
              <w:t xml:space="preserve">   </w:t>
            </w:r>
            <w:r>
              <w:rPr>
                <w:rFonts w:ascii="Times New Roman" w:hAnsi="Times New Roman" w:cs="Times New Roman"/>
                <w:bCs/>
                <w:color w:val="auto"/>
                <w:sz w:val="24"/>
                <w:u w:val="none"/>
              </w:rPr>
              <w:t>N——</w:t>
            </w:r>
            <w:r>
              <w:rPr>
                <w:rFonts w:hint="eastAsia" w:ascii="Times New Roman" w:hAnsi="Times New Roman" w:cs="Times New Roman"/>
                <w:bCs/>
                <w:color w:val="auto"/>
                <w:sz w:val="24"/>
                <w:u w:val="none"/>
              </w:rPr>
              <w:t>室外</w:t>
            </w:r>
            <w:r>
              <w:rPr>
                <w:rFonts w:ascii="Times New Roman" w:hAnsi="Times New Roman" w:cs="Times New Roman"/>
                <w:bCs/>
                <w:color w:val="auto"/>
                <w:sz w:val="24"/>
                <w:u w:val="none"/>
              </w:rPr>
              <w:t>声源</w:t>
            </w:r>
            <w:r>
              <w:rPr>
                <w:rFonts w:hint="eastAsia" w:ascii="Times New Roman" w:hAnsi="Times New Roman" w:cs="Times New Roman"/>
                <w:bCs/>
                <w:color w:val="auto"/>
                <w:sz w:val="24"/>
                <w:u w:val="none"/>
              </w:rPr>
              <w:t>个数；</w:t>
            </w:r>
          </w:p>
          <w:p w14:paraId="1E0E93CC">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ascii="Times New Roman" w:hAnsi="Times New Roman" w:cs="Times New Roman"/>
                <w:bCs/>
                <w:color w:val="auto"/>
                <w:sz w:val="24"/>
                <w:u w:val="none"/>
              </w:rPr>
            </w:pPr>
            <w:r>
              <w:rPr>
                <w:rFonts w:ascii="Times New Roman" w:hAnsi="Times New Roman" w:cs="Times New Roman"/>
                <w:bCs/>
                <w:color w:val="auto"/>
                <w:sz w:val="24"/>
                <w:u w:val="none"/>
              </w:rPr>
              <w:t xml:space="preserve">        </w:t>
            </w:r>
            <w:r>
              <w:rPr>
                <w:rFonts w:ascii="Times New Roman" w:hAnsi="Times New Roman" w:cs="Times New Roman"/>
                <w:bCs/>
                <w:i/>
                <w:color w:val="auto"/>
                <w:sz w:val="24"/>
                <w:u w:val="none"/>
              </w:rPr>
              <w:t>t</w:t>
            </w:r>
            <w:r>
              <w:rPr>
                <w:rFonts w:ascii="Times New Roman" w:hAnsi="Times New Roman" w:cs="Times New Roman"/>
                <w:bCs/>
                <w:i/>
                <w:color w:val="auto"/>
                <w:sz w:val="24"/>
                <w:u w:val="none"/>
                <w:vertAlign w:val="subscript"/>
              </w:rPr>
              <w:t>i</w:t>
            </w:r>
            <w:r>
              <w:rPr>
                <w:rFonts w:hint="eastAsia" w:ascii="Times New Roman" w:hAnsi="Times New Roman" w:cs="Times New Roman"/>
                <w:bCs/>
                <w:i/>
                <w:color w:val="auto"/>
                <w:sz w:val="24"/>
                <w:u w:val="none"/>
              </w:rPr>
              <w:t>——</w:t>
            </w:r>
            <w:r>
              <w:rPr>
                <w:rFonts w:ascii="Times New Roman" w:hAnsi="Times New Roman" w:cs="Times New Roman"/>
                <w:bCs/>
                <w:color w:val="auto"/>
                <w:sz w:val="24"/>
                <w:u w:val="none"/>
              </w:rPr>
              <w:t>在T</w:t>
            </w:r>
            <w:r>
              <w:rPr>
                <w:rFonts w:hint="eastAsia" w:ascii="Times New Roman" w:hAnsi="Times New Roman" w:cs="Times New Roman"/>
                <w:bCs/>
                <w:color w:val="auto"/>
                <w:sz w:val="24"/>
                <w:u w:val="none"/>
              </w:rPr>
              <w:t>时间内</w:t>
            </w:r>
            <w:r>
              <w:rPr>
                <w:rFonts w:ascii="Times New Roman" w:hAnsi="Times New Roman" w:cs="Times New Roman"/>
                <w:bCs/>
                <w:i/>
                <w:color w:val="auto"/>
                <w:sz w:val="24"/>
                <w:u w:val="none"/>
              </w:rPr>
              <w:t>i</w:t>
            </w:r>
            <w:r>
              <w:rPr>
                <w:rFonts w:ascii="Times New Roman" w:hAnsi="Times New Roman" w:cs="Times New Roman"/>
                <w:bCs/>
                <w:color w:val="auto"/>
                <w:sz w:val="24"/>
                <w:u w:val="none"/>
              </w:rPr>
              <w:t>声源内</w:t>
            </w:r>
            <w:r>
              <w:rPr>
                <w:rFonts w:hint="eastAsia" w:ascii="Times New Roman" w:hAnsi="Times New Roman" w:cs="Times New Roman"/>
                <w:bCs/>
                <w:color w:val="auto"/>
                <w:sz w:val="24"/>
                <w:u w:val="none"/>
              </w:rPr>
              <w:t>工作时间</w:t>
            </w:r>
            <w:r>
              <w:rPr>
                <w:rFonts w:ascii="Times New Roman" w:hAnsi="Times New Roman" w:cs="Times New Roman"/>
                <w:bCs/>
                <w:color w:val="auto"/>
                <w:sz w:val="24"/>
                <w:u w:val="none"/>
              </w:rPr>
              <w:t>，s；</w:t>
            </w:r>
          </w:p>
          <w:p w14:paraId="30DF634E">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ascii="Times New Roman" w:hAnsi="Times New Roman" w:cs="Times New Roman"/>
                <w:bCs/>
                <w:color w:val="auto"/>
                <w:sz w:val="24"/>
                <w:u w:val="none"/>
              </w:rPr>
            </w:pPr>
            <w:r>
              <w:rPr>
                <w:rFonts w:ascii="Times New Roman" w:hAnsi="Times New Roman" w:cs="Times New Roman"/>
                <w:bCs/>
                <w:color w:val="auto"/>
                <w:sz w:val="24"/>
                <w:u w:val="none"/>
              </w:rPr>
              <w:t xml:space="preserve">        M——</w:t>
            </w:r>
            <w:r>
              <w:rPr>
                <w:rFonts w:hint="eastAsia" w:ascii="Times New Roman" w:hAnsi="Times New Roman" w:cs="Times New Roman"/>
                <w:bCs/>
                <w:color w:val="auto"/>
                <w:sz w:val="24"/>
                <w:u w:val="none"/>
              </w:rPr>
              <w:t>等效室外声源个数；</w:t>
            </w:r>
          </w:p>
          <w:p w14:paraId="2335849B">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ascii="Times New Roman" w:hAnsi="Times New Roman" w:cs="Times New Roman"/>
                <w:bCs/>
                <w:color w:val="auto"/>
                <w:sz w:val="24"/>
                <w:u w:val="none"/>
              </w:rPr>
            </w:pPr>
            <w:r>
              <w:rPr>
                <w:rFonts w:ascii="Times New Roman" w:hAnsi="Times New Roman" w:cs="Times New Roman"/>
                <w:bCs/>
                <w:color w:val="auto"/>
                <w:sz w:val="24"/>
                <w:u w:val="none"/>
              </w:rPr>
              <w:t xml:space="preserve">        </w:t>
            </w:r>
            <w:r>
              <w:rPr>
                <w:rFonts w:ascii="Times New Roman" w:hAnsi="Times New Roman" w:cs="Times New Roman"/>
                <w:bCs/>
                <w:i/>
                <w:color w:val="auto"/>
                <w:sz w:val="24"/>
                <w:u w:val="none"/>
              </w:rPr>
              <w:t>t</w:t>
            </w:r>
            <w:r>
              <w:rPr>
                <w:rFonts w:ascii="Times New Roman" w:hAnsi="Times New Roman" w:cs="Times New Roman"/>
                <w:bCs/>
                <w:i/>
                <w:color w:val="auto"/>
                <w:sz w:val="24"/>
                <w:u w:val="none"/>
                <w:vertAlign w:val="subscript"/>
              </w:rPr>
              <w:t>i</w:t>
            </w:r>
            <w:r>
              <w:rPr>
                <w:rFonts w:hint="eastAsia" w:ascii="Times New Roman" w:hAnsi="Times New Roman" w:cs="Times New Roman"/>
                <w:bCs/>
                <w:i/>
                <w:color w:val="auto"/>
                <w:sz w:val="24"/>
                <w:u w:val="none"/>
              </w:rPr>
              <w:t>——</w:t>
            </w:r>
            <w:r>
              <w:rPr>
                <w:rFonts w:ascii="Times New Roman" w:hAnsi="Times New Roman" w:cs="Times New Roman"/>
                <w:bCs/>
                <w:color w:val="auto"/>
                <w:sz w:val="24"/>
                <w:u w:val="none"/>
              </w:rPr>
              <w:t>在T</w:t>
            </w:r>
            <w:r>
              <w:rPr>
                <w:rFonts w:hint="eastAsia" w:ascii="Times New Roman" w:hAnsi="Times New Roman" w:cs="Times New Roman"/>
                <w:bCs/>
                <w:color w:val="auto"/>
                <w:sz w:val="24"/>
                <w:u w:val="none"/>
              </w:rPr>
              <w:t>时间内</w:t>
            </w:r>
            <w:r>
              <w:rPr>
                <w:rFonts w:ascii="Times New Roman" w:hAnsi="Times New Roman" w:cs="Times New Roman"/>
                <w:bCs/>
                <w:i/>
                <w:color w:val="auto"/>
                <w:sz w:val="24"/>
                <w:u w:val="none"/>
              </w:rPr>
              <w:t>j</w:t>
            </w:r>
            <w:r>
              <w:rPr>
                <w:rFonts w:ascii="Times New Roman" w:hAnsi="Times New Roman" w:cs="Times New Roman"/>
                <w:bCs/>
                <w:color w:val="auto"/>
                <w:sz w:val="24"/>
                <w:u w:val="none"/>
              </w:rPr>
              <w:t>声源内</w:t>
            </w:r>
            <w:r>
              <w:rPr>
                <w:rFonts w:hint="eastAsia" w:ascii="Times New Roman" w:hAnsi="Times New Roman" w:cs="Times New Roman"/>
                <w:bCs/>
                <w:color w:val="auto"/>
                <w:sz w:val="24"/>
                <w:u w:val="none"/>
              </w:rPr>
              <w:t>工作时间</w:t>
            </w:r>
            <w:r>
              <w:rPr>
                <w:rFonts w:ascii="Times New Roman" w:hAnsi="Times New Roman" w:cs="Times New Roman"/>
                <w:bCs/>
                <w:color w:val="auto"/>
                <w:sz w:val="24"/>
                <w:u w:val="none"/>
              </w:rPr>
              <w:t>，s</w:t>
            </w:r>
            <w:r>
              <w:rPr>
                <w:rFonts w:hint="eastAsia" w:ascii="Times New Roman" w:hAnsi="Times New Roman" w:cs="Times New Roman"/>
                <w:bCs/>
                <w:color w:val="auto"/>
                <w:sz w:val="24"/>
                <w:u w:val="none"/>
              </w:rPr>
              <w:t>。</w:t>
            </w:r>
          </w:p>
          <w:p w14:paraId="53DADE91">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u w:val="none"/>
              </w:rPr>
            </w:pPr>
            <w:r>
              <w:rPr>
                <w:rFonts w:hint="eastAsia" w:ascii="Times New Roman" w:hAnsi="Times New Roman" w:cs="Times New Roman"/>
                <w:color w:val="auto"/>
                <w:sz w:val="24"/>
                <w:u w:val="none"/>
              </w:rPr>
              <w:t>根据本项目噪声源在</w:t>
            </w:r>
            <w:r>
              <w:rPr>
                <w:rFonts w:hint="eastAsia" w:ascii="Times New Roman" w:hAnsi="Times New Roman" w:cs="Times New Roman"/>
                <w:color w:val="auto"/>
                <w:sz w:val="24"/>
                <w:u w:val="none"/>
                <w:lang w:val="en-US" w:eastAsia="zh-CN"/>
              </w:rPr>
              <w:t>站</w:t>
            </w:r>
            <w:r>
              <w:rPr>
                <w:rFonts w:hint="eastAsia" w:ascii="Times New Roman" w:hAnsi="Times New Roman" w:cs="Times New Roman"/>
                <w:color w:val="auto"/>
                <w:sz w:val="24"/>
                <w:u w:val="none"/>
              </w:rPr>
              <w:t>区内的分布，选择主要高噪声源对厂界的影响进行预测。</w:t>
            </w:r>
            <w:r>
              <w:rPr>
                <w:rFonts w:ascii="Times New Roman" w:hAnsi="Times New Roman" w:cs="Times New Roman"/>
                <w:color w:val="auto"/>
                <w:sz w:val="24"/>
                <w:u w:val="none"/>
              </w:rPr>
              <w:t>经基础减振、消声等措施治理后源强可</w:t>
            </w:r>
            <w:r>
              <w:rPr>
                <w:rFonts w:hint="eastAsia" w:cs="Times New Roman"/>
                <w:color w:val="auto"/>
                <w:sz w:val="24"/>
                <w:u w:val="none"/>
                <w:lang w:val="en-US" w:eastAsia="zh-CN"/>
              </w:rPr>
              <w:t>降低</w:t>
            </w:r>
            <w:r>
              <w:rPr>
                <w:rFonts w:hint="eastAsia" w:ascii="Times New Roman" w:hAnsi="Times New Roman" w:cs="Times New Roman"/>
                <w:color w:val="auto"/>
                <w:sz w:val="24"/>
                <w:u w:val="none"/>
              </w:rPr>
              <w:t>1</w:t>
            </w:r>
            <w:r>
              <w:rPr>
                <w:rFonts w:ascii="Times New Roman" w:hAnsi="Times New Roman" w:cs="Times New Roman"/>
                <w:color w:val="auto"/>
                <w:sz w:val="24"/>
                <w:u w:val="none"/>
              </w:rPr>
              <w:t>5dB（</w:t>
            </w:r>
            <w:r>
              <w:rPr>
                <w:rFonts w:hint="eastAsia" w:ascii="Times New Roman" w:hAnsi="Times New Roman" w:cs="Times New Roman"/>
                <w:color w:val="auto"/>
                <w:sz w:val="24"/>
                <w:u w:val="none"/>
              </w:rPr>
              <w:t>A</w:t>
            </w:r>
            <w:r>
              <w:rPr>
                <w:rFonts w:ascii="Times New Roman" w:hAnsi="Times New Roman" w:cs="Times New Roman"/>
                <w:color w:val="auto"/>
                <w:sz w:val="24"/>
                <w:u w:val="none"/>
              </w:rPr>
              <w:t>）</w:t>
            </w:r>
            <w:r>
              <w:rPr>
                <w:rFonts w:hint="eastAsia" w:ascii="Times New Roman" w:hAnsi="Times New Roman" w:cs="Times New Roman"/>
                <w:color w:val="auto"/>
                <w:sz w:val="24"/>
                <w:u w:val="none"/>
              </w:rPr>
              <w:t>以上</w:t>
            </w:r>
            <w:r>
              <w:rPr>
                <w:rFonts w:ascii="Times New Roman" w:hAnsi="Times New Roman" w:cs="Times New Roman"/>
                <w:color w:val="auto"/>
                <w:sz w:val="24"/>
                <w:u w:val="none"/>
              </w:rPr>
              <w:t>，评价以</w:t>
            </w:r>
            <w:r>
              <w:rPr>
                <w:rFonts w:hint="eastAsia" w:ascii="Times New Roman" w:hAnsi="Times New Roman" w:cs="Times New Roman"/>
                <w:color w:val="auto"/>
                <w:sz w:val="24"/>
                <w:u w:val="none"/>
                <w:lang w:val="en-US" w:eastAsia="zh-CN"/>
              </w:rPr>
              <w:t>20</w:t>
            </w:r>
            <w:r>
              <w:rPr>
                <w:rFonts w:ascii="Times New Roman" w:hAnsi="Times New Roman" w:cs="Times New Roman"/>
                <w:color w:val="auto"/>
                <w:sz w:val="24"/>
                <w:u w:val="none"/>
              </w:rPr>
              <w:t>dB（</w:t>
            </w:r>
            <w:r>
              <w:rPr>
                <w:rFonts w:hint="eastAsia" w:ascii="Times New Roman" w:hAnsi="Times New Roman" w:cs="Times New Roman"/>
                <w:color w:val="auto"/>
                <w:sz w:val="24"/>
                <w:u w:val="none"/>
              </w:rPr>
              <w:t>A</w:t>
            </w:r>
            <w:r>
              <w:rPr>
                <w:rFonts w:ascii="Times New Roman" w:hAnsi="Times New Roman" w:cs="Times New Roman"/>
                <w:color w:val="auto"/>
                <w:sz w:val="24"/>
                <w:u w:val="none"/>
              </w:rPr>
              <w:t>）</w:t>
            </w:r>
            <w:r>
              <w:rPr>
                <w:rFonts w:hint="eastAsia" w:ascii="Times New Roman" w:hAnsi="Times New Roman" w:cs="Times New Roman"/>
                <w:color w:val="auto"/>
                <w:sz w:val="24"/>
                <w:u w:val="none"/>
                <w:lang w:val="en-US" w:eastAsia="zh-CN"/>
              </w:rPr>
              <w:t>计算</w:t>
            </w:r>
            <w:r>
              <w:rPr>
                <w:rFonts w:ascii="Times New Roman" w:hAnsi="Times New Roman" w:cs="Times New Roman"/>
                <w:color w:val="auto"/>
                <w:sz w:val="24"/>
                <w:u w:val="none"/>
              </w:rPr>
              <w:t>。</w:t>
            </w:r>
          </w:p>
          <w:p w14:paraId="480C13F9">
            <w:pPr>
              <w:keepNext w:val="0"/>
              <w:keepLines w:val="0"/>
              <w:pageBreakBefore w:val="0"/>
              <w:widowControl w:val="0"/>
              <w:kinsoku/>
              <w:wordWrap/>
              <w:overflowPunct/>
              <w:topLinePunct w:val="0"/>
              <w:autoSpaceDE/>
              <w:autoSpaceDN/>
              <w:bidi w:val="0"/>
              <w:adjustRightInd w:val="0"/>
              <w:snapToGrid w:val="0"/>
              <w:spacing w:line="500" w:lineRule="exact"/>
              <w:ind w:left="0" w:leftChars="0" w:firstLine="482" w:firstLineChars="200"/>
              <w:textAlignment w:val="auto"/>
              <w:rPr>
                <w:rFonts w:hint="default" w:ascii="Times New Roman" w:hAnsi="Times New Roman" w:cs="Times New Roman"/>
                <w:b/>
                <w:bCs/>
                <w:color w:val="auto"/>
                <w:sz w:val="24"/>
                <w:szCs w:val="24"/>
                <w:u w:val="none"/>
              </w:rPr>
            </w:pPr>
            <w:r>
              <w:rPr>
                <w:rFonts w:hint="eastAsia" w:cs="Times New Roman"/>
                <w:b/>
                <w:bCs/>
                <w:color w:val="auto"/>
                <w:sz w:val="24"/>
                <w:szCs w:val="24"/>
                <w:u w:val="none"/>
                <w:lang w:val="en-US" w:eastAsia="zh-CN"/>
              </w:rPr>
              <w:t>3.3</w:t>
            </w:r>
            <w:r>
              <w:rPr>
                <w:rFonts w:hint="default" w:ascii="Times New Roman" w:hAnsi="Times New Roman" w:cs="Times New Roman"/>
                <w:b/>
                <w:bCs/>
                <w:color w:val="auto"/>
                <w:sz w:val="24"/>
                <w:szCs w:val="24"/>
                <w:u w:val="none"/>
              </w:rPr>
              <w:t>预测结果</w:t>
            </w:r>
          </w:p>
          <w:p w14:paraId="184B3AA2">
            <w:pPr>
              <w:pStyle w:val="61"/>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color w:val="auto"/>
                <w:kern w:val="2"/>
                <w:szCs w:val="24"/>
                <w:u w:val="none"/>
              </w:rPr>
            </w:pPr>
            <w:r>
              <w:rPr>
                <w:rFonts w:hint="default" w:ascii="Times New Roman" w:hAnsi="Times New Roman" w:cs="Times New Roman"/>
                <w:color w:val="auto"/>
                <w:kern w:val="2"/>
                <w:sz w:val="24"/>
                <w:szCs w:val="24"/>
                <w:u w:val="none"/>
              </w:rPr>
              <w:t>经调查，项目生产</w:t>
            </w:r>
            <w:r>
              <w:rPr>
                <w:rFonts w:hint="eastAsia" w:ascii="Times New Roman" w:hAnsi="Times New Roman" w:cs="Times New Roman"/>
                <w:color w:val="auto"/>
                <w:kern w:val="2"/>
                <w:sz w:val="24"/>
                <w:szCs w:val="24"/>
                <w:u w:val="none"/>
                <w:lang w:val="en-US" w:eastAsia="zh-CN"/>
              </w:rPr>
              <w:t>三班</w:t>
            </w:r>
            <w:r>
              <w:rPr>
                <w:rFonts w:hint="default" w:ascii="Times New Roman" w:hAnsi="Times New Roman" w:cs="Times New Roman"/>
                <w:color w:val="auto"/>
                <w:kern w:val="2"/>
                <w:sz w:val="24"/>
                <w:szCs w:val="24"/>
                <w:u w:val="none"/>
              </w:rPr>
              <w:t>工作制，因此本次评价预测项目</w:t>
            </w:r>
            <w:r>
              <w:rPr>
                <w:rFonts w:hint="eastAsia" w:ascii="Times New Roman" w:hAnsi="Times New Roman" w:cs="Times New Roman"/>
                <w:color w:val="auto"/>
                <w:kern w:val="2"/>
                <w:sz w:val="24"/>
                <w:szCs w:val="24"/>
                <w:u w:val="none"/>
                <w:lang w:val="en-US" w:eastAsia="zh-CN"/>
              </w:rPr>
              <w:t>全天</w:t>
            </w:r>
            <w:r>
              <w:rPr>
                <w:rFonts w:hint="default" w:ascii="Times New Roman" w:hAnsi="Times New Roman" w:cs="Times New Roman"/>
                <w:color w:val="auto"/>
                <w:kern w:val="2"/>
                <w:sz w:val="24"/>
                <w:szCs w:val="24"/>
                <w:u w:val="none"/>
              </w:rPr>
              <w:t>噪声源对厂界四周噪声贡献情况。噪声预测结果见下表。</w:t>
            </w:r>
          </w:p>
          <w:p w14:paraId="665AA022">
            <w:pPr>
              <w:pStyle w:val="21"/>
              <w:keepNext w:val="0"/>
              <w:keepLines w:val="0"/>
              <w:pageBreakBefore w:val="0"/>
              <w:widowControl w:val="0"/>
              <w:kinsoku/>
              <w:wordWrap/>
              <w:overflowPunct/>
              <w:topLinePunct w:val="0"/>
              <w:autoSpaceDE/>
              <w:autoSpaceDN/>
              <w:bidi w:val="0"/>
              <w:adjustRightInd/>
              <w:snapToGrid/>
              <w:spacing w:after="0" w:line="240" w:lineRule="auto"/>
              <w:ind w:left="0" w:leftChars="0" w:firstLine="480" w:firstLineChars="200"/>
              <w:jc w:val="center"/>
              <w:textAlignment w:val="auto"/>
              <w:rPr>
                <w:rFonts w:hint="eastAsia" w:ascii="Times New Roman" w:hAnsi="Times New Roman" w:eastAsia="黑体" w:cs="Times New Roman"/>
                <w:color w:val="auto"/>
                <w:sz w:val="24"/>
                <w:szCs w:val="24"/>
                <w:u w:val="none"/>
                <w:lang w:val="en-US" w:eastAsia="zh-CN"/>
              </w:rPr>
            </w:pPr>
            <w:r>
              <w:rPr>
                <w:rFonts w:hint="default" w:ascii="Times New Roman" w:hAnsi="Times New Roman" w:eastAsia="黑体" w:cs="Times New Roman"/>
                <w:b w:val="0"/>
                <w:bCs w:val="0"/>
                <w:color w:val="auto"/>
                <w:sz w:val="24"/>
                <w:szCs w:val="24"/>
                <w:u w:val="none"/>
                <w:lang w:val="en-US" w:eastAsia="zh-CN"/>
              </w:rPr>
              <w:t>表</w:t>
            </w:r>
            <w:r>
              <w:rPr>
                <w:rFonts w:hint="eastAsia" w:eastAsia="黑体" w:cs="Times New Roman"/>
                <w:b w:val="0"/>
                <w:bCs w:val="0"/>
                <w:color w:val="auto"/>
                <w:sz w:val="24"/>
                <w:szCs w:val="24"/>
                <w:u w:val="none"/>
                <w:lang w:val="en-US" w:eastAsia="zh-CN"/>
              </w:rPr>
              <w:t xml:space="preserve">4-8 </w:t>
            </w:r>
            <w:r>
              <w:rPr>
                <w:rFonts w:hint="eastAsia" w:ascii="Times New Roman" w:hAnsi="Times New Roman" w:eastAsia="黑体" w:cs="Times New Roman"/>
                <w:color w:val="auto"/>
                <w:kern w:val="2"/>
                <w:sz w:val="24"/>
                <w:szCs w:val="24"/>
                <w:u w:val="none"/>
                <w:lang w:val="en-US" w:eastAsia="zh-CN" w:bidi="ar-SA"/>
              </w:rPr>
              <w:t>本项目实施后厂界噪声预测结果一览表 单位：dB（A）</w:t>
            </w:r>
          </w:p>
          <w:tbl>
            <w:tblPr>
              <w:tblStyle w:val="32"/>
              <w:tblW w:w="8372"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649"/>
              <w:gridCol w:w="1799"/>
              <w:gridCol w:w="1055"/>
              <w:gridCol w:w="1163"/>
              <w:gridCol w:w="1325"/>
              <w:gridCol w:w="1377"/>
              <w:gridCol w:w="1004"/>
            </w:tblGrid>
            <w:tr w14:paraId="4F30173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98" w:hRule="atLeast"/>
                <w:jc w:val="center"/>
              </w:trPr>
              <w:tc>
                <w:tcPr>
                  <w:tcW w:w="649" w:type="dxa"/>
                  <w:tcBorders>
                    <w:tl2br w:val="nil"/>
                    <w:tr2bl w:val="nil"/>
                  </w:tcBorders>
                  <w:vAlign w:val="center"/>
                </w:tcPr>
                <w:p w14:paraId="4FD9B9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bCs/>
                      <w:color w:val="auto"/>
                      <w:szCs w:val="21"/>
                      <w:u w:val="none"/>
                      <w:lang w:val="en-US" w:eastAsia="zh-CN"/>
                    </w:rPr>
                  </w:pPr>
                  <w:r>
                    <w:rPr>
                      <w:rFonts w:hint="eastAsia" w:ascii="Times New Roman" w:hAnsi="Times New Roman" w:cs="Times New Roman"/>
                      <w:b/>
                      <w:bCs/>
                      <w:color w:val="auto"/>
                      <w:szCs w:val="21"/>
                      <w:u w:val="none"/>
                      <w:lang w:val="en-US" w:eastAsia="zh-CN"/>
                    </w:rPr>
                    <w:t>预测方位</w:t>
                  </w:r>
                </w:p>
              </w:tc>
              <w:tc>
                <w:tcPr>
                  <w:tcW w:w="1799" w:type="dxa"/>
                  <w:tcBorders>
                    <w:tl2br w:val="nil"/>
                    <w:tr2bl w:val="nil"/>
                  </w:tcBorders>
                  <w:vAlign w:val="center"/>
                </w:tcPr>
                <w:p w14:paraId="447AC7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Cs w:val="21"/>
                      <w:u w:val="none"/>
                      <w:lang w:val="en-US" w:eastAsia="zh-CN"/>
                    </w:rPr>
                  </w:pPr>
                  <w:r>
                    <w:rPr>
                      <w:rFonts w:hint="eastAsia" w:ascii="Times New Roman" w:hAnsi="Times New Roman" w:cs="Times New Roman"/>
                      <w:b/>
                      <w:bCs/>
                      <w:color w:val="auto"/>
                      <w:szCs w:val="21"/>
                      <w:u w:val="none"/>
                      <w:lang w:val="en-US" w:eastAsia="zh-CN"/>
                    </w:rPr>
                    <w:t>声源</w:t>
                  </w:r>
                </w:p>
              </w:tc>
              <w:tc>
                <w:tcPr>
                  <w:tcW w:w="1055" w:type="dxa"/>
                  <w:tcBorders>
                    <w:tl2br w:val="nil"/>
                    <w:tr2bl w:val="nil"/>
                  </w:tcBorders>
                  <w:vAlign w:val="center"/>
                </w:tcPr>
                <w:p w14:paraId="0B92FB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Cs w:val="21"/>
                      <w:u w:val="none"/>
                      <w:lang w:val="en-US" w:eastAsia="zh-CN"/>
                    </w:rPr>
                  </w:pPr>
                  <w:r>
                    <w:rPr>
                      <w:rFonts w:hint="eastAsia" w:ascii="Times New Roman" w:hAnsi="Times New Roman" w:cs="Times New Roman"/>
                      <w:b/>
                      <w:bCs/>
                      <w:color w:val="auto"/>
                      <w:szCs w:val="21"/>
                      <w:u w:val="none"/>
                      <w:lang w:val="en-US" w:eastAsia="zh-CN"/>
                    </w:rPr>
                    <w:t>治理后源强</w:t>
                  </w:r>
                </w:p>
              </w:tc>
              <w:tc>
                <w:tcPr>
                  <w:tcW w:w="1163" w:type="dxa"/>
                  <w:tcBorders>
                    <w:tl2br w:val="nil"/>
                    <w:tr2bl w:val="nil"/>
                  </w:tcBorders>
                  <w:vAlign w:val="center"/>
                </w:tcPr>
                <w:p w14:paraId="6DB502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Cs w:val="21"/>
                      <w:u w:val="none"/>
                      <w:lang w:val="en-US" w:eastAsia="zh-CN"/>
                    </w:rPr>
                  </w:pPr>
                  <w:r>
                    <w:rPr>
                      <w:rFonts w:hint="eastAsia" w:ascii="Times New Roman" w:hAnsi="Times New Roman" w:cs="Times New Roman"/>
                      <w:b/>
                      <w:bCs/>
                      <w:color w:val="auto"/>
                      <w:szCs w:val="21"/>
                      <w:u w:val="none"/>
                      <w:lang w:val="en-US" w:eastAsia="zh-CN"/>
                    </w:rPr>
                    <w:t>与厂界距离（m）</w:t>
                  </w:r>
                </w:p>
              </w:tc>
              <w:tc>
                <w:tcPr>
                  <w:tcW w:w="1325" w:type="dxa"/>
                  <w:tcBorders>
                    <w:tl2br w:val="nil"/>
                    <w:tr2bl w:val="nil"/>
                  </w:tcBorders>
                  <w:vAlign w:val="center"/>
                </w:tcPr>
                <w:p w14:paraId="4112A7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Cs w:val="21"/>
                      <w:u w:val="none"/>
                      <w:lang w:val="en-US" w:eastAsia="zh-CN"/>
                    </w:rPr>
                  </w:pPr>
                  <w:r>
                    <w:rPr>
                      <w:rFonts w:hint="eastAsia" w:ascii="Times New Roman" w:hAnsi="Times New Roman" w:cs="Times New Roman"/>
                      <w:b/>
                      <w:bCs/>
                      <w:color w:val="auto"/>
                      <w:szCs w:val="21"/>
                      <w:u w:val="none"/>
                      <w:lang w:val="en-US" w:eastAsia="zh-CN"/>
                    </w:rPr>
                    <w:t>贡献值</w:t>
                  </w:r>
                </w:p>
              </w:tc>
              <w:tc>
                <w:tcPr>
                  <w:tcW w:w="1377" w:type="dxa"/>
                  <w:tcBorders>
                    <w:tl2br w:val="nil"/>
                    <w:tr2bl w:val="nil"/>
                  </w:tcBorders>
                  <w:vAlign w:val="center"/>
                </w:tcPr>
                <w:p w14:paraId="08AC72F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bCs/>
                      <w:color w:val="auto"/>
                      <w:szCs w:val="21"/>
                      <w:u w:val="none"/>
                      <w:lang w:val="en-US" w:eastAsia="zh-CN"/>
                    </w:rPr>
                  </w:pPr>
                  <w:r>
                    <w:rPr>
                      <w:rFonts w:hint="eastAsia" w:ascii="Times New Roman" w:hAnsi="Times New Roman" w:cs="Times New Roman"/>
                      <w:b/>
                      <w:bCs/>
                      <w:color w:val="auto"/>
                      <w:szCs w:val="21"/>
                      <w:u w:val="none"/>
                      <w:lang w:val="en-US" w:eastAsia="zh-CN"/>
                    </w:rPr>
                    <w:t>标准限值</w:t>
                  </w:r>
                </w:p>
                <w:p w14:paraId="6CB79A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bCs/>
                      <w:color w:val="auto"/>
                      <w:szCs w:val="21"/>
                      <w:u w:val="none"/>
                      <w:lang w:val="en-US" w:eastAsia="zh-CN"/>
                    </w:rPr>
                  </w:pPr>
                  <w:r>
                    <w:rPr>
                      <w:rFonts w:hint="eastAsia" w:ascii="Times New Roman" w:hAnsi="Times New Roman" w:cs="Times New Roman"/>
                      <w:b/>
                      <w:bCs/>
                      <w:color w:val="auto"/>
                      <w:szCs w:val="21"/>
                      <w:u w:val="none"/>
                      <w:lang w:val="en-US" w:eastAsia="zh-CN"/>
                    </w:rPr>
                    <w:t>（dB（A））</w:t>
                  </w:r>
                </w:p>
              </w:tc>
              <w:tc>
                <w:tcPr>
                  <w:tcW w:w="1004" w:type="dxa"/>
                  <w:tcBorders>
                    <w:tl2br w:val="nil"/>
                    <w:tr2bl w:val="nil"/>
                  </w:tcBorders>
                  <w:vAlign w:val="center"/>
                </w:tcPr>
                <w:p w14:paraId="3F3F8A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bCs/>
                      <w:color w:val="auto"/>
                      <w:szCs w:val="21"/>
                      <w:u w:val="none"/>
                      <w:lang w:val="en-US" w:eastAsia="zh-CN"/>
                    </w:rPr>
                  </w:pPr>
                  <w:r>
                    <w:rPr>
                      <w:rFonts w:hint="eastAsia" w:ascii="Times New Roman" w:hAnsi="Times New Roman" w:cs="Times New Roman"/>
                      <w:b/>
                      <w:bCs/>
                      <w:color w:val="auto"/>
                      <w:szCs w:val="21"/>
                      <w:u w:val="none"/>
                      <w:lang w:val="en-US" w:eastAsia="zh-CN"/>
                    </w:rPr>
                    <w:t>达标</w:t>
                  </w:r>
                </w:p>
                <w:p w14:paraId="1D13D7F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bCs/>
                      <w:color w:val="auto"/>
                      <w:szCs w:val="21"/>
                      <w:u w:val="none"/>
                      <w:lang w:val="en-US" w:eastAsia="zh-CN"/>
                    </w:rPr>
                  </w:pPr>
                  <w:r>
                    <w:rPr>
                      <w:rFonts w:hint="eastAsia" w:ascii="Times New Roman" w:hAnsi="Times New Roman" w:cs="Times New Roman"/>
                      <w:b/>
                      <w:bCs/>
                      <w:color w:val="auto"/>
                      <w:szCs w:val="21"/>
                      <w:u w:val="none"/>
                      <w:lang w:val="en-US" w:eastAsia="zh-CN"/>
                    </w:rPr>
                    <w:t>情况</w:t>
                  </w:r>
                </w:p>
              </w:tc>
            </w:tr>
            <w:tr w14:paraId="4FE80AD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restart"/>
                  <w:tcBorders>
                    <w:tl2br w:val="nil"/>
                    <w:tr2bl w:val="nil"/>
                  </w:tcBorders>
                  <w:vAlign w:val="center"/>
                </w:tcPr>
                <w:p w14:paraId="57B08DD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u w:val="none"/>
                      <w:lang w:val="en-US" w:eastAsia="zh-CN"/>
                    </w:rPr>
                  </w:pPr>
                  <w:r>
                    <w:rPr>
                      <w:rFonts w:hint="eastAsia" w:ascii="Times New Roman" w:hAnsi="Times New Roman" w:cs="Times New Roman"/>
                      <w:color w:val="auto"/>
                      <w:szCs w:val="21"/>
                      <w:u w:val="none"/>
                      <w:lang w:val="en-US" w:eastAsia="zh-CN"/>
                    </w:rPr>
                    <w:t>东</w:t>
                  </w:r>
                </w:p>
              </w:tc>
              <w:tc>
                <w:tcPr>
                  <w:tcW w:w="1799" w:type="dxa"/>
                  <w:tcBorders>
                    <w:tl2br w:val="nil"/>
                    <w:tr2bl w:val="nil"/>
                  </w:tcBorders>
                  <w:vAlign w:val="center"/>
                </w:tcPr>
                <w:p w14:paraId="004E5DC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 w:val="21"/>
                      <w:szCs w:val="21"/>
                      <w:u w:val="none"/>
                      <w:lang w:val="en-US" w:eastAsia="zh-CN"/>
                    </w:rPr>
                    <w:t>1#发电机组</w:t>
                  </w:r>
                </w:p>
              </w:tc>
              <w:tc>
                <w:tcPr>
                  <w:tcW w:w="1055" w:type="dxa"/>
                  <w:tcBorders>
                    <w:tl2br w:val="nil"/>
                    <w:tr2bl w:val="nil"/>
                  </w:tcBorders>
                  <w:vAlign w:val="center"/>
                </w:tcPr>
                <w:p w14:paraId="5C53B78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5EE6E2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u w:val="none"/>
                      <w:lang w:val="en-US" w:eastAsia="zh-CN"/>
                    </w:rPr>
                  </w:pPr>
                  <w:r>
                    <w:rPr>
                      <w:rFonts w:hint="eastAsia" w:cs="Times New Roman"/>
                      <w:color w:val="auto"/>
                      <w:szCs w:val="21"/>
                      <w:u w:val="none"/>
                      <w:lang w:val="en-US" w:eastAsia="zh-CN"/>
                    </w:rPr>
                    <w:t>4</w:t>
                  </w:r>
                </w:p>
              </w:tc>
              <w:tc>
                <w:tcPr>
                  <w:tcW w:w="1325" w:type="dxa"/>
                  <w:tcBorders>
                    <w:tl2br w:val="nil"/>
                    <w:tr2bl w:val="nil"/>
                  </w:tcBorders>
                  <w:vAlign w:val="center"/>
                </w:tcPr>
                <w:p w14:paraId="6A88520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highlight w:val="yellow"/>
                      <w:u w:val="none"/>
                      <w:lang w:val="en-US" w:eastAsia="zh-CN"/>
                    </w:rPr>
                  </w:pPr>
                  <w:r>
                    <w:rPr>
                      <w:rFonts w:hint="eastAsia" w:cs="Times New Roman"/>
                      <w:color w:val="auto"/>
                      <w:szCs w:val="21"/>
                      <w:highlight w:val="none"/>
                      <w:u w:val="none"/>
                      <w:lang w:val="en-US" w:eastAsia="zh-CN"/>
                    </w:rPr>
                    <w:t>48</w:t>
                  </w:r>
                </w:p>
              </w:tc>
              <w:tc>
                <w:tcPr>
                  <w:tcW w:w="1377" w:type="dxa"/>
                  <w:vMerge w:val="restart"/>
                  <w:tcBorders>
                    <w:tl2br w:val="nil"/>
                    <w:tr2bl w:val="nil"/>
                  </w:tcBorders>
                  <w:vAlign w:val="center"/>
                </w:tcPr>
                <w:p w14:paraId="3DA5A1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u w:val="none"/>
                      <w:lang w:val="en-US" w:eastAsia="zh-CN"/>
                    </w:rPr>
                  </w:pPr>
                  <w:r>
                    <w:rPr>
                      <w:rFonts w:hint="eastAsia"/>
                      <w:lang w:val="en-US" w:eastAsia="zh-CN"/>
                    </w:rPr>
                    <w:t>夜/昼</w:t>
                  </w:r>
                  <w:r>
                    <w:rPr>
                      <w:rFonts w:hint="eastAsia" w:ascii="Times New Roman" w:hAnsi="Times New Roman" w:cs="Times New Roman"/>
                      <w:color w:val="auto"/>
                      <w:szCs w:val="21"/>
                      <w:u w:val="none"/>
                      <w:lang w:val="en-US" w:eastAsia="zh-CN"/>
                    </w:rPr>
                    <w:t>5</w:t>
                  </w:r>
                  <w:r>
                    <w:rPr>
                      <w:rFonts w:hint="eastAsia" w:cs="Times New Roman"/>
                      <w:color w:val="auto"/>
                      <w:szCs w:val="21"/>
                      <w:u w:val="none"/>
                      <w:lang w:val="en-US" w:eastAsia="zh-CN"/>
                    </w:rPr>
                    <w:t>0</w:t>
                  </w:r>
                  <w:r>
                    <w:rPr>
                      <w:rFonts w:hint="eastAsia" w:ascii="Times New Roman" w:hAnsi="Times New Roman" w:cs="Times New Roman"/>
                      <w:color w:val="auto"/>
                      <w:szCs w:val="21"/>
                      <w:u w:val="none"/>
                      <w:lang w:val="en-US" w:eastAsia="zh-CN"/>
                    </w:rPr>
                    <w:t>/6</w:t>
                  </w:r>
                  <w:r>
                    <w:rPr>
                      <w:rFonts w:hint="eastAsia" w:cs="Times New Roman"/>
                      <w:color w:val="auto"/>
                      <w:szCs w:val="21"/>
                      <w:u w:val="none"/>
                      <w:lang w:val="en-US" w:eastAsia="zh-CN"/>
                    </w:rPr>
                    <w:t>0</w:t>
                  </w:r>
                </w:p>
              </w:tc>
              <w:tc>
                <w:tcPr>
                  <w:tcW w:w="1004" w:type="dxa"/>
                  <w:vMerge w:val="restart"/>
                  <w:tcBorders>
                    <w:tl2br w:val="nil"/>
                    <w:tr2bl w:val="nil"/>
                  </w:tcBorders>
                  <w:vAlign w:val="center"/>
                </w:tcPr>
                <w:p w14:paraId="13971C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Cs w:val="21"/>
                      <w:u w:val="none"/>
                      <w:lang w:val="en-US" w:eastAsia="zh-CN"/>
                    </w:rPr>
                  </w:pPr>
                  <w:r>
                    <w:rPr>
                      <w:rFonts w:hint="eastAsia" w:ascii="Times New Roman" w:hAnsi="Times New Roman" w:cs="Times New Roman"/>
                      <w:color w:val="auto"/>
                      <w:szCs w:val="21"/>
                      <w:u w:val="none"/>
                      <w:lang w:val="en-US" w:eastAsia="zh-CN"/>
                    </w:rPr>
                    <w:t>达标</w:t>
                  </w:r>
                </w:p>
              </w:tc>
            </w:tr>
            <w:tr w14:paraId="0CDBC5E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649" w:type="dxa"/>
                  <w:vMerge w:val="continue"/>
                  <w:tcBorders>
                    <w:tl2br w:val="nil"/>
                    <w:tr2bl w:val="nil"/>
                  </w:tcBorders>
                  <w:vAlign w:val="center"/>
                </w:tcPr>
                <w:p w14:paraId="2AAA03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5C38ADE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 w:val="21"/>
                      <w:szCs w:val="21"/>
                      <w:u w:val="none"/>
                      <w:lang w:val="en-US" w:eastAsia="zh-CN"/>
                    </w:rPr>
                    <w:t>2#发电机组</w:t>
                  </w:r>
                </w:p>
              </w:tc>
              <w:tc>
                <w:tcPr>
                  <w:tcW w:w="1055" w:type="dxa"/>
                  <w:tcBorders>
                    <w:tl2br w:val="nil"/>
                    <w:tr2bl w:val="nil"/>
                  </w:tcBorders>
                  <w:vAlign w:val="center"/>
                </w:tcPr>
                <w:p w14:paraId="722FC61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151339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u w:val="none"/>
                      <w:lang w:val="en-US" w:eastAsia="zh-CN"/>
                    </w:rPr>
                  </w:pPr>
                  <w:r>
                    <w:rPr>
                      <w:rFonts w:hint="eastAsia" w:cs="Times New Roman"/>
                      <w:color w:val="auto"/>
                      <w:szCs w:val="21"/>
                      <w:u w:val="none"/>
                      <w:lang w:val="en-US" w:eastAsia="zh-CN"/>
                    </w:rPr>
                    <w:t>4</w:t>
                  </w:r>
                </w:p>
              </w:tc>
              <w:tc>
                <w:tcPr>
                  <w:tcW w:w="1325" w:type="dxa"/>
                  <w:tcBorders>
                    <w:tl2br w:val="nil"/>
                    <w:tr2bl w:val="nil"/>
                  </w:tcBorders>
                  <w:vAlign w:val="center"/>
                </w:tcPr>
                <w:p w14:paraId="68C5D6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u w:val="none"/>
                      <w:lang w:val="en-US" w:eastAsia="zh-CN"/>
                    </w:rPr>
                  </w:pPr>
                  <w:r>
                    <w:rPr>
                      <w:rFonts w:hint="eastAsia" w:cs="Times New Roman"/>
                      <w:color w:val="auto"/>
                      <w:szCs w:val="21"/>
                      <w:u w:val="none"/>
                      <w:lang w:val="en-US" w:eastAsia="zh-CN"/>
                    </w:rPr>
                    <w:t>48</w:t>
                  </w:r>
                </w:p>
              </w:tc>
              <w:tc>
                <w:tcPr>
                  <w:tcW w:w="1377" w:type="dxa"/>
                  <w:vMerge w:val="continue"/>
                  <w:tcBorders>
                    <w:tl2br w:val="nil"/>
                    <w:tr2bl w:val="nil"/>
                  </w:tcBorders>
                  <w:vAlign w:val="center"/>
                </w:tcPr>
                <w:p w14:paraId="027354F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48640E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5A25B40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continue"/>
                  <w:tcBorders>
                    <w:tl2br w:val="nil"/>
                    <w:tr2bl w:val="nil"/>
                  </w:tcBorders>
                  <w:vAlign w:val="center"/>
                </w:tcPr>
                <w:p w14:paraId="3CA31C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457C388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3#发电机组</w:t>
                  </w:r>
                </w:p>
              </w:tc>
              <w:tc>
                <w:tcPr>
                  <w:tcW w:w="1055" w:type="dxa"/>
                  <w:tcBorders>
                    <w:tl2br w:val="nil"/>
                    <w:tr2bl w:val="nil"/>
                  </w:tcBorders>
                  <w:vAlign w:val="center"/>
                </w:tcPr>
                <w:p w14:paraId="0C757B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7302DD2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u w:val="none"/>
                      <w:lang w:val="en-US" w:eastAsia="zh-CN"/>
                    </w:rPr>
                  </w:pPr>
                  <w:r>
                    <w:rPr>
                      <w:rFonts w:hint="eastAsia" w:cs="Times New Roman"/>
                      <w:color w:val="auto"/>
                      <w:szCs w:val="21"/>
                      <w:u w:val="none"/>
                      <w:lang w:val="en-US" w:eastAsia="zh-CN"/>
                    </w:rPr>
                    <w:t>4</w:t>
                  </w:r>
                </w:p>
              </w:tc>
              <w:tc>
                <w:tcPr>
                  <w:tcW w:w="1325" w:type="dxa"/>
                  <w:tcBorders>
                    <w:tl2br w:val="nil"/>
                    <w:tr2bl w:val="nil"/>
                  </w:tcBorders>
                  <w:vAlign w:val="center"/>
                </w:tcPr>
                <w:p w14:paraId="65417E1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u w:val="none"/>
                      <w:lang w:val="en-US" w:eastAsia="zh-CN"/>
                    </w:rPr>
                  </w:pPr>
                  <w:r>
                    <w:rPr>
                      <w:rFonts w:hint="eastAsia" w:cs="Times New Roman"/>
                      <w:color w:val="auto"/>
                      <w:szCs w:val="21"/>
                      <w:u w:val="none"/>
                      <w:lang w:val="en-US" w:eastAsia="zh-CN"/>
                    </w:rPr>
                    <w:t>48</w:t>
                  </w:r>
                </w:p>
              </w:tc>
              <w:tc>
                <w:tcPr>
                  <w:tcW w:w="1377" w:type="dxa"/>
                  <w:vMerge w:val="continue"/>
                  <w:tcBorders>
                    <w:tl2br w:val="nil"/>
                    <w:tr2bl w:val="nil"/>
                  </w:tcBorders>
                  <w:vAlign w:val="center"/>
                </w:tcPr>
                <w:p w14:paraId="0D17E77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60ABF12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0298BBD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continue"/>
                  <w:tcBorders>
                    <w:tl2br w:val="nil"/>
                    <w:tr2bl w:val="nil"/>
                  </w:tcBorders>
                  <w:vAlign w:val="center"/>
                </w:tcPr>
                <w:p w14:paraId="56B689D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3AB5CF6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4#发电机组</w:t>
                  </w:r>
                </w:p>
              </w:tc>
              <w:tc>
                <w:tcPr>
                  <w:tcW w:w="1055" w:type="dxa"/>
                  <w:tcBorders>
                    <w:tl2br w:val="nil"/>
                    <w:tr2bl w:val="nil"/>
                  </w:tcBorders>
                  <w:vAlign w:val="center"/>
                </w:tcPr>
                <w:p w14:paraId="7BA763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719D73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u w:val="none"/>
                      <w:lang w:val="en-US" w:eastAsia="zh-CN"/>
                    </w:rPr>
                  </w:pPr>
                  <w:r>
                    <w:rPr>
                      <w:rFonts w:hint="eastAsia" w:cs="Times New Roman"/>
                      <w:color w:val="auto"/>
                      <w:szCs w:val="21"/>
                      <w:u w:val="none"/>
                      <w:lang w:val="en-US" w:eastAsia="zh-CN"/>
                    </w:rPr>
                    <w:t>4</w:t>
                  </w:r>
                </w:p>
              </w:tc>
              <w:tc>
                <w:tcPr>
                  <w:tcW w:w="1325" w:type="dxa"/>
                  <w:tcBorders>
                    <w:tl2br w:val="nil"/>
                    <w:tr2bl w:val="nil"/>
                  </w:tcBorders>
                  <w:vAlign w:val="center"/>
                </w:tcPr>
                <w:p w14:paraId="0F39B6A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u w:val="none"/>
                      <w:lang w:val="en-US" w:eastAsia="zh-CN"/>
                    </w:rPr>
                  </w:pPr>
                  <w:r>
                    <w:rPr>
                      <w:rFonts w:hint="eastAsia" w:cs="Times New Roman"/>
                      <w:color w:val="auto"/>
                      <w:szCs w:val="21"/>
                      <w:u w:val="none"/>
                      <w:lang w:val="en-US" w:eastAsia="zh-CN"/>
                    </w:rPr>
                    <w:t>48</w:t>
                  </w:r>
                </w:p>
              </w:tc>
              <w:tc>
                <w:tcPr>
                  <w:tcW w:w="1377" w:type="dxa"/>
                  <w:vMerge w:val="continue"/>
                  <w:tcBorders>
                    <w:tl2br w:val="nil"/>
                    <w:tr2bl w:val="nil"/>
                  </w:tcBorders>
                  <w:vAlign w:val="center"/>
                </w:tcPr>
                <w:p w14:paraId="5F9FE6A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6DB16A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0D88DC3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continue"/>
                  <w:tcBorders>
                    <w:tl2br w:val="nil"/>
                    <w:tr2bl w:val="nil"/>
                  </w:tcBorders>
                  <w:vAlign w:val="center"/>
                </w:tcPr>
                <w:p w14:paraId="43DBE65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32A1C02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1#</w:t>
                  </w:r>
                  <w:r>
                    <w:rPr>
                      <w:rFonts w:hint="eastAsia" w:cs="Times New Roman"/>
                      <w:color w:val="auto"/>
                      <w:sz w:val="21"/>
                      <w:szCs w:val="21"/>
                      <w:u w:val="none"/>
                      <w:lang w:val="en-US" w:eastAsia="zh-CN"/>
                    </w:rPr>
                    <w:t>风冷冷水</w:t>
                  </w:r>
                  <w:r>
                    <w:rPr>
                      <w:rFonts w:hint="eastAsia" w:ascii="Times New Roman" w:hAnsi="Times New Roman" w:cs="Times New Roman"/>
                      <w:color w:val="auto"/>
                      <w:sz w:val="21"/>
                      <w:szCs w:val="21"/>
                      <w:u w:val="none"/>
                      <w:lang w:val="en-US" w:eastAsia="zh-CN"/>
                    </w:rPr>
                    <w:t>机组</w:t>
                  </w:r>
                </w:p>
              </w:tc>
              <w:tc>
                <w:tcPr>
                  <w:tcW w:w="1055" w:type="dxa"/>
                  <w:tcBorders>
                    <w:tl2br w:val="nil"/>
                    <w:tr2bl w:val="nil"/>
                  </w:tcBorders>
                  <w:vAlign w:val="center"/>
                </w:tcPr>
                <w:p w14:paraId="606B0D6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7408CB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4</w:t>
                  </w:r>
                </w:p>
              </w:tc>
              <w:tc>
                <w:tcPr>
                  <w:tcW w:w="1325" w:type="dxa"/>
                  <w:tcBorders>
                    <w:tl2br w:val="nil"/>
                    <w:tr2bl w:val="nil"/>
                  </w:tcBorders>
                  <w:vAlign w:val="center"/>
                </w:tcPr>
                <w:p w14:paraId="414171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highlight w:val="none"/>
                      <w:u w:val="none"/>
                      <w:lang w:val="en-US" w:eastAsia="zh-CN"/>
                    </w:rPr>
                    <w:t>48</w:t>
                  </w:r>
                </w:p>
              </w:tc>
              <w:tc>
                <w:tcPr>
                  <w:tcW w:w="1377" w:type="dxa"/>
                  <w:vMerge w:val="continue"/>
                  <w:tcBorders>
                    <w:tl2br w:val="nil"/>
                    <w:tr2bl w:val="nil"/>
                  </w:tcBorders>
                  <w:vAlign w:val="center"/>
                </w:tcPr>
                <w:p w14:paraId="1351B3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54BBBF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590E938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continue"/>
                  <w:tcBorders>
                    <w:tl2br w:val="nil"/>
                    <w:tr2bl w:val="nil"/>
                  </w:tcBorders>
                  <w:vAlign w:val="center"/>
                </w:tcPr>
                <w:p w14:paraId="1778787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61EBE37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2</w:t>
                  </w:r>
                  <w:r>
                    <w:rPr>
                      <w:rFonts w:hint="eastAsia" w:ascii="Times New Roman" w:hAnsi="Times New Roman" w:cs="Times New Roman"/>
                      <w:color w:val="auto"/>
                      <w:sz w:val="21"/>
                      <w:szCs w:val="21"/>
                      <w:u w:val="none"/>
                      <w:lang w:val="en-US" w:eastAsia="zh-CN"/>
                    </w:rPr>
                    <w:t>#</w:t>
                  </w:r>
                  <w:r>
                    <w:rPr>
                      <w:rFonts w:hint="eastAsia" w:cs="Times New Roman"/>
                      <w:color w:val="auto"/>
                      <w:sz w:val="21"/>
                      <w:szCs w:val="21"/>
                      <w:u w:val="none"/>
                      <w:lang w:val="en-US" w:eastAsia="zh-CN"/>
                    </w:rPr>
                    <w:t>风冷冷水</w:t>
                  </w:r>
                  <w:r>
                    <w:rPr>
                      <w:rFonts w:hint="eastAsia" w:ascii="Times New Roman" w:hAnsi="Times New Roman" w:cs="Times New Roman"/>
                      <w:color w:val="auto"/>
                      <w:sz w:val="21"/>
                      <w:szCs w:val="21"/>
                      <w:u w:val="none"/>
                      <w:lang w:val="en-US" w:eastAsia="zh-CN"/>
                    </w:rPr>
                    <w:t>机组</w:t>
                  </w:r>
                </w:p>
              </w:tc>
              <w:tc>
                <w:tcPr>
                  <w:tcW w:w="1055" w:type="dxa"/>
                  <w:tcBorders>
                    <w:tl2br w:val="nil"/>
                    <w:tr2bl w:val="nil"/>
                  </w:tcBorders>
                  <w:vAlign w:val="center"/>
                </w:tcPr>
                <w:p w14:paraId="16F26D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0C248C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4</w:t>
                  </w:r>
                </w:p>
              </w:tc>
              <w:tc>
                <w:tcPr>
                  <w:tcW w:w="1325" w:type="dxa"/>
                  <w:tcBorders>
                    <w:tl2br w:val="nil"/>
                    <w:tr2bl w:val="nil"/>
                  </w:tcBorders>
                  <w:vAlign w:val="center"/>
                </w:tcPr>
                <w:p w14:paraId="14790F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48</w:t>
                  </w:r>
                </w:p>
              </w:tc>
              <w:tc>
                <w:tcPr>
                  <w:tcW w:w="1377" w:type="dxa"/>
                  <w:vMerge w:val="continue"/>
                  <w:tcBorders>
                    <w:tl2br w:val="nil"/>
                    <w:tr2bl w:val="nil"/>
                  </w:tcBorders>
                  <w:vAlign w:val="center"/>
                </w:tcPr>
                <w:p w14:paraId="61033E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271B1E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7B25D5D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continue"/>
                  <w:tcBorders>
                    <w:tl2br w:val="nil"/>
                    <w:tr2bl w:val="nil"/>
                  </w:tcBorders>
                  <w:vAlign w:val="center"/>
                </w:tcPr>
                <w:p w14:paraId="1E8DA9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1E474D9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3</w:t>
                  </w:r>
                  <w:r>
                    <w:rPr>
                      <w:rFonts w:hint="eastAsia" w:ascii="Times New Roman" w:hAnsi="Times New Roman" w:cs="Times New Roman"/>
                      <w:color w:val="auto"/>
                      <w:sz w:val="21"/>
                      <w:szCs w:val="21"/>
                      <w:u w:val="none"/>
                      <w:lang w:val="en-US" w:eastAsia="zh-CN"/>
                    </w:rPr>
                    <w:t>#</w:t>
                  </w:r>
                  <w:r>
                    <w:rPr>
                      <w:rFonts w:hint="eastAsia" w:cs="Times New Roman"/>
                      <w:color w:val="auto"/>
                      <w:sz w:val="21"/>
                      <w:szCs w:val="21"/>
                      <w:u w:val="none"/>
                      <w:lang w:val="en-US" w:eastAsia="zh-CN"/>
                    </w:rPr>
                    <w:t>风冷冷水</w:t>
                  </w:r>
                  <w:r>
                    <w:rPr>
                      <w:rFonts w:hint="eastAsia" w:ascii="Times New Roman" w:hAnsi="Times New Roman" w:cs="Times New Roman"/>
                      <w:color w:val="auto"/>
                      <w:sz w:val="21"/>
                      <w:szCs w:val="21"/>
                      <w:u w:val="none"/>
                      <w:lang w:val="en-US" w:eastAsia="zh-CN"/>
                    </w:rPr>
                    <w:t>机组</w:t>
                  </w:r>
                </w:p>
              </w:tc>
              <w:tc>
                <w:tcPr>
                  <w:tcW w:w="1055" w:type="dxa"/>
                  <w:tcBorders>
                    <w:tl2br w:val="nil"/>
                    <w:tr2bl w:val="nil"/>
                  </w:tcBorders>
                  <w:vAlign w:val="center"/>
                </w:tcPr>
                <w:p w14:paraId="0ED7BE3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0D7731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4</w:t>
                  </w:r>
                </w:p>
              </w:tc>
              <w:tc>
                <w:tcPr>
                  <w:tcW w:w="1325" w:type="dxa"/>
                  <w:tcBorders>
                    <w:tl2br w:val="nil"/>
                    <w:tr2bl w:val="nil"/>
                  </w:tcBorders>
                  <w:vAlign w:val="center"/>
                </w:tcPr>
                <w:p w14:paraId="34D101D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48</w:t>
                  </w:r>
                </w:p>
              </w:tc>
              <w:tc>
                <w:tcPr>
                  <w:tcW w:w="1377" w:type="dxa"/>
                  <w:vMerge w:val="continue"/>
                  <w:tcBorders>
                    <w:tl2br w:val="nil"/>
                    <w:tr2bl w:val="nil"/>
                  </w:tcBorders>
                  <w:vAlign w:val="center"/>
                </w:tcPr>
                <w:p w14:paraId="29926B5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1804E2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65F1D6E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continue"/>
                  <w:tcBorders>
                    <w:tl2br w:val="nil"/>
                    <w:tr2bl w:val="nil"/>
                  </w:tcBorders>
                  <w:vAlign w:val="center"/>
                </w:tcPr>
                <w:p w14:paraId="2DBDA5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6DD8E20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4</w:t>
                  </w:r>
                  <w:r>
                    <w:rPr>
                      <w:rFonts w:hint="eastAsia" w:ascii="Times New Roman" w:hAnsi="Times New Roman" w:cs="Times New Roman"/>
                      <w:color w:val="auto"/>
                      <w:sz w:val="21"/>
                      <w:szCs w:val="21"/>
                      <w:u w:val="none"/>
                      <w:lang w:val="en-US" w:eastAsia="zh-CN"/>
                    </w:rPr>
                    <w:t>#</w:t>
                  </w:r>
                  <w:r>
                    <w:rPr>
                      <w:rFonts w:hint="eastAsia" w:cs="Times New Roman"/>
                      <w:color w:val="auto"/>
                      <w:sz w:val="21"/>
                      <w:szCs w:val="21"/>
                      <w:u w:val="none"/>
                      <w:lang w:val="en-US" w:eastAsia="zh-CN"/>
                    </w:rPr>
                    <w:t>风冷冷水</w:t>
                  </w:r>
                  <w:r>
                    <w:rPr>
                      <w:rFonts w:hint="eastAsia" w:ascii="Times New Roman" w:hAnsi="Times New Roman" w:cs="Times New Roman"/>
                      <w:color w:val="auto"/>
                      <w:sz w:val="21"/>
                      <w:szCs w:val="21"/>
                      <w:u w:val="none"/>
                      <w:lang w:val="en-US" w:eastAsia="zh-CN"/>
                    </w:rPr>
                    <w:t>机组</w:t>
                  </w:r>
                </w:p>
              </w:tc>
              <w:tc>
                <w:tcPr>
                  <w:tcW w:w="1055" w:type="dxa"/>
                  <w:tcBorders>
                    <w:tl2br w:val="nil"/>
                    <w:tr2bl w:val="nil"/>
                  </w:tcBorders>
                  <w:vAlign w:val="center"/>
                </w:tcPr>
                <w:p w14:paraId="6D0A05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047D0C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4</w:t>
                  </w:r>
                </w:p>
              </w:tc>
              <w:tc>
                <w:tcPr>
                  <w:tcW w:w="1325" w:type="dxa"/>
                  <w:tcBorders>
                    <w:tl2br w:val="nil"/>
                    <w:tr2bl w:val="nil"/>
                  </w:tcBorders>
                  <w:vAlign w:val="center"/>
                </w:tcPr>
                <w:p w14:paraId="3CB71B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48</w:t>
                  </w:r>
                </w:p>
              </w:tc>
              <w:tc>
                <w:tcPr>
                  <w:tcW w:w="1377" w:type="dxa"/>
                  <w:vMerge w:val="continue"/>
                  <w:tcBorders>
                    <w:tl2br w:val="nil"/>
                    <w:tr2bl w:val="nil"/>
                  </w:tcBorders>
                  <w:vAlign w:val="center"/>
                </w:tcPr>
                <w:p w14:paraId="0D873D6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3B21E04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3B7AD6F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restart"/>
                  <w:tcBorders>
                    <w:tl2br w:val="nil"/>
                    <w:tr2bl w:val="nil"/>
                  </w:tcBorders>
                  <w:vAlign w:val="center"/>
                </w:tcPr>
                <w:p w14:paraId="7D6C39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Cs w:val="21"/>
                      <w:u w:val="none"/>
                      <w:lang w:val="en-US" w:eastAsia="zh-CN"/>
                    </w:rPr>
                  </w:pPr>
                  <w:r>
                    <w:rPr>
                      <w:rFonts w:hint="eastAsia" w:ascii="Times New Roman" w:hAnsi="Times New Roman" w:cs="Times New Roman"/>
                      <w:color w:val="auto"/>
                      <w:szCs w:val="21"/>
                      <w:u w:val="none"/>
                      <w:lang w:val="en-US" w:eastAsia="zh-CN"/>
                    </w:rPr>
                    <w:t>南</w:t>
                  </w:r>
                </w:p>
              </w:tc>
              <w:tc>
                <w:tcPr>
                  <w:tcW w:w="1799" w:type="dxa"/>
                  <w:tcBorders>
                    <w:tl2br w:val="nil"/>
                    <w:tr2bl w:val="nil"/>
                  </w:tcBorders>
                  <w:vAlign w:val="center"/>
                </w:tcPr>
                <w:p w14:paraId="34C2B50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 w:val="21"/>
                      <w:szCs w:val="21"/>
                      <w:u w:val="none"/>
                      <w:lang w:val="en-US" w:eastAsia="zh-CN"/>
                    </w:rPr>
                    <w:t>1#发电机组</w:t>
                  </w:r>
                </w:p>
              </w:tc>
              <w:tc>
                <w:tcPr>
                  <w:tcW w:w="1055" w:type="dxa"/>
                  <w:tcBorders>
                    <w:tl2br w:val="nil"/>
                    <w:tr2bl w:val="nil"/>
                  </w:tcBorders>
                  <w:vAlign w:val="center"/>
                </w:tcPr>
                <w:p w14:paraId="7EB7F98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1BBEE86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u w:val="none"/>
                      <w:lang w:val="en-US" w:eastAsia="zh-CN"/>
                    </w:rPr>
                  </w:pPr>
                  <w:r>
                    <w:rPr>
                      <w:rFonts w:hint="eastAsia" w:cs="Times New Roman"/>
                      <w:color w:val="auto"/>
                      <w:szCs w:val="21"/>
                      <w:u w:val="none"/>
                      <w:lang w:val="en-US" w:eastAsia="zh-CN"/>
                    </w:rPr>
                    <w:t>12</w:t>
                  </w:r>
                </w:p>
              </w:tc>
              <w:tc>
                <w:tcPr>
                  <w:tcW w:w="1325" w:type="dxa"/>
                  <w:tcBorders>
                    <w:tl2br w:val="nil"/>
                    <w:tr2bl w:val="nil"/>
                  </w:tcBorders>
                  <w:vAlign w:val="center"/>
                </w:tcPr>
                <w:p w14:paraId="699444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highlight w:val="yellow"/>
                      <w:u w:val="none"/>
                      <w:lang w:val="en-US" w:eastAsia="zh-CN"/>
                    </w:rPr>
                  </w:pPr>
                  <w:r>
                    <w:rPr>
                      <w:rFonts w:hint="eastAsia" w:cs="Times New Roman"/>
                      <w:color w:val="auto"/>
                      <w:szCs w:val="21"/>
                      <w:highlight w:val="none"/>
                      <w:u w:val="none"/>
                      <w:lang w:val="en-US" w:eastAsia="zh-CN"/>
                    </w:rPr>
                    <w:t>45</w:t>
                  </w:r>
                </w:p>
              </w:tc>
              <w:tc>
                <w:tcPr>
                  <w:tcW w:w="1377" w:type="dxa"/>
                  <w:vMerge w:val="restart"/>
                  <w:tcBorders>
                    <w:tl2br w:val="nil"/>
                    <w:tr2bl w:val="nil"/>
                  </w:tcBorders>
                  <w:vAlign w:val="center"/>
                </w:tcPr>
                <w:p w14:paraId="72DDF25D">
                  <w:pPr>
                    <w:keepNext w:val="0"/>
                    <w:keepLines w:val="0"/>
                    <w:pageBreakBefore w:val="0"/>
                    <w:widowControl w:val="0"/>
                    <w:kinsoku/>
                    <w:wordWrap/>
                    <w:overflowPunct/>
                    <w:topLinePunct w:val="0"/>
                    <w:autoSpaceDE/>
                    <w:autoSpaceDN/>
                    <w:bidi w:val="0"/>
                    <w:spacing w:line="240" w:lineRule="auto"/>
                    <w:jc w:val="both"/>
                    <w:textAlignment w:val="auto"/>
                    <w:rPr>
                      <w:rFonts w:hint="eastAsia"/>
                      <w:color w:val="auto"/>
                      <w:u w:val="none"/>
                      <w:lang w:eastAsia="zh-CN"/>
                    </w:rPr>
                  </w:pPr>
                  <w:r>
                    <w:rPr>
                      <w:rFonts w:hint="eastAsia"/>
                      <w:lang w:val="en-US" w:eastAsia="zh-CN"/>
                    </w:rPr>
                    <w:t>夜/昼</w:t>
                  </w:r>
                  <w:r>
                    <w:rPr>
                      <w:rFonts w:hint="eastAsia" w:ascii="Times New Roman" w:hAnsi="Times New Roman" w:cs="Times New Roman"/>
                      <w:color w:val="auto"/>
                      <w:szCs w:val="21"/>
                      <w:u w:val="none"/>
                      <w:lang w:val="en-US" w:eastAsia="zh-CN"/>
                    </w:rPr>
                    <w:t>5</w:t>
                  </w:r>
                  <w:r>
                    <w:rPr>
                      <w:rFonts w:hint="eastAsia" w:cs="Times New Roman"/>
                      <w:color w:val="auto"/>
                      <w:szCs w:val="21"/>
                      <w:u w:val="none"/>
                      <w:lang w:val="en-US" w:eastAsia="zh-CN"/>
                    </w:rPr>
                    <w:t>0</w:t>
                  </w:r>
                  <w:r>
                    <w:rPr>
                      <w:rFonts w:hint="eastAsia" w:ascii="Times New Roman" w:hAnsi="Times New Roman" w:cs="Times New Roman"/>
                      <w:color w:val="auto"/>
                      <w:szCs w:val="21"/>
                      <w:u w:val="none"/>
                      <w:lang w:val="en-US" w:eastAsia="zh-CN"/>
                    </w:rPr>
                    <w:t>/6</w:t>
                  </w:r>
                  <w:r>
                    <w:rPr>
                      <w:rFonts w:hint="eastAsia" w:cs="Times New Roman"/>
                      <w:color w:val="auto"/>
                      <w:szCs w:val="21"/>
                      <w:u w:val="none"/>
                      <w:lang w:val="en-US" w:eastAsia="zh-CN"/>
                    </w:rPr>
                    <w:t>0</w:t>
                  </w:r>
                </w:p>
              </w:tc>
              <w:tc>
                <w:tcPr>
                  <w:tcW w:w="1004" w:type="dxa"/>
                  <w:vMerge w:val="restart"/>
                  <w:tcBorders>
                    <w:tl2br w:val="nil"/>
                    <w:tr2bl w:val="nil"/>
                  </w:tcBorders>
                  <w:vAlign w:val="center"/>
                </w:tcPr>
                <w:p w14:paraId="156171A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Cs w:val="21"/>
                      <w:u w:val="none"/>
                      <w:lang w:eastAsia="zh-CN"/>
                    </w:rPr>
                  </w:pPr>
                  <w:r>
                    <w:rPr>
                      <w:rFonts w:hint="eastAsia" w:ascii="Times New Roman" w:hAnsi="Times New Roman" w:cs="Times New Roman"/>
                      <w:color w:val="auto"/>
                      <w:szCs w:val="21"/>
                      <w:u w:val="none"/>
                      <w:lang w:val="en-US" w:eastAsia="zh-CN"/>
                    </w:rPr>
                    <w:t>达标</w:t>
                  </w:r>
                </w:p>
              </w:tc>
            </w:tr>
            <w:tr w14:paraId="11264A7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continue"/>
                  <w:tcBorders>
                    <w:tl2br w:val="nil"/>
                    <w:tr2bl w:val="nil"/>
                  </w:tcBorders>
                  <w:vAlign w:val="center"/>
                </w:tcPr>
                <w:p w14:paraId="275FA8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2F7F072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 w:val="21"/>
                      <w:szCs w:val="21"/>
                      <w:u w:val="none"/>
                      <w:lang w:val="en-US" w:eastAsia="zh-CN"/>
                    </w:rPr>
                    <w:t>2#发电机组</w:t>
                  </w:r>
                </w:p>
              </w:tc>
              <w:tc>
                <w:tcPr>
                  <w:tcW w:w="1055" w:type="dxa"/>
                  <w:tcBorders>
                    <w:tl2br w:val="nil"/>
                    <w:tr2bl w:val="nil"/>
                  </w:tcBorders>
                  <w:vAlign w:val="center"/>
                </w:tcPr>
                <w:p w14:paraId="030479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0239AD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u w:val="none"/>
                      <w:lang w:val="en-US" w:eastAsia="zh-CN"/>
                    </w:rPr>
                  </w:pPr>
                  <w:r>
                    <w:rPr>
                      <w:rFonts w:hint="eastAsia" w:cs="Times New Roman"/>
                      <w:color w:val="auto"/>
                      <w:szCs w:val="21"/>
                      <w:u w:val="none"/>
                      <w:lang w:val="en-US" w:eastAsia="zh-CN"/>
                    </w:rPr>
                    <w:t>15</w:t>
                  </w:r>
                </w:p>
              </w:tc>
              <w:tc>
                <w:tcPr>
                  <w:tcW w:w="1325" w:type="dxa"/>
                  <w:tcBorders>
                    <w:tl2br w:val="nil"/>
                    <w:tr2bl w:val="nil"/>
                  </w:tcBorders>
                  <w:vAlign w:val="center"/>
                </w:tcPr>
                <w:p w14:paraId="2413196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43</w:t>
                  </w:r>
                </w:p>
              </w:tc>
              <w:tc>
                <w:tcPr>
                  <w:tcW w:w="1377" w:type="dxa"/>
                  <w:vMerge w:val="continue"/>
                  <w:tcBorders>
                    <w:tl2br w:val="nil"/>
                    <w:tr2bl w:val="nil"/>
                  </w:tcBorders>
                  <w:vAlign w:val="center"/>
                </w:tcPr>
                <w:p w14:paraId="32EEAB5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63318B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53B338C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continue"/>
                  <w:tcBorders>
                    <w:tl2br w:val="nil"/>
                    <w:tr2bl w:val="nil"/>
                  </w:tcBorders>
                  <w:vAlign w:val="center"/>
                </w:tcPr>
                <w:p w14:paraId="2BBE20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54B59B9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3#发电机组</w:t>
                  </w:r>
                </w:p>
              </w:tc>
              <w:tc>
                <w:tcPr>
                  <w:tcW w:w="1055" w:type="dxa"/>
                  <w:tcBorders>
                    <w:tl2br w:val="nil"/>
                    <w:tr2bl w:val="nil"/>
                  </w:tcBorders>
                  <w:vAlign w:val="center"/>
                </w:tcPr>
                <w:p w14:paraId="27428CA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3E7EA2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u w:val="none"/>
                      <w:lang w:val="en-US" w:eastAsia="zh-CN"/>
                    </w:rPr>
                  </w:pPr>
                  <w:r>
                    <w:rPr>
                      <w:rFonts w:hint="eastAsia" w:cs="Times New Roman"/>
                      <w:color w:val="auto"/>
                      <w:szCs w:val="21"/>
                      <w:u w:val="none"/>
                      <w:lang w:val="en-US" w:eastAsia="zh-CN"/>
                    </w:rPr>
                    <w:t>18</w:t>
                  </w:r>
                </w:p>
              </w:tc>
              <w:tc>
                <w:tcPr>
                  <w:tcW w:w="1325" w:type="dxa"/>
                  <w:tcBorders>
                    <w:tl2br w:val="nil"/>
                    <w:tr2bl w:val="nil"/>
                  </w:tcBorders>
                  <w:vAlign w:val="center"/>
                </w:tcPr>
                <w:p w14:paraId="6F25E0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u w:val="none"/>
                      <w:lang w:val="en-US" w:eastAsia="zh-CN"/>
                    </w:rPr>
                  </w:pPr>
                  <w:r>
                    <w:rPr>
                      <w:rFonts w:hint="eastAsia" w:cs="Times New Roman"/>
                      <w:color w:val="auto"/>
                      <w:szCs w:val="21"/>
                      <w:u w:val="none"/>
                      <w:lang w:val="en-US" w:eastAsia="zh-CN"/>
                    </w:rPr>
                    <w:t>42</w:t>
                  </w:r>
                </w:p>
              </w:tc>
              <w:tc>
                <w:tcPr>
                  <w:tcW w:w="1377" w:type="dxa"/>
                  <w:vMerge w:val="continue"/>
                  <w:tcBorders>
                    <w:tl2br w:val="nil"/>
                    <w:tr2bl w:val="nil"/>
                  </w:tcBorders>
                  <w:vAlign w:val="center"/>
                </w:tcPr>
                <w:p w14:paraId="058132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02B4F3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7C0EFC2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continue"/>
                  <w:tcBorders>
                    <w:tl2br w:val="nil"/>
                    <w:tr2bl w:val="nil"/>
                  </w:tcBorders>
                  <w:vAlign w:val="center"/>
                </w:tcPr>
                <w:p w14:paraId="38FDDA0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00A6F05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4#发电机组</w:t>
                  </w:r>
                </w:p>
              </w:tc>
              <w:tc>
                <w:tcPr>
                  <w:tcW w:w="1055" w:type="dxa"/>
                  <w:tcBorders>
                    <w:tl2br w:val="nil"/>
                    <w:tr2bl w:val="nil"/>
                  </w:tcBorders>
                  <w:vAlign w:val="center"/>
                </w:tcPr>
                <w:p w14:paraId="309696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6A2F0B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u w:val="none"/>
                      <w:lang w:val="en-US" w:eastAsia="zh-CN"/>
                    </w:rPr>
                  </w:pPr>
                  <w:r>
                    <w:rPr>
                      <w:rFonts w:hint="eastAsia" w:cs="Times New Roman"/>
                      <w:color w:val="auto"/>
                      <w:szCs w:val="21"/>
                      <w:u w:val="none"/>
                      <w:lang w:val="en-US" w:eastAsia="zh-CN"/>
                    </w:rPr>
                    <w:t>21</w:t>
                  </w:r>
                </w:p>
              </w:tc>
              <w:tc>
                <w:tcPr>
                  <w:tcW w:w="1325" w:type="dxa"/>
                  <w:tcBorders>
                    <w:tl2br w:val="nil"/>
                    <w:tr2bl w:val="nil"/>
                  </w:tcBorders>
                  <w:vAlign w:val="center"/>
                </w:tcPr>
                <w:p w14:paraId="13C573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u w:val="none"/>
                      <w:lang w:val="en-US" w:eastAsia="zh-CN"/>
                    </w:rPr>
                  </w:pPr>
                  <w:r>
                    <w:rPr>
                      <w:rFonts w:hint="eastAsia" w:cs="Times New Roman"/>
                      <w:color w:val="auto"/>
                      <w:szCs w:val="21"/>
                      <w:u w:val="none"/>
                      <w:lang w:val="en-US" w:eastAsia="zh-CN"/>
                    </w:rPr>
                    <w:t>41</w:t>
                  </w:r>
                </w:p>
              </w:tc>
              <w:tc>
                <w:tcPr>
                  <w:tcW w:w="1377" w:type="dxa"/>
                  <w:vMerge w:val="continue"/>
                  <w:tcBorders>
                    <w:tl2br w:val="nil"/>
                    <w:tr2bl w:val="nil"/>
                  </w:tcBorders>
                  <w:vAlign w:val="center"/>
                </w:tcPr>
                <w:p w14:paraId="19E2F42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66B3D4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5B0A441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continue"/>
                  <w:tcBorders>
                    <w:tl2br w:val="nil"/>
                    <w:tr2bl w:val="nil"/>
                  </w:tcBorders>
                  <w:vAlign w:val="center"/>
                </w:tcPr>
                <w:p w14:paraId="28E899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6432A70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1#</w:t>
                  </w:r>
                  <w:r>
                    <w:rPr>
                      <w:rFonts w:hint="eastAsia" w:cs="Times New Roman"/>
                      <w:color w:val="auto"/>
                      <w:sz w:val="21"/>
                      <w:szCs w:val="21"/>
                      <w:u w:val="none"/>
                      <w:lang w:val="en-US" w:eastAsia="zh-CN"/>
                    </w:rPr>
                    <w:t>风冷冷水</w:t>
                  </w:r>
                  <w:r>
                    <w:rPr>
                      <w:rFonts w:hint="eastAsia" w:ascii="Times New Roman" w:hAnsi="Times New Roman" w:cs="Times New Roman"/>
                      <w:color w:val="auto"/>
                      <w:sz w:val="21"/>
                      <w:szCs w:val="21"/>
                      <w:u w:val="none"/>
                      <w:lang w:val="en-US" w:eastAsia="zh-CN"/>
                    </w:rPr>
                    <w:t>机组</w:t>
                  </w:r>
                </w:p>
              </w:tc>
              <w:tc>
                <w:tcPr>
                  <w:tcW w:w="1055" w:type="dxa"/>
                  <w:tcBorders>
                    <w:tl2br w:val="nil"/>
                    <w:tr2bl w:val="nil"/>
                  </w:tcBorders>
                  <w:vAlign w:val="center"/>
                </w:tcPr>
                <w:p w14:paraId="2B80EC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7E51340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12</w:t>
                  </w:r>
                </w:p>
              </w:tc>
              <w:tc>
                <w:tcPr>
                  <w:tcW w:w="1325" w:type="dxa"/>
                  <w:tcBorders>
                    <w:tl2br w:val="nil"/>
                    <w:tr2bl w:val="nil"/>
                  </w:tcBorders>
                  <w:vAlign w:val="center"/>
                </w:tcPr>
                <w:p w14:paraId="563F495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highlight w:val="none"/>
                      <w:u w:val="none"/>
                      <w:lang w:val="en-US" w:eastAsia="zh-CN"/>
                    </w:rPr>
                    <w:t>45</w:t>
                  </w:r>
                </w:p>
              </w:tc>
              <w:tc>
                <w:tcPr>
                  <w:tcW w:w="1377" w:type="dxa"/>
                  <w:vMerge w:val="continue"/>
                  <w:tcBorders>
                    <w:tl2br w:val="nil"/>
                    <w:tr2bl w:val="nil"/>
                  </w:tcBorders>
                  <w:vAlign w:val="center"/>
                </w:tcPr>
                <w:p w14:paraId="3A1357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613EBBD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5F777EE4">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continue"/>
                  <w:tcBorders>
                    <w:tl2br w:val="nil"/>
                    <w:tr2bl w:val="nil"/>
                  </w:tcBorders>
                  <w:vAlign w:val="center"/>
                </w:tcPr>
                <w:p w14:paraId="4AE1F75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570ED14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2</w:t>
                  </w:r>
                  <w:r>
                    <w:rPr>
                      <w:rFonts w:hint="eastAsia" w:ascii="Times New Roman" w:hAnsi="Times New Roman" w:cs="Times New Roman"/>
                      <w:color w:val="auto"/>
                      <w:sz w:val="21"/>
                      <w:szCs w:val="21"/>
                      <w:u w:val="none"/>
                      <w:lang w:val="en-US" w:eastAsia="zh-CN"/>
                    </w:rPr>
                    <w:t>#</w:t>
                  </w:r>
                  <w:r>
                    <w:rPr>
                      <w:rFonts w:hint="eastAsia" w:cs="Times New Roman"/>
                      <w:color w:val="auto"/>
                      <w:sz w:val="21"/>
                      <w:szCs w:val="21"/>
                      <w:u w:val="none"/>
                      <w:lang w:val="en-US" w:eastAsia="zh-CN"/>
                    </w:rPr>
                    <w:t>风冷冷水</w:t>
                  </w:r>
                  <w:r>
                    <w:rPr>
                      <w:rFonts w:hint="eastAsia" w:ascii="Times New Roman" w:hAnsi="Times New Roman" w:cs="Times New Roman"/>
                      <w:color w:val="auto"/>
                      <w:sz w:val="21"/>
                      <w:szCs w:val="21"/>
                      <w:u w:val="none"/>
                      <w:lang w:val="en-US" w:eastAsia="zh-CN"/>
                    </w:rPr>
                    <w:t>机组</w:t>
                  </w:r>
                </w:p>
              </w:tc>
              <w:tc>
                <w:tcPr>
                  <w:tcW w:w="1055" w:type="dxa"/>
                  <w:tcBorders>
                    <w:tl2br w:val="nil"/>
                    <w:tr2bl w:val="nil"/>
                  </w:tcBorders>
                  <w:vAlign w:val="center"/>
                </w:tcPr>
                <w:p w14:paraId="77FB43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7F4414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15</w:t>
                  </w:r>
                </w:p>
              </w:tc>
              <w:tc>
                <w:tcPr>
                  <w:tcW w:w="1325" w:type="dxa"/>
                  <w:tcBorders>
                    <w:tl2br w:val="nil"/>
                    <w:tr2bl w:val="nil"/>
                  </w:tcBorders>
                  <w:vAlign w:val="center"/>
                </w:tcPr>
                <w:p w14:paraId="7D04EC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ascii="Times New Roman" w:hAnsi="Times New Roman" w:cs="Times New Roman"/>
                      <w:color w:val="auto"/>
                      <w:szCs w:val="21"/>
                      <w:u w:val="none"/>
                      <w:lang w:val="en-US" w:eastAsia="zh-CN"/>
                    </w:rPr>
                    <w:t>43</w:t>
                  </w:r>
                </w:p>
              </w:tc>
              <w:tc>
                <w:tcPr>
                  <w:tcW w:w="1377" w:type="dxa"/>
                  <w:vMerge w:val="continue"/>
                  <w:tcBorders>
                    <w:tl2br w:val="nil"/>
                    <w:tr2bl w:val="nil"/>
                  </w:tcBorders>
                  <w:vAlign w:val="center"/>
                </w:tcPr>
                <w:p w14:paraId="567608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231B05A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7B06D80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continue"/>
                  <w:tcBorders>
                    <w:tl2br w:val="nil"/>
                    <w:tr2bl w:val="nil"/>
                  </w:tcBorders>
                  <w:vAlign w:val="center"/>
                </w:tcPr>
                <w:p w14:paraId="00AB04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628D048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3</w:t>
                  </w:r>
                  <w:r>
                    <w:rPr>
                      <w:rFonts w:hint="eastAsia" w:ascii="Times New Roman" w:hAnsi="Times New Roman" w:cs="Times New Roman"/>
                      <w:color w:val="auto"/>
                      <w:sz w:val="21"/>
                      <w:szCs w:val="21"/>
                      <w:u w:val="none"/>
                      <w:lang w:val="en-US" w:eastAsia="zh-CN"/>
                    </w:rPr>
                    <w:t>#</w:t>
                  </w:r>
                  <w:r>
                    <w:rPr>
                      <w:rFonts w:hint="eastAsia" w:cs="Times New Roman"/>
                      <w:color w:val="auto"/>
                      <w:sz w:val="21"/>
                      <w:szCs w:val="21"/>
                      <w:u w:val="none"/>
                      <w:lang w:val="en-US" w:eastAsia="zh-CN"/>
                    </w:rPr>
                    <w:t>风冷冷水</w:t>
                  </w:r>
                  <w:r>
                    <w:rPr>
                      <w:rFonts w:hint="eastAsia" w:ascii="Times New Roman" w:hAnsi="Times New Roman" w:cs="Times New Roman"/>
                      <w:color w:val="auto"/>
                      <w:sz w:val="21"/>
                      <w:szCs w:val="21"/>
                      <w:u w:val="none"/>
                      <w:lang w:val="en-US" w:eastAsia="zh-CN"/>
                    </w:rPr>
                    <w:t>机组</w:t>
                  </w:r>
                </w:p>
              </w:tc>
              <w:tc>
                <w:tcPr>
                  <w:tcW w:w="1055" w:type="dxa"/>
                  <w:tcBorders>
                    <w:tl2br w:val="nil"/>
                    <w:tr2bl w:val="nil"/>
                  </w:tcBorders>
                  <w:vAlign w:val="center"/>
                </w:tcPr>
                <w:p w14:paraId="1683D98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0C173E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18</w:t>
                  </w:r>
                </w:p>
              </w:tc>
              <w:tc>
                <w:tcPr>
                  <w:tcW w:w="1325" w:type="dxa"/>
                  <w:tcBorders>
                    <w:tl2br w:val="nil"/>
                    <w:tr2bl w:val="nil"/>
                  </w:tcBorders>
                  <w:vAlign w:val="center"/>
                </w:tcPr>
                <w:p w14:paraId="476BC7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42</w:t>
                  </w:r>
                </w:p>
              </w:tc>
              <w:tc>
                <w:tcPr>
                  <w:tcW w:w="1377" w:type="dxa"/>
                  <w:vMerge w:val="continue"/>
                  <w:tcBorders>
                    <w:tl2br w:val="nil"/>
                    <w:tr2bl w:val="nil"/>
                  </w:tcBorders>
                  <w:vAlign w:val="center"/>
                </w:tcPr>
                <w:p w14:paraId="4E0416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778A496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63F6323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continue"/>
                  <w:tcBorders>
                    <w:tl2br w:val="nil"/>
                    <w:tr2bl w:val="nil"/>
                  </w:tcBorders>
                  <w:vAlign w:val="center"/>
                </w:tcPr>
                <w:p w14:paraId="20C772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581563A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4</w:t>
                  </w:r>
                  <w:r>
                    <w:rPr>
                      <w:rFonts w:hint="eastAsia" w:ascii="Times New Roman" w:hAnsi="Times New Roman" w:cs="Times New Roman"/>
                      <w:color w:val="auto"/>
                      <w:sz w:val="21"/>
                      <w:szCs w:val="21"/>
                      <w:u w:val="none"/>
                      <w:lang w:val="en-US" w:eastAsia="zh-CN"/>
                    </w:rPr>
                    <w:t>#</w:t>
                  </w:r>
                  <w:r>
                    <w:rPr>
                      <w:rFonts w:hint="eastAsia" w:cs="Times New Roman"/>
                      <w:color w:val="auto"/>
                      <w:sz w:val="21"/>
                      <w:szCs w:val="21"/>
                      <w:u w:val="none"/>
                      <w:lang w:val="en-US" w:eastAsia="zh-CN"/>
                    </w:rPr>
                    <w:t>风冷冷水</w:t>
                  </w:r>
                  <w:r>
                    <w:rPr>
                      <w:rFonts w:hint="eastAsia" w:ascii="Times New Roman" w:hAnsi="Times New Roman" w:cs="Times New Roman"/>
                      <w:color w:val="auto"/>
                      <w:sz w:val="21"/>
                      <w:szCs w:val="21"/>
                      <w:u w:val="none"/>
                      <w:lang w:val="en-US" w:eastAsia="zh-CN"/>
                    </w:rPr>
                    <w:t>机组</w:t>
                  </w:r>
                </w:p>
              </w:tc>
              <w:tc>
                <w:tcPr>
                  <w:tcW w:w="1055" w:type="dxa"/>
                  <w:tcBorders>
                    <w:tl2br w:val="nil"/>
                    <w:tr2bl w:val="nil"/>
                  </w:tcBorders>
                  <w:vAlign w:val="center"/>
                </w:tcPr>
                <w:p w14:paraId="579B05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1A0A4F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21</w:t>
                  </w:r>
                </w:p>
              </w:tc>
              <w:tc>
                <w:tcPr>
                  <w:tcW w:w="1325" w:type="dxa"/>
                  <w:tcBorders>
                    <w:tl2br w:val="nil"/>
                    <w:tr2bl w:val="nil"/>
                  </w:tcBorders>
                  <w:vAlign w:val="center"/>
                </w:tcPr>
                <w:p w14:paraId="13B64BE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41</w:t>
                  </w:r>
                </w:p>
              </w:tc>
              <w:tc>
                <w:tcPr>
                  <w:tcW w:w="1377" w:type="dxa"/>
                  <w:vMerge w:val="continue"/>
                  <w:tcBorders>
                    <w:tl2br w:val="nil"/>
                    <w:tr2bl w:val="nil"/>
                  </w:tcBorders>
                  <w:vAlign w:val="center"/>
                </w:tcPr>
                <w:p w14:paraId="3678FE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6D38EF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22B9EAF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restart"/>
                  <w:tcBorders>
                    <w:tl2br w:val="nil"/>
                    <w:tr2bl w:val="nil"/>
                  </w:tcBorders>
                  <w:vAlign w:val="center"/>
                </w:tcPr>
                <w:p w14:paraId="6D19B18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Cs w:val="21"/>
                      <w:u w:val="none"/>
                      <w:lang w:val="en-US" w:eastAsia="zh-CN"/>
                    </w:rPr>
                  </w:pPr>
                  <w:r>
                    <w:rPr>
                      <w:rFonts w:hint="eastAsia" w:ascii="Times New Roman" w:hAnsi="Times New Roman" w:cs="Times New Roman"/>
                      <w:color w:val="auto"/>
                      <w:szCs w:val="21"/>
                      <w:u w:val="none"/>
                      <w:lang w:val="en-US" w:eastAsia="zh-CN"/>
                    </w:rPr>
                    <w:t>西</w:t>
                  </w:r>
                </w:p>
              </w:tc>
              <w:tc>
                <w:tcPr>
                  <w:tcW w:w="1799" w:type="dxa"/>
                  <w:tcBorders>
                    <w:tl2br w:val="nil"/>
                    <w:tr2bl w:val="nil"/>
                  </w:tcBorders>
                  <w:vAlign w:val="center"/>
                </w:tcPr>
                <w:p w14:paraId="68B8447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 w:val="21"/>
                      <w:szCs w:val="21"/>
                      <w:u w:val="none"/>
                      <w:lang w:val="en-US" w:eastAsia="zh-CN"/>
                    </w:rPr>
                    <w:t>1#发电机组</w:t>
                  </w:r>
                </w:p>
              </w:tc>
              <w:tc>
                <w:tcPr>
                  <w:tcW w:w="1055" w:type="dxa"/>
                  <w:tcBorders>
                    <w:tl2br w:val="nil"/>
                    <w:tr2bl w:val="nil"/>
                  </w:tcBorders>
                  <w:vAlign w:val="center"/>
                </w:tcPr>
                <w:p w14:paraId="4AA878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19960BF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u w:val="none"/>
                      <w:lang w:val="en-US" w:eastAsia="zh-CN"/>
                    </w:rPr>
                  </w:pPr>
                  <w:r>
                    <w:rPr>
                      <w:rFonts w:hint="eastAsia" w:cs="Times New Roman"/>
                      <w:color w:val="auto"/>
                      <w:szCs w:val="21"/>
                      <w:u w:val="none"/>
                      <w:lang w:val="en-US" w:eastAsia="zh-CN"/>
                    </w:rPr>
                    <w:t>25</w:t>
                  </w:r>
                </w:p>
              </w:tc>
              <w:tc>
                <w:tcPr>
                  <w:tcW w:w="1325" w:type="dxa"/>
                  <w:tcBorders>
                    <w:tl2br w:val="nil"/>
                    <w:tr2bl w:val="nil"/>
                  </w:tcBorders>
                  <w:vAlign w:val="center"/>
                </w:tcPr>
                <w:p w14:paraId="237D8E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highlight w:val="yellow"/>
                      <w:u w:val="none"/>
                      <w:lang w:val="en-US" w:eastAsia="zh-CN"/>
                    </w:rPr>
                  </w:pPr>
                  <w:r>
                    <w:rPr>
                      <w:rFonts w:hint="eastAsia" w:cs="Times New Roman"/>
                      <w:color w:val="auto"/>
                      <w:szCs w:val="21"/>
                      <w:highlight w:val="none"/>
                      <w:u w:val="none"/>
                      <w:lang w:val="en-US" w:eastAsia="zh-CN"/>
                    </w:rPr>
                    <w:t>35</w:t>
                  </w:r>
                </w:p>
              </w:tc>
              <w:tc>
                <w:tcPr>
                  <w:tcW w:w="1377" w:type="dxa"/>
                  <w:vMerge w:val="restart"/>
                  <w:tcBorders>
                    <w:tl2br w:val="nil"/>
                    <w:tr2bl w:val="nil"/>
                  </w:tcBorders>
                  <w:vAlign w:val="center"/>
                </w:tcPr>
                <w:p w14:paraId="0AF1F6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u w:val="none"/>
                    </w:rPr>
                  </w:pPr>
                  <w:r>
                    <w:rPr>
                      <w:rFonts w:hint="eastAsia"/>
                      <w:lang w:val="en-US" w:eastAsia="zh-CN"/>
                    </w:rPr>
                    <w:t>夜/昼</w:t>
                  </w:r>
                  <w:r>
                    <w:rPr>
                      <w:rFonts w:hint="eastAsia" w:ascii="Times New Roman" w:hAnsi="Times New Roman" w:cs="Times New Roman"/>
                      <w:color w:val="auto"/>
                      <w:szCs w:val="21"/>
                      <w:u w:val="none"/>
                      <w:lang w:val="en-US" w:eastAsia="zh-CN"/>
                    </w:rPr>
                    <w:t>5</w:t>
                  </w:r>
                  <w:r>
                    <w:rPr>
                      <w:rFonts w:hint="eastAsia" w:cs="Times New Roman"/>
                      <w:color w:val="auto"/>
                      <w:szCs w:val="21"/>
                      <w:u w:val="none"/>
                      <w:lang w:val="en-US" w:eastAsia="zh-CN"/>
                    </w:rPr>
                    <w:t>0</w:t>
                  </w:r>
                  <w:r>
                    <w:rPr>
                      <w:rFonts w:hint="eastAsia" w:ascii="Times New Roman" w:hAnsi="Times New Roman" w:cs="Times New Roman"/>
                      <w:color w:val="auto"/>
                      <w:szCs w:val="21"/>
                      <w:u w:val="none"/>
                      <w:lang w:val="en-US" w:eastAsia="zh-CN"/>
                    </w:rPr>
                    <w:t>/6</w:t>
                  </w:r>
                  <w:r>
                    <w:rPr>
                      <w:rFonts w:hint="eastAsia" w:cs="Times New Roman"/>
                      <w:color w:val="auto"/>
                      <w:szCs w:val="21"/>
                      <w:u w:val="none"/>
                      <w:lang w:val="en-US" w:eastAsia="zh-CN"/>
                    </w:rPr>
                    <w:t>0</w:t>
                  </w:r>
                </w:p>
              </w:tc>
              <w:tc>
                <w:tcPr>
                  <w:tcW w:w="1004" w:type="dxa"/>
                  <w:vMerge w:val="restart"/>
                  <w:tcBorders>
                    <w:tl2br w:val="nil"/>
                    <w:tr2bl w:val="nil"/>
                  </w:tcBorders>
                  <w:vAlign w:val="center"/>
                </w:tcPr>
                <w:p w14:paraId="24C1E31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Cs w:val="21"/>
                      <w:u w:val="none"/>
                    </w:rPr>
                  </w:pPr>
                  <w:r>
                    <w:rPr>
                      <w:rFonts w:hint="eastAsia" w:ascii="Times New Roman" w:hAnsi="Times New Roman" w:cs="Times New Roman"/>
                      <w:color w:val="auto"/>
                      <w:szCs w:val="21"/>
                      <w:u w:val="none"/>
                      <w:lang w:val="en-US" w:eastAsia="zh-CN"/>
                    </w:rPr>
                    <w:t>达标</w:t>
                  </w:r>
                </w:p>
              </w:tc>
            </w:tr>
            <w:tr w14:paraId="74C4E67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continue"/>
                  <w:tcBorders>
                    <w:tl2br w:val="nil"/>
                    <w:tr2bl w:val="nil"/>
                  </w:tcBorders>
                  <w:vAlign w:val="center"/>
                </w:tcPr>
                <w:p w14:paraId="677539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1E96F57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 w:val="21"/>
                      <w:szCs w:val="21"/>
                      <w:u w:val="none"/>
                      <w:lang w:val="en-US" w:eastAsia="zh-CN"/>
                    </w:rPr>
                    <w:t>2#发电机组</w:t>
                  </w:r>
                </w:p>
              </w:tc>
              <w:tc>
                <w:tcPr>
                  <w:tcW w:w="1055" w:type="dxa"/>
                  <w:tcBorders>
                    <w:tl2br w:val="nil"/>
                    <w:tr2bl w:val="nil"/>
                  </w:tcBorders>
                  <w:vAlign w:val="center"/>
                </w:tcPr>
                <w:p w14:paraId="4EF137E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1C152E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u w:val="none"/>
                      <w:lang w:val="en-US" w:eastAsia="zh-CN"/>
                    </w:rPr>
                  </w:pPr>
                  <w:r>
                    <w:rPr>
                      <w:rFonts w:hint="eastAsia" w:cs="Times New Roman"/>
                      <w:color w:val="auto"/>
                      <w:szCs w:val="21"/>
                      <w:u w:val="none"/>
                      <w:lang w:val="en-US" w:eastAsia="zh-CN"/>
                    </w:rPr>
                    <w:t>25</w:t>
                  </w:r>
                </w:p>
              </w:tc>
              <w:tc>
                <w:tcPr>
                  <w:tcW w:w="1325" w:type="dxa"/>
                  <w:tcBorders>
                    <w:tl2br w:val="nil"/>
                    <w:tr2bl w:val="nil"/>
                  </w:tcBorders>
                  <w:vAlign w:val="center"/>
                </w:tcPr>
                <w:p w14:paraId="3D10C91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u w:val="none"/>
                      <w:lang w:val="en-US" w:eastAsia="zh-CN"/>
                    </w:rPr>
                  </w:pPr>
                  <w:r>
                    <w:rPr>
                      <w:rFonts w:hint="eastAsia" w:cs="Times New Roman"/>
                      <w:color w:val="auto"/>
                      <w:szCs w:val="21"/>
                      <w:u w:val="none"/>
                      <w:lang w:val="en-US" w:eastAsia="zh-CN"/>
                    </w:rPr>
                    <w:t>35</w:t>
                  </w:r>
                </w:p>
              </w:tc>
              <w:tc>
                <w:tcPr>
                  <w:tcW w:w="1377" w:type="dxa"/>
                  <w:vMerge w:val="continue"/>
                  <w:tcBorders>
                    <w:tl2br w:val="nil"/>
                    <w:tr2bl w:val="nil"/>
                  </w:tcBorders>
                  <w:vAlign w:val="center"/>
                </w:tcPr>
                <w:p w14:paraId="1F62562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78279AF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1B53FCF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continue"/>
                  <w:tcBorders>
                    <w:tl2br w:val="nil"/>
                    <w:tr2bl w:val="nil"/>
                  </w:tcBorders>
                  <w:vAlign w:val="center"/>
                </w:tcPr>
                <w:p w14:paraId="3CB223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3B87628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3#发电机组</w:t>
                  </w:r>
                </w:p>
              </w:tc>
              <w:tc>
                <w:tcPr>
                  <w:tcW w:w="1055" w:type="dxa"/>
                  <w:tcBorders>
                    <w:tl2br w:val="nil"/>
                    <w:tr2bl w:val="nil"/>
                  </w:tcBorders>
                  <w:vAlign w:val="center"/>
                </w:tcPr>
                <w:p w14:paraId="74ECC68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1E7AFC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u w:val="none"/>
                      <w:lang w:val="en-US" w:eastAsia="zh-CN"/>
                    </w:rPr>
                  </w:pPr>
                  <w:r>
                    <w:rPr>
                      <w:rFonts w:hint="eastAsia" w:cs="Times New Roman"/>
                      <w:color w:val="auto"/>
                      <w:szCs w:val="21"/>
                      <w:u w:val="none"/>
                      <w:lang w:val="en-US" w:eastAsia="zh-CN"/>
                    </w:rPr>
                    <w:t>25</w:t>
                  </w:r>
                </w:p>
              </w:tc>
              <w:tc>
                <w:tcPr>
                  <w:tcW w:w="1325" w:type="dxa"/>
                  <w:tcBorders>
                    <w:tl2br w:val="nil"/>
                    <w:tr2bl w:val="nil"/>
                  </w:tcBorders>
                  <w:vAlign w:val="center"/>
                </w:tcPr>
                <w:p w14:paraId="48CA52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u w:val="none"/>
                      <w:lang w:val="en-US" w:eastAsia="zh-CN"/>
                    </w:rPr>
                  </w:pPr>
                  <w:r>
                    <w:rPr>
                      <w:rFonts w:hint="eastAsia" w:cs="Times New Roman"/>
                      <w:color w:val="auto"/>
                      <w:szCs w:val="21"/>
                      <w:u w:val="none"/>
                      <w:lang w:val="en-US" w:eastAsia="zh-CN"/>
                    </w:rPr>
                    <w:t>35</w:t>
                  </w:r>
                </w:p>
              </w:tc>
              <w:tc>
                <w:tcPr>
                  <w:tcW w:w="1377" w:type="dxa"/>
                  <w:vMerge w:val="continue"/>
                  <w:tcBorders>
                    <w:tl2br w:val="nil"/>
                    <w:tr2bl w:val="nil"/>
                  </w:tcBorders>
                  <w:vAlign w:val="center"/>
                </w:tcPr>
                <w:p w14:paraId="7B46F3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36C6E2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110E457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continue"/>
                  <w:tcBorders>
                    <w:tl2br w:val="nil"/>
                    <w:tr2bl w:val="nil"/>
                  </w:tcBorders>
                  <w:vAlign w:val="center"/>
                </w:tcPr>
                <w:p w14:paraId="05C0C6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7655A75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4#发电机组</w:t>
                  </w:r>
                </w:p>
              </w:tc>
              <w:tc>
                <w:tcPr>
                  <w:tcW w:w="1055" w:type="dxa"/>
                  <w:tcBorders>
                    <w:tl2br w:val="nil"/>
                    <w:tr2bl w:val="nil"/>
                  </w:tcBorders>
                  <w:vAlign w:val="center"/>
                </w:tcPr>
                <w:p w14:paraId="0DE60F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111BE5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u w:val="none"/>
                      <w:lang w:val="en-US" w:eastAsia="zh-CN"/>
                    </w:rPr>
                  </w:pPr>
                  <w:r>
                    <w:rPr>
                      <w:rFonts w:hint="eastAsia" w:cs="Times New Roman"/>
                      <w:color w:val="auto"/>
                      <w:szCs w:val="21"/>
                      <w:u w:val="none"/>
                      <w:lang w:val="en-US" w:eastAsia="zh-CN"/>
                    </w:rPr>
                    <w:t>25</w:t>
                  </w:r>
                </w:p>
              </w:tc>
              <w:tc>
                <w:tcPr>
                  <w:tcW w:w="1325" w:type="dxa"/>
                  <w:tcBorders>
                    <w:tl2br w:val="nil"/>
                    <w:tr2bl w:val="nil"/>
                  </w:tcBorders>
                  <w:vAlign w:val="center"/>
                </w:tcPr>
                <w:p w14:paraId="64FC73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u w:val="none"/>
                      <w:lang w:val="en-US" w:eastAsia="zh-CN"/>
                    </w:rPr>
                  </w:pPr>
                  <w:r>
                    <w:rPr>
                      <w:rFonts w:hint="eastAsia" w:cs="Times New Roman"/>
                      <w:color w:val="auto"/>
                      <w:szCs w:val="21"/>
                      <w:u w:val="none"/>
                      <w:lang w:val="en-US" w:eastAsia="zh-CN"/>
                    </w:rPr>
                    <w:t>35</w:t>
                  </w:r>
                </w:p>
              </w:tc>
              <w:tc>
                <w:tcPr>
                  <w:tcW w:w="1377" w:type="dxa"/>
                  <w:vMerge w:val="continue"/>
                  <w:tcBorders>
                    <w:tl2br w:val="nil"/>
                    <w:tr2bl w:val="nil"/>
                  </w:tcBorders>
                  <w:vAlign w:val="center"/>
                </w:tcPr>
                <w:p w14:paraId="6668B27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1F5A783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346085B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continue"/>
                  <w:tcBorders>
                    <w:tl2br w:val="nil"/>
                    <w:tr2bl w:val="nil"/>
                  </w:tcBorders>
                  <w:vAlign w:val="center"/>
                </w:tcPr>
                <w:p w14:paraId="3247EC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2E280DD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1#</w:t>
                  </w:r>
                  <w:r>
                    <w:rPr>
                      <w:rFonts w:hint="eastAsia" w:cs="Times New Roman"/>
                      <w:color w:val="auto"/>
                      <w:sz w:val="21"/>
                      <w:szCs w:val="21"/>
                      <w:u w:val="none"/>
                      <w:lang w:val="en-US" w:eastAsia="zh-CN"/>
                    </w:rPr>
                    <w:t>风冷冷水</w:t>
                  </w:r>
                  <w:r>
                    <w:rPr>
                      <w:rFonts w:hint="eastAsia" w:ascii="Times New Roman" w:hAnsi="Times New Roman" w:cs="Times New Roman"/>
                      <w:color w:val="auto"/>
                      <w:sz w:val="21"/>
                      <w:szCs w:val="21"/>
                      <w:u w:val="none"/>
                      <w:lang w:val="en-US" w:eastAsia="zh-CN"/>
                    </w:rPr>
                    <w:t>机组</w:t>
                  </w:r>
                </w:p>
              </w:tc>
              <w:tc>
                <w:tcPr>
                  <w:tcW w:w="1055" w:type="dxa"/>
                  <w:tcBorders>
                    <w:tl2br w:val="nil"/>
                    <w:tr2bl w:val="nil"/>
                  </w:tcBorders>
                  <w:vAlign w:val="center"/>
                </w:tcPr>
                <w:p w14:paraId="38D3EB8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1A2C862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25</w:t>
                  </w:r>
                </w:p>
              </w:tc>
              <w:tc>
                <w:tcPr>
                  <w:tcW w:w="1325" w:type="dxa"/>
                  <w:tcBorders>
                    <w:tl2br w:val="nil"/>
                    <w:tr2bl w:val="nil"/>
                  </w:tcBorders>
                  <w:vAlign w:val="center"/>
                </w:tcPr>
                <w:p w14:paraId="031A7C3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highlight w:val="none"/>
                      <w:u w:val="none"/>
                      <w:lang w:val="en-US" w:eastAsia="zh-CN"/>
                    </w:rPr>
                    <w:t>35</w:t>
                  </w:r>
                </w:p>
              </w:tc>
              <w:tc>
                <w:tcPr>
                  <w:tcW w:w="1377" w:type="dxa"/>
                  <w:vMerge w:val="continue"/>
                  <w:tcBorders>
                    <w:tl2br w:val="nil"/>
                    <w:tr2bl w:val="nil"/>
                  </w:tcBorders>
                  <w:vAlign w:val="center"/>
                </w:tcPr>
                <w:p w14:paraId="330E62E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0D5621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44A207C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continue"/>
                  <w:tcBorders>
                    <w:tl2br w:val="nil"/>
                    <w:tr2bl w:val="nil"/>
                  </w:tcBorders>
                  <w:vAlign w:val="center"/>
                </w:tcPr>
                <w:p w14:paraId="5D3520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6EA219D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2</w:t>
                  </w:r>
                  <w:r>
                    <w:rPr>
                      <w:rFonts w:hint="eastAsia" w:ascii="Times New Roman" w:hAnsi="Times New Roman" w:cs="Times New Roman"/>
                      <w:color w:val="auto"/>
                      <w:sz w:val="21"/>
                      <w:szCs w:val="21"/>
                      <w:u w:val="none"/>
                      <w:lang w:val="en-US" w:eastAsia="zh-CN"/>
                    </w:rPr>
                    <w:t>#</w:t>
                  </w:r>
                  <w:r>
                    <w:rPr>
                      <w:rFonts w:hint="eastAsia" w:cs="Times New Roman"/>
                      <w:color w:val="auto"/>
                      <w:sz w:val="21"/>
                      <w:szCs w:val="21"/>
                      <w:u w:val="none"/>
                      <w:lang w:val="en-US" w:eastAsia="zh-CN"/>
                    </w:rPr>
                    <w:t>风冷冷水</w:t>
                  </w:r>
                  <w:r>
                    <w:rPr>
                      <w:rFonts w:hint="eastAsia" w:ascii="Times New Roman" w:hAnsi="Times New Roman" w:cs="Times New Roman"/>
                      <w:color w:val="auto"/>
                      <w:sz w:val="21"/>
                      <w:szCs w:val="21"/>
                      <w:u w:val="none"/>
                      <w:lang w:val="en-US" w:eastAsia="zh-CN"/>
                    </w:rPr>
                    <w:t>机组</w:t>
                  </w:r>
                </w:p>
              </w:tc>
              <w:tc>
                <w:tcPr>
                  <w:tcW w:w="1055" w:type="dxa"/>
                  <w:tcBorders>
                    <w:tl2br w:val="nil"/>
                    <w:tr2bl w:val="nil"/>
                  </w:tcBorders>
                  <w:vAlign w:val="center"/>
                </w:tcPr>
                <w:p w14:paraId="4FFF23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76F5C92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25</w:t>
                  </w:r>
                </w:p>
              </w:tc>
              <w:tc>
                <w:tcPr>
                  <w:tcW w:w="1325" w:type="dxa"/>
                  <w:tcBorders>
                    <w:tl2br w:val="nil"/>
                    <w:tr2bl w:val="nil"/>
                  </w:tcBorders>
                  <w:vAlign w:val="center"/>
                </w:tcPr>
                <w:p w14:paraId="7A5613A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35</w:t>
                  </w:r>
                </w:p>
              </w:tc>
              <w:tc>
                <w:tcPr>
                  <w:tcW w:w="1377" w:type="dxa"/>
                  <w:vMerge w:val="continue"/>
                  <w:tcBorders>
                    <w:tl2br w:val="nil"/>
                    <w:tr2bl w:val="nil"/>
                  </w:tcBorders>
                  <w:vAlign w:val="center"/>
                </w:tcPr>
                <w:p w14:paraId="310D4A5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641BAD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24FBD66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continue"/>
                  <w:tcBorders>
                    <w:tl2br w:val="nil"/>
                    <w:tr2bl w:val="nil"/>
                  </w:tcBorders>
                  <w:vAlign w:val="center"/>
                </w:tcPr>
                <w:p w14:paraId="61AF4B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1270F6D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3</w:t>
                  </w:r>
                  <w:r>
                    <w:rPr>
                      <w:rFonts w:hint="eastAsia" w:ascii="Times New Roman" w:hAnsi="Times New Roman" w:cs="Times New Roman"/>
                      <w:color w:val="auto"/>
                      <w:sz w:val="21"/>
                      <w:szCs w:val="21"/>
                      <w:u w:val="none"/>
                      <w:lang w:val="en-US" w:eastAsia="zh-CN"/>
                    </w:rPr>
                    <w:t>#</w:t>
                  </w:r>
                  <w:r>
                    <w:rPr>
                      <w:rFonts w:hint="eastAsia" w:cs="Times New Roman"/>
                      <w:color w:val="auto"/>
                      <w:sz w:val="21"/>
                      <w:szCs w:val="21"/>
                      <w:u w:val="none"/>
                      <w:lang w:val="en-US" w:eastAsia="zh-CN"/>
                    </w:rPr>
                    <w:t>风冷冷水</w:t>
                  </w:r>
                  <w:r>
                    <w:rPr>
                      <w:rFonts w:hint="eastAsia" w:ascii="Times New Roman" w:hAnsi="Times New Roman" w:cs="Times New Roman"/>
                      <w:color w:val="auto"/>
                      <w:sz w:val="21"/>
                      <w:szCs w:val="21"/>
                      <w:u w:val="none"/>
                      <w:lang w:val="en-US" w:eastAsia="zh-CN"/>
                    </w:rPr>
                    <w:t>机组</w:t>
                  </w:r>
                </w:p>
              </w:tc>
              <w:tc>
                <w:tcPr>
                  <w:tcW w:w="1055" w:type="dxa"/>
                  <w:tcBorders>
                    <w:tl2br w:val="nil"/>
                    <w:tr2bl w:val="nil"/>
                  </w:tcBorders>
                  <w:vAlign w:val="center"/>
                </w:tcPr>
                <w:p w14:paraId="26B4133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28798C6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25</w:t>
                  </w:r>
                </w:p>
              </w:tc>
              <w:tc>
                <w:tcPr>
                  <w:tcW w:w="1325" w:type="dxa"/>
                  <w:tcBorders>
                    <w:tl2br w:val="nil"/>
                    <w:tr2bl w:val="nil"/>
                  </w:tcBorders>
                  <w:vAlign w:val="center"/>
                </w:tcPr>
                <w:p w14:paraId="423F56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35</w:t>
                  </w:r>
                </w:p>
              </w:tc>
              <w:tc>
                <w:tcPr>
                  <w:tcW w:w="1377" w:type="dxa"/>
                  <w:vMerge w:val="continue"/>
                  <w:tcBorders>
                    <w:tl2br w:val="nil"/>
                    <w:tr2bl w:val="nil"/>
                  </w:tcBorders>
                  <w:vAlign w:val="center"/>
                </w:tcPr>
                <w:p w14:paraId="1F7F99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17C398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143BC34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continue"/>
                  <w:tcBorders>
                    <w:tl2br w:val="nil"/>
                    <w:tr2bl w:val="nil"/>
                  </w:tcBorders>
                  <w:vAlign w:val="center"/>
                </w:tcPr>
                <w:p w14:paraId="4EFB2F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16298C7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4</w:t>
                  </w:r>
                  <w:r>
                    <w:rPr>
                      <w:rFonts w:hint="eastAsia" w:ascii="Times New Roman" w:hAnsi="Times New Roman" w:cs="Times New Roman"/>
                      <w:color w:val="auto"/>
                      <w:sz w:val="21"/>
                      <w:szCs w:val="21"/>
                      <w:u w:val="none"/>
                      <w:lang w:val="en-US" w:eastAsia="zh-CN"/>
                    </w:rPr>
                    <w:t>#</w:t>
                  </w:r>
                  <w:r>
                    <w:rPr>
                      <w:rFonts w:hint="eastAsia" w:cs="Times New Roman"/>
                      <w:color w:val="auto"/>
                      <w:sz w:val="21"/>
                      <w:szCs w:val="21"/>
                      <w:u w:val="none"/>
                      <w:lang w:val="en-US" w:eastAsia="zh-CN"/>
                    </w:rPr>
                    <w:t>风冷冷水</w:t>
                  </w:r>
                  <w:r>
                    <w:rPr>
                      <w:rFonts w:hint="eastAsia" w:ascii="Times New Roman" w:hAnsi="Times New Roman" w:cs="Times New Roman"/>
                      <w:color w:val="auto"/>
                      <w:sz w:val="21"/>
                      <w:szCs w:val="21"/>
                      <w:u w:val="none"/>
                      <w:lang w:val="en-US" w:eastAsia="zh-CN"/>
                    </w:rPr>
                    <w:t>机组</w:t>
                  </w:r>
                </w:p>
              </w:tc>
              <w:tc>
                <w:tcPr>
                  <w:tcW w:w="1055" w:type="dxa"/>
                  <w:tcBorders>
                    <w:tl2br w:val="nil"/>
                    <w:tr2bl w:val="nil"/>
                  </w:tcBorders>
                  <w:vAlign w:val="center"/>
                </w:tcPr>
                <w:p w14:paraId="02625C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6B748B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25</w:t>
                  </w:r>
                </w:p>
              </w:tc>
              <w:tc>
                <w:tcPr>
                  <w:tcW w:w="1325" w:type="dxa"/>
                  <w:tcBorders>
                    <w:tl2br w:val="nil"/>
                    <w:tr2bl w:val="nil"/>
                  </w:tcBorders>
                  <w:vAlign w:val="center"/>
                </w:tcPr>
                <w:p w14:paraId="75BB18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35</w:t>
                  </w:r>
                </w:p>
              </w:tc>
              <w:tc>
                <w:tcPr>
                  <w:tcW w:w="1377" w:type="dxa"/>
                  <w:vMerge w:val="continue"/>
                  <w:tcBorders>
                    <w:tl2br w:val="nil"/>
                    <w:tr2bl w:val="nil"/>
                  </w:tcBorders>
                  <w:vAlign w:val="center"/>
                </w:tcPr>
                <w:p w14:paraId="681BE7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232F081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4FFE386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restart"/>
                  <w:tcBorders>
                    <w:tl2br w:val="nil"/>
                    <w:tr2bl w:val="nil"/>
                  </w:tcBorders>
                  <w:vAlign w:val="center"/>
                </w:tcPr>
                <w:p w14:paraId="73D2346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Cs w:val="21"/>
                      <w:u w:val="none"/>
                      <w:lang w:val="en-US" w:eastAsia="zh-CN"/>
                    </w:rPr>
                  </w:pPr>
                  <w:r>
                    <w:rPr>
                      <w:rFonts w:hint="eastAsia" w:ascii="Times New Roman" w:hAnsi="Times New Roman" w:cs="Times New Roman"/>
                      <w:color w:val="auto"/>
                      <w:szCs w:val="21"/>
                      <w:u w:val="none"/>
                      <w:lang w:val="en-US" w:eastAsia="zh-CN"/>
                    </w:rPr>
                    <w:t>北</w:t>
                  </w:r>
                </w:p>
              </w:tc>
              <w:tc>
                <w:tcPr>
                  <w:tcW w:w="1799" w:type="dxa"/>
                  <w:tcBorders>
                    <w:tl2br w:val="nil"/>
                    <w:tr2bl w:val="nil"/>
                  </w:tcBorders>
                  <w:vAlign w:val="center"/>
                </w:tcPr>
                <w:p w14:paraId="1FADFFB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 w:val="21"/>
                      <w:szCs w:val="21"/>
                      <w:u w:val="none"/>
                      <w:lang w:val="en-US" w:eastAsia="zh-CN"/>
                    </w:rPr>
                    <w:t>1#发电机组</w:t>
                  </w:r>
                </w:p>
              </w:tc>
              <w:tc>
                <w:tcPr>
                  <w:tcW w:w="1055" w:type="dxa"/>
                  <w:tcBorders>
                    <w:tl2br w:val="nil"/>
                    <w:tr2bl w:val="nil"/>
                  </w:tcBorders>
                  <w:vAlign w:val="center"/>
                </w:tcPr>
                <w:p w14:paraId="4004F68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1A9079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u w:val="none"/>
                      <w:lang w:val="en-US" w:eastAsia="zh-CN"/>
                    </w:rPr>
                  </w:pPr>
                  <w:r>
                    <w:rPr>
                      <w:rFonts w:hint="eastAsia" w:cs="Times New Roman"/>
                      <w:color w:val="auto"/>
                      <w:szCs w:val="21"/>
                      <w:u w:val="none"/>
                      <w:lang w:val="en-US" w:eastAsia="zh-CN"/>
                    </w:rPr>
                    <w:t>22</w:t>
                  </w:r>
                </w:p>
              </w:tc>
              <w:tc>
                <w:tcPr>
                  <w:tcW w:w="1325" w:type="dxa"/>
                  <w:tcBorders>
                    <w:tl2br w:val="nil"/>
                    <w:tr2bl w:val="nil"/>
                  </w:tcBorders>
                  <w:vAlign w:val="center"/>
                </w:tcPr>
                <w:p w14:paraId="2C6ACD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u w:val="none"/>
                      <w:lang w:val="en-US" w:eastAsia="zh-CN"/>
                    </w:rPr>
                  </w:pPr>
                  <w:r>
                    <w:rPr>
                      <w:rFonts w:hint="eastAsia" w:ascii="Times New Roman" w:hAnsi="Times New Roman" w:cs="Times New Roman"/>
                      <w:color w:val="auto"/>
                      <w:szCs w:val="21"/>
                      <w:u w:val="none"/>
                      <w:lang w:val="en-US" w:eastAsia="zh-CN"/>
                    </w:rPr>
                    <w:t>43</w:t>
                  </w:r>
                </w:p>
              </w:tc>
              <w:tc>
                <w:tcPr>
                  <w:tcW w:w="1377" w:type="dxa"/>
                  <w:vMerge w:val="restart"/>
                  <w:tcBorders>
                    <w:tl2br w:val="nil"/>
                    <w:tr2bl w:val="nil"/>
                  </w:tcBorders>
                  <w:vAlign w:val="center"/>
                </w:tcPr>
                <w:p w14:paraId="18591C0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Cs w:val="21"/>
                      <w:u w:val="none"/>
                    </w:rPr>
                  </w:pPr>
                  <w:r>
                    <w:rPr>
                      <w:rFonts w:hint="eastAsia"/>
                      <w:lang w:val="en-US" w:eastAsia="zh-CN"/>
                    </w:rPr>
                    <w:t>夜/昼</w:t>
                  </w:r>
                  <w:r>
                    <w:rPr>
                      <w:rFonts w:hint="eastAsia" w:ascii="Times New Roman" w:hAnsi="Times New Roman" w:cs="Times New Roman"/>
                      <w:color w:val="auto"/>
                      <w:szCs w:val="21"/>
                      <w:u w:val="none"/>
                      <w:lang w:val="en-US" w:eastAsia="zh-CN"/>
                    </w:rPr>
                    <w:t>5</w:t>
                  </w:r>
                  <w:r>
                    <w:rPr>
                      <w:rFonts w:hint="eastAsia" w:cs="Times New Roman"/>
                      <w:color w:val="auto"/>
                      <w:szCs w:val="21"/>
                      <w:u w:val="none"/>
                      <w:lang w:val="en-US" w:eastAsia="zh-CN"/>
                    </w:rPr>
                    <w:t>0</w:t>
                  </w:r>
                  <w:r>
                    <w:rPr>
                      <w:rFonts w:hint="eastAsia" w:ascii="Times New Roman" w:hAnsi="Times New Roman" w:cs="Times New Roman"/>
                      <w:color w:val="auto"/>
                      <w:szCs w:val="21"/>
                      <w:u w:val="none"/>
                      <w:lang w:val="en-US" w:eastAsia="zh-CN"/>
                    </w:rPr>
                    <w:t>/6</w:t>
                  </w:r>
                  <w:r>
                    <w:rPr>
                      <w:rFonts w:hint="eastAsia" w:cs="Times New Roman"/>
                      <w:color w:val="auto"/>
                      <w:szCs w:val="21"/>
                      <w:u w:val="none"/>
                      <w:lang w:val="en-US" w:eastAsia="zh-CN"/>
                    </w:rPr>
                    <w:t>0</w:t>
                  </w:r>
                </w:p>
              </w:tc>
              <w:tc>
                <w:tcPr>
                  <w:tcW w:w="1004" w:type="dxa"/>
                  <w:vMerge w:val="restart"/>
                  <w:tcBorders>
                    <w:tl2br w:val="nil"/>
                    <w:tr2bl w:val="nil"/>
                  </w:tcBorders>
                  <w:vAlign w:val="center"/>
                </w:tcPr>
                <w:p w14:paraId="75766E1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Cs w:val="21"/>
                      <w:u w:val="none"/>
                    </w:rPr>
                  </w:pPr>
                  <w:r>
                    <w:rPr>
                      <w:rFonts w:hint="eastAsia" w:ascii="Times New Roman" w:hAnsi="Times New Roman" w:cs="Times New Roman"/>
                      <w:color w:val="auto"/>
                      <w:szCs w:val="21"/>
                      <w:u w:val="none"/>
                      <w:lang w:val="en-US" w:eastAsia="zh-CN"/>
                    </w:rPr>
                    <w:t>达标</w:t>
                  </w:r>
                </w:p>
              </w:tc>
            </w:tr>
            <w:tr w14:paraId="52DD071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continue"/>
                  <w:tcBorders>
                    <w:tl2br w:val="nil"/>
                    <w:tr2bl w:val="nil"/>
                  </w:tcBorders>
                  <w:vAlign w:val="center"/>
                </w:tcPr>
                <w:p w14:paraId="6147C4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36B3C9A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 w:val="21"/>
                      <w:szCs w:val="21"/>
                      <w:u w:val="none"/>
                      <w:lang w:val="en-US" w:eastAsia="zh-CN"/>
                    </w:rPr>
                    <w:t>2#发电机组</w:t>
                  </w:r>
                </w:p>
              </w:tc>
              <w:tc>
                <w:tcPr>
                  <w:tcW w:w="1055" w:type="dxa"/>
                  <w:tcBorders>
                    <w:tl2br w:val="nil"/>
                    <w:tr2bl w:val="nil"/>
                  </w:tcBorders>
                  <w:vAlign w:val="center"/>
                </w:tcPr>
                <w:p w14:paraId="4B3EBF3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21434E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u w:val="none"/>
                      <w:lang w:val="en-US" w:eastAsia="zh-CN"/>
                    </w:rPr>
                  </w:pPr>
                  <w:r>
                    <w:rPr>
                      <w:rFonts w:hint="eastAsia" w:cs="Times New Roman"/>
                      <w:color w:val="auto"/>
                      <w:szCs w:val="21"/>
                      <w:u w:val="none"/>
                      <w:lang w:val="en-US" w:eastAsia="zh-CN"/>
                    </w:rPr>
                    <w:t>18</w:t>
                  </w:r>
                </w:p>
              </w:tc>
              <w:tc>
                <w:tcPr>
                  <w:tcW w:w="1325" w:type="dxa"/>
                  <w:tcBorders>
                    <w:tl2br w:val="nil"/>
                    <w:tr2bl w:val="nil"/>
                  </w:tcBorders>
                  <w:vAlign w:val="center"/>
                </w:tcPr>
                <w:p w14:paraId="1F532E6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45</w:t>
                  </w:r>
                </w:p>
              </w:tc>
              <w:tc>
                <w:tcPr>
                  <w:tcW w:w="1377" w:type="dxa"/>
                  <w:vMerge w:val="continue"/>
                  <w:tcBorders>
                    <w:tl2br w:val="nil"/>
                    <w:tr2bl w:val="nil"/>
                  </w:tcBorders>
                  <w:vAlign w:val="center"/>
                </w:tcPr>
                <w:p w14:paraId="1B358A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6A931F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49BBA8F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49" w:type="dxa"/>
                  <w:vMerge w:val="continue"/>
                  <w:tcBorders>
                    <w:tl2br w:val="nil"/>
                    <w:tr2bl w:val="nil"/>
                  </w:tcBorders>
                  <w:vAlign w:val="center"/>
                </w:tcPr>
                <w:p w14:paraId="652725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045AFB6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3#发电机组</w:t>
                  </w:r>
                </w:p>
              </w:tc>
              <w:tc>
                <w:tcPr>
                  <w:tcW w:w="1055" w:type="dxa"/>
                  <w:tcBorders>
                    <w:tl2br w:val="nil"/>
                    <w:tr2bl w:val="nil"/>
                  </w:tcBorders>
                  <w:vAlign w:val="center"/>
                </w:tcPr>
                <w:p w14:paraId="7A6C358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7B8D1E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u w:val="none"/>
                      <w:lang w:val="en-US" w:eastAsia="zh-CN"/>
                    </w:rPr>
                  </w:pPr>
                  <w:r>
                    <w:rPr>
                      <w:rFonts w:hint="eastAsia" w:cs="Times New Roman"/>
                      <w:color w:val="auto"/>
                      <w:szCs w:val="21"/>
                      <w:u w:val="none"/>
                      <w:lang w:val="en-US" w:eastAsia="zh-CN"/>
                    </w:rPr>
                    <w:t>14</w:t>
                  </w:r>
                </w:p>
              </w:tc>
              <w:tc>
                <w:tcPr>
                  <w:tcW w:w="1325" w:type="dxa"/>
                  <w:tcBorders>
                    <w:tl2br w:val="nil"/>
                    <w:tr2bl w:val="nil"/>
                  </w:tcBorders>
                  <w:vAlign w:val="center"/>
                </w:tcPr>
                <w:p w14:paraId="239F31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u w:val="none"/>
                      <w:lang w:val="en-US" w:eastAsia="zh-CN"/>
                    </w:rPr>
                  </w:pPr>
                  <w:r>
                    <w:rPr>
                      <w:rFonts w:hint="eastAsia" w:cs="Times New Roman"/>
                      <w:color w:val="auto"/>
                      <w:szCs w:val="21"/>
                      <w:u w:val="none"/>
                      <w:lang w:val="en-US" w:eastAsia="zh-CN"/>
                    </w:rPr>
                    <w:t>46</w:t>
                  </w:r>
                </w:p>
              </w:tc>
              <w:tc>
                <w:tcPr>
                  <w:tcW w:w="1377" w:type="dxa"/>
                  <w:vMerge w:val="continue"/>
                  <w:tcBorders>
                    <w:tl2br w:val="nil"/>
                    <w:tr2bl w:val="nil"/>
                  </w:tcBorders>
                  <w:vAlign w:val="center"/>
                </w:tcPr>
                <w:p w14:paraId="47D81F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31301B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5BBD3CB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649" w:type="dxa"/>
                  <w:vMerge w:val="continue"/>
                  <w:tcBorders>
                    <w:tl2br w:val="nil"/>
                    <w:tr2bl w:val="nil"/>
                  </w:tcBorders>
                  <w:vAlign w:val="center"/>
                </w:tcPr>
                <w:p w14:paraId="3A9D42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3F48198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4#发电机组</w:t>
                  </w:r>
                </w:p>
              </w:tc>
              <w:tc>
                <w:tcPr>
                  <w:tcW w:w="1055" w:type="dxa"/>
                  <w:tcBorders>
                    <w:tl2br w:val="nil"/>
                    <w:tr2bl w:val="nil"/>
                  </w:tcBorders>
                  <w:vAlign w:val="center"/>
                </w:tcPr>
                <w:p w14:paraId="2558D2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10BB6B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Cs w:val="21"/>
                      <w:u w:val="none"/>
                      <w:lang w:val="en-US" w:eastAsia="zh-CN"/>
                    </w:rPr>
                  </w:pPr>
                  <w:r>
                    <w:rPr>
                      <w:rFonts w:hint="eastAsia" w:cs="Times New Roman"/>
                      <w:color w:val="auto"/>
                      <w:szCs w:val="21"/>
                      <w:u w:val="none"/>
                      <w:lang w:val="en-US" w:eastAsia="zh-CN"/>
                    </w:rPr>
                    <w:t>10</w:t>
                  </w:r>
                </w:p>
              </w:tc>
              <w:tc>
                <w:tcPr>
                  <w:tcW w:w="1325" w:type="dxa"/>
                  <w:tcBorders>
                    <w:tl2br w:val="nil"/>
                    <w:tr2bl w:val="nil"/>
                  </w:tcBorders>
                  <w:vAlign w:val="center"/>
                </w:tcPr>
                <w:p w14:paraId="472A8B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Cs w:val="21"/>
                      <w:u w:val="none"/>
                      <w:lang w:val="en-US" w:eastAsia="zh-CN"/>
                    </w:rPr>
                  </w:pPr>
                  <w:r>
                    <w:rPr>
                      <w:rFonts w:hint="eastAsia" w:cs="Times New Roman"/>
                      <w:color w:val="auto"/>
                      <w:szCs w:val="21"/>
                      <w:u w:val="none"/>
                      <w:lang w:val="en-US" w:eastAsia="zh-CN"/>
                    </w:rPr>
                    <w:t>46</w:t>
                  </w:r>
                </w:p>
              </w:tc>
              <w:tc>
                <w:tcPr>
                  <w:tcW w:w="1377" w:type="dxa"/>
                  <w:vMerge w:val="continue"/>
                  <w:tcBorders>
                    <w:tl2br w:val="nil"/>
                    <w:tr2bl w:val="nil"/>
                  </w:tcBorders>
                  <w:vAlign w:val="center"/>
                </w:tcPr>
                <w:p w14:paraId="11A351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4E0B43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5F9B85A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649" w:type="dxa"/>
                  <w:vMerge w:val="continue"/>
                  <w:tcBorders>
                    <w:tl2br w:val="nil"/>
                    <w:tr2bl w:val="nil"/>
                  </w:tcBorders>
                  <w:vAlign w:val="center"/>
                </w:tcPr>
                <w:p w14:paraId="51F83E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10DE21A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1#</w:t>
                  </w:r>
                  <w:r>
                    <w:rPr>
                      <w:rFonts w:hint="eastAsia" w:cs="Times New Roman"/>
                      <w:color w:val="auto"/>
                      <w:sz w:val="21"/>
                      <w:szCs w:val="21"/>
                      <w:u w:val="none"/>
                      <w:lang w:val="en-US" w:eastAsia="zh-CN"/>
                    </w:rPr>
                    <w:t>风冷冷水</w:t>
                  </w:r>
                  <w:r>
                    <w:rPr>
                      <w:rFonts w:hint="eastAsia" w:ascii="Times New Roman" w:hAnsi="Times New Roman" w:cs="Times New Roman"/>
                      <w:color w:val="auto"/>
                      <w:sz w:val="21"/>
                      <w:szCs w:val="21"/>
                      <w:u w:val="none"/>
                      <w:lang w:val="en-US" w:eastAsia="zh-CN"/>
                    </w:rPr>
                    <w:t>机组</w:t>
                  </w:r>
                </w:p>
              </w:tc>
              <w:tc>
                <w:tcPr>
                  <w:tcW w:w="1055" w:type="dxa"/>
                  <w:tcBorders>
                    <w:tl2br w:val="nil"/>
                    <w:tr2bl w:val="nil"/>
                  </w:tcBorders>
                  <w:vAlign w:val="center"/>
                </w:tcPr>
                <w:p w14:paraId="6DAEC9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1C0CDE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22</w:t>
                  </w:r>
                </w:p>
              </w:tc>
              <w:tc>
                <w:tcPr>
                  <w:tcW w:w="1325" w:type="dxa"/>
                  <w:tcBorders>
                    <w:tl2br w:val="nil"/>
                    <w:tr2bl w:val="nil"/>
                  </w:tcBorders>
                  <w:vAlign w:val="center"/>
                </w:tcPr>
                <w:p w14:paraId="1620128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ascii="Times New Roman" w:hAnsi="Times New Roman" w:cs="Times New Roman"/>
                      <w:color w:val="auto"/>
                      <w:szCs w:val="21"/>
                      <w:u w:val="none"/>
                      <w:lang w:val="en-US" w:eastAsia="zh-CN"/>
                    </w:rPr>
                    <w:t>43</w:t>
                  </w:r>
                </w:p>
              </w:tc>
              <w:tc>
                <w:tcPr>
                  <w:tcW w:w="1377" w:type="dxa"/>
                  <w:vMerge w:val="continue"/>
                  <w:tcBorders>
                    <w:tl2br w:val="nil"/>
                    <w:tr2bl w:val="nil"/>
                  </w:tcBorders>
                  <w:vAlign w:val="center"/>
                </w:tcPr>
                <w:p w14:paraId="0110B9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48B23B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2F464AF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649" w:type="dxa"/>
                  <w:vMerge w:val="continue"/>
                  <w:tcBorders>
                    <w:tl2br w:val="nil"/>
                    <w:tr2bl w:val="nil"/>
                  </w:tcBorders>
                  <w:vAlign w:val="center"/>
                </w:tcPr>
                <w:p w14:paraId="15ECEA0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0C31086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2</w:t>
                  </w:r>
                  <w:r>
                    <w:rPr>
                      <w:rFonts w:hint="eastAsia" w:ascii="Times New Roman" w:hAnsi="Times New Roman" w:cs="Times New Roman"/>
                      <w:color w:val="auto"/>
                      <w:sz w:val="21"/>
                      <w:szCs w:val="21"/>
                      <w:u w:val="none"/>
                      <w:lang w:val="en-US" w:eastAsia="zh-CN"/>
                    </w:rPr>
                    <w:t>#</w:t>
                  </w:r>
                  <w:r>
                    <w:rPr>
                      <w:rFonts w:hint="eastAsia" w:cs="Times New Roman"/>
                      <w:color w:val="auto"/>
                      <w:sz w:val="21"/>
                      <w:szCs w:val="21"/>
                      <w:u w:val="none"/>
                      <w:lang w:val="en-US" w:eastAsia="zh-CN"/>
                    </w:rPr>
                    <w:t>风冷冷水</w:t>
                  </w:r>
                  <w:r>
                    <w:rPr>
                      <w:rFonts w:hint="eastAsia" w:ascii="Times New Roman" w:hAnsi="Times New Roman" w:cs="Times New Roman"/>
                      <w:color w:val="auto"/>
                      <w:sz w:val="21"/>
                      <w:szCs w:val="21"/>
                      <w:u w:val="none"/>
                      <w:lang w:val="en-US" w:eastAsia="zh-CN"/>
                    </w:rPr>
                    <w:t>机组</w:t>
                  </w:r>
                </w:p>
              </w:tc>
              <w:tc>
                <w:tcPr>
                  <w:tcW w:w="1055" w:type="dxa"/>
                  <w:tcBorders>
                    <w:tl2br w:val="nil"/>
                    <w:tr2bl w:val="nil"/>
                  </w:tcBorders>
                  <w:vAlign w:val="center"/>
                </w:tcPr>
                <w:p w14:paraId="3FCBCF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5E51293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18</w:t>
                  </w:r>
                </w:p>
              </w:tc>
              <w:tc>
                <w:tcPr>
                  <w:tcW w:w="1325" w:type="dxa"/>
                  <w:tcBorders>
                    <w:tl2br w:val="nil"/>
                    <w:tr2bl w:val="nil"/>
                  </w:tcBorders>
                  <w:vAlign w:val="center"/>
                </w:tcPr>
                <w:p w14:paraId="0AAC7C7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ascii="Times New Roman" w:hAnsi="Times New Roman" w:cs="Times New Roman"/>
                      <w:color w:val="auto"/>
                      <w:szCs w:val="21"/>
                      <w:u w:val="none"/>
                      <w:lang w:val="en-US" w:eastAsia="zh-CN"/>
                    </w:rPr>
                    <w:t>45</w:t>
                  </w:r>
                </w:p>
              </w:tc>
              <w:tc>
                <w:tcPr>
                  <w:tcW w:w="1377" w:type="dxa"/>
                  <w:vMerge w:val="continue"/>
                  <w:tcBorders>
                    <w:tl2br w:val="nil"/>
                    <w:tr2bl w:val="nil"/>
                  </w:tcBorders>
                  <w:vAlign w:val="center"/>
                </w:tcPr>
                <w:p w14:paraId="1596AC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3173FE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6B91E25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649" w:type="dxa"/>
                  <w:vMerge w:val="continue"/>
                  <w:tcBorders>
                    <w:tl2br w:val="nil"/>
                    <w:tr2bl w:val="nil"/>
                  </w:tcBorders>
                  <w:vAlign w:val="center"/>
                </w:tcPr>
                <w:p w14:paraId="06D334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3766E77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3</w:t>
                  </w:r>
                  <w:r>
                    <w:rPr>
                      <w:rFonts w:hint="eastAsia" w:ascii="Times New Roman" w:hAnsi="Times New Roman" w:cs="Times New Roman"/>
                      <w:color w:val="auto"/>
                      <w:sz w:val="21"/>
                      <w:szCs w:val="21"/>
                      <w:u w:val="none"/>
                      <w:lang w:val="en-US" w:eastAsia="zh-CN"/>
                    </w:rPr>
                    <w:t>#</w:t>
                  </w:r>
                  <w:r>
                    <w:rPr>
                      <w:rFonts w:hint="eastAsia" w:cs="Times New Roman"/>
                      <w:color w:val="auto"/>
                      <w:sz w:val="21"/>
                      <w:szCs w:val="21"/>
                      <w:u w:val="none"/>
                      <w:lang w:val="en-US" w:eastAsia="zh-CN"/>
                    </w:rPr>
                    <w:t>风冷冷水</w:t>
                  </w:r>
                  <w:r>
                    <w:rPr>
                      <w:rFonts w:hint="eastAsia" w:ascii="Times New Roman" w:hAnsi="Times New Roman" w:cs="Times New Roman"/>
                      <w:color w:val="auto"/>
                      <w:sz w:val="21"/>
                      <w:szCs w:val="21"/>
                      <w:u w:val="none"/>
                      <w:lang w:val="en-US" w:eastAsia="zh-CN"/>
                    </w:rPr>
                    <w:t>机组</w:t>
                  </w:r>
                </w:p>
              </w:tc>
              <w:tc>
                <w:tcPr>
                  <w:tcW w:w="1055" w:type="dxa"/>
                  <w:tcBorders>
                    <w:tl2br w:val="nil"/>
                    <w:tr2bl w:val="nil"/>
                  </w:tcBorders>
                  <w:vAlign w:val="center"/>
                </w:tcPr>
                <w:p w14:paraId="50F611D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5CE674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14</w:t>
                  </w:r>
                </w:p>
              </w:tc>
              <w:tc>
                <w:tcPr>
                  <w:tcW w:w="1325" w:type="dxa"/>
                  <w:tcBorders>
                    <w:tl2br w:val="nil"/>
                    <w:tr2bl w:val="nil"/>
                  </w:tcBorders>
                  <w:vAlign w:val="center"/>
                </w:tcPr>
                <w:p w14:paraId="485036A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46</w:t>
                  </w:r>
                </w:p>
              </w:tc>
              <w:tc>
                <w:tcPr>
                  <w:tcW w:w="1377" w:type="dxa"/>
                  <w:vMerge w:val="continue"/>
                  <w:tcBorders>
                    <w:tl2br w:val="nil"/>
                    <w:tr2bl w:val="nil"/>
                  </w:tcBorders>
                  <w:vAlign w:val="center"/>
                </w:tcPr>
                <w:p w14:paraId="6538CFB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2F959B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r w14:paraId="5262F50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649" w:type="dxa"/>
                  <w:vMerge w:val="continue"/>
                  <w:tcBorders>
                    <w:tl2br w:val="nil"/>
                    <w:tr2bl w:val="nil"/>
                  </w:tcBorders>
                  <w:vAlign w:val="center"/>
                </w:tcPr>
                <w:p w14:paraId="360621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u w:val="none"/>
                    </w:rPr>
                  </w:pPr>
                </w:p>
              </w:tc>
              <w:tc>
                <w:tcPr>
                  <w:tcW w:w="1799" w:type="dxa"/>
                  <w:tcBorders>
                    <w:tl2br w:val="nil"/>
                    <w:tr2bl w:val="nil"/>
                  </w:tcBorders>
                  <w:vAlign w:val="center"/>
                </w:tcPr>
                <w:p w14:paraId="03ACD38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4</w:t>
                  </w:r>
                  <w:r>
                    <w:rPr>
                      <w:rFonts w:hint="eastAsia" w:ascii="Times New Roman" w:hAnsi="Times New Roman" w:cs="Times New Roman"/>
                      <w:color w:val="auto"/>
                      <w:sz w:val="21"/>
                      <w:szCs w:val="21"/>
                      <w:u w:val="none"/>
                      <w:lang w:val="en-US" w:eastAsia="zh-CN"/>
                    </w:rPr>
                    <w:t>#</w:t>
                  </w:r>
                  <w:r>
                    <w:rPr>
                      <w:rFonts w:hint="eastAsia" w:cs="Times New Roman"/>
                      <w:color w:val="auto"/>
                      <w:sz w:val="21"/>
                      <w:szCs w:val="21"/>
                      <w:u w:val="none"/>
                      <w:lang w:val="en-US" w:eastAsia="zh-CN"/>
                    </w:rPr>
                    <w:t>风冷冷水</w:t>
                  </w:r>
                  <w:r>
                    <w:rPr>
                      <w:rFonts w:hint="eastAsia" w:ascii="Times New Roman" w:hAnsi="Times New Roman" w:cs="Times New Roman"/>
                      <w:color w:val="auto"/>
                      <w:sz w:val="21"/>
                      <w:szCs w:val="21"/>
                      <w:u w:val="none"/>
                      <w:lang w:val="en-US" w:eastAsia="zh-CN"/>
                    </w:rPr>
                    <w:t>机组</w:t>
                  </w:r>
                </w:p>
              </w:tc>
              <w:tc>
                <w:tcPr>
                  <w:tcW w:w="1055" w:type="dxa"/>
                  <w:tcBorders>
                    <w:tl2br w:val="nil"/>
                    <w:tr2bl w:val="nil"/>
                  </w:tcBorders>
                  <w:vAlign w:val="center"/>
                </w:tcPr>
                <w:p w14:paraId="69E245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65</w:t>
                  </w:r>
                </w:p>
              </w:tc>
              <w:tc>
                <w:tcPr>
                  <w:tcW w:w="1163" w:type="dxa"/>
                  <w:tcBorders>
                    <w:tl2br w:val="nil"/>
                    <w:tr2bl w:val="nil"/>
                  </w:tcBorders>
                  <w:vAlign w:val="center"/>
                </w:tcPr>
                <w:p w14:paraId="6F98897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10</w:t>
                  </w:r>
                </w:p>
              </w:tc>
              <w:tc>
                <w:tcPr>
                  <w:tcW w:w="1325" w:type="dxa"/>
                  <w:tcBorders>
                    <w:tl2br w:val="nil"/>
                    <w:tr2bl w:val="nil"/>
                  </w:tcBorders>
                  <w:vAlign w:val="center"/>
                </w:tcPr>
                <w:p w14:paraId="2C4A28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u w:val="none"/>
                      <w:lang w:val="en-US" w:eastAsia="zh-CN"/>
                    </w:rPr>
                  </w:pPr>
                  <w:r>
                    <w:rPr>
                      <w:rFonts w:hint="eastAsia" w:cs="Times New Roman"/>
                      <w:color w:val="auto"/>
                      <w:szCs w:val="21"/>
                      <w:u w:val="none"/>
                      <w:lang w:val="en-US" w:eastAsia="zh-CN"/>
                    </w:rPr>
                    <w:t>46</w:t>
                  </w:r>
                </w:p>
              </w:tc>
              <w:tc>
                <w:tcPr>
                  <w:tcW w:w="1377" w:type="dxa"/>
                  <w:vMerge w:val="continue"/>
                  <w:tcBorders>
                    <w:tl2br w:val="nil"/>
                    <w:tr2bl w:val="nil"/>
                  </w:tcBorders>
                  <w:vAlign w:val="center"/>
                </w:tcPr>
                <w:p w14:paraId="7358AE4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c>
                <w:tcPr>
                  <w:tcW w:w="1004" w:type="dxa"/>
                  <w:vMerge w:val="continue"/>
                  <w:tcBorders>
                    <w:tl2br w:val="nil"/>
                    <w:tr2bl w:val="nil"/>
                  </w:tcBorders>
                  <w:vAlign w:val="center"/>
                </w:tcPr>
                <w:p w14:paraId="5953A93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Cs w:val="21"/>
                      <w:u w:val="none"/>
                      <w:lang w:val="en-US" w:eastAsia="zh-CN"/>
                    </w:rPr>
                  </w:pPr>
                </w:p>
              </w:tc>
            </w:tr>
          </w:tbl>
          <w:p w14:paraId="5FCEA816">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textAlignment w:val="auto"/>
              <w:rPr>
                <w:rFonts w:hint="default" w:ascii="Times New Roman" w:hAnsi="Times New Roman" w:cs="Times New Roman"/>
                <w:color w:val="auto"/>
                <w:sz w:val="24"/>
                <w:u w:val="none"/>
              </w:rPr>
            </w:pPr>
            <w:r>
              <w:rPr>
                <w:rFonts w:hint="default" w:ascii="Times New Roman" w:hAnsi="Times New Roman" w:cs="Times New Roman"/>
                <w:color w:val="auto"/>
                <w:sz w:val="24"/>
                <w:u w:val="none"/>
              </w:rPr>
              <w:t>根据噪声预测分析，本项目</w:t>
            </w:r>
            <w:r>
              <w:rPr>
                <w:rFonts w:hint="default" w:ascii="Times New Roman" w:hAnsi="Times New Roman" w:cs="Times New Roman"/>
                <w:color w:val="auto"/>
                <w:sz w:val="24"/>
                <w:u w:val="none"/>
                <w:lang w:eastAsia="zh-CN"/>
              </w:rPr>
              <w:t>东、西、</w:t>
            </w:r>
            <w:r>
              <w:rPr>
                <w:rFonts w:hint="eastAsia" w:ascii="Times New Roman" w:hAnsi="Times New Roman" w:cs="Times New Roman"/>
                <w:color w:val="auto"/>
                <w:sz w:val="24"/>
                <w:u w:val="none"/>
                <w:lang w:val="en-US" w:eastAsia="zh-CN"/>
              </w:rPr>
              <w:t>南、</w:t>
            </w:r>
            <w:r>
              <w:rPr>
                <w:rFonts w:hint="default" w:ascii="Times New Roman" w:hAnsi="Times New Roman" w:cs="Times New Roman"/>
                <w:color w:val="auto"/>
                <w:sz w:val="24"/>
                <w:u w:val="none"/>
                <w:lang w:eastAsia="zh-CN"/>
              </w:rPr>
              <w:t>北厂</w:t>
            </w:r>
            <w:r>
              <w:rPr>
                <w:rFonts w:hint="default" w:ascii="Times New Roman" w:hAnsi="Times New Roman" w:cs="Times New Roman"/>
                <w:color w:val="auto"/>
                <w:sz w:val="24"/>
                <w:u w:val="none"/>
              </w:rPr>
              <w:t>界昼间</w:t>
            </w:r>
            <w:r>
              <w:rPr>
                <w:rFonts w:hint="eastAsia" w:cs="Times New Roman"/>
                <w:color w:val="auto"/>
                <w:sz w:val="24"/>
                <w:u w:val="none"/>
                <w:lang w:val="en-US" w:eastAsia="zh-CN"/>
              </w:rPr>
              <w:t>及夜间</w:t>
            </w:r>
            <w:r>
              <w:rPr>
                <w:rFonts w:hint="default" w:ascii="Times New Roman" w:hAnsi="Times New Roman" w:cs="Times New Roman"/>
                <w:color w:val="auto"/>
                <w:sz w:val="24"/>
                <w:u w:val="none"/>
              </w:rPr>
              <w:t>噪声预测值可满足《工业企业厂界环境噪声排放标准》（GB 12348-2008）</w:t>
            </w:r>
            <w:r>
              <w:rPr>
                <w:rFonts w:hint="eastAsia" w:cs="Times New Roman"/>
                <w:color w:val="auto"/>
                <w:sz w:val="24"/>
                <w:u w:val="none"/>
                <w:lang w:val="en-US" w:eastAsia="zh-CN"/>
              </w:rPr>
              <w:t>2</w:t>
            </w:r>
            <w:r>
              <w:rPr>
                <w:rFonts w:hint="eastAsia" w:ascii="Times New Roman" w:hAnsi="Times New Roman" w:cs="Times New Roman"/>
                <w:color w:val="auto"/>
                <w:sz w:val="24"/>
                <w:u w:val="none"/>
                <w:lang w:val="en-US" w:eastAsia="zh-CN"/>
              </w:rPr>
              <w:t>类</w:t>
            </w:r>
            <w:r>
              <w:rPr>
                <w:rFonts w:hint="default" w:ascii="Times New Roman" w:hAnsi="Times New Roman" w:cs="Times New Roman"/>
                <w:color w:val="auto"/>
                <w:sz w:val="24"/>
                <w:u w:val="none"/>
              </w:rPr>
              <w:t>排放限值要求。</w:t>
            </w:r>
          </w:p>
          <w:p w14:paraId="34F34EDF">
            <w:pPr>
              <w:pStyle w:val="92"/>
              <w:keepNext w:val="0"/>
              <w:keepLines w:val="0"/>
              <w:pageBreakBefore w:val="0"/>
              <w:widowControl w:val="0"/>
              <w:kinsoku/>
              <w:wordWrap/>
              <w:overflowPunct/>
              <w:topLinePunct w:val="0"/>
              <w:bidi w:val="0"/>
              <w:spacing w:line="500" w:lineRule="exact"/>
              <w:ind w:firstLine="480"/>
              <w:textAlignment w:val="auto"/>
              <w:rPr>
                <w:rFonts w:hint="default" w:ascii="Times New Roman" w:hAnsi="Times New Roman" w:cs="Times New Roman"/>
                <w:b/>
                <w:bCs/>
                <w:color w:val="auto"/>
                <w:u w:val="none"/>
              </w:rPr>
            </w:pPr>
            <w:r>
              <w:rPr>
                <w:rFonts w:hint="eastAsia" w:cs="Times New Roman"/>
                <w:b/>
                <w:bCs/>
                <w:color w:val="auto"/>
                <w:u w:val="none"/>
                <w:lang w:val="en-US" w:eastAsia="zh-CN"/>
              </w:rPr>
              <w:t>3.4</w:t>
            </w:r>
            <w:r>
              <w:rPr>
                <w:rFonts w:hint="default" w:ascii="Times New Roman" w:hAnsi="Times New Roman" w:cs="Times New Roman"/>
                <w:b/>
                <w:bCs/>
                <w:color w:val="auto"/>
                <w:u w:val="none"/>
              </w:rPr>
              <w:t>监测要求</w:t>
            </w:r>
          </w:p>
          <w:p w14:paraId="1879E82A">
            <w:pPr>
              <w:pStyle w:val="71"/>
              <w:keepNext w:val="0"/>
              <w:keepLines w:val="0"/>
              <w:pageBreakBefore w:val="0"/>
              <w:widowControl w:val="0"/>
              <w:kinsoku/>
              <w:wordWrap/>
              <w:overflowPunct/>
              <w:topLinePunct w:val="0"/>
              <w:bidi w:val="0"/>
              <w:spacing w:line="500" w:lineRule="exact"/>
              <w:ind w:firstLine="480"/>
              <w:textAlignment w:val="auto"/>
              <w:rPr>
                <w:rFonts w:hint="default" w:ascii="Times New Roman" w:hAnsi="Times New Roman" w:cs="Times New Roman"/>
                <w:color w:val="auto"/>
                <w:u w:val="none"/>
              </w:rPr>
            </w:pPr>
            <w:r>
              <w:rPr>
                <w:rFonts w:hint="default" w:ascii="Times New Roman" w:hAnsi="Times New Roman" w:cs="Times New Roman"/>
                <w:color w:val="auto"/>
                <w:u w:val="none"/>
              </w:rPr>
              <w:t>本项目运行期噪声监测计划见下表。</w:t>
            </w:r>
          </w:p>
          <w:p w14:paraId="58FCFBD3">
            <w:pPr>
              <w:pStyle w:val="7"/>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黑体" w:cs="Times New Roman"/>
                <w:b w:val="0"/>
                <w:bCs w:val="0"/>
                <w:color w:val="auto"/>
                <w:sz w:val="24"/>
                <w:szCs w:val="24"/>
                <w:u w:val="none"/>
                <w:lang w:val="en-US" w:eastAsia="zh-CN"/>
              </w:rPr>
            </w:pPr>
            <w:r>
              <w:rPr>
                <w:rFonts w:hint="default" w:ascii="Times New Roman" w:hAnsi="Times New Roman" w:eastAsia="黑体" w:cs="Times New Roman"/>
                <w:b w:val="0"/>
                <w:bCs w:val="0"/>
                <w:color w:val="auto"/>
                <w:sz w:val="24"/>
                <w:szCs w:val="24"/>
                <w:u w:val="none"/>
                <w:lang w:val="en-US" w:eastAsia="zh-CN"/>
              </w:rPr>
              <w:t>表</w:t>
            </w:r>
            <w:r>
              <w:rPr>
                <w:rFonts w:hint="eastAsia" w:eastAsia="黑体" w:cs="Times New Roman"/>
                <w:b w:val="0"/>
                <w:bCs w:val="0"/>
                <w:color w:val="auto"/>
                <w:sz w:val="24"/>
                <w:szCs w:val="24"/>
                <w:u w:val="none"/>
                <w:lang w:val="en-US" w:eastAsia="zh-CN"/>
              </w:rPr>
              <w:t>4-9</w:t>
            </w:r>
            <w:r>
              <w:rPr>
                <w:rFonts w:hint="default" w:ascii="Times New Roman" w:hAnsi="Times New Roman" w:eastAsia="黑体" w:cs="Times New Roman"/>
                <w:b w:val="0"/>
                <w:bCs w:val="0"/>
                <w:color w:val="auto"/>
                <w:sz w:val="24"/>
                <w:szCs w:val="24"/>
                <w:u w:val="none"/>
                <w:lang w:val="en-US" w:eastAsia="zh-CN"/>
              </w:rPr>
              <w:t xml:space="preserve"> 营运期监测计划</w:t>
            </w:r>
          </w:p>
          <w:tbl>
            <w:tblPr>
              <w:tblStyle w:val="32"/>
              <w:tblW w:w="7957"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0" w:type="dxa"/>
                <w:bottom w:w="0" w:type="dxa"/>
                <w:right w:w="0" w:type="dxa"/>
              </w:tblCellMar>
            </w:tblPr>
            <w:tblGrid>
              <w:gridCol w:w="1205"/>
              <w:gridCol w:w="1617"/>
              <w:gridCol w:w="1301"/>
              <w:gridCol w:w="3834"/>
            </w:tblGrid>
            <w:tr w14:paraId="71974D7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395" w:hRule="atLeast"/>
                <w:jc w:val="center"/>
              </w:trPr>
              <w:tc>
                <w:tcPr>
                  <w:tcW w:w="1205" w:type="dxa"/>
                  <w:tcBorders>
                    <w:tl2br w:val="nil"/>
                    <w:tr2bl w:val="nil"/>
                  </w:tcBorders>
                  <w:vAlign w:val="center"/>
                </w:tcPr>
                <w:p w14:paraId="45BF4681">
                  <w:pPr>
                    <w:pStyle w:val="7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监测点</w:t>
                  </w:r>
                </w:p>
              </w:tc>
              <w:tc>
                <w:tcPr>
                  <w:tcW w:w="1617" w:type="dxa"/>
                  <w:tcBorders>
                    <w:tl2br w:val="nil"/>
                    <w:tr2bl w:val="nil"/>
                  </w:tcBorders>
                  <w:vAlign w:val="center"/>
                </w:tcPr>
                <w:p w14:paraId="3EB3FA57">
                  <w:pPr>
                    <w:pStyle w:val="7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监测项目</w:t>
                  </w:r>
                </w:p>
              </w:tc>
              <w:tc>
                <w:tcPr>
                  <w:tcW w:w="1301" w:type="dxa"/>
                  <w:tcBorders>
                    <w:tl2br w:val="nil"/>
                    <w:tr2bl w:val="nil"/>
                  </w:tcBorders>
                  <w:vAlign w:val="center"/>
                </w:tcPr>
                <w:p w14:paraId="336FA84A">
                  <w:pPr>
                    <w:pStyle w:val="7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监测频率</w:t>
                  </w:r>
                </w:p>
              </w:tc>
              <w:tc>
                <w:tcPr>
                  <w:tcW w:w="3834" w:type="dxa"/>
                  <w:tcBorders>
                    <w:tl2br w:val="nil"/>
                    <w:tr2bl w:val="nil"/>
                  </w:tcBorders>
                  <w:vAlign w:val="center"/>
                </w:tcPr>
                <w:p w14:paraId="2978DF9D">
                  <w:pPr>
                    <w:pStyle w:val="7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执行标准</w:t>
                  </w:r>
                </w:p>
              </w:tc>
            </w:tr>
            <w:tr w14:paraId="5BAC0BD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636" w:hRule="atLeast"/>
                <w:jc w:val="center"/>
              </w:trPr>
              <w:tc>
                <w:tcPr>
                  <w:tcW w:w="1205" w:type="dxa"/>
                  <w:tcBorders>
                    <w:tl2br w:val="nil"/>
                    <w:tr2bl w:val="nil"/>
                  </w:tcBorders>
                  <w:vAlign w:val="center"/>
                </w:tcPr>
                <w:p w14:paraId="54D0EB28">
                  <w:pPr>
                    <w:pStyle w:val="7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四周厂界</w:t>
                  </w:r>
                </w:p>
              </w:tc>
              <w:tc>
                <w:tcPr>
                  <w:tcW w:w="1617" w:type="dxa"/>
                  <w:tcBorders>
                    <w:tl2br w:val="nil"/>
                    <w:tr2bl w:val="nil"/>
                  </w:tcBorders>
                  <w:vAlign w:val="center"/>
                </w:tcPr>
                <w:p w14:paraId="0BF9CD74">
                  <w:pPr>
                    <w:pStyle w:val="7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等效连续A声级</w:t>
                  </w:r>
                </w:p>
              </w:tc>
              <w:tc>
                <w:tcPr>
                  <w:tcW w:w="1301" w:type="dxa"/>
                  <w:tcBorders>
                    <w:tl2br w:val="nil"/>
                    <w:tr2bl w:val="nil"/>
                  </w:tcBorders>
                  <w:vAlign w:val="center"/>
                </w:tcPr>
                <w:p w14:paraId="7E7B740E">
                  <w:pPr>
                    <w:pStyle w:val="7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每季度1次</w:t>
                  </w:r>
                </w:p>
              </w:tc>
              <w:tc>
                <w:tcPr>
                  <w:tcW w:w="3834" w:type="dxa"/>
                  <w:tcBorders>
                    <w:tl2br w:val="nil"/>
                    <w:tr2bl w:val="nil"/>
                  </w:tcBorders>
                  <w:vAlign w:val="center"/>
                </w:tcPr>
                <w:p w14:paraId="35C0BC24">
                  <w:pPr>
                    <w:pStyle w:val="7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《工业企业厂界环境噪声排放标准》（GB12348-2008）中</w:t>
                  </w:r>
                  <w:r>
                    <w:rPr>
                      <w:rFonts w:hint="eastAsia" w:cs="Times New Roman"/>
                      <w:color w:val="auto"/>
                      <w:sz w:val="21"/>
                      <w:szCs w:val="21"/>
                      <w:u w:val="none"/>
                      <w:lang w:val="en-US" w:eastAsia="zh-CN"/>
                    </w:rPr>
                    <w:t>2</w:t>
                  </w:r>
                  <w:r>
                    <w:rPr>
                      <w:rFonts w:hint="eastAsia" w:ascii="Times New Roman" w:hAnsi="Times New Roman" w:cs="Times New Roman"/>
                      <w:color w:val="auto"/>
                      <w:sz w:val="21"/>
                      <w:szCs w:val="21"/>
                      <w:u w:val="none"/>
                      <w:lang w:eastAsia="zh-CN"/>
                    </w:rPr>
                    <w:t>类</w:t>
                  </w:r>
                  <w:r>
                    <w:rPr>
                      <w:rFonts w:hint="default" w:ascii="Times New Roman" w:hAnsi="Times New Roman" w:cs="Times New Roman"/>
                      <w:color w:val="auto"/>
                      <w:sz w:val="21"/>
                      <w:szCs w:val="21"/>
                      <w:u w:val="none"/>
                    </w:rPr>
                    <w:t>标准</w:t>
                  </w:r>
                </w:p>
              </w:tc>
            </w:tr>
          </w:tbl>
          <w:p w14:paraId="72252892">
            <w:pPr>
              <w:keepNext w:val="0"/>
              <w:keepLines w:val="0"/>
              <w:pageBreakBefore w:val="0"/>
              <w:kinsoku/>
              <w:wordWrap/>
              <w:overflowPunct/>
              <w:topLinePunct w:val="0"/>
              <w:bidi w:val="0"/>
              <w:adjustRightInd w:val="0"/>
              <w:snapToGrid/>
              <w:spacing w:line="500" w:lineRule="exact"/>
              <w:ind w:firstLine="482" w:firstLineChars="200"/>
              <w:textAlignment w:val="auto"/>
              <w:rPr>
                <w:rFonts w:hint="default" w:ascii="Times New Roman" w:hAnsi="Times New Roman" w:cs="Times New Roman"/>
                <w:b w:val="0"/>
                <w:bCs w:val="0"/>
                <w:color w:val="auto"/>
                <w:sz w:val="24"/>
                <w:szCs w:val="24"/>
                <w:u w:val="none"/>
              </w:rPr>
            </w:pPr>
            <w:r>
              <w:rPr>
                <w:rFonts w:hint="eastAsia" w:cs="Times New Roman"/>
                <w:b/>
                <w:bCs/>
                <w:color w:val="auto"/>
                <w:sz w:val="24"/>
                <w:szCs w:val="24"/>
                <w:u w:val="none"/>
                <w:lang w:val="en-US" w:eastAsia="zh-CN"/>
              </w:rPr>
              <w:t>4、</w:t>
            </w:r>
            <w:r>
              <w:rPr>
                <w:rFonts w:hint="default" w:ascii="Times New Roman" w:hAnsi="Times New Roman" w:cs="Times New Roman"/>
                <w:b/>
                <w:bCs/>
                <w:color w:val="auto"/>
                <w:sz w:val="24"/>
                <w:szCs w:val="24"/>
                <w:u w:val="none"/>
              </w:rPr>
              <w:t>固体废物影响分析</w:t>
            </w:r>
          </w:p>
          <w:p w14:paraId="11CC263C">
            <w:pPr>
              <w:keepNext w:val="0"/>
              <w:keepLines w:val="0"/>
              <w:pageBreakBefore w:val="0"/>
              <w:widowControl/>
              <w:kinsoku/>
              <w:wordWrap/>
              <w:overflowPunct/>
              <w:topLinePunct w:val="0"/>
              <w:bidi w:val="0"/>
              <w:snapToGrid/>
              <w:spacing w:line="500" w:lineRule="exact"/>
              <w:ind w:firstLine="482" w:firstLineChars="200"/>
              <w:textAlignment w:val="auto"/>
              <w:rPr>
                <w:rFonts w:hint="default" w:ascii="Times New Roman" w:hAnsi="Times New Roman" w:cs="Times New Roman"/>
                <w:b/>
                <w:bCs/>
                <w:color w:val="auto"/>
                <w:sz w:val="24"/>
                <w:szCs w:val="20"/>
                <w:u w:val="none"/>
              </w:rPr>
            </w:pPr>
            <w:r>
              <w:rPr>
                <w:rFonts w:hint="eastAsia" w:cs="Times New Roman"/>
                <w:b/>
                <w:bCs/>
                <w:color w:val="auto"/>
                <w:sz w:val="24"/>
                <w:szCs w:val="20"/>
                <w:u w:val="none"/>
                <w:lang w:val="en-US" w:eastAsia="zh-CN"/>
              </w:rPr>
              <w:t>4</w:t>
            </w:r>
            <w:r>
              <w:rPr>
                <w:rFonts w:hint="eastAsia" w:ascii="Times New Roman" w:hAnsi="Times New Roman" w:cs="Times New Roman"/>
                <w:b/>
                <w:bCs/>
                <w:color w:val="auto"/>
                <w:sz w:val="24"/>
                <w:szCs w:val="20"/>
                <w:u w:val="none"/>
                <w:lang w:val="en-US" w:eastAsia="zh-CN"/>
              </w:rPr>
              <w:t>.1</w:t>
            </w:r>
            <w:r>
              <w:rPr>
                <w:rFonts w:hint="default" w:ascii="Times New Roman" w:hAnsi="Times New Roman" w:cs="Times New Roman"/>
                <w:b/>
                <w:bCs/>
                <w:color w:val="auto"/>
                <w:sz w:val="24"/>
                <w:szCs w:val="20"/>
                <w:u w:val="none"/>
              </w:rPr>
              <w:t>固废产生及处置情况</w:t>
            </w:r>
          </w:p>
          <w:p w14:paraId="3A3FF308">
            <w:pPr>
              <w:keepNext w:val="0"/>
              <w:keepLines w:val="0"/>
              <w:pageBreakBefore w:val="0"/>
              <w:kinsoku/>
              <w:wordWrap/>
              <w:overflowPunct/>
              <w:topLinePunct w:val="0"/>
              <w:bidi w:val="0"/>
              <w:snapToGrid/>
              <w:spacing w:line="500" w:lineRule="exact"/>
              <w:ind w:firstLine="480" w:firstLineChars="200"/>
              <w:textAlignment w:val="auto"/>
              <w:rPr>
                <w:rFonts w:hint="default" w:ascii="Times New Roman" w:hAnsi="Times New Roman" w:eastAsia="宋体" w:cs="Times New Roman"/>
                <w:b w:val="0"/>
                <w:bCs w:val="0"/>
                <w:color w:val="auto"/>
                <w:sz w:val="24"/>
                <w:szCs w:val="24"/>
                <w:u w:val="none"/>
              </w:rPr>
            </w:pPr>
            <w:r>
              <w:rPr>
                <w:rFonts w:hint="eastAsia" w:ascii="Times New Roman" w:hAnsi="Times New Roman" w:cs="Times New Roman"/>
                <w:bCs/>
                <w:color w:val="auto"/>
                <w:sz w:val="24"/>
                <w:u w:val="none"/>
              </w:rPr>
              <w:t>本项目产生的固废</w:t>
            </w:r>
            <w:r>
              <w:rPr>
                <w:rFonts w:hint="eastAsia" w:ascii="Times New Roman" w:hAnsi="Times New Roman" w:cs="Times New Roman"/>
                <w:bCs/>
                <w:color w:val="auto"/>
                <w:sz w:val="24"/>
                <w:u w:val="none"/>
                <w:lang w:val="en-US" w:eastAsia="zh-CN"/>
              </w:rPr>
              <w:t>为生活垃圾、</w:t>
            </w:r>
            <w:r>
              <w:rPr>
                <w:rFonts w:ascii="Times New Roman" w:hAnsi="Times New Roman" w:cs="Times New Roman"/>
                <w:color w:val="auto"/>
                <w:sz w:val="24"/>
                <w:u w:val="none"/>
              </w:rPr>
              <w:t>废机油</w:t>
            </w:r>
            <w:r>
              <w:rPr>
                <w:rFonts w:hint="eastAsia" w:cs="Times New Roman"/>
                <w:color w:val="auto"/>
                <w:sz w:val="24"/>
                <w:u w:val="none"/>
                <w:lang w:eastAsia="zh-CN"/>
              </w:rPr>
              <w:t>、</w:t>
            </w:r>
            <w:r>
              <w:rPr>
                <w:rFonts w:hint="eastAsia" w:cs="Times New Roman"/>
                <w:color w:val="auto"/>
                <w:sz w:val="24"/>
                <w:u w:val="none"/>
                <w:lang w:val="en-US" w:eastAsia="zh-CN"/>
              </w:rPr>
              <w:t>废包装桶</w:t>
            </w:r>
            <w:r>
              <w:rPr>
                <w:rFonts w:hint="eastAsia" w:ascii="Times New Roman" w:hAnsi="Times New Roman" w:cs="Times New Roman"/>
                <w:bCs/>
                <w:color w:val="auto"/>
                <w:sz w:val="24"/>
                <w:u w:val="none"/>
              </w:rPr>
              <w:t>。</w:t>
            </w:r>
          </w:p>
          <w:p w14:paraId="301F00A5">
            <w:pPr>
              <w:keepNext w:val="0"/>
              <w:keepLines w:val="0"/>
              <w:pageBreakBefore w:val="0"/>
              <w:kinsoku/>
              <w:wordWrap/>
              <w:overflowPunct/>
              <w:topLinePunct w:val="0"/>
              <w:autoSpaceDE w:val="0"/>
              <w:autoSpaceDN w:val="0"/>
              <w:bidi w:val="0"/>
              <w:adjustRightInd w:val="0"/>
              <w:snapToGrid/>
              <w:spacing w:line="500" w:lineRule="exact"/>
              <w:ind w:firstLine="482" w:firstLineChars="200"/>
              <w:textAlignment w:val="auto"/>
              <w:rPr>
                <w:rFonts w:hint="default" w:ascii="Times New Roman" w:hAnsi="Times New Roman" w:cs="Times New Roman"/>
                <w:b/>
                <w:bCs/>
                <w:color w:val="auto"/>
                <w:sz w:val="24"/>
                <w:szCs w:val="24"/>
                <w:u w:val="none"/>
              </w:rPr>
            </w:pPr>
            <w:r>
              <w:rPr>
                <w:rFonts w:hint="eastAsia" w:cs="Times New Roman"/>
                <w:b/>
                <w:bCs/>
                <w:color w:val="auto"/>
                <w:sz w:val="24"/>
                <w:szCs w:val="24"/>
                <w:u w:val="none"/>
                <w:lang w:val="en-US" w:eastAsia="zh-CN"/>
              </w:rPr>
              <w:t>4</w:t>
            </w:r>
            <w:r>
              <w:rPr>
                <w:rFonts w:hint="eastAsia" w:ascii="Times New Roman" w:hAnsi="Times New Roman" w:cs="Times New Roman"/>
                <w:b/>
                <w:bCs/>
                <w:color w:val="auto"/>
                <w:sz w:val="24"/>
                <w:szCs w:val="24"/>
                <w:u w:val="none"/>
                <w:lang w:val="en-US" w:eastAsia="zh-CN"/>
              </w:rPr>
              <w:t>.2</w:t>
            </w:r>
            <w:r>
              <w:rPr>
                <w:rFonts w:hint="default" w:ascii="Times New Roman" w:hAnsi="Times New Roman" w:cs="Times New Roman"/>
                <w:b/>
                <w:bCs/>
                <w:color w:val="auto"/>
                <w:sz w:val="24"/>
                <w:szCs w:val="24"/>
                <w:u w:val="none"/>
              </w:rPr>
              <w:t>一般工业固体废物</w:t>
            </w:r>
          </w:p>
          <w:p w14:paraId="0A558459">
            <w:pPr>
              <w:keepNext w:val="0"/>
              <w:keepLines w:val="0"/>
              <w:pageBreakBefore w:val="0"/>
              <w:kinsoku/>
              <w:wordWrap/>
              <w:overflowPunct/>
              <w:topLinePunct w:val="0"/>
              <w:autoSpaceDE w:val="0"/>
              <w:autoSpaceDN w:val="0"/>
              <w:bidi w:val="0"/>
              <w:adjustRightInd w:val="0"/>
              <w:snapToGrid/>
              <w:spacing w:line="500" w:lineRule="exact"/>
              <w:ind w:firstLine="480" w:firstLineChars="200"/>
              <w:textAlignment w:val="auto"/>
              <w:rPr>
                <w:rFonts w:hint="eastAsia" w:ascii="Times New Roman" w:hAnsi="Times New Roman" w:cs="Times New Roman"/>
                <w:b w:val="0"/>
                <w:bCs w:val="0"/>
                <w:color w:val="auto"/>
                <w:sz w:val="24"/>
                <w:szCs w:val="24"/>
                <w:u w:val="none"/>
                <w:lang w:val="en-US" w:eastAsia="zh-CN"/>
              </w:rPr>
            </w:pPr>
            <w:r>
              <w:rPr>
                <w:rFonts w:hint="eastAsia" w:ascii="Times New Roman" w:hAnsi="Times New Roman" w:cs="Times New Roman"/>
                <w:b w:val="0"/>
                <w:bCs w:val="0"/>
                <w:color w:val="auto"/>
                <w:sz w:val="24"/>
                <w:szCs w:val="24"/>
                <w:u w:val="none"/>
                <w:lang w:val="en-US" w:eastAsia="zh-CN"/>
              </w:rPr>
              <w:t>本项目不涉及一般工业固体废物。</w:t>
            </w:r>
          </w:p>
          <w:p w14:paraId="40C10AFD">
            <w:pPr>
              <w:keepNext w:val="0"/>
              <w:keepLines w:val="0"/>
              <w:pageBreakBefore w:val="0"/>
              <w:kinsoku/>
              <w:wordWrap/>
              <w:overflowPunct/>
              <w:topLinePunct w:val="0"/>
              <w:autoSpaceDE w:val="0"/>
              <w:autoSpaceDN w:val="0"/>
              <w:bidi w:val="0"/>
              <w:adjustRightInd w:val="0"/>
              <w:snapToGrid/>
              <w:spacing w:line="500" w:lineRule="exact"/>
              <w:ind w:firstLine="482" w:firstLineChars="200"/>
              <w:textAlignment w:val="auto"/>
              <w:rPr>
                <w:rFonts w:hint="default" w:ascii="Times New Roman" w:hAnsi="Times New Roman" w:cs="Times New Roman"/>
                <w:b/>
                <w:bCs/>
                <w:color w:val="auto"/>
                <w:sz w:val="24"/>
                <w:szCs w:val="24"/>
                <w:u w:val="none"/>
              </w:rPr>
            </w:pPr>
            <w:r>
              <w:rPr>
                <w:rFonts w:hint="eastAsia" w:cs="Times New Roman"/>
                <w:b/>
                <w:bCs/>
                <w:color w:val="auto"/>
                <w:sz w:val="24"/>
                <w:szCs w:val="24"/>
                <w:u w:val="none"/>
                <w:lang w:val="en-US" w:eastAsia="zh-CN"/>
              </w:rPr>
              <w:t>4</w:t>
            </w:r>
            <w:r>
              <w:rPr>
                <w:rFonts w:hint="eastAsia" w:ascii="Times New Roman" w:hAnsi="Times New Roman" w:cs="Times New Roman"/>
                <w:b/>
                <w:bCs/>
                <w:color w:val="auto"/>
                <w:sz w:val="24"/>
                <w:szCs w:val="24"/>
                <w:u w:val="none"/>
                <w:lang w:val="en-US" w:eastAsia="zh-CN"/>
              </w:rPr>
              <w:t>.3</w:t>
            </w:r>
            <w:r>
              <w:rPr>
                <w:rFonts w:hint="default" w:ascii="Times New Roman" w:hAnsi="Times New Roman" w:cs="Times New Roman"/>
                <w:b/>
                <w:bCs/>
                <w:color w:val="auto"/>
                <w:sz w:val="24"/>
                <w:szCs w:val="24"/>
                <w:u w:val="none"/>
              </w:rPr>
              <w:t>生活垃圾</w:t>
            </w:r>
          </w:p>
          <w:p w14:paraId="6086529F">
            <w:pPr>
              <w:keepNext w:val="0"/>
              <w:keepLines w:val="0"/>
              <w:pageBreakBefore w:val="0"/>
              <w:kinsoku/>
              <w:wordWrap/>
              <w:overflowPunct/>
              <w:topLinePunct w:val="0"/>
              <w:autoSpaceDE w:val="0"/>
              <w:autoSpaceDN w:val="0"/>
              <w:bidi w:val="0"/>
              <w:adjustRightInd w:val="0"/>
              <w:snapToGrid/>
              <w:spacing w:line="500" w:lineRule="exact"/>
              <w:ind w:firstLine="480" w:firstLineChars="200"/>
              <w:textAlignment w:val="auto"/>
              <w:rPr>
                <w:rFonts w:hint="default" w:ascii="Times New Roman" w:hAnsi="Times New Roman" w:cs="Times New Roman"/>
                <w:b w:val="0"/>
                <w:bCs w:val="0"/>
                <w:color w:val="auto"/>
                <w:sz w:val="24"/>
                <w:szCs w:val="24"/>
                <w:u w:val="none"/>
              </w:rPr>
            </w:pPr>
            <w:r>
              <w:rPr>
                <w:rFonts w:hint="default" w:ascii="Times New Roman" w:hAnsi="Times New Roman" w:cs="Times New Roman"/>
                <w:b w:val="0"/>
                <w:bCs w:val="0"/>
                <w:color w:val="auto"/>
                <w:sz w:val="24"/>
                <w:szCs w:val="24"/>
                <w:u w:val="none"/>
              </w:rPr>
              <w:t>项目劳动定员</w:t>
            </w:r>
            <w:r>
              <w:rPr>
                <w:rFonts w:hint="eastAsia" w:ascii="Times New Roman" w:hAnsi="Times New Roman" w:cs="Times New Roman"/>
                <w:b w:val="0"/>
                <w:bCs w:val="0"/>
                <w:color w:val="auto"/>
                <w:sz w:val="24"/>
                <w:szCs w:val="24"/>
                <w:u w:val="none"/>
                <w:lang w:val="en-US" w:eastAsia="zh-CN"/>
              </w:rPr>
              <w:t>11</w:t>
            </w:r>
            <w:r>
              <w:rPr>
                <w:rFonts w:hint="default" w:ascii="Times New Roman" w:hAnsi="Times New Roman" w:cs="Times New Roman"/>
                <w:b w:val="0"/>
                <w:bCs w:val="0"/>
                <w:color w:val="auto"/>
                <w:sz w:val="24"/>
                <w:szCs w:val="24"/>
                <w:u w:val="none"/>
              </w:rPr>
              <w:t>人，年工作时间为</w:t>
            </w:r>
            <w:r>
              <w:rPr>
                <w:rFonts w:hint="default" w:ascii="Times New Roman" w:hAnsi="Times New Roman" w:cs="Times New Roman"/>
                <w:b w:val="0"/>
                <w:bCs w:val="0"/>
                <w:color w:val="auto"/>
                <w:sz w:val="24"/>
                <w:szCs w:val="24"/>
                <w:u w:val="none"/>
                <w:lang w:val="en-US" w:eastAsia="zh-CN"/>
              </w:rPr>
              <w:t>3</w:t>
            </w:r>
            <w:r>
              <w:rPr>
                <w:rFonts w:hint="eastAsia" w:cs="Times New Roman"/>
                <w:b w:val="0"/>
                <w:bCs w:val="0"/>
                <w:color w:val="auto"/>
                <w:sz w:val="24"/>
                <w:szCs w:val="24"/>
                <w:u w:val="none"/>
                <w:lang w:val="en-US" w:eastAsia="zh-CN"/>
              </w:rPr>
              <w:t>6</w:t>
            </w:r>
            <w:r>
              <w:rPr>
                <w:rFonts w:hint="default" w:ascii="Times New Roman" w:hAnsi="Times New Roman" w:cs="Times New Roman"/>
                <w:b w:val="0"/>
                <w:bCs w:val="0"/>
                <w:color w:val="auto"/>
                <w:sz w:val="24"/>
                <w:szCs w:val="24"/>
                <w:u w:val="none"/>
              </w:rPr>
              <w:t>0天，生活垃圾产生量按0.5kg/（人•d）计，则生活垃圾产生量为</w:t>
            </w:r>
            <w:r>
              <w:rPr>
                <w:rFonts w:hint="eastAsia" w:ascii="Times New Roman" w:hAnsi="Times New Roman" w:cs="Times New Roman"/>
                <w:b w:val="0"/>
                <w:bCs w:val="0"/>
                <w:color w:val="auto"/>
                <w:sz w:val="24"/>
                <w:szCs w:val="24"/>
                <w:u w:val="none"/>
                <w:lang w:val="en-US" w:eastAsia="zh-CN"/>
              </w:rPr>
              <w:t>1.</w:t>
            </w:r>
            <w:r>
              <w:rPr>
                <w:rFonts w:hint="eastAsia" w:cs="Times New Roman"/>
                <w:b w:val="0"/>
                <w:bCs w:val="0"/>
                <w:color w:val="auto"/>
                <w:sz w:val="24"/>
                <w:szCs w:val="24"/>
                <w:u w:val="none"/>
                <w:lang w:val="en-US" w:eastAsia="zh-CN"/>
              </w:rPr>
              <w:t>98</w:t>
            </w:r>
            <w:r>
              <w:rPr>
                <w:rFonts w:hint="default" w:ascii="Times New Roman" w:hAnsi="Times New Roman" w:cs="Times New Roman"/>
                <w:b w:val="0"/>
                <w:bCs w:val="0"/>
                <w:color w:val="auto"/>
                <w:sz w:val="24"/>
                <w:szCs w:val="24"/>
                <w:u w:val="none"/>
              </w:rPr>
              <w:t>t/a。建设单位拟在</w:t>
            </w:r>
            <w:r>
              <w:rPr>
                <w:rFonts w:hint="eastAsia" w:ascii="Times New Roman" w:hAnsi="Times New Roman" w:cs="Times New Roman"/>
                <w:b w:val="0"/>
                <w:bCs w:val="0"/>
                <w:color w:val="auto"/>
                <w:sz w:val="24"/>
                <w:szCs w:val="24"/>
                <w:u w:val="none"/>
                <w:lang w:val="en-US" w:eastAsia="zh-CN"/>
              </w:rPr>
              <w:t>站区</w:t>
            </w:r>
            <w:r>
              <w:rPr>
                <w:rFonts w:hint="default" w:ascii="Times New Roman" w:hAnsi="Times New Roman" w:cs="Times New Roman"/>
                <w:b w:val="0"/>
                <w:bCs w:val="0"/>
                <w:color w:val="auto"/>
                <w:sz w:val="24"/>
                <w:szCs w:val="24"/>
                <w:u w:val="none"/>
              </w:rPr>
              <w:t>内设固定垃圾收集箱，做到日产日清。</w:t>
            </w:r>
          </w:p>
          <w:p w14:paraId="0EEB95D0">
            <w:pPr>
              <w:keepNext w:val="0"/>
              <w:keepLines w:val="0"/>
              <w:pageBreakBefore w:val="0"/>
              <w:kinsoku/>
              <w:wordWrap/>
              <w:overflowPunct/>
              <w:topLinePunct w:val="0"/>
              <w:autoSpaceDE w:val="0"/>
              <w:autoSpaceDN w:val="0"/>
              <w:bidi w:val="0"/>
              <w:adjustRightInd w:val="0"/>
              <w:snapToGrid/>
              <w:spacing w:line="500" w:lineRule="exact"/>
              <w:ind w:firstLine="482" w:firstLineChars="200"/>
              <w:textAlignment w:val="auto"/>
              <w:rPr>
                <w:rFonts w:hint="default" w:ascii="Times New Roman" w:hAnsi="Times New Roman" w:cs="Times New Roman"/>
                <w:b/>
                <w:bCs/>
                <w:color w:val="auto"/>
                <w:sz w:val="24"/>
                <w:szCs w:val="24"/>
                <w:u w:val="none"/>
              </w:rPr>
            </w:pPr>
            <w:r>
              <w:rPr>
                <w:rFonts w:hint="eastAsia" w:cs="Times New Roman"/>
                <w:b/>
                <w:bCs/>
                <w:color w:val="auto"/>
                <w:sz w:val="24"/>
                <w:szCs w:val="24"/>
                <w:u w:val="none"/>
                <w:lang w:val="en-US" w:eastAsia="zh-CN"/>
              </w:rPr>
              <w:t>4</w:t>
            </w:r>
            <w:r>
              <w:rPr>
                <w:rFonts w:hint="eastAsia" w:ascii="Times New Roman" w:hAnsi="Times New Roman" w:cs="Times New Roman"/>
                <w:b/>
                <w:bCs/>
                <w:color w:val="auto"/>
                <w:sz w:val="24"/>
                <w:szCs w:val="24"/>
                <w:u w:val="none"/>
                <w:lang w:val="en-US" w:eastAsia="zh-CN"/>
              </w:rPr>
              <w:t>.4</w:t>
            </w:r>
            <w:r>
              <w:rPr>
                <w:rFonts w:hint="default" w:ascii="Times New Roman" w:hAnsi="Times New Roman" w:cs="Times New Roman"/>
                <w:b/>
                <w:bCs/>
                <w:color w:val="auto"/>
                <w:sz w:val="24"/>
                <w:szCs w:val="24"/>
                <w:u w:val="none"/>
              </w:rPr>
              <w:t>危险固废</w:t>
            </w:r>
          </w:p>
          <w:p w14:paraId="5EDAE080">
            <w:pPr>
              <w:keepNext w:val="0"/>
              <w:keepLines w:val="0"/>
              <w:pageBreakBefore w:val="0"/>
              <w:kinsoku/>
              <w:wordWrap/>
              <w:overflowPunct/>
              <w:topLinePunct w:val="0"/>
              <w:bidi w:val="0"/>
              <w:snapToGrid/>
              <w:spacing w:line="500" w:lineRule="exact"/>
              <w:ind w:firstLine="480" w:firstLineChars="200"/>
              <w:jc w:val="left"/>
              <w:textAlignment w:val="auto"/>
              <w:rPr>
                <w:rFonts w:hint="default" w:ascii="Times New Roman" w:hAnsi="Times New Roman" w:eastAsia="宋体" w:cs="Times New Roman"/>
                <w:color w:val="auto"/>
                <w:sz w:val="24"/>
                <w:u w:val="none"/>
                <w:lang w:val="en-US" w:eastAsia="zh-CN"/>
              </w:rPr>
            </w:pPr>
            <w:r>
              <w:rPr>
                <w:rFonts w:hint="default" w:ascii="Times New Roman" w:hAnsi="Times New Roman" w:eastAsia="宋体" w:cs="Times New Roman"/>
                <w:color w:val="auto"/>
                <w:sz w:val="24"/>
                <w:u w:val="none"/>
                <w:lang w:val="en-US" w:eastAsia="zh-CN"/>
              </w:rPr>
              <w:t>①</w:t>
            </w:r>
            <w:r>
              <w:rPr>
                <w:rFonts w:ascii="Times New Roman" w:hAnsi="Times New Roman" w:cs="Times New Roman"/>
                <w:color w:val="auto"/>
                <w:sz w:val="24"/>
                <w:u w:val="none"/>
              </w:rPr>
              <w:t>废机油</w:t>
            </w:r>
          </w:p>
          <w:p w14:paraId="1E65EDE3">
            <w:pPr>
              <w:pStyle w:val="102"/>
              <w:keepNext w:val="0"/>
              <w:keepLines w:val="0"/>
              <w:pageBreakBefore w:val="0"/>
              <w:widowControl w:val="0"/>
              <w:numPr>
                <w:ilvl w:val="0"/>
                <w:numId w:val="0"/>
              </w:numPr>
              <w:kinsoku/>
              <w:wordWrap/>
              <w:overflowPunct/>
              <w:topLinePunct w:val="0"/>
              <w:autoSpaceDE w:val="0"/>
              <w:autoSpaceDN/>
              <w:bidi w:val="0"/>
              <w:adjustRightInd/>
              <w:snapToGrid/>
              <w:spacing w:before="0" w:line="500" w:lineRule="exact"/>
              <w:ind w:leftChars="0" w:right="0" w:rightChars="0" w:firstLine="464" w:firstLineChars="200"/>
              <w:jc w:val="both"/>
              <w:textAlignment w:val="auto"/>
              <w:rPr>
                <w:rFonts w:hint="default" w:ascii="Times New Roman" w:hAnsi="Times New Roman" w:cs="Times New Roman"/>
                <w:b w:val="0"/>
                <w:bCs w:val="0"/>
                <w:color w:val="auto"/>
                <w:sz w:val="24"/>
                <w:szCs w:val="24"/>
                <w:u w:val="none"/>
                <w:vertAlign w:val="baseline"/>
                <w:lang w:val="en-US" w:eastAsia="zh-CN" w:bidi="zh-CN"/>
              </w:rPr>
            </w:pPr>
            <w:r>
              <w:rPr>
                <w:rFonts w:ascii="Times New Roman" w:hAnsi="Times New Roman" w:cs="Times New Roman"/>
                <w:color w:val="auto"/>
                <w:sz w:val="24"/>
                <w:u w:val="none"/>
              </w:rPr>
              <w:t>本项目</w:t>
            </w:r>
            <w:r>
              <w:rPr>
                <w:rFonts w:hint="eastAsia" w:cs="Times New Roman"/>
                <w:color w:val="auto"/>
                <w:sz w:val="24"/>
                <w:u w:val="none"/>
                <w:lang w:val="en-US" w:eastAsia="zh-CN"/>
              </w:rPr>
              <w:t>使用机油量为4.4t，</w:t>
            </w:r>
            <w:r>
              <w:rPr>
                <w:rFonts w:ascii="Times New Roman" w:hAnsi="Times New Roman" w:cs="Times New Roman"/>
                <w:color w:val="auto"/>
                <w:sz w:val="24"/>
                <w:u w:val="none"/>
              </w:rPr>
              <w:t>设备维修废机油产生量约为</w:t>
            </w:r>
            <w:r>
              <w:rPr>
                <w:rFonts w:hint="eastAsia" w:ascii="Times New Roman" w:hAnsi="Times New Roman" w:cs="Times New Roman"/>
                <w:color w:val="auto"/>
                <w:sz w:val="24"/>
                <w:u w:val="none"/>
                <w:lang w:val="en-US" w:eastAsia="zh-CN"/>
              </w:rPr>
              <w:t>1</w:t>
            </w:r>
            <w:r>
              <w:rPr>
                <w:rFonts w:hint="eastAsia" w:cs="Times New Roman"/>
                <w:color w:val="auto"/>
                <w:sz w:val="24"/>
                <w:u w:val="none"/>
                <w:lang w:val="en-US" w:eastAsia="zh-CN"/>
              </w:rPr>
              <w:t>.2</w:t>
            </w:r>
            <w:r>
              <w:rPr>
                <w:rFonts w:ascii="Times New Roman" w:hAnsi="Times New Roman" w:cs="Times New Roman"/>
                <w:color w:val="auto"/>
                <w:sz w:val="24"/>
                <w:u w:val="none"/>
              </w:rPr>
              <w:t>t/a，暂存于危废暂存间，定期委托有资质单位处置。</w:t>
            </w:r>
            <w:r>
              <w:rPr>
                <w:rFonts w:hint="default" w:ascii="Times New Roman" w:hAnsi="Times New Roman" w:cs="Times New Roman"/>
                <w:b w:val="0"/>
                <w:bCs w:val="0"/>
                <w:color w:val="auto"/>
                <w:sz w:val="24"/>
                <w:szCs w:val="24"/>
                <w:u w:val="none"/>
                <w:vertAlign w:val="baseline"/>
                <w:lang w:val="en-US" w:eastAsia="zh-CN" w:bidi="zh-CN"/>
              </w:rPr>
              <w:t>危废编号HW</w:t>
            </w:r>
            <w:r>
              <w:rPr>
                <w:rFonts w:hint="eastAsia" w:ascii="Times New Roman" w:hAnsi="Times New Roman" w:cs="Times New Roman"/>
                <w:b w:val="0"/>
                <w:bCs w:val="0"/>
                <w:color w:val="auto"/>
                <w:sz w:val="24"/>
                <w:szCs w:val="24"/>
                <w:u w:val="none"/>
                <w:vertAlign w:val="baseline"/>
                <w:lang w:val="en-US" w:eastAsia="zh-CN" w:bidi="zh-CN"/>
              </w:rPr>
              <w:t>08</w:t>
            </w:r>
            <w:r>
              <w:rPr>
                <w:rFonts w:hint="default" w:ascii="Times New Roman" w:hAnsi="Times New Roman" w:cs="Times New Roman"/>
                <w:b w:val="0"/>
                <w:bCs w:val="0"/>
                <w:color w:val="auto"/>
                <w:sz w:val="24"/>
                <w:szCs w:val="24"/>
                <w:u w:val="none"/>
                <w:vertAlign w:val="baseline"/>
                <w:lang w:val="en-US" w:eastAsia="zh-CN" w:bidi="zh-CN"/>
              </w:rPr>
              <w:t>：</w:t>
            </w:r>
            <w:r>
              <w:rPr>
                <w:rFonts w:hint="default" w:ascii="Times New Roman" w:hAnsi="Times New Roman" w:eastAsia="宋体" w:cs="Times New Roman"/>
                <w:color w:val="auto"/>
                <w:sz w:val="24"/>
                <w:szCs w:val="24"/>
                <w:u w:val="none"/>
              </w:rPr>
              <w:t>900-214-08</w:t>
            </w:r>
            <w:r>
              <w:rPr>
                <w:rFonts w:hint="default" w:ascii="Times New Roman" w:hAnsi="Times New Roman" w:cs="Times New Roman"/>
                <w:b w:val="0"/>
                <w:bCs w:val="0"/>
                <w:color w:val="auto"/>
                <w:sz w:val="24"/>
                <w:szCs w:val="24"/>
                <w:u w:val="none"/>
                <w:vertAlign w:val="baseline"/>
                <w:lang w:val="en-US" w:eastAsia="zh-CN" w:bidi="zh-CN"/>
              </w:rPr>
              <w:t>。</w:t>
            </w:r>
          </w:p>
          <w:p w14:paraId="7AD7A7C4">
            <w:pPr>
              <w:pStyle w:val="79"/>
              <w:keepNext w:val="0"/>
              <w:keepLines w:val="0"/>
              <w:pageBreakBefore w:val="0"/>
              <w:kinsoku/>
              <w:wordWrap/>
              <w:overflowPunct/>
              <w:topLinePunct w:val="0"/>
              <w:bidi w:val="0"/>
              <w:snapToGrid/>
              <w:spacing w:line="500" w:lineRule="exact"/>
              <w:ind w:firstLine="480"/>
              <w:textAlignment w:val="auto"/>
              <w:rPr>
                <w:rFonts w:hint="default" w:ascii="Times New Roman" w:hAnsi="Times New Roman" w:eastAsia="宋体" w:cs="Times New Roman"/>
                <w:color w:val="auto"/>
                <w:kern w:val="2"/>
                <w:sz w:val="24"/>
                <w:szCs w:val="24"/>
                <w:highlight w:val="none"/>
                <w:u w:val="none"/>
                <w:lang w:val="en-US" w:eastAsia="zh-CN" w:bidi="ar-SA"/>
              </w:rPr>
            </w:pPr>
            <w:r>
              <w:rPr>
                <w:rFonts w:hint="default" w:ascii="Times New Roman" w:hAnsi="Times New Roman" w:eastAsia="宋体" w:cs="Times New Roman"/>
                <w:color w:val="auto"/>
                <w:kern w:val="2"/>
                <w:sz w:val="24"/>
                <w:szCs w:val="24"/>
                <w:highlight w:val="none"/>
                <w:u w:val="none"/>
                <w:lang w:val="en-US" w:eastAsia="zh-CN" w:bidi="ar-SA"/>
              </w:rPr>
              <w:t>②</w:t>
            </w:r>
            <w:r>
              <w:rPr>
                <w:rFonts w:hint="eastAsia" w:cs="Times New Roman"/>
                <w:color w:val="auto"/>
                <w:sz w:val="24"/>
                <w:szCs w:val="24"/>
                <w:highlight w:val="none"/>
                <w:u w:val="none"/>
                <w:lang w:val="en-US" w:eastAsia="zh-CN"/>
              </w:rPr>
              <w:t>废机油、润滑油</w:t>
            </w:r>
            <w:r>
              <w:rPr>
                <w:rFonts w:hint="eastAsia" w:ascii="Times New Roman" w:hAnsi="Times New Roman" w:eastAsia="宋体" w:cs="Times New Roman"/>
                <w:color w:val="auto"/>
                <w:kern w:val="2"/>
                <w:sz w:val="24"/>
                <w:szCs w:val="24"/>
                <w:highlight w:val="none"/>
                <w:u w:val="none"/>
                <w:lang w:val="en-US" w:eastAsia="zh-CN" w:bidi="ar-SA"/>
              </w:rPr>
              <w:t>桶</w:t>
            </w:r>
            <w:r>
              <w:rPr>
                <w:rFonts w:hint="eastAsia" w:cs="Times New Roman"/>
                <w:color w:val="auto"/>
                <w:kern w:val="2"/>
                <w:sz w:val="24"/>
                <w:szCs w:val="24"/>
                <w:highlight w:val="none"/>
                <w:u w:val="none"/>
                <w:lang w:val="en-US" w:eastAsia="zh-CN" w:bidi="ar-SA"/>
              </w:rPr>
              <w:t>（合称废包装桶）</w:t>
            </w:r>
          </w:p>
          <w:p w14:paraId="32F3FBA8">
            <w:pPr>
              <w:pStyle w:val="79"/>
              <w:keepNext w:val="0"/>
              <w:keepLines w:val="0"/>
              <w:pageBreakBefore w:val="0"/>
              <w:kinsoku/>
              <w:wordWrap/>
              <w:overflowPunct/>
              <w:topLinePunct w:val="0"/>
              <w:bidi w:val="0"/>
              <w:snapToGrid/>
              <w:spacing w:line="500" w:lineRule="exact"/>
              <w:ind w:firstLine="480"/>
              <w:textAlignment w:val="auto"/>
              <w:rPr>
                <w:rFonts w:hint="eastAsia" w:ascii="Times New Roman" w:hAnsi="Times New Roman" w:eastAsia="宋体" w:cs="Times New Roman"/>
                <w:color w:val="auto"/>
                <w:sz w:val="24"/>
                <w:szCs w:val="24"/>
                <w:highlight w:val="none"/>
                <w:u w:val="none"/>
                <w:lang w:val="en-US" w:eastAsia="zh-CN"/>
              </w:rPr>
            </w:pPr>
            <w:r>
              <w:rPr>
                <w:rFonts w:hint="eastAsia" w:cs="Times New Roman"/>
                <w:color w:val="auto"/>
                <w:sz w:val="24"/>
                <w:szCs w:val="24"/>
                <w:highlight w:val="none"/>
                <w:u w:val="none"/>
                <w:lang w:val="en-US" w:eastAsia="zh-CN"/>
              </w:rPr>
              <w:t>项目使用机油量为4.4吨，润滑油为15kg，机油、润滑油都会产生废包装桶，根据每种包装规格产生的废包装桶约有27个，每个废包装桶平均约5kg左右，则共计废包装桶0.135</w:t>
            </w:r>
            <w:r>
              <w:rPr>
                <w:rFonts w:hint="default" w:ascii="Times New Roman" w:hAnsi="Times New Roman" w:cs="Times New Roman"/>
                <w:b w:val="0"/>
                <w:bCs w:val="0"/>
                <w:color w:val="auto"/>
                <w:sz w:val="24"/>
                <w:szCs w:val="24"/>
                <w:highlight w:val="none"/>
                <w:u w:val="none"/>
              </w:rPr>
              <w:t>t/a</w:t>
            </w:r>
            <w:r>
              <w:rPr>
                <w:rFonts w:hint="eastAsia" w:ascii="Times New Roman" w:hAnsi="Times New Roman" w:cs="Times New Roman"/>
                <w:b w:val="0"/>
                <w:bCs w:val="0"/>
                <w:color w:val="auto"/>
                <w:sz w:val="24"/>
                <w:szCs w:val="24"/>
                <w:highlight w:val="none"/>
                <w:u w:val="none"/>
                <w:lang w:eastAsia="zh-CN"/>
              </w:rPr>
              <w:t>。</w:t>
            </w:r>
          </w:p>
          <w:p w14:paraId="0D3DAA6A">
            <w:pPr>
              <w:pStyle w:val="79"/>
              <w:keepNext w:val="0"/>
              <w:keepLines w:val="0"/>
              <w:pageBreakBefore w:val="0"/>
              <w:kinsoku/>
              <w:wordWrap/>
              <w:overflowPunct/>
              <w:topLinePunct w:val="0"/>
              <w:bidi w:val="0"/>
              <w:snapToGrid/>
              <w:spacing w:line="500" w:lineRule="exact"/>
              <w:ind w:firstLine="480"/>
              <w:textAlignment w:val="auto"/>
              <w:rPr>
                <w:rFonts w:hint="default" w:ascii="Times New Roman" w:hAnsi="Times New Roman" w:cs="Times New Roman"/>
                <w:color w:val="auto"/>
                <w:sz w:val="24"/>
                <w:szCs w:val="24"/>
                <w:u w:val="none"/>
              </w:rPr>
            </w:pPr>
            <w:r>
              <w:rPr>
                <w:rFonts w:hint="eastAsia" w:ascii="Times New Roman" w:hAnsi="Times New Roman" w:cs="Times New Roman"/>
                <w:color w:val="auto"/>
                <w:sz w:val="24"/>
                <w:szCs w:val="24"/>
                <w:u w:val="none"/>
                <w:lang w:val="en-US" w:eastAsia="zh-CN"/>
              </w:rPr>
              <w:t>注：由于</w:t>
            </w:r>
            <w:r>
              <w:rPr>
                <w:rFonts w:hint="eastAsia" w:cs="Times New Roman"/>
                <w:color w:val="auto"/>
                <w:sz w:val="24"/>
                <w:szCs w:val="24"/>
                <w:u w:val="none"/>
                <w:lang w:val="en-US" w:eastAsia="zh-CN"/>
              </w:rPr>
              <w:t>本公司润滑油实际使用情况为全部损耗，因此不产生废润滑油</w:t>
            </w:r>
            <w:r>
              <w:rPr>
                <w:rFonts w:hint="eastAsia" w:ascii="Times New Roman" w:hAnsi="Times New Roman" w:cs="Times New Roman"/>
                <w:color w:val="auto"/>
                <w:sz w:val="24"/>
                <w:szCs w:val="24"/>
                <w:u w:val="none"/>
                <w:lang w:val="en-US" w:eastAsia="zh-CN"/>
              </w:rPr>
              <w:t>。</w:t>
            </w:r>
          </w:p>
          <w:p w14:paraId="54F5B1E3">
            <w:pPr>
              <w:pStyle w:val="79"/>
              <w:keepNext w:val="0"/>
              <w:keepLines w:val="0"/>
              <w:pageBreakBefore w:val="0"/>
              <w:kinsoku/>
              <w:wordWrap/>
              <w:overflowPunct/>
              <w:topLinePunct w:val="0"/>
              <w:bidi w:val="0"/>
              <w:snapToGrid/>
              <w:spacing w:line="500" w:lineRule="exact"/>
              <w:ind w:firstLine="480"/>
              <w:textAlignment w:val="auto"/>
              <w:rPr>
                <w:rFonts w:hint="eastAsia" w:ascii="Times New Roman" w:hAnsi="Times New Roman" w:eastAsia="宋体" w:cs="Times New Roman"/>
                <w:color w:val="auto"/>
                <w:sz w:val="24"/>
                <w:szCs w:val="24"/>
                <w:u w:val="none"/>
                <w:lang w:eastAsia="zh-CN"/>
              </w:rPr>
            </w:pPr>
            <w:r>
              <w:rPr>
                <w:rFonts w:hint="default" w:ascii="Times New Roman" w:hAnsi="Times New Roman" w:cs="Times New Roman"/>
                <w:color w:val="auto"/>
                <w:sz w:val="24"/>
                <w:szCs w:val="24"/>
                <w:u w:val="none"/>
              </w:rPr>
              <w:t>根据《国家危险废物名录》（202</w:t>
            </w:r>
            <w:r>
              <w:rPr>
                <w:rFonts w:hint="eastAsia" w:ascii="Times New Roman" w:hAnsi="Times New Roman" w:cs="Times New Roman"/>
                <w:color w:val="auto"/>
                <w:sz w:val="24"/>
                <w:szCs w:val="24"/>
                <w:u w:val="none"/>
                <w:lang w:val="en-US" w:eastAsia="zh-CN"/>
              </w:rPr>
              <w:t>5</w:t>
            </w:r>
            <w:r>
              <w:rPr>
                <w:rFonts w:hint="default" w:ascii="Times New Roman" w:hAnsi="Times New Roman" w:cs="Times New Roman"/>
                <w:color w:val="auto"/>
                <w:sz w:val="24"/>
                <w:szCs w:val="24"/>
                <w:u w:val="none"/>
              </w:rPr>
              <w:t>年版），将本项目产生的</w:t>
            </w:r>
            <w:r>
              <w:rPr>
                <w:rFonts w:hint="eastAsia" w:cs="Times New Roman"/>
                <w:color w:val="auto"/>
                <w:sz w:val="24"/>
                <w:szCs w:val="24"/>
                <w:u w:val="none"/>
                <w:lang w:val="en-US" w:eastAsia="zh-CN"/>
              </w:rPr>
              <w:t>危险</w:t>
            </w:r>
            <w:r>
              <w:rPr>
                <w:rFonts w:hint="default" w:ascii="Times New Roman" w:hAnsi="Times New Roman" w:cs="Times New Roman"/>
                <w:color w:val="auto"/>
                <w:sz w:val="24"/>
                <w:szCs w:val="24"/>
                <w:u w:val="none"/>
              </w:rPr>
              <w:t>固体废物进行汇总及分类，具体见下表</w:t>
            </w:r>
            <w:r>
              <w:rPr>
                <w:rFonts w:hint="eastAsia" w:ascii="Times New Roman" w:hAnsi="Times New Roman" w:cs="Times New Roman"/>
                <w:color w:val="auto"/>
                <w:sz w:val="24"/>
                <w:szCs w:val="24"/>
                <w:u w:val="none"/>
                <w:lang w:eastAsia="zh-CN"/>
              </w:rPr>
              <w:t>：</w:t>
            </w:r>
          </w:p>
          <w:p w14:paraId="47BACC26">
            <w:pPr>
              <w:pStyle w:val="7"/>
              <w:keepNext w:val="0"/>
              <w:keepLines w:val="0"/>
              <w:pageBreakBefore w:val="0"/>
              <w:widowControl w:val="0"/>
              <w:numPr>
                <w:ilvl w:val="0"/>
                <w:numId w:val="0"/>
              </w:numPr>
              <w:kinsoku/>
              <w:wordWrap/>
              <w:overflowPunct/>
              <w:topLinePunct w:val="0"/>
              <w:autoSpaceDE/>
              <w:autoSpaceDN/>
              <w:bidi w:val="0"/>
              <w:adjustRightInd w:val="0"/>
              <w:snapToGrid/>
              <w:spacing w:line="240" w:lineRule="auto"/>
              <w:ind w:firstLine="480" w:firstLineChars="200"/>
              <w:jc w:val="center"/>
              <w:textAlignment w:val="auto"/>
              <w:rPr>
                <w:rFonts w:hint="default" w:ascii="Times New Roman" w:hAnsi="Times New Roman" w:eastAsia="黑体" w:cs="Times New Roman"/>
                <w:b w:val="0"/>
                <w:bCs w:val="0"/>
                <w:color w:val="auto"/>
                <w:sz w:val="24"/>
                <w:szCs w:val="24"/>
                <w:u w:val="none"/>
                <w:lang w:val="en-US" w:eastAsia="zh-CN"/>
              </w:rPr>
            </w:pPr>
            <w:r>
              <w:rPr>
                <w:rFonts w:hint="default" w:ascii="Times New Roman" w:hAnsi="Times New Roman" w:eastAsia="黑体" w:cs="Times New Roman"/>
                <w:b w:val="0"/>
                <w:bCs w:val="0"/>
                <w:color w:val="auto"/>
                <w:sz w:val="24"/>
                <w:szCs w:val="24"/>
                <w:u w:val="none"/>
                <w:lang w:val="en-US" w:eastAsia="zh-CN"/>
              </w:rPr>
              <w:t>表</w:t>
            </w:r>
            <w:r>
              <w:rPr>
                <w:rFonts w:hint="eastAsia" w:eastAsia="黑体" w:cs="Times New Roman"/>
                <w:b w:val="0"/>
                <w:bCs w:val="0"/>
                <w:color w:val="auto"/>
                <w:sz w:val="24"/>
                <w:szCs w:val="24"/>
                <w:u w:val="none"/>
                <w:lang w:val="en-US" w:eastAsia="zh-CN"/>
              </w:rPr>
              <w:t>4-10</w:t>
            </w:r>
            <w:r>
              <w:rPr>
                <w:rFonts w:hint="default" w:ascii="Times New Roman" w:hAnsi="Times New Roman" w:eastAsia="黑体" w:cs="Times New Roman"/>
                <w:b w:val="0"/>
                <w:bCs w:val="0"/>
                <w:color w:val="auto"/>
                <w:sz w:val="24"/>
                <w:szCs w:val="24"/>
                <w:u w:val="none"/>
                <w:lang w:val="en-US" w:eastAsia="zh-CN"/>
              </w:rPr>
              <w:t xml:space="preserve"> 固体废物产生及处置情况一览表</w:t>
            </w:r>
          </w:p>
          <w:tbl>
            <w:tblPr>
              <w:tblStyle w:val="32"/>
              <w:tblW w:w="8568"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722"/>
              <w:gridCol w:w="1232"/>
              <w:gridCol w:w="1227"/>
              <w:gridCol w:w="1132"/>
              <w:gridCol w:w="873"/>
              <w:gridCol w:w="1309"/>
              <w:gridCol w:w="2073"/>
            </w:tblGrid>
            <w:tr w14:paraId="08773B6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2" w:type="dxa"/>
                  <w:tcBorders>
                    <w:tl2br w:val="nil"/>
                    <w:tr2bl w:val="nil"/>
                  </w:tcBorders>
                  <w:vAlign w:val="center"/>
                </w:tcPr>
                <w:p w14:paraId="5273EAC1">
                  <w:pPr>
                    <w:pStyle w:val="79"/>
                    <w:keepNext w:val="0"/>
                    <w:keepLines w:val="0"/>
                    <w:pageBreakBefore w:val="0"/>
                    <w:widowControl w:val="0"/>
                    <w:kinsoku/>
                    <w:wordWrap/>
                    <w:overflowPunct/>
                    <w:topLinePunct w:val="0"/>
                    <w:autoSpaceDE w:val="0"/>
                    <w:autoSpaceDN w:val="0"/>
                    <w:bidi w:val="0"/>
                    <w:adjustRightInd/>
                    <w:snapToGrid/>
                    <w:spacing w:line="240" w:lineRule="auto"/>
                    <w:ind w:firstLine="0" w:firstLineChars="0"/>
                    <w:contextualSpacing/>
                    <w:jc w:val="center"/>
                    <w:textAlignment w:val="auto"/>
                    <w:rPr>
                      <w:rFonts w:hint="default" w:ascii="Times New Roman" w:hAnsi="Times New Roman" w:cs="Times New Roman"/>
                      <w:b/>
                      <w:color w:val="auto"/>
                      <w:sz w:val="21"/>
                      <w:szCs w:val="21"/>
                      <w:u w:val="none"/>
                    </w:rPr>
                  </w:pPr>
                  <w:r>
                    <w:rPr>
                      <w:rFonts w:hint="default" w:ascii="Times New Roman" w:hAnsi="Times New Roman" w:cs="Times New Roman"/>
                      <w:b/>
                      <w:color w:val="auto"/>
                      <w:sz w:val="21"/>
                      <w:szCs w:val="21"/>
                      <w:u w:val="none"/>
                    </w:rPr>
                    <w:t>序号</w:t>
                  </w:r>
                </w:p>
              </w:tc>
              <w:tc>
                <w:tcPr>
                  <w:tcW w:w="1232" w:type="dxa"/>
                  <w:tcBorders>
                    <w:tl2br w:val="nil"/>
                    <w:tr2bl w:val="nil"/>
                  </w:tcBorders>
                  <w:vAlign w:val="center"/>
                </w:tcPr>
                <w:p w14:paraId="1863C2A8">
                  <w:pPr>
                    <w:pStyle w:val="79"/>
                    <w:keepNext w:val="0"/>
                    <w:keepLines w:val="0"/>
                    <w:pageBreakBefore w:val="0"/>
                    <w:widowControl w:val="0"/>
                    <w:kinsoku/>
                    <w:wordWrap/>
                    <w:overflowPunct/>
                    <w:topLinePunct w:val="0"/>
                    <w:autoSpaceDE w:val="0"/>
                    <w:autoSpaceDN w:val="0"/>
                    <w:bidi w:val="0"/>
                    <w:adjustRightInd/>
                    <w:snapToGrid/>
                    <w:spacing w:line="240" w:lineRule="auto"/>
                    <w:ind w:firstLine="0" w:firstLineChars="0"/>
                    <w:contextualSpacing/>
                    <w:jc w:val="center"/>
                    <w:textAlignment w:val="auto"/>
                    <w:rPr>
                      <w:rFonts w:hint="default" w:ascii="Times New Roman" w:hAnsi="Times New Roman" w:cs="Times New Roman"/>
                      <w:b/>
                      <w:color w:val="auto"/>
                      <w:sz w:val="21"/>
                      <w:szCs w:val="21"/>
                      <w:u w:val="none"/>
                    </w:rPr>
                  </w:pPr>
                  <w:r>
                    <w:rPr>
                      <w:rFonts w:hint="default" w:ascii="Times New Roman" w:hAnsi="Times New Roman" w:cs="Times New Roman"/>
                      <w:b/>
                      <w:color w:val="auto"/>
                      <w:sz w:val="21"/>
                      <w:szCs w:val="21"/>
                      <w:u w:val="none"/>
                    </w:rPr>
                    <w:t>固废名称</w:t>
                  </w:r>
                </w:p>
              </w:tc>
              <w:tc>
                <w:tcPr>
                  <w:tcW w:w="1227" w:type="dxa"/>
                  <w:tcBorders>
                    <w:tl2br w:val="nil"/>
                    <w:tr2bl w:val="nil"/>
                  </w:tcBorders>
                  <w:vAlign w:val="center"/>
                </w:tcPr>
                <w:p w14:paraId="1B093E13">
                  <w:pPr>
                    <w:pStyle w:val="79"/>
                    <w:keepNext w:val="0"/>
                    <w:keepLines w:val="0"/>
                    <w:pageBreakBefore w:val="0"/>
                    <w:widowControl w:val="0"/>
                    <w:kinsoku/>
                    <w:wordWrap/>
                    <w:overflowPunct/>
                    <w:topLinePunct w:val="0"/>
                    <w:autoSpaceDE w:val="0"/>
                    <w:autoSpaceDN w:val="0"/>
                    <w:bidi w:val="0"/>
                    <w:adjustRightInd/>
                    <w:snapToGrid/>
                    <w:spacing w:line="240" w:lineRule="auto"/>
                    <w:ind w:firstLine="0" w:firstLineChars="0"/>
                    <w:contextualSpacing/>
                    <w:jc w:val="center"/>
                    <w:textAlignment w:val="auto"/>
                    <w:rPr>
                      <w:rFonts w:hint="default" w:ascii="Times New Roman" w:hAnsi="Times New Roman" w:cs="Times New Roman"/>
                      <w:b/>
                      <w:color w:val="auto"/>
                      <w:sz w:val="21"/>
                      <w:szCs w:val="21"/>
                      <w:u w:val="none"/>
                    </w:rPr>
                  </w:pPr>
                  <w:r>
                    <w:rPr>
                      <w:rFonts w:hint="default" w:ascii="Times New Roman" w:hAnsi="Times New Roman" w:cs="Times New Roman"/>
                      <w:b/>
                      <w:color w:val="auto"/>
                      <w:sz w:val="21"/>
                      <w:szCs w:val="21"/>
                      <w:u w:val="none"/>
                    </w:rPr>
                    <w:t>产污环节</w:t>
                  </w:r>
                </w:p>
              </w:tc>
              <w:tc>
                <w:tcPr>
                  <w:tcW w:w="1132" w:type="dxa"/>
                  <w:tcBorders>
                    <w:tl2br w:val="nil"/>
                    <w:tr2bl w:val="nil"/>
                  </w:tcBorders>
                  <w:vAlign w:val="center"/>
                </w:tcPr>
                <w:p w14:paraId="2165FD77">
                  <w:pPr>
                    <w:pStyle w:val="79"/>
                    <w:keepNext w:val="0"/>
                    <w:keepLines w:val="0"/>
                    <w:pageBreakBefore w:val="0"/>
                    <w:widowControl w:val="0"/>
                    <w:kinsoku/>
                    <w:wordWrap/>
                    <w:overflowPunct/>
                    <w:topLinePunct w:val="0"/>
                    <w:autoSpaceDE w:val="0"/>
                    <w:autoSpaceDN w:val="0"/>
                    <w:bidi w:val="0"/>
                    <w:adjustRightInd/>
                    <w:snapToGrid/>
                    <w:spacing w:line="240" w:lineRule="auto"/>
                    <w:ind w:firstLine="0" w:firstLineChars="0"/>
                    <w:contextualSpacing/>
                    <w:jc w:val="center"/>
                    <w:textAlignment w:val="auto"/>
                    <w:rPr>
                      <w:rFonts w:hint="default" w:ascii="Times New Roman" w:hAnsi="Times New Roman" w:cs="Times New Roman"/>
                      <w:b/>
                      <w:color w:val="auto"/>
                      <w:sz w:val="21"/>
                      <w:szCs w:val="21"/>
                      <w:u w:val="none"/>
                    </w:rPr>
                  </w:pPr>
                  <w:r>
                    <w:rPr>
                      <w:rFonts w:hint="default" w:ascii="Times New Roman" w:hAnsi="Times New Roman" w:cs="Times New Roman"/>
                      <w:b/>
                      <w:color w:val="auto"/>
                      <w:sz w:val="21"/>
                      <w:szCs w:val="21"/>
                      <w:u w:val="none"/>
                    </w:rPr>
                    <w:t>固废性质</w:t>
                  </w:r>
                </w:p>
              </w:tc>
              <w:tc>
                <w:tcPr>
                  <w:tcW w:w="873" w:type="dxa"/>
                  <w:tcBorders>
                    <w:tl2br w:val="nil"/>
                    <w:tr2bl w:val="nil"/>
                  </w:tcBorders>
                  <w:vAlign w:val="center"/>
                </w:tcPr>
                <w:p w14:paraId="6266A61F">
                  <w:pPr>
                    <w:pStyle w:val="79"/>
                    <w:keepNext w:val="0"/>
                    <w:keepLines w:val="0"/>
                    <w:pageBreakBefore w:val="0"/>
                    <w:widowControl w:val="0"/>
                    <w:kinsoku/>
                    <w:wordWrap/>
                    <w:overflowPunct/>
                    <w:topLinePunct w:val="0"/>
                    <w:autoSpaceDE w:val="0"/>
                    <w:autoSpaceDN w:val="0"/>
                    <w:bidi w:val="0"/>
                    <w:adjustRightInd/>
                    <w:snapToGrid/>
                    <w:spacing w:line="240" w:lineRule="auto"/>
                    <w:ind w:firstLine="0" w:firstLineChars="0"/>
                    <w:contextualSpacing/>
                    <w:jc w:val="center"/>
                    <w:textAlignment w:val="auto"/>
                    <w:rPr>
                      <w:rFonts w:hint="default" w:ascii="Times New Roman" w:hAnsi="Times New Roman" w:eastAsia="宋体" w:cs="Times New Roman"/>
                      <w:b/>
                      <w:color w:val="auto"/>
                      <w:sz w:val="21"/>
                      <w:szCs w:val="21"/>
                      <w:u w:val="none"/>
                      <w:lang w:eastAsia="zh-CN"/>
                    </w:rPr>
                  </w:pPr>
                  <w:r>
                    <w:rPr>
                      <w:rFonts w:hint="default" w:ascii="Times New Roman" w:hAnsi="Times New Roman" w:cs="Times New Roman"/>
                      <w:b/>
                      <w:color w:val="auto"/>
                      <w:sz w:val="21"/>
                      <w:szCs w:val="21"/>
                      <w:u w:val="none"/>
                    </w:rPr>
                    <w:t>产生量</w:t>
                  </w:r>
                  <w:r>
                    <w:rPr>
                      <w:rFonts w:hint="default" w:ascii="Times New Roman" w:hAnsi="Times New Roman" w:cs="Times New Roman"/>
                      <w:b/>
                      <w:color w:val="auto"/>
                      <w:sz w:val="21"/>
                      <w:szCs w:val="21"/>
                      <w:u w:val="none"/>
                      <w:lang w:eastAsia="zh-CN"/>
                    </w:rPr>
                    <w:t>（</w:t>
                  </w:r>
                  <w:r>
                    <w:rPr>
                      <w:rFonts w:hint="default" w:ascii="Times New Roman" w:hAnsi="Times New Roman" w:cs="Times New Roman"/>
                      <w:b/>
                      <w:color w:val="auto"/>
                      <w:sz w:val="21"/>
                      <w:szCs w:val="21"/>
                      <w:u w:val="none"/>
                      <w:lang w:val="en-US" w:eastAsia="zh-CN"/>
                    </w:rPr>
                    <w:t>t/a</w:t>
                  </w:r>
                  <w:r>
                    <w:rPr>
                      <w:rFonts w:hint="default" w:ascii="Times New Roman" w:hAnsi="Times New Roman" w:cs="Times New Roman"/>
                      <w:b/>
                      <w:color w:val="auto"/>
                      <w:sz w:val="21"/>
                      <w:szCs w:val="21"/>
                      <w:u w:val="none"/>
                      <w:lang w:eastAsia="zh-CN"/>
                    </w:rPr>
                    <w:t>）</w:t>
                  </w:r>
                </w:p>
              </w:tc>
              <w:tc>
                <w:tcPr>
                  <w:tcW w:w="1309" w:type="dxa"/>
                  <w:tcBorders>
                    <w:tl2br w:val="nil"/>
                    <w:tr2bl w:val="nil"/>
                  </w:tcBorders>
                  <w:vAlign w:val="center"/>
                </w:tcPr>
                <w:p w14:paraId="18659D3C">
                  <w:pPr>
                    <w:pStyle w:val="79"/>
                    <w:keepNext w:val="0"/>
                    <w:keepLines w:val="0"/>
                    <w:pageBreakBefore w:val="0"/>
                    <w:widowControl w:val="0"/>
                    <w:kinsoku/>
                    <w:wordWrap/>
                    <w:overflowPunct/>
                    <w:topLinePunct w:val="0"/>
                    <w:autoSpaceDE w:val="0"/>
                    <w:autoSpaceDN w:val="0"/>
                    <w:bidi w:val="0"/>
                    <w:adjustRightInd/>
                    <w:snapToGrid/>
                    <w:spacing w:line="240" w:lineRule="auto"/>
                    <w:ind w:firstLine="0" w:firstLineChars="0"/>
                    <w:contextualSpacing/>
                    <w:jc w:val="center"/>
                    <w:textAlignment w:val="auto"/>
                    <w:rPr>
                      <w:rFonts w:hint="default" w:ascii="Times New Roman" w:hAnsi="Times New Roman" w:cs="Times New Roman"/>
                      <w:b/>
                      <w:color w:val="auto"/>
                      <w:sz w:val="21"/>
                      <w:szCs w:val="21"/>
                      <w:u w:val="none"/>
                    </w:rPr>
                  </w:pPr>
                  <w:r>
                    <w:rPr>
                      <w:rFonts w:hint="default" w:ascii="Times New Roman" w:hAnsi="Times New Roman" w:cs="Times New Roman"/>
                      <w:b/>
                      <w:color w:val="auto"/>
                      <w:sz w:val="21"/>
                      <w:szCs w:val="21"/>
                      <w:u w:val="none"/>
                    </w:rPr>
                    <w:t>废物类别及代码</w:t>
                  </w:r>
                </w:p>
              </w:tc>
              <w:tc>
                <w:tcPr>
                  <w:tcW w:w="2073" w:type="dxa"/>
                  <w:tcBorders>
                    <w:tl2br w:val="nil"/>
                    <w:tr2bl w:val="nil"/>
                  </w:tcBorders>
                  <w:vAlign w:val="center"/>
                </w:tcPr>
                <w:p w14:paraId="0D901F66">
                  <w:pPr>
                    <w:pStyle w:val="79"/>
                    <w:keepNext w:val="0"/>
                    <w:keepLines w:val="0"/>
                    <w:pageBreakBefore w:val="0"/>
                    <w:widowControl w:val="0"/>
                    <w:kinsoku/>
                    <w:wordWrap/>
                    <w:overflowPunct/>
                    <w:topLinePunct w:val="0"/>
                    <w:autoSpaceDE w:val="0"/>
                    <w:autoSpaceDN w:val="0"/>
                    <w:bidi w:val="0"/>
                    <w:adjustRightInd/>
                    <w:snapToGrid/>
                    <w:spacing w:line="240" w:lineRule="auto"/>
                    <w:ind w:firstLine="0" w:firstLineChars="0"/>
                    <w:contextualSpacing/>
                    <w:jc w:val="center"/>
                    <w:textAlignment w:val="auto"/>
                    <w:rPr>
                      <w:rFonts w:hint="default" w:ascii="Times New Roman" w:hAnsi="Times New Roman" w:cs="Times New Roman"/>
                      <w:b/>
                      <w:color w:val="auto"/>
                      <w:sz w:val="21"/>
                      <w:szCs w:val="21"/>
                      <w:u w:val="none"/>
                    </w:rPr>
                  </w:pPr>
                  <w:r>
                    <w:rPr>
                      <w:rFonts w:hint="default" w:ascii="Times New Roman" w:hAnsi="Times New Roman" w:cs="Times New Roman"/>
                      <w:b/>
                      <w:color w:val="auto"/>
                      <w:sz w:val="21"/>
                      <w:szCs w:val="21"/>
                      <w:u w:val="none"/>
                    </w:rPr>
                    <w:t>处置措施</w:t>
                  </w:r>
                </w:p>
              </w:tc>
            </w:tr>
            <w:tr w14:paraId="0C501AE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2" w:type="dxa"/>
                  <w:tcBorders>
                    <w:tl2br w:val="nil"/>
                    <w:tr2bl w:val="nil"/>
                  </w:tcBorders>
                  <w:vAlign w:val="center"/>
                </w:tcPr>
                <w:p w14:paraId="52418BCC">
                  <w:pPr>
                    <w:pStyle w:val="79"/>
                    <w:keepNext w:val="0"/>
                    <w:keepLines w:val="0"/>
                    <w:pageBreakBefore w:val="0"/>
                    <w:widowControl w:val="0"/>
                    <w:kinsoku/>
                    <w:wordWrap/>
                    <w:overflowPunct/>
                    <w:topLinePunct w:val="0"/>
                    <w:autoSpaceDE w:val="0"/>
                    <w:autoSpaceDN w:val="0"/>
                    <w:bidi w:val="0"/>
                    <w:adjustRightInd/>
                    <w:snapToGrid/>
                    <w:spacing w:line="240" w:lineRule="auto"/>
                    <w:ind w:firstLine="0" w:firstLineChars="0"/>
                    <w:contextualSpacing/>
                    <w:jc w:val="center"/>
                    <w:textAlignment w:val="auto"/>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1</w:t>
                  </w:r>
                </w:p>
              </w:tc>
              <w:tc>
                <w:tcPr>
                  <w:tcW w:w="1232" w:type="dxa"/>
                  <w:tcBorders>
                    <w:tl2br w:val="nil"/>
                    <w:tr2bl w:val="nil"/>
                  </w:tcBorders>
                  <w:vAlign w:val="center"/>
                </w:tcPr>
                <w:p w14:paraId="6D76238B">
                  <w:pPr>
                    <w:pStyle w:val="79"/>
                    <w:keepNext w:val="0"/>
                    <w:keepLines w:val="0"/>
                    <w:pageBreakBefore w:val="0"/>
                    <w:widowControl w:val="0"/>
                    <w:kinsoku/>
                    <w:wordWrap/>
                    <w:overflowPunct/>
                    <w:topLinePunct w:val="0"/>
                    <w:autoSpaceDE w:val="0"/>
                    <w:autoSpaceDN w:val="0"/>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sz w:val="21"/>
                      <w:szCs w:val="21"/>
                      <w:u w:val="none"/>
                      <w:lang w:eastAsia="zh-CN"/>
                    </w:rPr>
                  </w:pPr>
                  <w:r>
                    <w:rPr>
                      <w:rFonts w:hint="default" w:ascii="Times New Roman" w:hAnsi="Times New Roman" w:eastAsia="宋体" w:cs="Times New Roman"/>
                      <w:color w:val="auto"/>
                      <w:sz w:val="21"/>
                      <w:szCs w:val="21"/>
                      <w:u w:val="none"/>
                      <w:lang w:val="en-US" w:eastAsia="zh-CN"/>
                    </w:rPr>
                    <w:t>废机油</w:t>
                  </w:r>
                </w:p>
              </w:tc>
              <w:tc>
                <w:tcPr>
                  <w:tcW w:w="1227" w:type="dxa"/>
                  <w:tcBorders>
                    <w:tl2br w:val="nil"/>
                    <w:tr2bl w:val="nil"/>
                  </w:tcBorders>
                  <w:vAlign w:val="center"/>
                </w:tcPr>
                <w:p w14:paraId="031858D8">
                  <w:pPr>
                    <w:pStyle w:val="79"/>
                    <w:keepNext w:val="0"/>
                    <w:keepLines w:val="0"/>
                    <w:pageBreakBefore w:val="0"/>
                    <w:widowControl w:val="0"/>
                    <w:kinsoku/>
                    <w:wordWrap/>
                    <w:overflowPunct/>
                    <w:topLinePunct w:val="0"/>
                    <w:autoSpaceDE w:val="0"/>
                    <w:autoSpaceDN w:val="0"/>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设备维修更换</w:t>
                  </w:r>
                </w:p>
              </w:tc>
              <w:tc>
                <w:tcPr>
                  <w:tcW w:w="1132" w:type="dxa"/>
                  <w:tcBorders>
                    <w:tl2br w:val="nil"/>
                    <w:tr2bl w:val="nil"/>
                  </w:tcBorders>
                  <w:vAlign w:val="center"/>
                </w:tcPr>
                <w:p w14:paraId="1385893A">
                  <w:pPr>
                    <w:pStyle w:val="79"/>
                    <w:keepNext w:val="0"/>
                    <w:keepLines w:val="0"/>
                    <w:pageBreakBefore w:val="0"/>
                    <w:widowControl w:val="0"/>
                    <w:kinsoku/>
                    <w:wordWrap/>
                    <w:overflowPunct/>
                    <w:topLinePunct w:val="0"/>
                    <w:autoSpaceDE w:val="0"/>
                    <w:autoSpaceDN w:val="0"/>
                    <w:bidi w:val="0"/>
                    <w:adjustRightInd/>
                    <w:snapToGrid/>
                    <w:spacing w:line="240" w:lineRule="auto"/>
                    <w:ind w:firstLine="0" w:firstLineChars="0"/>
                    <w:contextualSpacing/>
                    <w:jc w:val="center"/>
                    <w:textAlignment w:val="auto"/>
                    <w:rPr>
                      <w:rFonts w:hint="eastAsia" w:ascii="Times New Roman" w:hAnsi="Times New Roman" w:eastAsia="宋体" w:cs="Times New Roman"/>
                      <w:color w:val="auto"/>
                      <w:sz w:val="21"/>
                      <w:szCs w:val="21"/>
                      <w:u w:val="none"/>
                      <w:lang w:eastAsia="zh-CN"/>
                    </w:rPr>
                  </w:pPr>
                  <w:r>
                    <w:rPr>
                      <w:rFonts w:hint="eastAsia" w:ascii="Times New Roman" w:hAnsi="Times New Roman" w:cs="Times New Roman"/>
                      <w:color w:val="auto"/>
                      <w:sz w:val="21"/>
                      <w:szCs w:val="21"/>
                      <w:u w:val="none"/>
                      <w:lang w:val="en-US" w:eastAsia="zh-CN"/>
                    </w:rPr>
                    <w:t>危险废物</w:t>
                  </w:r>
                </w:p>
              </w:tc>
              <w:tc>
                <w:tcPr>
                  <w:tcW w:w="873" w:type="dxa"/>
                  <w:tcBorders>
                    <w:tl2br w:val="nil"/>
                    <w:tr2bl w:val="nil"/>
                  </w:tcBorders>
                  <w:vAlign w:val="center"/>
                </w:tcPr>
                <w:p w14:paraId="1B52D2B9">
                  <w:pPr>
                    <w:pStyle w:val="79"/>
                    <w:keepNext w:val="0"/>
                    <w:keepLines w:val="0"/>
                    <w:pageBreakBefore w:val="0"/>
                    <w:widowControl w:val="0"/>
                    <w:kinsoku/>
                    <w:wordWrap/>
                    <w:overflowPunct/>
                    <w:topLinePunct w:val="0"/>
                    <w:autoSpaceDE w:val="0"/>
                    <w:autoSpaceDN w:val="0"/>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1.2</w:t>
                  </w:r>
                </w:p>
              </w:tc>
              <w:tc>
                <w:tcPr>
                  <w:tcW w:w="1309" w:type="dxa"/>
                  <w:tcBorders>
                    <w:tl2br w:val="nil"/>
                    <w:tr2bl w:val="nil"/>
                  </w:tcBorders>
                  <w:vAlign w:val="center"/>
                </w:tcPr>
                <w:p w14:paraId="7C6CD339">
                  <w:pPr>
                    <w:pStyle w:val="79"/>
                    <w:keepNext w:val="0"/>
                    <w:keepLines w:val="0"/>
                    <w:pageBreakBefore w:val="0"/>
                    <w:widowControl w:val="0"/>
                    <w:kinsoku/>
                    <w:wordWrap/>
                    <w:overflowPunct/>
                    <w:topLinePunct w:val="0"/>
                    <w:autoSpaceDE w:val="0"/>
                    <w:autoSpaceDN w:val="0"/>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lang w:val="en-US" w:eastAsia="zh-CN"/>
                    </w:rPr>
                    <w:t>HW</w:t>
                  </w:r>
                  <w:r>
                    <w:rPr>
                      <w:rFonts w:hint="eastAsia" w:ascii="Times New Roman" w:hAnsi="Times New Roman" w:eastAsia="宋体" w:cs="Times New Roman"/>
                      <w:color w:val="auto"/>
                      <w:sz w:val="21"/>
                      <w:szCs w:val="21"/>
                      <w:highlight w:val="none"/>
                      <w:u w:val="none"/>
                      <w:lang w:val="en-US" w:eastAsia="zh-CN"/>
                    </w:rPr>
                    <w:t>08</w:t>
                  </w:r>
                  <w:r>
                    <w:rPr>
                      <w:rFonts w:hint="default" w:ascii="Times New Roman" w:hAnsi="Times New Roman" w:eastAsia="宋体" w:cs="Times New Roman"/>
                      <w:color w:val="auto"/>
                      <w:sz w:val="21"/>
                      <w:szCs w:val="21"/>
                      <w:highlight w:val="none"/>
                      <w:u w:val="none"/>
                      <w:lang w:val="en-US" w:eastAsia="zh-CN"/>
                    </w:rPr>
                    <w:t>：</w:t>
                  </w:r>
                  <w:r>
                    <w:rPr>
                      <w:rFonts w:hint="default" w:ascii="Times New Roman" w:hAnsi="Times New Roman" w:eastAsia="宋体" w:cs="Times New Roman"/>
                      <w:color w:val="auto"/>
                      <w:sz w:val="21"/>
                      <w:szCs w:val="21"/>
                      <w:highlight w:val="none"/>
                      <w:u w:val="none"/>
                    </w:rPr>
                    <w:t>900-214-08</w:t>
                  </w:r>
                </w:p>
              </w:tc>
              <w:tc>
                <w:tcPr>
                  <w:tcW w:w="2073" w:type="dxa"/>
                  <w:vMerge w:val="restart"/>
                  <w:tcBorders>
                    <w:tl2br w:val="nil"/>
                    <w:tr2bl w:val="nil"/>
                  </w:tcBorders>
                  <w:vAlign w:val="center"/>
                </w:tcPr>
                <w:p w14:paraId="583396E2">
                  <w:pPr>
                    <w:pStyle w:val="79"/>
                    <w:keepNext w:val="0"/>
                    <w:keepLines w:val="0"/>
                    <w:pageBreakBefore w:val="0"/>
                    <w:widowControl w:val="0"/>
                    <w:kinsoku/>
                    <w:wordWrap/>
                    <w:overflowPunct/>
                    <w:topLinePunct w:val="0"/>
                    <w:autoSpaceDE w:val="0"/>
                    <w:autoSpaceDN w:val="0"/>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经厂区危废间暂存后交由有资质单位回收处理</w:t>
                  </w:r>
                </w:p>
              </w:tc>
            </w:tr>
            <w:tr w14:paraId="583B3CE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2" w:type="dxa"/>
                  <w:tcBorders>
                    <w:tl2br w:val="nil"/>
                    <w:tr2bl w:val="nil"/>
                  </w:tcBorders>
                  <w:vAlign w:val="center"/>
                </w:tcPr>
                <w:p w14:paraId="3FDFF7F8">
                  <w:pPr>
                    <w:pStyle w:val="79"/>
                    <w:keepNext w:val="0"/>
                    <w:keepLines w:val="0"/>
                    <w:pageBreakBefore w:val="0"/>
                    <w:widowControl w:val="0"/>
                    <w:kinsoku/>
                    <w:wordWrap/>
                    <w:overflowPunct/>
                    <w:topLinePunct w:val="0"/>
                    <w:autoSpaceDE w:val="0"/>
                    <w:autoSpaceDN w:val="0"/>
                    <w:bidi w:val="0"/>
                    <w:adjustRightInd/>
                    <w:snapToGrid/>
                    <w:spacing w:line="240" w:lineRule="auto"/>
                    <w:ind w:firstLine="0" w:firstLineChars="0"/>
                    <w:contextualSpacing/>
                    <w:jc w:val="center"/>
                    <w:textAlignment w:val="auto"/>
                    <w:rPr>
                      <w:rFonts w:hint="default" w:ascii="Times New Roman" w:hAnsi="Times New Roman" w:cs="Times New Roman"/>
                      <w:color w:val="auto"/>
                      <w:sz w:val="21"/>
                      <w:szCs w:val="21"/>
                      <w:u w:val="none"/>
                    </w:rPr>
                  </w:pPr>
                  <w:r>
                    <w:rPr>
                      <w:rFonts w:hint="eastAsia" w:cs="Times New Roman"/>
                      <w:color w:val="auto"/>
                      <w:sz w:val="21"/>
                      <w:szCs w:val="21"/>
                      <w:u w:val="single"/>
                      <w:lang w:val="en-US" w:eastAsia="zh-CN"/>
                    </w:rPr>
                    <w:t>2</w:t>
                  </w:r>
                </w:p>
              </w:tc>
              <w:tc>
                <w:tcPr>
                  <w:tcW w:w="1232" w:type="dxa"/>
                  <w:tcBorders>
                    <w:tl2br w:val="nil"/>
                    <w:tr2bl w:val="nil"/>
                  </w:tcBorders>
                  <w:vAlign w:val="center"/>
                </w:tcPr>
                <w:p w14:paraId="4F2EEAE1">
                  <w:pPr>
                    <w:pStyle w:val="79"/>
                    <w:keepNext w:val="0"/>
                    <w:keepLines w:val="0"/>
                    <w:pageBreakBefore w:val="0"/>
                    <w:widowControl w:val="0"/>
                    <w:kinsoku/>
                    <w:wordWrap/>
                    <w:overflowPunct/>
                    <w:topLinePunct w:val="0"/>
                    <w:autoSpaceDE w:val="0"/>
                    <w:autoSpaceDN w:val="0"/>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废</w:t>
                  </w:r>
                  <w:r>
                    <w:rPr>
                      <w:rFonts w:hint="eastAsia" w:cs="Times New Roman"/>
                      <w:color w:val="auto"/>
                      <w:sz w:val="21"/>
                      <w:szCs w:val="21"/>
                      <w:u w:val="none"/>
                      <w:lang w:val="en-US" w:eastAsia="zh-CN"/>
                    </w:rPr>
                    <w:t>包装</w:t>
                  </w:r>
                  <w:r>
                    <w:rPr>
                      <w:rFonts w:hint="eastAsia" w:ascii="Times New Roman" w:hAnsi="Times New Roman" w:eastAsia="宋体" w:cs="Times New Roman"/>
                      <w:color w:val="auto"/>
                      <w:sz w:val="21"/>
                      <w:szCs w:val="21"/>
                      <w:u w:val="none"/>
                      <w:lang w:val="en-US" w:eastAsia="zh-CN"/>
                    </w:rPr>
                    <w:t>桶</w:t>
                  </w:r>
                </w:p>
              </w:tc>
              <w:tc>
                <w:tcPr>
                  <w:tcW w:w="1227" w:type="dxa"/>
                  <w:tcBorders>
                    <w:tl2br w:val="nil"/>
                    <w:tr2bl w:val="nil"/>
                  </w:tcBorders>
                  <w:vAlign w:val="center"/>
                </w:tcPr>
                <w:p w14:paraId="54713DD8">
                  <w:pPr>
                    <w:pStyle w:val="79"/>
                    <w:keepNext w:val="0"/>
                    <w:keepLines w:val="0"/>
                    <w:pageBreakBefore w:val="0"/>
                    <w:widowControl w:val="0"/>
                    <w:kinsoku/>
                    <w:wordWrap/>
                    <w:overflowPunct/>
                    <w:topLinePunct w:val="0"/>
                    <w:autoSpaceDE w:val="0"/>
                    <w:autoSpaceDN w:val="0"/>
                    <w:bidi w:val="0"/>
                    <w:adjustRightInd/>
                    <w:snapToGrid/>
                    <w:spacing w:line="240" w:lineRule="auto"/>
                    <w:ind w:firstLine="0" w:firstLineChars="0"/>
                    <w:contextualSpacing/>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机油、润滑油使用</w:t>
                  </w:r>
                </w:p>
              </w:tc>
              <w:tc>
                <w:tcPr>
                  <w:tcW w:w="1132" w:type="dxa"/>
                  <w:tcBorders>
                    <w:tl2br w:val="nil"/>
                    <w:tr2bl w:val="nil"/>
                  </w:tcBorders>
                  <w:vAlign w:val="center"/>
                </w:tcPr>
                <w:p w14:paraId="42E1EF80">
                  <w:pPr>
                    <w:pStyle w:val="79"/>
                    <w:keepNext w:val="0"/>
                    <w:keepLines w:val="0"/>
                    <w:pageBreakBefore w:val="0"/>
                    <w:widowControl w:val="0"/>
                    <w:kinsoku/>
                    <w:wordWrap/>
                    <w:overflowPunct/>
                    <w:topLinePunct w:val="0"/>
                    <w:autoSpaceDE w:val="0"/>
                    <w:autoSpaceDN w:val="0"/>
                    <w:bidi w:val="0"/>
                    <w:adjustRightInd/>
                    <w:snapToGrid/>
                    <w:spacing w:line="240" w:lineRule="auto"/>
                    <w:ind w:firstLine="0" w:firstLineChars="0"/>
                    <w:contextualSpacing/>
                    <w:jc w:val="center"/>
                    <w:textAlignment w:val="auto"/>
                    <w:rPr>
                      <w:rFonts w:hint="eastAsia" w:ascii="Times New Roman" w:hAnsi="Times New Roman" w:cs="Times New Roman"/>
                      <w:color w:val="auto"/>
                      <w:sz w:val="21"/>
                      <w:szCs w:val="21"/>
                      <w:highlight w:val="none"/>
                      <w:u w:val="none"/>
                      <w:lang w:val="en-US" w:eastAsia="zh-CN"/>
                    </w:rPr>
                  </w:pPr>
                  <w:r>
                    <w:rPr>
                      <w:rFonts w:hint="eastAsia" w:ascii="Times New Roman" w:hAnsi="Times New Roman" w:cs="Times New Roman"/>
                      <w:color w:val="auto"/>
                      <w:sz w:val="21"/>
                      <w:szCs w:val="21"/>
                      <w:highlight w:val="none"/>
                      <w:u w:val="none"/>
                      <w:lang w:val="en-US" w:eastAsia="zh-CN"/>
                    </w:rPr>
                    <w:t>危险废物</w:t>
                  </w:r>
                </w:p>
              </w:tc>
              <w:tc>
                <w:tcPr>
                  <w:tcW w:w="873" w:type="dxa"/>
                  <w:tcBorders>
                    <w:tl2br w:val="nil"/>
                    <w:tr2bl w:val="nil"/>
                  </w:tcBorders>
                  <w:vAlign w:val="center"/>
                </w:tcPr>
                <w:p w14:paraId="77E57A8E">
                  <w:pPr>
                    <w:pStyle w:val="79"/>
                    <w:keepNext w:val="0"/>
                    <w:keepLines w:val="0"/>
                    <w:pageBreakBefore w:val="0"/>
                    <w:widowControl w:val="0"/>
                    <w:kinsoku/>
                    <w:wordWrap/>
                    <w:overflowPunct/>
                    <w:topLinePunct w:val="0"/>
                    <w:autoSpaceDE w:val="0"/>
                    <w:autoSpaceDN w:val="0"/>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0.</w:t>
                  </w:r>
                  <w:r>
                    <w:rPr>
                      <w:rFonts w:hint="eastAsia" w:cs="Times New Roman"/>
                      <w:color w:val="auto"/>
                      <w:sz w:val="21"/>
                      <w:szCs w:val="21"/>
                      <w:highlight w:val="none"/>
                      <w:u w:val="none"/>
                      <w:lang w:val="en-US" w:eastAsia="zh-CN"/>
                    </w:rPr>
                    <w:t>135</w:t>
                  </w:r>
                </w:p>
              </w:tc>
              <w:tc>
                <w:tcPr>
                  <w:tcW w:w="1309" w:type="dxa"/>
                  <w:tcBorders>
                    <w:tl2br w:val="nil"/>
                    <w:tr2bl w:val="nil"/>
                  </w:tcBorders>
                  <w:vAlign w:val="center"/>
                </w:tcPr>
                <w:p w14:paraId="02FCE7C5">
                  <w:pPr>
                    <w:pStyle w:val="79"/>
                    <w:keepNext w:val="0"/>
                    <w:keepLines w:val="0"/>
                    <w:pageBreakBefore w:val="0"/>
                    <w:widowControl w:val="0"/>
                    <w:kinsoku/>
                    <w:wordWrap/>
                    <w:overflowPunct/>
                    <w:topLinePunct w:val="0"/>
                    <w:autoSpaceDE w:val="0"/>
                    <w:autoSpaceDN w:val="0"/>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HW</w:t>
                  </w:r>
                  <w:r>
                    <w:rPr>
                      <w:rFonts w:hint="eastAsia" w:ascii="Times New Roman" w:hAnsi="Times New Roman" w:eastAsia="宋体" w:cs="Times New Roman"/>
                      <w:color w:val="auto"/>
                      <w:sz w:val="21"/>
                      <w:szCs w:val="21"/>
                      <w:highlight w:val="none"/>
                      <w:u w:val="none"/>
                      <w:lang w:val="en-US" w:eastAsia="zh-CN"/>
                    </w:rPr>
                    <w:t>49</w:t>
                  </w:r>
                  <w:r>
                    <w:rPr>
                      <w:rFonts w:hint="default" w:ascii="Times New Roman" w:hAnsi="Times New Roman" w:eastAsia="宋体" w:cs="Times New Roman"/>
                      <w:color w:val="auto"/>
                      <w:sz w:val="21"/>
                      <w:szCs w:val="21"/>
                      <w:highlight w:val="none"/>
                      <w:u w:val="none"/>
                      <w:lang w:val="en-US" w:eastAsia="zh-CN"/>
                    </w:rPr>
                    <w:t>：</w:t>
                  </w:r>
                </w:p>
                <w:p w14:paraId="1BE8C376">
                  <w:pPr>
                    <w:pStyle w:val="79"/>
                    <w:keepNext w:val="0"/>
                    <w:keepLines w:val="0"/>
                    <w:pageBreakBefore w:val="0"/>
                    <w:widowControl w:val="0"/>
                    <w:kinsoku/>
                    <w:wordWrap/>
                    <w:overflowPunct/>
                    <w:topLinePunct w:val="0"/>
                    <w:autoSpaceDE w:val="0"/>
                    <w:autoSpaceDN w:val="0"/>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900-041-49</w:t>
                  </w:r>
                </w:p>
              </w:tc>
              <w:tc>
                <w:tcPr>
                  <w:tcW w:w="2073" w:type="dxa"/>
                  <w:vMerge w:val="continue"/>
                  <w:tcBorders>
                    <w:tl2br w:val="nil"/>
                    <w:tr2bl w:val="nil"/>
                  </w:tcBorders>
                  <w:vAlign w:val="center"/>
                </w:tcPr>
                <w:p w14:paraId="0DCEA186">
                  <w:pPr>
                    <w:pStyle w:val="79"/>
                    <w:keepNext w:val="0"/>
                    <w:keepLines w:val="0"/>
                    <w:pageBreakBefore w:val="0"/>
                    <w:widowControl w:val="0"/>
                    <w:kinsoku/>
                    <w:wordWrap/>
                    <w:overflowPunct/>
                    <w:topLinePunct w:val="0"/>
                    <w:autoSpaceDE w:val="0"/>
                    <w:autoSpaceDN w:val="0"/>
                    <w:bidi w:val="0"/>
                    <w:adjustRightInd/>
                    <w:snapToGrid/>
                    <w:spacing w:line="240" w:lineRule="auto"/>
                    <w:ind w:firstLine="0" w:firstLineChars="0"/>
                    <w:contextualSpacing/>
                    <w:jc w:val="center"/>
                    <w:textAlignment w:val="auto"/>
                    <w:rPr>
                      <w:rFonts w:hint="eastAsia" w:ascii="Times New Roman" w:hAnsi="Times New Roman" w:cs="Times New Roman"/>
                      <w:color w:val="auto"/>
                      <w:sz w:val="21"/>
                      <w:szCs w:val="21"/>
                      <w:u w:val="none"/>
                      <w:lang w:val="en-US" w:eastAsia="zh-CN"/>
                    </w:rPr>
                  </w:pPr>
                </w:p>
              </w:tc>
            </w:tr>
          </w:tbl>
          <w:p w14:paraId="40AD639E">
            <w:pPr>
              <w:keepNext w:val="0"/>
              <w:keepLines w:val="0"/>
              <w:pageBreakBefore w:val="0"/>
              <w:widowControl w:val="0"/>
              <w:kinsoku/>
              <w:wordWrap/>
              <w:overflowPunct/>
              <w:topLinePunct w:val="0"/>
              <w:autoSpaceDE w:val="0"/>
              <w:autoSpaceDN w:val="0"/>
              <w:bidi w:val="0"/>
              <w:adjustRightInd w:val="0"/>
              <w:snapToGrid w:val="0"/>
              <w:spacing w:line="500" w:lineRule="exact"/>
              <w:ind w:firstLine="502" w:firstLineChars="200"/>
              <w:textAlignment w:val="auto"/>
              <w:rPr>
                <w:rFonts w:hint="default" w:ascii="Times New Roman" w:hAnsi="Times New Roman" w:cs="Times New Roman"/>
                <w:b/>
                <w:bCs/>
                <w:color w:val="auto"/>
                <w:spacing w:val="5"/>
                <w:sz w:val="24"/>
                <w:u w:val="none"/>
              </w:rPr>
            </w:pPr>
            <w:r>
              <w:rPr>
                <w:rFonts w:hint="eastAsia" w:cs="Times New Roman"/>
                <w:b/>
                <w:bCs/>
                <w:color w:val="auto"/>
                <w:spacing w:val="5"/>
                <w:sz w:val="24"/>
                <w:u w:val="none"/>
                <w:lang w:val="en-US" w:eastAsia="zh-CN"/>
              </w:rPr>
              <w:t>4</w:t>
            </w:r>
            <w:r>
              <w:rPr>
                <w:rFonts w:hint="eastAsia" w:ascii="Times New Roman" w:hAnsi="Times New Roman" w:cs="Times New Roman"/>
                <w:b/>
                <w:bCs/>
                <w:color w:val="auto"/>
                <w:spacing w:val="5"/>
                <w:sz w:val="24"/>
                <w:u w:val="none"/>
                <w:lang w:val="en-US" w:eastAsia="zh-CN"/>
              </w:rPr>
              <w:t>.5</w:t>
            </w:r>
            <w:r>
              <w:rPr>
                <w:rFonts w:hint="default" w:ascii="Times New Roman" w:hAnsi="Times New Roman" w:cs="Times New Roman"/>
                <w:b/>
                <w:bCs/>
                <w:color w:val="auto"/>
                <w:spacing w:val="5"/>
                <w:sz w:val="24"/>
                <w:u w:val="none"/>
              </w:rPr>
              <w:t>贮存、利用、处置方式和去向情况</w:t>
            </w:r>
          </w:p>
          <w:p w14:paraId="62B9ACFD">
            <w:pPr>
              <w:keepNext w:val="0"/>
              <w:keepLines w:val="0"/>
              <w:pageBreakBefore w:val="0"/>
              <w:widowControl w:val="0"/>
              <w:kinsoku/>
              <w:wordWrap/>
              <w:overflowPunct/>
              <w:topLinePunct w:val="0"/>
              <w:autoSpaceDE w:val="0"/>
              <w:autoSpaceDN w:val="0"/>
              <w:bidi w:val="0"/>
              <w:adjustRightInd w:val="0"/>
              <w:snapToGrid w:val="0"/>
              <w:spacing w:line="500" w:lineRule="exact"/>
              <w:ind w:firstLine="500" w:firstLineChars="200"/>
              <w:textAlignment w:val="auto"/>
              <w:rPr>
                <w:rFonts w:hint="default" w:ascii="Times New Roman" w:hAnsi="Times New Roman" w:cs="Times New Roman"/>
                <w:color w:val="auto"/>
                <w:spacing w:val="5"/>
                <w:sz w:val="24"/>
                <w:highlight w:val="none"/>
                <w:u w:val="none"/>
              </w:rPr>
            </w:pPr>
            <w:r>
              <w:rPr>
                <w:rFonts w:hint="default" w:ascii="Times New Roman" w:hAnsi="Times New Roman" w:cs="Times New Roman"/>
                <w:color w:val="auto"/>
                <w:spacing w:val="5"/>
                <w:sz w:val="24"/>
                <w:highlight w:val="none"/>
                <w:u w:val="none"/>
              </w:rPr>
              <w:t>本项目生产过程中产生的</w:t>
            </w:r>
            <w:r>
              <w:rPr>
                <w:rFonts w:hint="eastAsia" w:ascii="Times New Roman" w:hAnsi="Times New Roman" w:cs="Times New Roman"/>
                <w:color w:val="auto"/>
                <w:spacing w:val="5"/>
                <w:sz w:val="24"/>
                <w:highlight w:val="none"/>
                <w:u w:val="none"/>
                <w:lang w:val="en-US" w:eastAsia="zh-CN"/>
              </w:rPr>
              <w:t>危险废物废机油由危废间暂存后交由有资质单位回收处理</w:t>
            </w:r>
            <w:r>
              <w:rPr>
                <w:rFonts w:hint="default" w:ascii="Times New Roman" w:hAnsi="Times New Roman" w:cs="Times New Roman"/>
                <w:color w:val="auto"/>
                <w:spacing w:val="5"/>
                <w:sz w:val="24"/>
                <w:highlight w:val="none"/>
                <w:u w:val="none"/>
                <w:lang w:eastAsia="zh-CN"/>
              </w:rPr>
              <w:t>；</w:t>
            </w:r>
            <w:r>
              <w:rPr>
                <w:rFonts w:hint="default" w:ascii="Times New Roman" w:hAnsi="Times New Roman" w:cs="Times New Roman"/>
                <w:color w:val="auto"/>
                <w:spacing w:val="5"/>
                <w:sz w:val="24"/>
                <w:highlight w:val="none"/>
                <w:u w:val="none"/>
              </w:rPr>
              <w:t>生活垃圾集中收集后交由环卫部门统一清运。本次评价要求建设单位在</w:t>
            </w:r>
            <w:r>
              <w:rPr>
                <w:rFonts w:hint="eastAsia" w:ascii="Times New Roman" w:hAnsi="Times New Roman" w:cs="Times New Roman"/>
                <w:color w:val="auto"/>
                <w:spacing w:val="5"/>
                <w:sz w:val="24"/>
                <w:highlight w:val="none"/>
                <w:u w:val="none"/>
                <w:lang w:val="en-US" w:eastAsia="zh-CN"/>
              </w:rPr>
              <w:t>站区</w:t>
            </w:r>
            <w:r>
              <w:rPr>
                <w:rFonts w:hint="default" w:ascii="Times New Roman" w:hAnsi="Times New Roman" w:cs="Times New Roman"/>
                <w:color w:val="auto"/>
                <w:spacing w:val="5"/>
                <w:sz w:val="24"/>
                <w:highlight w:val="none"/>
                <w:u w:val="none"/>
              </w:rPr>
              <w:t>内设置1处</w:t>
            </w:r>
            <w:r>
              <w:rPr>
                <w:rFonts w:hint="eastAsia" w:ascii="Times New Roman" w:hAnsi="Times New Roman" w:cs="Times New Roman"/>
                <w:color w:val="auto"/>
                <w:spacing w:val="5"/>
                <w:sz w:val="24"/>
                <w:highlight w:val="none"/>
                <w:u w:val="none"/>
                <w:lang w:val="en-US" w:eastAsia="zh-CN"/>
              </w:rPr>
              <w:t>危险废物</w:t>
            </w:r>
            <w:r>
              <w:rPr>
                <w:rFonts w:hint="default" w:ascii="Times New Roman" w:hAnsi="Times New Roman" w:cs="Times New Roman"/>
                <w:color w:val="auto"/>
                <w:spacing w:val="5"/>
                <w:sz w:val="24"/>
                <w:highlight w:val="none"/>
                <w:u w:val="none"/>
              </w:rPr>
              <w:t>暂存</w:t>
            </w:r>
            <w:r>
              <w:rPr>
                <w:rFonts w:hint="eastAsia" w:cs="Times New Roman"/>
                <w:color w:val="auto"/>
                <w:spacing w:val="5"/>
                <w:sz w:val="24"/>
                <w:highlight w:val="none"/>
                <w:u w:val="none"/>
                <w:lang w:val="en-US" w:eastAsia="zh-CN"/>
              </w:rPr>
              <w:t>间</w:t>
            </w:r>
            <w:r>
              <w:rPr>
                <w:rFonts w:hint="default" w:ascii="Times New Roman" w:hAnsi="Times New Roman" w:cs="Times New Roman"/>
                <w:color w:val="auto"/>
                <w:spacing w:val="5"/>
                <w:sz w:val="24"/>
                <w:highlight w:val="none"/>
                <w:u w:val="none"/>
              </w:rPr>
              <w:t>，面积</w:t>
            </w:r>
            <w:r>
              <w:rPr>
                <w:rFonts w:hint="eastAsia" w:ascii="Times New Roman" w:hAnsi="Times New Roman" w:cs="Times New Roman"/>
                <w:color w:val="auto"/>
                <w:spacing w:val="5"/>
                <w:sz w:val="24"/>
                <w:highlight w:val="none"/>
                <w:u w:val="none"/>
                <w:lang w:val="en-US" w:eastAsia="zh-CN"/>
              </w:rPr>
              <w:t>约</w:t>
            </w:r>
            <w:r>
              <w:rPr>
                <w:rFonts w:hint="default" w:ascii="Times New Roman" w:hAnsi="Times New Roman" w:cs="Times New Roman"/>
                <w:color w:val="auto"/>
                <w:spacing w:val="5"/>
                <w:sz w:val="24"/>
                <w:highlight w:val="none"/>
                <w:u w:val="none"/>
              </w:rPr>
              <w:t>为</w:t>
            </w:r>
            <w:r>
              <w:rPr>
                <w:rFonts w:hint="eastAsia" w:ascii="Times New Roman" w:hAnsi="Times New Roman" w:cs="Times New Roman"/>
                <w:color w:val="auto"/>
                <w:spacing w:val="5"/>
                <w:sz w:val="24"/>
                <w:highlight w:val="none"/>
                <w:u w:val="none"/>
                <w:lang w:val="en-US" w:eastAsia="zh-CN"/>
              </w:rPr>
              <w:t>1</w:t>
            </w:r>
            <w:r>
              <w:rPr>
                <w:rFonts w:hint="eastAsia" w:cs="Times New Roman"/>
                <w:color w:val="auto"/>
                <w:spacing w:val="5"/>
                <w:sz w:val="24"/>
                <w:highlight w:val="none"/>
                <w:u w:val="none"/>
                <w:lang w:val="en-US" w:eastAsia="zh-CN"/>
              </w:rPr>
              <w:t>5</w:t>
            </w:r>
            <w:r>
              <w:rPr>
                <w:rFonts w:hint="eastAsia" w:ascii="Times New Roman" w:hAnsi="Times New Roman" w:cs="Times New Roman"/>
                <w:color w:val="auto"/>
                <w:spacing w:val="5"/>
                <w:sz w:val="24"/>
                <w:highlight w:val="none"/>
                <w:u w:val="none"/>
                <w:lang w:val="en-US" w:eastAsia="zh-CN"/>
              </w:rPr>
              <w:t>m</w:t>
            </w:r>
            <w:r>
              <w:rPr>
                <w:rFonts w:hint="default" w:ascii="Times New Roman" w:hAnsi="Times New Roman" w:cs="Times New Roman"/>
                <w:color w:val="auto"/>
                <w:spacing w:val="5"/>
                <w:sz w:val="24"/>
                <w:highlight w:val="none"/>
                <w:u w:val="none"/>
                <w:vertAlign w:val="superscript"/>
              </w:rPr>
              <w:t>2</w:t>
            </w:r>
            <w:r>
              <w:rPr>
                <w:rFonts w:hint="default" w:ascii="Times New Roman" w:hAnsi="Times New Roman" w:cs="Times New Roman"/>
                <w:color w:val="auto"/>
                <w:spacing w:val="5"/>
                <w:sz w:val="24"/>
                <w:highlight w:val="none"/>
                <w:u w:val="none"/>
              </w:rPr>
              <w:t>，采取防渗漏、防风、防雨等措施。本项目</w:t>
            </w:r>
            <w:r>
              <w:rPr>
                <w:rFonts w:hint="eastAsia" w:ascii="Times New Roman" w:hAnsi="Times New Roman" w:cs="Times New Roman"/>
                <w:color w:val="auto"/>
                <w:spacing w:val="5"/>
                <w:sz w:val="24"/>
                <w:highlight w:val="none"/>
                <w:u w:val="none"/>
                <w:lang w:val="en-US" w:eastAsia="zh-CN"/>
              </w:rPr>
              <w:t>废油拟采用</w:t>
            </w:r>
            <w:r>
              <w:rPr>
                <w:rFonts w:hint="default" w:ascii="Times New Roman" w:hAnsi="Times New Roman" w:cs="Times New Roman"/>
                <w:color w:val="auto"/>
                <w:spacing w:val="5"/>
                <w:sz w:val="24"/>
                <w:highlight w:val="none"/>
                <w:u w:val="none"/>
              </w:rPr>
              <w:t>专用容器收集后妥善暂存于厂区内危险废物暂存间，定期委托有危废处理资质的单位安全处置。</w:t>
            </w:r>
          </w:p>
          <w:p w14:paraId="3724CC8E">
            <w:pPr>
              <w:pStyle w:val="61"/>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 w:val="0"/>
                <w:bCs w:val="0"/>
                <w:color w:val="auto"/>
                <w:sz w:val="24"/>
                <w:szCs w:val="24"/>
                <w:highlight w:val="yellow"/>
                <w:u w:val="none"/>
              </w:rPr>
            </w:pPr>
            <w:r>
              <w:rPr>
                <w:rFonts w:hint="default" w:ascii="Times New Roman" w:hAnsi="Times New Roman" w:cs="Times New Roman"/>
                <w:b w:val="0"/>
                <w:bCs w:val="0"/>
                <w:color w:val="auto"/>
                <w:sz w:val="24"/>
                <w:szCs w:val="24"/>
                <w:highlight w:val="none"/>
                <w:u w:val="none"/>
              </w:rPr>
              <w:t>项目危废特性汇总见下表。</w:t>
            </w:r>
          </w:p>
          <w:p w14:paraId="3C4A399C">
            <w:pPr>
              <w:pStyle w:val="7"/>
              <w:keepNext w:val="0"/>
              <w:keepLines w:val="0"/>
              <w:pageBreakBefore w:val="0"/>
              <w:widowControl w:val="0"/>
              <w:numPr>
                <w:ilvl w:val="0"/>
                <w:numId w:val="0"/>
              </w:numPr>
              <w:kinsoku/>
              <w:wordWrap/>
              <w:overflowPunct/>
              <w:topLinePunct w:val="0"/>
              <w:autoSpaceDE/>
              <w:autoSpaceDN/>
              <w:bidi w:val="0"/>
              <w:adjustRightInd w:val="0"/>
              <w:snapToGrid/>
              <w:spacing w:line="240" w:lineRule="auto"/>
              <w:ind w:firstLine="480" w:firstLineChars="200"/>
              <w:jc w:val="center"/>
              <w:textAlignment w:val="auto"/>
              <w:rPr>
                <w:rFonts w:hint="default" w:ascii="Times New Roman" w:hAnsi="Times New Roman" w:eastAsia="黑体" w:cs="Times New Roman"/>
                <w:b w:val="0"/>
                <w:bCs w:val="0"/>
                <w:color w:val="auto"/>
                <w:sz w:val="24"/>
                <w:szCs w:val="24"/>
                <w:u w:val="none"/>
                <w:lang w:val="en-US" w:eastAsia="zh-CN"/>
              </w:rPr>
            </w:pPr>
            <w:r>
              <w:rPr>
                <w:rFonts w:hint="default" w:ascii="Times New Roman" w:hAnsi="Times New Roman" w:eastAsia="黑体" w:cs="Times New Roman"/>
                <w:b w:val="0"/>
                <w:bCs w:val="0"/>
                <w:color w:val="auto"/>
                <w:sz w:val="24"/>
                <w:szCs w:val="24"/>
                <w:u w:val="none"/>
                <w:lang w:val="en-US" w:eastAsia="zh-CN"/>
              </w:rPr>
              <w:t>表</w:t>
            </w:r>
            <w:r>
              <w:rPr>
                <w:rFonts w:hint="eastAsia" w:eastAsia="黑体" w:cs="Times New Roman"/>
                <w:b w:val="0"/>
                <w:bCs w:val="0"/>
                <w:color w:val="auto"/>
                <w:sz w:val="24"/>
                <w:szCs w:val="24"/>
                <w:u w:val="none"/>
                <w:lang w:val="en-US" w:eastAsia="zh-CN"/>
              </w:rPr>
              <w:t>4-11</w:t>
            </w:r>
            <w:r>
              <w:rPr>
                <w:rFonts w:hint="default" w:ascii="Times New Roman" w:hAnsi="Times New Roman" w:eastAsia="黑体" w:cs="Times New Roman"/>
                <w:b w:val="0"/>
                <w:bCs w:val="0"/>
                <w:color w:val="auto"/>
                <w:sz w:val="24"/>
                <w:szCs w:val="24"/>
                <w:u w:val="none"/>
                <w:lang w:val="en-US" w:eastAsia="zh-CN"/>
              </w:rPr>
              <w:t xml:space="preserve"> 项目危险废物汇总表</w:t>
            </w:r>
          </w:p>
          <w:tbl>
            <w:tblPr>
              <w:tblStyle w:val="32"/>
              <w:tblW w:w="8615"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433"/>
              <w:gridCol w:w="714"/>
              <w:gridCol w:w="826"/>
              <w:gridCol w:w="803"/>
              <w:gridCol w:w="716"/>
              <w:gridCol w:w="818"/>
              <w:gridCol w:w="469"/>
              <w:gridCol w:w="676"/>
              <w:gridCol w:w="664"/>
              <w:gridCol w:w="768"/>
              <w:gridCol w:w="795"/>
              <w:gridCol w:w="933"/>
            </w:tblGrid>
            <w:tr w14:paraId="1EDCF79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795" w:hRule="atLeast"/>
                <w:jc w:val="center"/>
              </w:trPr>
              <w:tc>
                <w:tcPr>
                  <w:tcW w:w="433" w:type="dxa"/>
                  <w:tcBorders>
                    <w:tl2br w:val="nil"/>
                    <w:tr2bl w:val="nil"/>
                  </w:tcBorders>
                  <w:vAlign w:val="center"/>
                </w:tcPr>
                <w:p w14:paraId="24B94A5A">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序号</w:t>
                  </w:r>
                </w:p>
              </w:tc>
              <w:tc>
                <w:tcPr>
                  <w:tcW w:w="714" w:type="dxa"/>
                  <w:tcBorders>
                    <w:tl2br w:val="nil"/>
                    <w:tr2bl w:val="nil"/>
                  </w:tcBorders>
                  <w:vAlign w:val="center"/>
                </w:tcPr>
                <w:p w14:paraId="7408974D">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危险废物名称</w:t>
                  </w:r>
                </w:p>
              </w:tc>
              <w:tc>
                <w:tcPr>
                  <w:tcW w:w="826" w:type="dxa"/>
                  <w:tcBorders>
                    <w:tl2br w:val="nil"/>
                    <w:tr2bl w:val="nil"/>
                  </w:tcBorders>
                  <w:vAlign w:val="center"/>
                </w:tcPr>
                <w:p w14:paraId="00158E67">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危险废物类别</w:t>
                  </w:r>
                </w:p>
              </w:tc>
              <w:tc>
                <w:tcPr>
                  <w:tcW w:w="803" w:type="dxa"/>
                  <w:tcBorders>
                    <w:tl2br w:val="nil"/>
                    <w:tr2bl w:val="nil"/>
                  </w:tcBorders>
                  <w:vAlign w:val="center"/>
                </w:tcPr>
                <w:p w14:paraId="4179FE70">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危险废物代码</w:t>
                  </w:r>
                </w:p>
              </w:tc>
              <w:tc>
                <w:tcPr>
                  <w:tcW w:w="716" w:type="dxa"/>
                  <w:tcBorders>
                    <w:tl2br w:val="nil"/>
                    <w:tr2bl w:val="nil"/>
                  </w:tcBorders>
                  <w:vAlign w:val="center"/>
                </w:tcPr>
                <w:p w14:paraId="420CF01E">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产生量（</w:t>
                  </w:r>
                  <w:r>
                    <w:rPr>
                      <w:rFonts w:hint="default" w:ascii="Times New Roman" w:hAnsi="Times New Roman" w:cs="Times New Roman"/>
                      <w:b/>
                      <w:bCs/>
                      <w:color w:val="auto"/>
                      <w:kern w:val="0"/>
                      <w:sz w:val="21"/>
                      <w:szCs w:val="21"/>
                      <w:u w:val="none"/>
                      <w:lang w:val="en-US" w:eastAsia="zh-CN"/>
                    </w:rPr>
                    <w:t>t/a</w:t>
                  </w:r>
                  <w:r>
                    <w:rPr>
                      <w:rFonts w:hint="default" w:ascii="Times New Roman" w:hAnsi="Times New Roman" w:cs="Times New Roman"/>
                      <w:b/>
                      <w:bCs/>
                      <w:color w:val="auto"/>
                      <w:kern w:val="0"/>
                      <w:sz w:val="21"/>
                      <w:szCs w:val="21"/>
                      <w:u w:val="none"/>
                    </w:rPr>
                    <w:t>）</w:t>
                  </w:r>
                </w:p>
              </w:tc>
              <w:tc>
                <w:tcPr>
                  <w:tcW w:w="818" w:type="dxa"/>
                  <w:tcBorders>
                    <w:tl2br w:val="nil"/>
                    <w:tr2bl w:val="nil"/>
                  </w:tcBorders>
                  <w:vAlign w:val="center"/>
                </w:tcPr>
                <w:p w14:paraId="27081A10">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产生工序</w:t>
                  </w:r>
                </w:p>
              </w:tc>
              <w:tc>
                <w:tcPr>
                  <w:tcW w:w="469" w:type="dxa"/>
                  <w:tcBorders>
                    <w:tl2br w:val="nil"/>
                    <w:tr2bl w:val="nil"/>
                  </w:tcBorders>
                  <w:vAlign w:val="center"/>
                </w:tcPr>
                <w:p w14:paraId="73398FEC">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形态</w:t>
                  </w:r>
                </w:p>
              </w:tc>
              <w:tc>
                <w:tcPr>
                  <w:tcW w:w="676" w:type="dxa"/>
                  <w:tcBorders>
                    <w:tl2br w:val="nil"/>
                    <w:tr2bl w:val="nil"/>
                  </w:tcBorders>
                  <w:vAlign w:val="center"/>
                </w:tcPr>
                <w:p w14:paraId="25E036DA">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主要成分</w:t>
                  </w:r>
                </w:p>
              </w:tc>
              <w:tc>
                <w:tcPr>
                  <w:tcW w:w="664" w:type="dxa"/>
                  <w:tcBorders>
                    <w:tl2br w:val="nil"/>
                    <w:tr2bl w:val="nil"/>
                  </w:tcBorders>
                  <w:vAlign w:val="center"/>
                </w:tcPr>
                <w:p w14:paraId="24AC9E7E">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有害成分</w:t>
                  </w:r>
                </w:p>
              </w:tc>
              <w:tc>
                <w:tcPr>
                  <w:tcW w:w="768" w:type="dxa"/>
                  <w:tcBorders>
                    <w:tl2br w:val="nil"/>
                    <w:tr2bl w:val="nil"/>
                  </w:tcBorders>
                  <w:vAlign w:val="center"/>
                </w:tcPr>
                <w:p w14:paraId="578B3F1D">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产废周期</w:t>
                  </w:r>
                </w:p>
              </w:tc>
              <w:tc>
                <w:tcPr>
                  <w:tcW w:w="795" w:type="dxa"/>
                  <w:tcBorders>
                    <w:tl2br w:val="nil"/>
                    <w:tr2bl w:val="nil"/>
                  </w:tcBorders>
                  <w:vAlign w:val="center"/>
                </w:tcPr>
                <w:p w14:paraId="2E9B0BFF">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危险</w:t>
                  </w:r>
                </w:p>
                <w:p w14:paraId="73DC4510">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特性</w:t>
                  </w:r>
                </w:p>
              </w:tc>
              <w:tc>
                <w:tcPr>
                  <w:tcW w:w="933" w:type="dxa"/>
                  <w:tcBorders>
                    <w:tl2br w:val="nil"/>
                    <w:tr2bl w:val="nil"/>
                  </w:tcBorders>
                  <w:vAlign w:val="center"/>
                </w:tcPr>
                <w:p w14:paraId="0284BCEA">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bCs/>
                      <w:color w:val="auto"/>
                      <w:kern w:val="0"/>
                      <w:sz w:val="21"/>
                      <w:szCs w:val="21"/>
                      <w:u w:val="none"/>
                    </w:rPr>
                  </w:pPr>
                  <w:r>
                    <w:rPr>
                      <w:rFonts w:hint="default" w:ascii="Times New Roman" w:hAnsi="Times New Roman" w:cs="Times New Roman"/>
                      <w:b/>
                      <w:bCs/>
                      <w:color w:val="auto"/>
                      <w:kern w:val="0"/>
                      <w:sz w:val="21"/>
                      <w:szCs w:val="21"/>
                      <w:u w:val="none"/>
                    </w:rPr>
                    <w:t>污染防治措施</w:t>
                  </w:r>
                </w:p>
              </w:tc>
            </w:tr>
            <w:tr w14:paraId="13F939E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92" w:hRule="atLeast"/>
                <w:jc w:val="center"/>
              </w:trPr>
              <w:tc>
                <w:tcPr>
                  <w:tcW w:w="433" w:type="dxa"/>
                  <w:tcBorders>
                    <w:tl2br w:val="nil"/>
                    <w:tr2bl w:val="nil"/>
                  </w:tcBorders>
                  <w:vAlign w:val="center"/>
                </w:tcPr>
                <w:p w14:paraId="3EB81F5E">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val="0"/>
                      <w:bCs w:val="0"/>
                      <w:color w:val="auto"/>
                      <w:kern w:val="0"/>
                      <w:sz w:val="21"/>
                      <w:szCs w:val="21"/>
                      <w:u w:val="none"/>
                    </w:rPr>
                  </w:pPr>
                  <w:r>
                    <w:rPr>
                      <w:rFonts w:hint="default" w:ascii="Times New Roman" w:hAnsi="Times New Roman" w:cs="Times New Roman"/>
                      <w:b w:val="0"/>
                      <w:bCs w:val="0"/>
                      <w:color w:val="auto"/>
                      <w:kern w:val="0"/>
                      <w:sz w:val="21"/>
                      <w:szCs w:val="21"/>
                      <w:u w:val="none"/>
                    </w:rPr>
                    <w:t>1</w:t>
                  </w:r>
                </w:p>
              </w:tc>
              <w:tc>
                <w:tcPr>
                  <w:tcW w:w="714" w:type="dxa"/>
                  <w:tcBorders>
                    <w:tl2br w:val="nil"/>
                    <w:tr2bl w:val="nil"/>
                  </w:tcBorders>
                  <w:vAlign w:val="center"/>
                </w:tcPr>
                <w:p w14:paraId="1C4A11D7">
                  <w:pPr>
                    <w:pStyle w:val="79"/>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废</w:t>
                  </w:r>
                </w:p>
                <w:p w14:paraId="34ED9006">
                  <w:pPr>
                    <w:pStyle w:val="79"/>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default" w:ascii="Times New Roman" w:hAnsi="Times New Roman" w:cs="Times New Roman"/>
                      <w:b w:val="0"/>
                      <w:bCs w:val="0"/>
                      <w:color w:val="auto"/>
                      <w:kern w:val="0"/>
                      <w:sz w:val="21"/>
                      <w:szCs w:val="21"/>
                      <w:u w:val="none"/>
                    </w:rPr>
                  </w:pPr>
                  <w:r>
                    <w:rPr>
                      <w:rFonts w:hint="default" w:ascii="Times New Roman" w:hAnsi="Times New Roman" w:eastAsia="宋体" w:cs="Times New Roman"/>
                      <w:color w:val="auto"/>
                      <w:sz w:val="21"/>
                      <w:szCs w:val="21"/>
                      <w:u w:val="none"/>
                      <w:lang w:val="en-US" w:eastAsia="zh-CN"/>
                    </w:rPr>
                    <w:t>机油</w:t>
                  </w:r>
                </w:p>
              </w:tc>
              <w:tc>
                <w:tcPr>
                  <w:tcW w:w="826" w:type="dxa"/>
                  <w:tcBorders>
                    <w:tl2br w:val="nil"/>
                    <w:tr2bl w:val="nil"/>
                  </w:tcBorders>
                  <w:vAlign w:val="center"/>
                </w:tcPr>
                <w:p w14:paraId="391DC450">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u w:val="none"/>
                      <w:lang w:val="en-US" w:eastAsia="zh-CN"/>
                    </w:rPr>
                  </w:pPr>
                  <w:r>
                    <w:rPr>
                      <w:rFonts w:hint="default" w:ascii="Times New Roman" w:hAnsi="Times New Roman" w:cs="Times New Roman"/>
                      <w:b w:val="0"/>
                      <w:bCs w:val="0"/>
                      <w:color w:val="auto"/>
                      <w:sz w:val="21"/>
                      <w:szCs w:val="21"/>
                      <w:u w:val="none"/>
                    </w:rPr>
                    <w:t>HW</w:t>
                  </w:r>
                  <w:r>
                    <w:rPr>
                      <w:rFonts w:hint="eastAsia" w:ascii="Times New Roman" w:hAnsi="Times New Roman" w:cs="Times New Roman"/>
                      <w:b w:val="0"/>
                      <w:bCs w:val="0"/>
                      <w:color w:val="auto"/>
                      <w:sz w:val="21"/>
                      <w:szCs w:val="21"/>
                      <w:u w:val="none"/>
                      <w:lang w:val="en-US" w:eastAsia="zh-CN"/>
                    </w:rPr>
                    <w:t>08</w:t>
                  </w:r>
                </w:p>
              </w:tc>
              <w:tc>
                <w:tcPr>
                  <w:tcW w:w="803" w:type="dxa"/>
                  <w:tcBorders>
                    <w:tl2br w:val="nil"/>
                    <w:tr2bl w:val="nil"/>
                  </w:tcBorders>
                  <w:vAlign w:val="center"/>
                </w:tcPr>
                <w:p w14:paraId="51971890">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val="0"/>
                      <w:bCs w:val="0"/>
                      <w:color w:val="auto"/>
                      <w:kern w:val="0"/>
                      <w:sz w:val="21"/>
                      <w:szCs w:val="21"/>
                      <w:u w:val="none"/>
                    </w:rPr>
                  </w:pPr>
                  <w:r>
                    <w:rPr>
                      <w:rFonts w:hint="default" w:ascii="Times New Roman" w:hAnsi="Times New Roman" w:eastAsia="宋体" w:cs="Times New Roman"/>
                      <w:color w:val="auto"/>
                      <w:sz w:val="21"/>
                      <w:szCs w:val="21"/>
                      <w:u w:val="none"/>
                    </w:rPr>
                    <w:t>900-214-08</w:t>
                  </w:r>
                </w:p>
              </w:tc>
              <w:tc>
                <w:tcPr>
                  <w:tcW w:w="716" w:type="dxa"/>
                  <w:tcBorders>
                    <w:tl2br w:val="nil"/>
                    <w:tr2bl w:val="nil"/>
                  </w:tcBorders>
                  <w:vAlign w:val="center"/>
                </w:tcPr>
                <w:p w14:paraId="4C2B5B83">
                  <w:pPr>
                    <w:pStyle w:val="79"/>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default" w:ascii="Times New Roman" w:hAnsi="Times New Roman" w:eastAsia="宋体" w:cs="Times New Roman"/>
                      <w:b w:val="0"/>
                      <w:bCs w:val="0"/>
                      <w:color w:val="auto"/>
                      <w:kern w:val="0"/>
                      <w:sz w:val="21"/>
                      <w:szCs w:val="21"/>
                      <w:u w:val="none"/>
                      <w:lang w:val="en-US" w:eastAsia="zh-CN"/>
                    </w:rPr>
                  </w:pPr>
                  <w:r>
                    <w:rPr>
                      <w:rFonts w:hint="eastAsia" w:ascii="Times New Roman" w:hAnsi="Times New Roman" w:cs="Times New Roman"/>
                      <w:color w:val="auto"/>
                      <w:sz w:val="21"/>
                      <w:szCs w:val="21"/>
                      <w:u w:val="none"/>
                      <w:lang w:val="en-US" w:eastAsia="zh-CN"/>
                    </w:rPr>
                    <w:t>1</w:t>
                  </w:r>
                  <w:r>
                    <w:rPr>
                      <w:rFonts w:hint="eastAsia" w:cs="Times New Roman"/>
                      <w:color w:val="auto"/>
                      <w:sz w:val="21"/>
                      <w:szCs w:val="21"/>
                      <w:u w:val="none"/>
                      <w:lang w:val="en-US" w:eastAsia="zh-CN"/>
                    </w:rPr>
                    <w:t>.2</w:t>
                  </w:r>
                </w:p>
              </w:tc>
              <w:tc>
                <w:tcPr>
                  <w:tcW w:w="818" w:type="dxa"/>
                  <w:tcBorders>
                    <w:tl2br w:val="nil"/>
                    <w:tr2bl w:val="nil"/>
                  </w:tcBorders>
                  <w:vAlign w:val="center"/>
                </w:tcPr>
                <w:p w14:paraId="474CBD95">
                  <w:pPr>
                    <w:pStyle w:val="79"/>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default" w:ascii="Times New Roman" w:hAnsi="Times New Roman" w:cs="Times New Roman"/>
                      <w:b w:val="0"/>
                      <w:bCs w:val="0"/>
                      <w:color w:val="auto"/>
                      <w:kern w:val="0"/>
                      <w:sz w:val="21"/>
                      <w:szCs w:val="21"/>
                      <w:u w:val="none"/>
                    </w:rPr>
                  </w:pPr>
                  <w:r>
                    <w:rPr>
                      <w:rFonts w:hint="eastAsia" w:ascii="Times New Roman" w:hAnsi="Times New Roman" w:cs="Times New Roman"/>
                      <w:color w:val="auto"/>
                      <w:sz w:val="21"/>
                      <w:szCs w:val="21"/>
                      <w:u w:val="none"/>
                      <w:lang w:val="en-US" w:eastAsia="zh-CN"/>
                    </w:rPr>
                    <w:t>设备维修更换</w:t>
                  </w:r>
                </w:p>
              </w:tc>
              <w:tc>
                <w:tcPr>
                  <w:tcW w:w="469" w:type="dxa"/>
                  <w:tcBorders>
                    <w:tl2br w:val="nil"/>
                    <w:tr2bl w:val="nil"/>
                  </w:tcBorders>
                  <w:vAlign w:val="center"/>
                </w:tcPr>
                <w:p w14:paraId="6EDAC2FB">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val="0"/>
                      <w:bCs w:val="0"/>
                      <w:color w:val="auto"/>
                      <w:kern w:val="0"/>
                      <w:sz w:val="21"/>
                      <w:szCs w:val="21"/>
                      <w:u w:val="none"/>
                    </w:rPr>
                  </w:pPr>
                  <w:r>
                    <w:rPr>
                      <w:rFonts w:hint="eastAsia" w:ascii="Times New Roman" w:hAnsi="Times New Roman" w:cs="Times New Roman"/>
                      <w:b w:val="0"/>
                      <w:bCs w:val="0"/>
                      <w:color w:val="auto"/>
                      <w:kern w:val="0"/>
                      <w:sz w:val="21"/>
                      <w:szCs w:val="21"/>
                      <w:u w:val="none"/>
                      <w:lang w:val="en-US" w:eastAsia="zh-CN"/>
                    </w:rPr>
                    <w:t>液</w:t>
                  </w:r>
                  <w:r>
                    <w:rPr>
                      <w:rFonts w:hint="default" w:ascii="Times New Roman" w:hAnsi="Times New Roman" w:cs="Times New Roman"/>
                      <w:b w:val="0"/>
                      <w:bCs w:val="0"/>
                      <w:color w:val="auto"/>
                      <w:kern w:val="0"/>
                      <w:sz w:val="21"/>
                      <w:szCs w:val="21"/>
                      <w:u w:val="none"/>
                    </w:rPr>
                    <w:t>态</w:t>
                  </w:r>
                </w:p>
              </w:tc>
              <w:tc>
                <w:tcPr>
                  <w:tcW w:w="676" w:type="dxa"/>
                  <w:tcBorders>
                    <w:tl2br w:val="nil"/>
                    <w:tr2bl w:val="nil"/>
                  </w:tcBorders>
                  <w:vAlign w:val="center"/>
                </w:tcPr>
                <w:p w14:paraId="25C2939B">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0"/>
                      <w:sz w:val="21"/>
                      <w:szCs w:val="21"/>
                      <w:u w:val="none"/>
                      <w:lang w:eastAsia="zh-CN"/>
                    </w:rPr>
                  </w:pPr>
                  <w:r>
                    <w:rPr>
                      <w:rFonts w:hint="default" w:ascii="Times New Roman" w:hAnsi="Times New Roman" w:cs="Times New Roman"/>
                      <w:b w:val="0"/>
                      <w:bCs w:val="0"/>
                      <w:color w:val="auto"/>
                      <w:sz w:val="21"/>
                      <w:szCs w:val="21"/>
                      <w:u w:val="none"/>
                    </w:rPr>
                    <w:t>废</w:t>
                  </w:r>
                  <w:r>
                    <w:rPr>
                      <w:rFonts w:hint="eastAsia" w:ascii="Times New Roman" w:hAnsi="Times New Roman" w:cs="Times New Roman"/>
                      <w:b w:val="0"/>
                      <w:bCs w:val="0"/>
                      <w:color w:val="auto"/>
                      <w:sz w:val="21"/>
                      <w:szCs w:val="21"/>
                      <w:u w:val="none"/>
                      <w:lang w:val="en-US" w:eastAsia="zh-CN"/>
                    </w:rPr>
                    <w:t>矿物油</w:t>
                  </w:r>
                </w:p>
              </w:tc>
              <w:tc>
                <w:tcPr>
                  <w:tcW w:w="664" w:type="dxa"/>
                  <w:tcBorders>
                    <w:tl2br w:val="nil"/>
                    <w:tr2bl w:val="nil"/>
                  </w:tcBorders>
                  <w:vAlign w:val="center"/>
                </w:tcPr>
                <w:p w14:paraId="6BEF5FAC">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val="0"/>
                      <w:bCs w:val="0"/>
                      <w:color w:val="auto"/>
                      <w:kern w:val="0"/>
                      <w:sz w:val="21"/>
                      <w:szCs w:val="21"/>
                      <w:u w:val="none"/>
                    </w:rPr>
                  </w:pPr>
                  <w:r>
                    <w:rPr>
                      <w:rFonts w:hint="default" w:ascii="Times New Roman" w:hAnsi="Times New Roman" w:cs="Times New Roman"/>
                      <w:b w:val="0"/>
                      <w:bCs w:val="0"/>
                      <w:color w:val="auto"/>
                      <w:kern w:val="0"/>
                      <w:sz w:val="21"/>
                      <w:szCs w:val="21"/>
                      <w:u w:val="none"/>
                    </w:rPr>
                    <w:t>有机化合物</w:t>
                  </w:r>
                </w:p>
              </w:tc>
              <w:tc>
                <w:tcPr>
                  <w:tcW w:w="768" w:type="dxa"/>
                  <w:tcBorders>
                    <w:tl2br w:val="nil"/>
                    <w:tr2bl w:val="nil"/>
                  </w:tcBorders>
                  <w:vAlign w:val="center"/>
                </w:tcPr>
                <w:p w14:paraId="48185D90">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val="0"/>
                      <w:bCs w:val="0"/>
                      <w:color w:val="auto"/>
                      <w:kern w:val="0"/>
                      <w:sz w:val="21"/>
                      <w:szCs w:val="21"/>
                      <w:u w:val="none"/>
                    </w:rPr>
                  </w:pPr>
                  <w:r>
                    <w:rPr>
                      <w:rFonts w:hint="eastAsia" w:cs="Times New Roman"/>
                      <w:b w:val="0"/>
                      <w:bCs w:val="0"/>
                      <w:color w:val="auto"/>
                      <w:kern w:val="0"/>
                      <w:sz w:val="21"/>
                      <w:szCs w:val="21"/>
                      <w:u w:val="none"/>
                      <w:lang w:val="en-US" w:eastAsia="zh-CN"/>
                    </w:rPr>
                    <w:t>3</w:t>
                  </w:r>
                  <w:r>
                    <w:rPr>
                      <w:rFonts w:hint="default" w:ascii="Times New Roman" w:hAnsi="Times New Roman" w:cs="Times New Roman"/>
                      <w:b w:val="0"/>
                      <w:bCs w:val="0"/>
                      <w:color w:val="auto"/>
                      <w:kern w:val="0"/>
                      <w:sz w:val="21"/>
                      <w:szCs w:val="21"/>
                      <w:u w:val="none"/>
                    </w:rPr>
                    <w:t>个月</w:t>
                  </w:r>
                </w:p>
              </w:tc>
              <w:tc>
                <w:tcPr>
                  <w:tcW w:w="795" w:type="dxa"/>
                  <w:tcBorders>
                    <w:tl2br w:val="nil"/>
                    <w:tr2bl w:val="nil"/>
                  </w:tcBorders>
                  <w:vAlign w:val="center"/>
                </w:tcPr>
                <w:p w14:paraId="752516EC">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auto"/>
                      <w:kern w:val="0"/>
                      <w:sz w:val="21"/>
                      <w:szCs w:val="21"/>
                      <w:u w:val="none"/>
                      <w:lang w:eastAsia="zh-CN"/>
                    </w:rPr>
                  </w:pPr>
                  <w:r>
                    <w:rPr>
                      <w:rFonts w:hint="default" w:ascii="Times New Roman" w:hAnsi="Times New Roman" w:cs="Times New Roman"/>
                      <w:b w:val="0"/>
                      <w:bCs w:val="0"/>
                      <w:color w:val="auto"/>
                      <w:kern w:val="0"/>
                      <w:sz w:val="21"/>
                      <w:szCs w:val="21"/>
                      <w:u w:val="none"/>
                    </w:rPr>
                    <w:t>T</w:t>
                  </w:r>
                  <w:r>
                    <w:rPr>
                      <w:rFonts w:hint="eastAsia" w:ascii="Times New Roman" w:hAnsi="Times New Roman" w:cs="Times New Roman"/>
                      <w:b w:val="0"/>
                      <w:bCs w:val="0"/>
                      <w:color w:val="auto"/>
                      <w:kern w:val="0"/>
                      <w:sz w:val="21"/>
                      <w:szCs w:val="21"/>
                      <w:u w:val="none"/>
                      <w:lang w:eastAsia="zh-CN"/>
                    </w:rPr>
                    <w:t>、</w:t>
                  </w:r>
                  <w:r>
                    <w:rPr>
                      <w:rFonts w:hint="default" w:ascii="Times New Roman" w:hAnsi="Times New Roman" w:cs="Times New Roman"/>
                      <w:b w:val="0"/>
                      <w:bCs w:val="0"/>
                      <w:color w:val="auto"/>
                      <w:kern w:val="0"/>
                      <w:sz w:val="21"/>
                      <w:szCs w:val="21"/>
                      <w:u w:val="none"/>
                    </w:rPr>
                    <w:t>I</w:t>
                  </w:r>
                </w:p>
              </w:tc>
              <w:tc>
                <w:tcPr>
                  <w:tcW w:w="933" w:type="dxa"/>
                  <w:vMerge w:val="restart"/>
                  <w:tcBorders>
                    <w:tl2br w:val="nil"/>
                    <w:tr2bl w:val="nil"/>
                  </w:tcBorders>
                  <w:vAlign w:val="center"/>
                </w:tcPr>
                <w:p w14:paraId="3E7A037A">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val="0"/>
                      <w:bCs w:val="0"/>
                      <w:color w:val="auto"/>
                      <w:kern w:val="0"/>
                      <w:sz w:val="21"/>
                      <w:szCs w:val="21"/>
                      <w:u w:val="none"/>
                    </w:rPr>
                  </w:pPr>
                  <w:r>
                    <w:rPr>
                      <w:rFonts w:hint="default" w:ascii="Times New Roman" w:hAnsi="Times New Roman" w:cs="Times New Roman"/>
                      <w:b w:val="0"/>
                      <w:bCs w:val="0"/>
                      <w:color w:val="auto"/>
                      <w:sz w:val="21"/>
                      <w:szCs w:val="21"/>
                      <w:u w:val="none"/>
                    </w:rPr>
                    <w:t>危废暂存间临时存储，定期委托有资质公司安全处置</w:t>
                  </w:r>
                </w:p>
              </w:tc>
            </w:tr>
            <w:tr w14:paraId="1FB24C5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1220" w:hRule="atLeast"/>
                <w:jc w:val="center"/>
              </w:trPr>
              <w:tc>
                <w:tcPr>
                  <w:tcW w:w="433" w:type="dxa"/>
                  <w:tcBorders>
                    <w:tl2br w:val="nil"/>
                    <w:tr2bl w:val="nil"/>
                  </w:tcBorders>
                  <w:vAlign w:val="center"/>
                </w:tcPr>
                <w:p w14:paraId="6CF3025F">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val="0"/>
                      <w:bCs w:val="0"/>
                      <w:color w:val="auto"/>
                      <w:kern w:val="0"/>
                      <w:sz w:val="21"/>
                      <w:szCs w:val="21"/>
                      <w:u w:val="none"/>
                    </w:rPr>
                  </w:pPr>
                  <w:r>
                    <w:rPr>
                      <w:rFonts w:hint="eastAsia" w:cs="Times New Roman"/>
                      <w:b w:val="0"/>
                      <w:bCs w:val="0"/>
                      <w:color w:val="auto"/>
                      <w:kern w:val="0"/>
                      <w:sz w:val="21"/>
                      <w:szCs w:val="21"/>
                      <w:u w:val="none"/>
                      <w:lang w:val="en-US" w:eastAsia="zh-CN"/>
                    </w:rPr>
                    <w:t>2</w:t>
                  </w:r>
                </w:p>
              </w:tc>
              <w:tc>
                <w:tcPr>
                  <w:tcW w:w="714" w:type="dxa"/>
                  <w:tcBorders>
                    <w:tl2br w:val="nil"/>
                    <w:tr2bl w:val="nil"/>
                  </w:tcBorders>
                  <w:vAlign w:val="center"/>
                </w:tcPr>
                <w:p w14:paraId="663BAD60">
                  <w:pPr>
                    <w:pStyle w:val="79"/>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废</w:t>
                  </w:r>
                  <w:r>
                    <w:rPr>
                      <w:rFonts w:hint="eastAsia" w:cs="Times New Roman"/>
                      <w:color w:val="auto"/>
                      <w:sz w:val="21"/>
                      <w:szCs w:val="21"/>
                      <w:u w:val="none"/>
                      <w:lang w:val="en-US" w:eastAsia="zh-CN"/>
                    </w:rPr>
                    <w:t>包装</w:t>
                  </w:r>
                  <w:r>
                    <w:rPr>
                      <w:rFonts w:hint="eastAsia" w:ascii="Times New Roman" w:hAnsi="Times New Roman" w:eastAsia="宋体" w:cs="Times New Roman"/>
                      <w:color w:val="auto"/>
                      <w:sz w:val="21"/>
                      <w:szCs w:val="21"/>
                      <w:u w:val="none"/>
                      <w:lang w:val="en-US" w:eastAsia="zh-CN"/>
                    </w:rPr>
                    <w:t>桶</w:t>
                  </w:r>
                </w:p>
              </w:tc>
              <w:tc>
                <w:tcPr>
                  <w:tcW w:w="826" w:type="dxa"/>
                  <w:tcBorders>
                    <w:tl2br w:val="nil"/>
                    <w:tr2bl w:val="nil"/>
                  </w:tcBorders>
                  <w:vAlign w:val="center"/>
                </w:tcPr>
                <w:p w14:paraId="4AE14DBE">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u w:val="none"/>
                    </w:rPr>
                  </w:pPr>
                  <w:r>
                    <w:rPr>
                      <w:rFonts w:hint="default" w:ascii="Times New Roman" w:hAnsi="Times New Roman" w:eastAsia="宋体" w:cs="Times New Roman"/>
                      <w:color w:val="auto"/>
                      <w:sz w:val="21"/>
                      <w:szCs w:val="21"/>
                      <w:u w:val="none"/>
                      <w:lang w:val="en-US" w:eastAsia="zh-CN"/>
                    </w:rPr>
                    <w:t>HW</w:t>
                  </w:r>
                  <w:r>
                    <w:rPr>
                      <w:rFonts w:hint="eastAsia" w:ascii="Times New Roman" w:hAnsi="Times New Roman" w:eastAsia="宋体" w:cs="Times New Roman"/>
                      <w:color w:val="auto"/>
                      <w:sz w:val="21"/>
                      <w:szCs w:val="21"/>
                      <w:u w:val="none"/>
                      <w:lang w:val="en-US" w:eastAsia="zh-CN"/>
                    </w:rPr>
                    <w:t>49</w:t>
                  </w:r>
                </w:p>
              </w:tc>
              <w:tc>
                <w:tcPr>
                  <w:tcW w:w="803" w:type="dxa"/>
                  <w:tcBorders>
                    <w:tl2br w:val="nil"/>
                    <w:tr2bl w:val="nil"/>
                  </w:tcBorders>
                  <w:vAlign w:val="center"/>
                </w:tcPr>
                <w:p w14:paraId="29571A8D">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lang w:val="en-US" w:eastAsia="zh-CN"/>
                    </w:rPr>
                    <w:t xml:space="preserve">900-041-49 </w:t>
                  </w:r>
                </w:p>
              </w:tc>
              <w:tc>
                <w:tcPr>
                  <w:tcW w:w="716" w:type="dxa"/>
                  <w:tcBorders>
                    <w:tl2br w:val="nil"/>
                    <w:tr2bl w:val="nil"/>
                  </w:tcBorders>
                  <w:vAlign w:val="center"/>
                </w:tcPr>
                <w:p w14:paraId="0505E382">
                  <w:pPr>
                    <w:pStyle w:val="79"/>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default"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0.135</w:t>
                  </w:r>
                </w:p>
              </w:tc>
              <w:tc>
                <w:tcPr>
                  <w:tcW w:w="818" w:type="dxa"/>
                  <w:tcBorders>
                    <w:tl2br w:val="nil"/>
                    <w:tr2bl w:val="nil"/>
                  </w:tcBorders>
                  <w:vAlign w:val="center"/>
                </w:tcPr>
                <w:p w14:paraId="0D9D5118">
                  <w:pPr>
                    <w:pStyle w:val="79"/>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eastAsia" w:ascii="Times New Roman" w:hAnsi="Times New Roman"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机油、润滑油使用</w:t>
                  </w:r>
                </w:p>
              </w:tc>
              <w:tc>
                <w:tcPr>
                  <w:tcW w:w="469" w:type="dxa"/>
                  <w:tcBorders>
                    <w:tl2br w:val="nil"/>
                    <w:tr2bl w:val="nil"/>
                  </w:tcBorders>
                  <w:vAlign w:val="center"/>
                </w:tcPr>
                <w:p w14:paraId="18BA38DF">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ascii="Times New Roman" w:hAnsi="Times New Roman" w:cs="Times New Roman"/>
                      <w:b w:val="0"/>
                      <w:bCs w:val="0"/>
                      <w:color w:val="auto"/>
                      <w:kern w:val="0"/>
                      <w:sz w:val="21"/>
                      <w:szCs w:val="21"/>
                      <w:u w:val="none"/>
                      <w:lang w:val="en-US" w:eastAsia="zh-CN"/>
                    </w:rPr>
                  </w:pPr>
                  <w:r>
                    <w:rPr>
                      <w:rFonts w:hint="eastAsia" w:cs="Times New Roman"/>
                      <w:b w:val="0"/>
                      <w:bCs w:val="0"/>
                      <w:color w:val="auto"/>
                      <w:kern w:val="0"/>
                      <w:sz w:val="21"/>
                      <w:szCs w:val="21"/>
                      <w:u w:val="none"/>
                      <w:lang w:val="en-US" w:eastAsia="zh-CN"/>
                    </w:rPr>
                    <w:t>固态</w:t>
                  </w:r>
                </w:p>
              </w:tc>
              <w:tc>
                <w:tcPr>
                  <w:tcW w:w="676" w:type="dxa"/>
                  <w:tcBorders>
                    <w:tl2br w:val="nil"/>
                    <w:tr2bl w:val="nil"/>
                  </w:tcBorders>
                  <w:vAlign w:val="center"/>
                </w:tcPr>
                <w:p w14:paraId="45E5338E">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u w:val="none"/>
                    </w:rPr>
                  </w:pPr>
                  <w:r>
                    <w:rPr>
                      <w:rFonts w:hint="default" w:ascii="Times New Roman" w:hAnsi="Times New Roman" w:cs="Times New Roman"/>
                      <w:b w:val="0"/>
                      <w:bCs w:val="0"/>
                      <w:color w:val="auto"/>
                      <w:sz w:val="21"/>
                      <w:szCs w:val="21"/>
                      <w:u w:val="none"/>
                    </w:rPr>
                    <w:t>废</w:t>
                  </w:r>
                  <w:r>
                    <w:rPr>
                      <w:rFonts w:hint="eastAsia" w:ascii="Times New Roman" w:hAnsi="Times New Roman" w:cs="Times New Roman"/>
                      <w:b w:val="0"/>
                      <w:bCs w:val="0"/>
                      <w:color w:val="auto"/>
                      <w:sz w:val="21"/>
                      <w:szCs w:val="21"/>
                      <w:u w:val="none"/>
                      <w:lang w:val="en-US" w:eastAsia="zh-CN"/>
                    </w:rPr>
                    <w:t>矿物油</w:t>
                  </w:r>
                </w:p>
              </w:tc>
              <w:tc>
                <w:tcPr>
                  <w:tcW w:w="664" w:type="dxa"/>
                  <w:tcBorders>
                    <w:tl2br w:val="nil"/>
                    <w:tr2bl w:val="nil"/>
                  </w:tcBorders>
                  <w:vAlign w:val="center"/>
                </w:tcPr>
                <w:p w14:paraId="5F6CA0FA">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val="0"/>
                      <w:bCs w:val="0"/>
                      <w:color w:val="auto"/>
                      <w:kern w:val="0"/>
                      <w:sz w:val="21"/>
                      <w:szCs w:val="21"/>
                      <w:u w:val="none"/>
                    </w:rPr>
                  </w:pPr>
                  <w:r>
                    <w:rPr>
                      <w:rFonts w:hint="default" w:ascii="Times New Roman" w:hAnsi="Times New Roman" w:cs="Times New Roman"/>
                      <w:b w:val="0"/>
                      <w:bCs w:val="0"/>
                      <w:color w:val="auto"/>
                      <w:kern w:val="0"/>
                      <w:sz w:val="21"/>
                      <w:szCs w:val="21"/>
                      <w:u w:val="none"/>
                    </w:rPr>
                    <w:t>有机化合物</w:t>
                  </w:r>
                </w:p>
              </w:tc>
              <w:tc>
                <w:tcPr>
                  <w:tcW w:w="768" w:type="dxa"/>
                  <w:tcBorders>
                    <w:tl2br w:val="nil"/>
                    <w:tr2bl w:val="nil"/>
                  </w:tcBorders>
                  <w:vAlign w:val="center"/>
                </w:tcPr>
                <w:p w14:paraId="19BB3DA3">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eastAsia" w:cs="Times New Roman"/>
                      <w:b w:val="0"/>
                      <w:bCs w:val="0"/>
                      <w:color w:val="auto"/>
                      <w:kern w:val="0"/>
                      <w:sz w:val="21"/>
                      <w:szCs w:val="21"/>
                      <w:u w:val="none"/>
                      <w:lang w:val="en-US" w:eastAsia="zh-CN"/>
                    </w:rPr>
                  </w:pPr>
                  <w:r>
                    <w:rPr>
                      <w:rFonts w:hint="eastAsia" w:cs="Times New Roman"/>
                      <w:b w:val="0"/>
                      <w:bCs w:val="0"/>
                      <w:color w:val="auto"/>
                      <w:kern w:val="0"/>
                      <w:sz w:val="21"/>
                      <w:szCs w:val="21"/>
                      <w:u w:val="none"/>
                      <w:lang w:val="en-US" w:eastAsia="zh-CN"/>
                    </w:rPr>
                    <w:t>3</w:t>
                  </w:r>
                  <w:r>
                    <w:rPr>
                      <w:rFonts w:hint="default" w:ascii="Times New Roman" w:hAnsi="Times New Roman" w:cs="Times New Roman"/>
                      <w:b w:val="0"/>
                      <w:bCs w:val="0"/>
                      <w:color w:val="auto"/>
                      <w:kern w:val="0"/>
                      <w:sz w:val="21"/>
                      <w:szCs w:val="21"/>
                      <w:u w:val="none"/>
                    </w:rPr>
                    <w:t>个月</w:t>
                  </w:r>
                </w:p>
              </w:tc>
              <w:tc>
                <w:tcPr>
                  <w:tcW w:w="795" w:type="dxa"/>
                  <w:tcBorders>
                    <w:tl2br w:val="nil"/>
                    <w:tr2bl w:val="nil"/>
                  </w:tcBorders>
                  <w:vAlign w:val="center"/>
                </w:tcPr>
                <w:p w14:paraId="29B216B5">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val="0"/>
                      <w:bCs w:val="0"/>
                      <w:color w:val="auto"/>
                      <w:kern w:val="0"/>
                      <w:sz w:val="21"/>
                      <w:szCs w:val="21"/>
                      <w:u w:val="none"/>
                    </w:rPr>
                  </w:pPr>
                  <w:r>
                    <w:rPr>
                      <w:rFonts w:hint="default" w:ascii="Times New Roman" w:hAnsi="Times New Roman" w:cs="Times New Roman"/>
                      <w:b w:val="0"/>
                      <w:bCs w:val="0"/>
                      <w:color w:val="auto"/>
                      <w:kern w:val="0"/>
                      <w:sz w:val="21"/>
                      <w:szCs w:val="21"/>
                      <w:u w:val="none"/>
                    </w:rPr>
                    <w:t>T/In</w:t>
                  </w:r>
                </w:p>
              </w:tc>
              <w:tc>
                <w:tcPr>
                  <w:tcW w:w="933" w:type="dxa"/>
                  <w:vMerge w:val="continue"/>
                  <w:tcBorders>
                    <w:tl2br w:val="nil"/>
                    <w:tr2bl w:val="nil"/>
                  </w:tcBorders>
                  <w:vAlign w:val="center"/>
                </w:tcPr>
                <w:p w14:paraId="0727872A">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u w:val="none"/>
                    </w:rPr>
                  </w:pPr>
                </w:p>
              </w:tc>
            </w:tr>
          </w:tbl>
          <w:p w14:paraId="40D8544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szCs w:val="20"/>
                <w:u w:val="none"/>
              </w:rPr>
            </w:pPr>
            <w:r>
              <w:rPr>
                <w:rFonts w:hint="default" w:ascii="Times New Roman" w:hAnsi="Times New Roman" w:cs="Times New Roman"/>
                <w:color w:val="auto"/>
                <w:sz w:val="24"/>
                <w:szCs w:val="20"/>
                <w:u w:val="none"/>
              </w:rPr>
              <w:t>项目危废贮存场所基本情况一览表见下表。</w:t>
            </w:r>
          </w:p>
          <w:p w14:paraId="372F2830">
            <w:pPr>
              <w:pStyle w:val="7"/>
              <w:keepNext w:val="0"/>
              <w:keepLines w:val="0"/>
              <w:pageBreakBefore w:val="0"/>
              <w:widowControl w:val="0"/>
              <w:numPr>
                <w:ilvl w:val="0"/>
                <w:numId w:val="0"/>
              </w:numPr>
              <w:kinsoku/>
              <w:wordWrap/>
              <w:overflowPunct/>
              <w:topLinePunct w:val="0"/>
              <w:autoSpaceDE/>
              <w:autoSpaceDN/>
              <w:bidi w:val="0"/>
              <w:adjustRightInd w:val="0"/>
              <w:snapToGrid/>
              <w:spacing w:line="240" w:lineRule="auto"/>
              <w:ind w:firstLine="480" w:firstLineChars="200"/>
              <w:jc w:val="center"/>
              <w:textAlignment w:val="auto"/>
              <w:rPr>
                <w:rFonts w:hint="default" w:ascii="Times New Roman" w:hAnsi="Times New Roman" w:eastAsia="黑体" w:cs="Times New Roman"/>
                <w:b w:val="0"/>
                <w:bCs w:val="0"/>
                <w:color w:val="auto"/>
                <w:sz w:val="24"/>
                <w:szCs w:val="24"/>
                <w:u w:val="none"/>
                <w:lang w:val="en-US" w:eastAsia="zh-CN"/>
              </w:rPr>
            </w:pPr>
            <w:r>
              <w:rPr>
                <w:rFonts w:hint="default" w:ascii="Times New Roman" w:hAnsi="Times New Roman" w:eastAsia="黑体" w:cs="Times New Roman"/>
                <w:b w:val="0"/>
                <w:bCs w:val="0"/>
                <w:color w:val="auto"/>
                <w:sz w:val="24"/>
                <w:szCs w:val="24"/>
                <w:u w:val="none"/>
                <w:lang w:val="en-US" w:eastAsia="zh-CN"/>
              </w:rPr>
              <w:t>表</w:t>
            </w:r>
            <w:r>
              <w:rPr>
                <w:rFonts w:hint="eastAsia" w:eastAsia="黑体" w:cs="Times New Roman"/>
                <w:b w:val="0"/>
                <w:bCs w:val="0"/>
                <w:color w:val="auto"/>
                <w:sz w:val="24"/>
                <w:szCs w:val="24"/>
                <w:u w:val="none"/>
                <w:lang w:val="en-US" w:eastAsia="zh-CN"/>
              </w:rPr>
              <w:t>4-12</w:t>
            </w:r>
            <w:r>
              <w:rPr>
                <w:rFonts w:hint="default" w:ascii="Times New Roman" w:hAnsi="Times New Roman" w:eastAsia="黑体" w:cs="Times New Roman"/>
                <w:b w:val="0"/>
                <w:bCs w:val="0"/>
                <w:color w:val="auto"/>
                <w:sz w:val="24"/>
                <w:szCs w:val="24"/>
                <w:u w:val="none"/>
                <w:lang w:val="en-US" w:eastAsia="zh-CN"/>
              </w:rPr>
              <w:t xml:space="preserve"> 项目危废贮存场所基本情况</w:t>
            </w:r>
          </w:p>
          <w:tbl>
            <w:tblPr>
              <w:tblStyle w:val="32"/>
              <w:tblW w:w="8568"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432"/>
              <w:gridCol w:w="1026"/>
              <w:gridCol w:w="969"/>
              <w:gridCol w:w="823"/>
              <w:gridCol w:w="1233"/>
              <w:gridCol w:w="679"/>
              <w:gridCol w:w="892"/>
              <w:gridCol w:w="753"/>
              <w:gridCol w:w="835"/>
              <w:gridCol w:w="926"/>
            </w:tblGrid>
            <w:tr w14:paraId="5A3A227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dxa"/>
                  <w:tcBorders>
                    <w:tl2br w:val="nil"/>
                    <w:tr2bl w:val="nil"/>
                  </w:tcBorders>
                  <w:vAlign w:val="center"/>
                </w:tcPr>
                <w:p w14:paraId="5EE558CC">
                  <w:pPr>
                    <w:keepNext w:val="0"/>
                    <w:keepLines w:val="0"/>
                    <w:pageBreakBefore w:val="0"/>
                    <w:kinsoku/>
                    <w:wordWrap/>
                    <w:overflowPunct/>
                    <w:autoSpaceDE/>
                    <w:autoSpaceDN/>
                    <w:bidi w:val="0"/>
                    <w:spacing w:line="240" w:lineRule="auto"/>
                    <w:jc w:val="center"/>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序号</w:t>
                  </w:r>
                </w:p>
              </w:tc>
              <w:tc>
                <w:tcPr>
                  <w:tcW w:w="1026" w:type="dxa"/>
                  <w:tcBorders>
                    <w:tl2br w:val="nil"/>
                    <w:tr2bl w:val="nil"/>
                  </w:tcBorders>
                  <w:vAlign w:val="center"/>
                </w:tcPr>
                <w:p w14:paraId="7420F7B4">
                  <w:pPr>
                    <w:keepNext w:val="0"/>
                    <w:keepLines w:val="0"/>
                    <w:pageBreakBefore w:val="0"/>
                    <w:kinsoku/>
                    <w:wordWrap/>
                    <w:overflowPunct/>
                    <w:autoSpaceDE/>
                    <w:autoSpaceDN/>
                    <w:bidi w:val="0"/>
                    <w:spacing w:line="240" w:lineRule="auto"/>
                    <w:jc w:val="center"/>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贮存场所（设施）名称</w:t>
                  </w:r>
                </w:p>
              </w:tc>
              <w:tc>
                <w:tcPr>
                  <w:tcW w:w="969" w:type="dxa"/>
                  <w:tcBorders>
                    <w:tl2br w:val="nil"/>
                    <w:tr2bl w:val="nil"/>
                  </w:tcBorders>
                  <w:vAlign w:val="center"/>
                </w:tcPr>
                <w:p w14:paraId="6EFF77DF">
                  <w:pPr>
                    <w:keepNext w:val="0"/>
                    <w:keepLines w:val="0"/>
                    <w:pageBreakBefore w:val="0"/>
                    <w:kinsoku/>
                    <w:wordWrap/>
                    <w:overflowPunct/>
                    <w:autoSpaceDE/>
                    <w:autoSpaceDN/>
                    <w:bidi w:val="0"/>
                    <w:spacing w:line="240" w:lineRule="auto"/>
                    <w:jc w:val="center"/>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危险废物名称</w:t>
                  </w:r>
                </w:p>
              </w:tc>
              <w:tc>
                <w:tcPr>
                  <w:tcW w:w="823" w:type="dxa"/>
                  <w:tcBorders>
                    <w:tl2br w:val="nil"/>
                    <w:tr2bl w:val="nil"/>
                  </w:tcBorders>
                  <w:vAlign w:val="center"/>
                </w:tcPr>
                <w:p w14:paraId="7588A3C8">
                  <w:pPr>
                    <w:keepNext w:val="0"/>
                    <w:keepLines w:val="0"/>
                    <w:pageBreakBefore w:val="0"/>
                    <w:kinsoku/>
                    <w:wordWrap/>
                    <w:overflowPunct/>
                    <w:autoSpaceDE/>
                    <w:autoSpaceDN/>
                    <w:bidi w:val="0"/>
                    <w:spacing w:line="240" w:lineRule="auto"/>
                    <w:jc w:val="center"/>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危险废物类别</w:t>
                  </w:r>
                </w:p>
              </w:tc>
              <w:tc>
                <w:tcPr>
                  <w:tcW w:w="1233" w:type="dxa"/>
                  <w:tcBorders>
                    <w:tl2br w:val="nil"/>
                    <w:tr2bl w:val="nil"/>
                  </w:tcBorders>
                  <w:vAlign w:val="center"/>
                </w:tcPr>
                <w:p w14:paraId="26252547">
                  <w:pPr>
                    <w:keepNext w:val="0"/>
                    <w:keepLines w:val="0"/>
                    <w:pageBreakBefore w:val="0"/>
                    <w:kinsoku/>
                    <w:wordWrap/>
                    <w:overflowPunct/>
                    <w:autoSpaceDE/>
                    <w:autoSpaceDN/>
                    <w:bidi w:val="0"/>
                    <w:spacing w:line="240" w:lineRule="auto"/>
                    <w:jc w:val="center"/>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危险废物代码</w:t>
                  </w:r>
                </w:p>
              </w:tc>
              <w:tc>
                <w:tcPr>
                  <w:tcW w:w="679" w:type="dxa"/>
                  <w:tcBorders>
                    <w:tl2br w:val="nil"/>
                    <w:tr2bl w:val="nil"/>
                  </w:tcBorders>
                  <w:vAlign w:val="center"/>
                </w:tcPr>
                <w:p w14:paraId="65D437B9">
                  <w:pPr>
                    <w:keepNext w:val="0"/>
                    <w:keepLines w:val="0"/>
                    <w:pageBreakBefore w:val="0"/>
                    <w:kinsoku/>
                    <w:wordWrap/>
                    <w:overflowPunct/>
                    <w:autoSpaceDE/>
                    <w:autoSpaceDN/>
                    <w:bidi w:val="0"/>
                    <w:spacing w:line="240" w:lineRule="auto"/>
                    <w:jc w:val="center"/>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位置</w:t>
                  </w:r>
                </w:p>
              </w:tc>
              <w:tc>
                <w:tcPr>
                  <w:tcW w:w="892" w:type="dxa"/>
                  <w:tcBorders>
                    <w:tl2br w:val="nil"/>
                    <w:tr2bl w:val="nil"/>
                  </w:tcBorders>
                  <w:vAlign w:val="center"/>
                </w:tcPr>
                <w:p w14:paraId="06673B88">
                  <w:pPr>
                    <w:keepNext w:val="0"/>
                    <w:keepLines w:val="0"/>
                    <w:pageBreakBefore w:val="0"/>
                    <w:kinsoku/>
                    <w:wordWrap/>
                    <w:overflowPunct/>
                    <w:autoSpaceDE/>
                    <w:autoSpaceDN/>
                    <w:bidi w:val="0"/>
                    <w:spacing w:line="240" w:lineRule="auto"/>
                    <w:jc w:val="center"/>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占地面积（m</w:t>
                  </w:r>
                  <w:r>
                    <w:rPr>
                      <w:rFonts w:hint="default" w:ascii="Times New Roman" w:hAnsi="Times New Roman" w:cs="Times New Roman"/>
                      <w:b/>
                      <w:bCs/>
                      <w:color w:val="auto"/>
                      <w:sz w:val="21"/>
                      <w:szCs w:val="21"/>
                      <w:u w:val="none"/>
                      <w:vertAlign w:val="superscript"/>
                    </w:rPr>
                    <w:t>2</w:t>
                  </w:r>
                  <w:r>
                    <w:rPr>
                      <w:rFonts w:hint="default" w:ascii="Times New Roman" w:hAnsi="Times New Roman" w:cs="Times New Roman"/>
                      <w:b/>
                      <w:bCs/>
                      <w:color w:val="auto"/>
                      <w:sz w:val="21"/>
                      <w:szCs w:val="21"/>
                      <w:u w:val="none"/>
                    </w:rPr>
                    <w:t>）</w:t>
                  </w:r>
                </w:p>
              </w:tc>
              <w:tc>
                <w:tcPr>
                  <w:tcW w:w="753" w:type="dxa"/>
                  <w:tcBorders>
                    <w:tl2br w:val="nil"/>
                    <w:tr2bl w:val="nil"/>
                  </w:tcBorders>
                  <w:vAlign w:val="center"/>
                </w:tcPr>
                <w:p w14:paraId="1F479FED">
                  <w:pPr>
                    <w:keepNext w:val="0"/>
                    <w:keepLines w:val="0"/>
                    <w:pageBreakBefore w:val="0"/>
                    <w:kinsoku/>
                    <w:wordWrap/>
                    <w:overflowPunct/>
                    <w:autoSpaceDE/>
                    <w:autoSpaceDN/>
                    <w:bidi w:val="0"/>
                    <w:spacing w:line="240" w:lineRule="auto"/>
                    <w:jc w:val="center"/>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贮存方式</w:t>
                  </w:r>
                </w:p>
              </w:tc>
              <w:tc>
                <w:tcPr>
                  <w:tcW w:w="835" w:type="dxa"/>
                  <w:tcBorders>
                    <w:tl2br w:val="nil"/>
                    <w:tr2bl w:val="nil"/>
                  </w:tcBorders>
                  <w:vAlign w:val="center"/>
                </w:tcPr>
                <w:p w14:paraId="4564DA87">
                  <w:pPr>
                    <w:keepNext w:val="0"/>
                    <w:keepLines w:val="0"/>
                    <w:pageBreakBefore w:val="0"/>
                    <w:kinsoku/>
                    <w:wordWrap/>
                    <w:overflowPunct/>
                    <w:autoSpaceDE/>
                    <w:autoSpaceDN/>
                    <w:bidi w:val="0"/>
                    <w:spacing w:line="240" w:lineRule="auto"/>
                    <w:jc w:val="center"/>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贮存能力</w:t>
                  </w:r>
                </w:p>
              </w:tc>
              <w:tc>
                <w:tcPr>
                  <w:tcW w:w="926" w:type="dxa"/>
                  <w:tcBorders>
                    <w:tl2br w:val="nil"/>
                    <w:tr2bl w:val="nil"/>
                  </w:tcBorders>
                  <w:vAlign w:val="center"/>
                </w:tcPr>
                <w:p w14:paraId="0A009683">
                  <w:pPr>
                    <w:keepNext w:val="0"/>
                    <w:keepLines w:val="0"/>
                    <w:pageBreakBefore w:val="0"/>
                    <w:kinsoku/>
                    <w:wordWrap/>
                    <w:overflowPunct/>
                    <w:autoSpaceDE/>
                    <w:autoSpaceDN/>
                    <w:bidi w:val="0"/>
                    <w:spacing w:line="240" w:lineRule="auto"/>
                    <w:jc w:val="center"/>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贮存周期</w:t>
                  </w:r>
                </w:p>
              </w:tc>
            </w:tr>
            <w:tr w14:paraId="3C72974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dxa"/>
                  <w:tcBorders>
                    <w:tl2br w:val="nil"/>
                    <w:tr2bl w:val="nil"/>
                  </w:tcBorders>
                  <w:vAlign w:val="center"/>
                </w:tcPr>
                <w:p w14:paraId="4CCC414A">
                  <w:pPr>
                    <w:keepNext w:val="0"/>
                    <w:keepLines w:val="0"/>
                    <w:pageBreakBefore w:val="0"/>
                    <w:kinsoku/>
                    <w:wordWrap/>
                    <w:overflowPunct/>
                    <w:autoSpaceDE/>
                    <w:autoSpaceDN/>
                    <w:bidi w:val="0"/>
                    <w:spacing w:line="240" w:lineRule="auto"/>
                    <w:jc w:val="center"/>
                    <w:textAlignment w:val="auto"/>
                    <w:rPr>
                      <w:rFonts w:hint="default" w:ascii="Times New Roman" w:hAnsi="Times New Roman" w:cs="Times New Roman"/>
                      <w:b w:val="0"/>
                      <w:bCs w:val="0"/>
                      <w:color w:val="auto"/>
                      <w:sz w:val="21"/>
                      <w:szCs w:val="21"/>
                      <w:u w:val="none"/>
                    </w:rPr>
                  </w:pPr>
                  <w:r>
                    <w:rPr>
                      <w:rFonts w:hint="default" w:ascii="Times New Roman" w:hAnsi="Times New Roman" w:cs="Times New Roman"/>
                      <w:b w:val="0"/>
                      <w:bCs w:val="0"/>
                      <w:color w:val="auto"/>
                      <w:sz w:val="21"/>
                      <w:szCs w:val="21"/>
                      <w:u w:val="none"/>
                    </w:rPr>
                    <w:t>1</w:t>
                  </w:r>
                </w:p>
              </w:tc>
              <w:tc>
                <w:tcPr>
                  <w:tcW w:w="1026" w:type="dxa"/>
                  <w:vMerge w:val="restart"/>
                  <w:tcBorders>
                    <w:tl2br w:val="nil"/>
                    <w:tr2bl w:val="nil"/>
                  </w:tcBorders>
                  <w:vAlign w:val="center"/>
                </w:tcPr>
                <w:p w14:paraId="090D707F">
                  <w:pPr>
                    <w:keepNext w:val="0"/>
                    <w:keepLines w:val="0"/>
                    <w:pageBreakBefore w:val="0"/>
                    <w:kinsoku/>
                    <w:wordWrap/>
                    <w:overflowPunct/>
                    <w:autoSpaceDE/>
                    <w:autoSpaceDN/>
                    <w:bidi w:val="0"/>
                    <w:spacing w:line="240" w:lineRule="auto"/>
                    <w:jc w:val="center"/>
                    <w:textAlignment w:val="auto"/>
                    <w:rPr>
                      <w:rFonts w:hint="default" w:ascii="Times New Roman" w:hAnsi="Times New Roman" w:cs="Times New Roman"/>
                      <w:b w:val="0"/>
                      <w:bCs w:val="0"/>
                      <w:color w:val="auto"/>
                      <w:sz w:val="21"/>
                      <w:szCs w:val="21"/>
                      <w:u w:val="none"/>
                    </w:rPr>
                  </w:pPr>
                  <w:r>
                    <w:rPr>
                      <w:rFonts w:hint="default" w:ascii="Times New Roman" w:hAnsi="Times New Roman" w:cs="Times New Roman"/>
                      <w:b w:val="0"/>
                      <w:bCs w:val="0"/>
                      <w:color w:val="auto"/>
                      <w:sz w:val="21"/>
                      <w:szCs w:val="21"/>
                      <w:u w:val="none"/>
                    </w:rPr>
                    <w:t>危废暂存间</w:t>
                  </w:r>
                </w:p>
              </w:tc>
              <w:tc>
                <w:tcPr>
                  <w:tcW w:w="969" w:type="dxa"/>
                  <w:tcBorders>
                    <w:tl2br w:val="nil"/>
                    <w:tr2bl w:val="nil"/>
                  </w:tcBorders>
                  <w:vAlign w:val="center"/>
                </w:tcPr>
                <w:p w14:paraId="1EAE3C14">
                  <w:pPr>
                    <w:pStyle w:val="79"/>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default" w:ascii="Times New Roman" w:hAnsi="Times New Roman" w:cs="Times New Roman"/>
                      <w:b w:val="0"/>
                      <w:bCs w:val="0"/>
                      <w:color w:val="auto"/>
                      <w:sz w:val="21"/>
                      <w:szCs w:val="21"/>
                      <w:u w:val="none"/>
                    </w:rPr>
                  </w:pPr>
                  <w:r>
                    <w:rPr>
                      <w:rFonts w:hint="default" w:ascii="Times New Roman" w:hAnsi="Times New Roman" w:eastAsia="宋体" w:cs="Times New Roman"/>
                      <w:color w:val="auto"/>
                      <w:sz w:val="21"/>
                      <w:szCs w:val="21"/>
                      <w:u w:val="none"/>
                      <w:lang w:val="en-US" w:eastAsia="zh-CN"/>
                    </w:rPr>
                    <w:t>废机油</w:t>
                  </w:r>
                </w:p>
              </w:tc>
              <w:tc>
                <w:tcPr>
                  <w:tcW w:w="823" w:type="dxa"/>
                  <w:tcBorders>
                    <w:tl2br w:val="nil"/>
                    <w:tr2bl w:val="nil"/>
                  </w:tcBorders>
                  <w:vAlign w:val="center"/>
                </w:tcPr>
                <w:p w14:paraId="23D07BF2">
                  <w:pPr>
                    <w:keepNext w:val="0"/>
                    <w:keepLines w:val="0"/>
                    <w:pageBreakBefore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u w:val="none"/>
                    </w:rPr>
                  </w:pPr>
                  <w:r>
                    <w:rPr>
                      <w:rFonts w:hint="default" w:ascii="Times New Roman" w:hAnsi="Times New Roman" w:cs="Times New Roman"/>
                      <w:b w:val="0"/>
                      <w:bCs w:val="0"/>
                      <w:color w:val="auto"/>
                      <w:sz w:val="21"/>
                      <w:szCs w:val="21"/>
                      <w:u w:val="none"/>
                    </w:rPr>
                    <w:t>HW</w:t>
                  </w:r>
                  <w:r>
                    <w:rPr>
                      <w:rFonts w:hint="eastAsia" w:ascii="Times New Roman" w:hAnsi="Times New Roman" w:cs="Times New Roman"/>
                      <w:b w:val="0"/>
                      <w:bCs w:val="0"/>
                      <w:color w:val="auto"/>
                      <w:sz w:val="21"/>
                      <w:szCs w:val="21"/>
                      <w:u w:val="none"/>
                      <w:lang w:val="en-US" w:eastAsia="zh-CN"/>
                    </w:rPr>
                    <w:t>08</w:t>
                  </w:r>
                </w:p>
              </w:tc>
              <w:tc>
                <w:tcPr>
                  <w:tcW w:w="1233" w:type="dxa"/>
                  <w:tcBorders>
                    <w:tl2br w:val="nil"/>
                    <w:tr2bl w:val="nil"/>
                  </w:tcBorders>
                  <w:vAlign w:val="center"/>
                </w:tcPr>
                <w:p w14:paraId="5EAA97C7">
                  <w:pPr>
                    <w:keepNext w:val="0"/>
                    <w:keepLines w:val="0"/>
                    <w:pageBreakBefore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u w:val="none"/>
                    </w:rPr>
                  </w:pPr>
                  <w:r>
                    <w:rPr>
                      <w:rFonts w:hint="default" w:ascii="Times New Roman" w:hAnsi="Times New Roman" w:eastAsia="宋体" w:cs="Times New Roman"/>
                      <w:color w:val="auto"/>
                      <w:sz w:val="21"/>
                      <w:szCs w:val="21"/>
                      <w:u w:val="none"/>
                    </w:rPr>
                    <w:t>900-214-08</w:t>
                  </w:r>
                </w:p>
              </w:tc>
              <w:tc>
                <w:tcPr>
                  <w:tcW w:w="679" w:type="dxa"/>
                  <w:tcBorders>
                    <w:tl2br w:val="nil"/>
                    <w:tr2bl w:val="nil"/>
                  </w:tcBorders>
                  <w:vAlign w:val="center"/>
                </w:tcPr>
                <w:p w14:paraId="4F97ECB8">
                  <w:pPr>
                    <w:keepNext w:val="0"/>
                    <w:keepLines w:val="0"/>
                    <w:pageBreakBefore w:val="0"/>
                    <w:kinsoku/>
                    <w:wordWrap/>
                    <w:overflowPunct/>
                    <w:autoSpaceDE/>
                    <w:autoSpaceDN/>
                    <w:bidi w:val="0"/>
                    <w:spacing w:line="240" w:lineRule="auto"/>
                    <w:jc w:val="center"/>
                    <w:textAlignment w:val="auto"/>
                    <w:rPr>
                      <w:rFonts w:hint="eastAsia" w:ascii="Times New Roman" w:hAnsi="Times New Roman" w:eastAsia="宋体" w:cs="Times New Roman"/>
                      <w:b w:val="0"/>
                      <w:bCs w:val="0"/>
                      <w:color w:val="auto"/>
                      <w:sz w:val="21"/>
                      <w:szCs w:val="21"/>
                      <w:u w:val="none"/>
                      <w:lang w:eastAsia="zh-CN"/>
                    </w:rPr>
                  </w:pPr>
                  <w:r>
                    <w:rPr>
                      <w:rFonts w:hint="eastAsia" w:ascii="Times New Roman" w:hAnsi="Times New Roman" w:cs="Times New Roman"/>
                      <w:b w:val="0"/>
                      <w:bCs w:val="0"/>
                      <w:color w:val="auto"/>
                      <w:sz w:val="21"/>
                      <w:szCs w:val="21"/>
                      <w:u w:val="none"/>
                      <w:lang w:val="en-US" w:eastAsia="zh-CN"/>
                    </w:rPr>
                    <w:t>危废间</w:t>
                  </w:r>
                </w:p>
              </w:tc>
              <w:tc>
                <w:tcPr>
                  <w:tcW w:w="892" w:type="dxa"/>
                  <w:tcBorders>
                    <w:tl2br w:val="nil"/>
                    <w:tr2bl w:val="nil"/>
                  </w:tcBorders>
                  <w:vAlign w:val="center"/>
                </w:tcPr>
                <w:p w14:paraId="2902A7CF">
                  <w:pPr>
                    <w:keepNext w:val="0"/>
                    <w:keepLines w:val="0"/>
                    <w:pageBreakBefore w:val="0"/>
                    <w:kinsoku/>
                    <w:wordWrap/>
                    <w:overflowPunct/>
                    <w:autoSpaceDE/>
                    <w:autoSpaceDN/>
                    <w:bidi w:val="0"/>
                    <w:spacing w:line="240" w:lineRule="auto"/>
                    <w:jc w:val="center"/>
                    <w:textAlignment w:val="auto"/>
                    <w:rPr>
                      <w:rFonts w:hint="default" w:ascii="Times New Roman" w:hAnsi="Times New Roman" w:eastAsia="宋体"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8</w:t>
                  </w:r>
                </w:p>
              </w:tc>
              <w:tc>
                <w:tcPr>
                  <w:tcW w:w="753" w:type="dxa"/>
                  <w:tcBorders>
                    <w:tl2br w:val="nil"/>
                    <w:tr2bl w:val="nil"/>
                  </w:tcBorders>
                  <w:vAlign w:val="center"/>
                </w:tcPr>
                <w:p w14:paraId="047E042C">
                  <w:pPr>
                    <w:keepNext w:val="0"/>
                    <w:keepLines w:val="0"/>
                    <w:pageBreakBefore w:val="0"/>
                    <w:kinsoku/>
                    <w:wordWrap/>
                    <w:overflowPunct/>
                    <w:autoSpaceDE/>
                    <w:autoSpaceDN/>
                    <w:bidi w:val="0"/>
                    <w:spacing w:line="240" w:lineRule="auto"/>
                    <w:jc w:val="center"/>
                    <w:textAlignment w:val="auto"/>
                    <w:rPr>
                      <w:rFonts w:hint="default" w:ascii="Times New Roman" w:hAnsi="Times New Roman" w:cs="Times New Roman"/>
                      <w:b w:val="0"/>
                      <w:bCs w:val="0"/>
                      <w:color w:val="auto"/>
                      <w:sz w:val="21"/>
                      <w:szCs w:val="21"/>
                      <w:u w:val="none"/>
                    </w:rPr>
                  </w:pPr>
                  <w:r>
                    <w:rPr>
                      <w:rFonts w:hint="default" w:ascii="Times New Roman" w:hAnsi="Times New Roman" w:cs="Times New Roman"/>
                      <w:b w:val="0"/>
                      <w:bCs w:val="0"/>
                      <w:color w:val="auto"/>
                      <w:sz w:val="21"/>
                      <w:szCs w:val="21"/>
                      <w:u w:val="none"/>
                    </w:rPr>
                    <w:t>专用储存容器</w:t>
                  </w:r>
                </w:p>
              </w:tc>
              <w:tc>
                <w:tcPr>
                  <w:tcW w:w="835" w:type="dxa"/>
                  <w:tcBorders>
                    <w:tl2br w:val="nil"/>
                    <w:tr2bl w:val="nil"/>
                  </w:tcBorders>
                  <w:vAlign w:val="center"/>
                </w:tcPr>
                <w:p w14:paraId="325B5391">
                  <w:pPr>
                    <w:keepNext w:val="0"/>
                    <w:keepLines w:val="0"/>
                    <w:pageBreakBefore w:val="0"/>
                    <w:kinsoku/>
                    <w:wordWrap/>
                    <w:overflowPunct/>
                    <w:autoSpaceDE/>
                    <w:autoSpaceDN/>
                    <w:bidi w:val="0"/>
                    <w:spacing w:line="240" w:lineRule="auto"/>
                    <w:jc w:val="center"/>
                    <w:textAlignment w:val="auto"/>
                    <w:rPr>
                      <w:rFonts w:hint="default" w:ascii="Times New Roman" w:hAnsi="Times New Roman" w:cs="Times New Roman"/>
                      <w:b w:val="0"/>
                      <w:bCs w:val="0"/>
                      <w:color w:val="auto"/>
                      <w:sz w:val="21"/>
                      <w:szCs w:val="21"/>
                      <w:u w:val="none"/>
                    </w:rPr>
                  </w:pPr>
                  <w:r>
                    <w:rPr>
                      <w:rFonts w:hint="eastAsia" w:cs="Times New Roman"/>
                      <w:b w:val="0"/>
                      <w:bCs w:val="0"/>
                      <w:color w:val="auto"/>
                      <w:sz w:val="21"/>
                      <w:szCs w:val="21"/>
                      <w:u w:val="none"/>
                      <w:lang w:val="en-US" w:eastAsia="zh-CN"/>
                    </w:rPr>
                    <w:t>2.5</w:t>
                  </w:r>
                  <w:r>
                    <w:rPr>
                      <w:rFonts w:hint="default" w:ascii="Times New Roman" w:hAnsi="Times New Roman" w:cs="Times New Roman"/>
                      <w:b w:val="0"/>
                      <w:bCs w:val="0"/>
                      <w:color w:val="auto"/>
                      <w:sz w:val="21"/>
                      <w:szCs w:val="21"/>
                      <w:u w:val="none"/>
                    </w:rPr>
                    <w:t>t/a</w:t>
                  </w:r>
                </w:p>
              </w:tc>
              <w:tc>
                <w:tcPr>
                  <w:tcW w:w="926" w:type="dxa"/>
                  <w:tcBorders>
                    <w:tl2br w:val="nil"/>
                    <w:tr2bl w:val="nil"/>
                  </w:tcBorders>
                  <w:vAlign w:val="center"/>
                </w:tcPr>
                <w:p w14:paraId="53812069">
                  <w:pPr>
                    <w:keepNext w:val="0"/>
                    <w:keepLines w:val="0"/>
                    <w:pageBreakBefore w:val="0"/>
                    <w:kinsoku/>
                    <w:wordWrap/>
                    <w:overflowPunct/>
                    <w:autoSpaceDE/>
                    <w:autoSpaceDN/>
                    <w:bidi w:val="0"/>
                    <w:spacing w:line="240" w:lineRule="auto"/>
                    <w:jc w:val="center"/>
                    <w:textAlignment w:val="auto"/>
                    <w:rPr>
                      <w:rFonts w:hint="default" w:ascii="Times New Roman" w:hAnsi="Times New Roman" w:cs="Times New Roman"/>
                      <w:b w:val="0"/>
                      <w:bCs w:val="0"/>
                      <w:color w:val="auto"/>
                      <w:sz w:val="21"/>
                      <w:szCs w:val="21"/>
                      <w:u w:val="none"/>
                    </w:rPr>
                  </w:pPr>
                  <w:r>
                    <w:rPr>
                      <w:rFonts w:hint="default" w:ascii="Times New Roman" w:hAnsi="Times New Roman" w:cs="Times New Roman"/>
                      <w:b w:val="0"/>
                      <w:bCs w:val="0"/>
                      <w:color w:val="auto"/>
                      <w:sz w:val="21"/>
                      <w:szCs w:val="21"/>
                      <w:u w:val="none"/>
                      <w:lang w:val="en-US" w:eastAsia="zh-CN"/>
                    </w:rPr>
                    <w:t>3</w:t>
                  </w:r>
                  <w:r>
                    <w:rPr>
                      <w:rFonts w:hint="default" w:ascii="Times New Roman" w:hAnsi="Times New Roman" w:cs="Times New Roman"/>
                      <w:b w:val="0"/>
                      <w:bCs w:val="0"/>
                      <w:color w:val="auto"/>
                      <w:sz w:val="21"/>
                      <w:szCs w:val="21"/>
                      <w:u w:val="none"/>
                    </w:rPr>
                    <w:t>个月</w:t>
                  </w:r>
                </w:p>
              </w:tc>
            </w:tr>
            <w:tr w14:paraId="74175A0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432" w:type="dxa"/>
                  <w:tcBorders>
                    <w:tl2br w:val="nil"/>
                    <w:tr2bl w:val="nil"/>
                  </w:tcBorders>
                  <w:vAlign w:val="center"/>
                </w:tcPr>
                <w:p w14:paraId="01C76588">
                  <w:pPr>
                    <w:keepNext w:val="0"/>
                    <w:keepLines w:val="0"/>
                    <w:pageBreakBefore w:val="0"/>
                    <w:kinsoku/>
                    <w:wordWrap/>
                    <w:overflowPunct/>
                    <w:autoSpaceDE/>
                    <w:autoSpaceDN/>
                    <w:bidi w:val="0"/>
                    <w:spacing w:line="240" w:lineRule="auto"/>
                    <w:jc w:val="center"/>
                    <w:textAlignment w:val="auto"/>
                    <w:rPr>
                      <w:rFonts w:hint="eastAsia" w:ascii="Times New Roman" w:hAnsi="Times New Roman" w:eastAsia="宋体"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2</w:t>
                  </w:r>
                </w:p>
              </w:tc>
              <w:tc>
                <w:tcPr>
                  <w:tcW w:w="1026" w:type="dxa"/>
                  <w:vMerge w:val="continue"/>
                  <w:tcBorders>
                    <w:tl2br w:val="nil"/>
                    <w:tr2bl w:val="nil"/>
                  </w:tcBorders>
                  <w:vAlign w:val="center"/>
                </w:tcPr>
                <w:p w14:paraId="121EBE6D">
                  <w:pPr>
                    <w:keepNext w:val="0"/>
                    <w:keepLines w:val="0"/>
                    <w:pageBreakBefore w:val="0"/>
                    <w:kinsoku/>
                    <w:wordWrap/>
                    <w:overflowPunct/>
                    <w:autoSpaceDE/>
                    <w:autoSpaceDN/>
                    <w:bidi w:val="0"/>
                    <w:spacing w:line="240" w:lineRule="auto"/>
                    <w:jc w:val="center"/>
                    <w:textAlignment w:val="auto"/>
                    <w:rPr>
                      <w:rFonts w:hint="default" w:ascii="Times New Roman" w:hAnsi="Times New Roman" w:cs="Times New Roman"/>
                      <w:b w:val="0"/>
                      <w:bCs w:val="0"/>
                      <w:color w:val="auto"/>
                      <w:sz w:val="21"/>
                      <w:szCs w:val="21"/>
                      <w:u w:val="none"/>
                    </w:rPr>
                  </w:pPr>
                </w:p>
              </w:tc>
              <w:tc>
                <w:tcPr>
                  <w:tcW w:w="969" w:type="dxa"/>
                  <w:tcBorders>
                    <w:tl2br w:val="nil"/>
                    <w:tr2bl w:val="nil"/>
                  </w:tcBorders>
                  <w:vAlign w:val="center"/>
                </w:tcPr>
                <w:p w14:paraId="387D58AC">
                  <w:pPr>
                    <w:pStyle w:val="79"/>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eastAsia"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废</w:t>
                  </w:r>
                  <w:r>
                    <w:rPr>
                      <w:rFonts w:hint="eastAsia" w:cs="Times New Roman"/>
                      <w:color w:val="auto"/>
                      <w:sz w:val="21"/>
                      <w:szCs w:val="21"/>
                      <w:u w:val="none"/>
                      <w:lang w:val="en-US" w:eastAsia="zh-CN"/>
                    </w:rPr>
                    <w:t>包</w:t>
                  </w:r>
                </w:p>
                <w:p w14:paraId="7509A631">
                  <w:pPr>
                    <w:pStyle w:val="79"/>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装</w:t>
                  </w:r>
                  <w:r>
                    <w:rPr>
                      <w:rFonts w:hint="eastAsia" w:ascii="Times New Roman" w:hAnsi="Times New Roman" w:eastAsia="宋体" w:cs="Times New Roman"/>
                      <w:color w:val="auto"/>
                      <w:sz w:val="21"/>
                      <w:szCs w:val="21"/>
                      <w:u w:val="none"/>
                      <w:lang w:val="en-US" w:eastAsia="zh-CN"/>
                    </w:rPr>
                    <w:t>桶</w:t>
                  </w:r>
                </w:p>
              </w:tc>
              <w:tc>
                <w:tcPr>
                  <w:tcW w:w="823" w:type="dxa"/>
                  <w:tcBorders>
                    <w:tl2br w:val="nil"/>
                    <w:tr2bl w:val="nil"/>
                  </w:tcBorders>
                  <w:vAlign w:val="center"/>
                </w:tcPr>
                <w:p w14:paraId="335A834D">
                  <w:pPr>
                    <w:keepNext w:val="0"/>
                    <w:keepLines w:val="0"/>
                    <w:pageBreakBefore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u w:val="none"/>
                    </w:rPr>
                  </w:pPr>
                  <w:r>
                    <w:rPr>
                      <w:rFonts w:hint="default" w:ascii="Times New Roman" w:hAnsi="Times New Roman" w:eastAsia="宋体" w:cs="Times New Roman"/>
                      <w:color w:val="auto"/>
                      <w:sz w:val="21"/>
                      <w:szCs w:val="21"/>
                      <w:u w:val="none"/>
                      <w:lang w:val="en-US" w:eastAsia="zh-CN"/>
                    </w:rPr>
                    <w:t>HW</w:t>
                  </w:r>
                  <w:r>
                    <w:rPr>
                      <w:rFonts w:hint="eastAsia" w:ascii="Times New Roman" w:hAnsi="Times New Roman" w:eastAsia="宋体" w:cs="Times New Roman"/>
                      <w:color w:val="auto"/>
                      <w:sz w:val="21"/>
                      <w:szCs w:val="21"/>
                      <w:u w:val="none"/>
                      <w:lang w:val="en-US" w:eastAsia="zh-CN"/>
                    </w:rPr>
                    <w:t>49</w:t>
                  </w:r>
                </w:p>
              </w:tc>
              <w:tc>
                <w:tcPr>
                  <w:tcW w:w="1233" w:type="dxa"/>
                  <w:tcBorders>
                    <w:tl2br w:val="nil"/>
                    <w:tr2bl w:val="nil"/>
                  </w:tcBorders>
                  <w:vAlign w:val="center"/>
                </w:tcPr>
                <w:p w14:paraId="7C8B518E">
                  <w:pPr>
                    <w:keepNext w:val="0"/>
                    <w:keepLines w:val="0"/>
                    <w:pageBreakBefore w:val="0"/>
                    <w:kinsoku/>
                    <w:wordWrap/>
                    <w:overflowPunct/>
                    <w:topLinePunct/>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lang w:val="en-US" w:eastAsia="zh-CN"/>
                    </w:rPr>
                    <w:t xml:space="preserve">900-041-49 </w:t>
                  </w:r>
                </w:p>
              </w:tc>
              <w:tc>
                <w:tcPr>
                  <w:tcW w:w="679" w:type="dxa"/>
                  <w:tcBorders>
                    <w:tl2br w:val="nil"/>
                    <w:tr2bl w:val="nil"/>
                  </w:tcBorders>
                  <w:vAlign w:val="center"/>
                </w:tcPr>
                <w:p w14:paraId="6006ACF7">
                  <w:pPr>
                    <w:keepNext w:val="0"/>
                    <w:keepLines w:val="0"/>
                    <w:pageBreakBefore w:val="0"/>
                    <w:kinsoku/>
                    <w:wordWrap/>
                    <w:overflowPunct/>
                    <w:autoSpaceDE/>
                    <w:autoSpaceDN/>
                    <w:bidi w:val="0"/>
                    <w:spacing w:line="240" w:lineRule="auto"/>
                    <w:jc w:val="center"/>
                    <w:textAlignment w:val="auto"/>
                    <w:rPr>
                      <w:rFonts w:hint="eastAsia" w:ascii="Times New Roman" w:hAnsi="Times New Roman" w:cs="Times New Roman"/>
                      <w:b w:val="0"/>
                      <w:bCs w:val="0"/>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危废间</w:t>
                  </w:r>
                </w:p>
              </w:tc>
              <w:tc>
                <w:tcPr>
                  <w:tcW w:w="892" w:type="dxa"/>
                  <w:tcBorders>
                    <w:tl2br w:val="nil"/>
                    <w:tr2bl w:val="nil"/>
                  </w:tcBorders>
                  <w:vAlign w:val="center"/>
                </w:tcPr>
                <w:p w14:paraId="43BFD624">
                  <w:pPr>
                    <w:keepNext w:val="0"/>
                    <w:keepLines w:val="0"/>
                    <w:pageBreakBefore w:val="0"/>
                    <w:kinsoku/>
                    <w:wordWrap/>
                    <w:overflowPunct/>
                    <w:autoSpaceDE/>
                    <w:autoSpaceDN/>
                    <w:bidi w:val="0"/>
                    <w:spacing w:line="240" w:lineRule="auto"/>
                    <w:jc w:val="center"/>
                    <w:textAlignment w:val="auto"/>
                    <w:rPr>
                      <w:rFonts w:hint="eastAsia"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4</w:t>
                  </w:r>
                </w:p>
              </w:tc>
              <w:tc>
                <w:tcPr>
                  <w:tcW w:w="753" w:type="dxa"/>
                  <w:tcBorders>
                    <w:tl2br w:val="nil"/>
                    <w:tr2bl w:val="nil"/>
                  </w:tcBorders>
                  <w:vAlign w:val="center"/>
                </w:tcPr>
                <w:p w14:paraId="61ABCA5C">
                  <w:pPr>
                    <w:keepNext w:val="0"/>
                    <w:keepLines w:val="0"/>
                    <w:pageBreakBefore w:val="0"/>
                    <w:kinsoku/>
                    <w:wordWrap/>
                    <w:overflowPunct/>
                    <w:autoSpaceDE/>
                    <w:autoSpaceDN/>
                    <w:bidi w:val="0"/>
                    <w:spacing w:line="240" w:lineRule="auto"/>
                    <w:jc w:val="center"/>
                    <w:textAlignment w:val="auto"/>
                    <w:rPr>
                      <w:rFonts w:hint="default" w:ascii="Times New Roman" w:hAnsi="Times New Roman" w:cs="Times New Roman"/>
                      <w:b w:val="0"/>
                      <w:bCs w:val="0"/>
                      <w:color w:val="auto"/>
                      <w:sz w:val="21"/>
                      <w:szCs w:val="21"/>
                      <w:u w:val="none"/>
                    </w:rPr>
                  </w:pPr>
                  <w:r>
                    <w:rPr>
                      <w:rFonts w:hint="eastAsia" w:cs="Times New Roman"/>
                      <w:b w:val="0"/>
                      <w:bCs w:val="0"/>
                      <w:color w:val="auto"/>
                      <w:sz w:val="21"/>
                      <w:szCs w:val="21"/>
                      <w:u w:val="none"/>
                      <w:lang w:val="en-US" w:eastAsia="zh-CN"/>
                    </w:rPr>
                    <w:t>托盘之上</w:t>
                  </w:r>
                </w:p>
              </w:tc>
              <w:tc>
                <w:tcPr>
                  <w:tcW w:w="835" w:type="dxa"/>
                  <w:tcBorders>
                    <w:tl2br w:val="nil"/>
                    <w:tr2bl w:val="nil"/>
                  </w:tcBorders>
                  <w:vAlign w:val="center"/>
                </w:tcPr>
                <w:p w14:paraId="3154FD0F">
                  <w:pPr>
                    <w:keepNext w:val="0"/>
                    <w:keepLines w:val="0"/>
                    <w:pageBreakBefore w:val="0"/>
                    <w:kinsoku/>
                    <w:wordWrap/>
                    <w:overflowPunct/>
                    <w:autoSpaceDE/>
                    <w:autoSpaceDN/>
                    <w:bidi w:val="0"/>
                    <w:spacing w:line="240" w:lineRule="auto"/>
                    <w:jc w:val="center"/>
                    <w:textAlignment w:val="auto"/>
                    <w:rPr>
                      <w:rFonts w:hint="eastAsia"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0.12</w:t>
                  </w:r>
                  <w:r>
                    <w:rPr>
                      <w:rFonts w:hint="default" w:ascii="Times New Roman" w:hAnsi="Times New Roman" w:cs="Times New Roman"/>
                      <w:b w:val="0"/>
                      <w:bCs w:val="0"/>
                      <w:color w:val="auto"/>
                      <w:sz w:val="21"/>
                      <w:szCs w:val="21"/>
                      <w:u w:val="none"/>
                    </w:rPr>
                    <w:t>t/a</w:t>
                  </w:r>
                </w:p>
              </w:tc>
              <w:tc>
                <w:tcPr>
                  <w:tcW w:w="926" w:type="dxa"/>
                  <w:tcBorders>
                    <w:tl2br w:val="nil"/>
                    <w:tr2bl w:val="nil"/>
                  </w:tcBorders>
                  <w:vAlign w:val="center"/>
                </w:tcPr>
                <w:p w14:paraId="4B1DAED6">
                  <w:pPr>
                    <w:keepNext w:val="0"/>
                    <w:keepLines w:val="0"/>
                    <w:pageBreakBefore w:val="0"/>
                    <w:kinsoku/>
                    <w:wordWrap/>
                    <w:overflowPunct/>
                    <w:autoSpaceDE/>
                    <w:autoSpaceDN/>
                    <w:bidi w:val="0"/>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default" w:ascii="Times New Roman" w:hAnsi="Times New Roman" w:cs="Times New Roman"/>
                      <w:b w:val="0"/>
                      <w:bCs w:val="0"/>
                      <w:color w:val="auto"/>
                      <w:sz w:val="21"/>
                      <w:szCs w:val="21"/>
                      <w:u w:val="none"/>
                      <w:lang w:val="en-US" w:eastAsia="zh-CN"/>
                    </w:rPr>
                    <w:t>3</w:t>
                  </w:r>
                  <w:r>
                    <w:rPr>
                      <w:rFonts w:hint="default" w:ascii="Times New Roman" w:hAnsi="Times New Roman" w:cs="Times New Roman"/>
                      <w:b w:val="0"/>
                      <w:bCs w:val="0"/>
                      <w:color w:val="auto"/>
                      <w:sz w:val="21"/>
                      <w:szCs w:val="21"/>
                      <w:u w:val="none"/>
                    </w:rPr>
                    <w:t>个月</w:t>
                  </w:r>
                </w:p>
              </w:tc>
            </w:tr>
          </w:tbl>
          <w:p w14:paraId="73D77161">
            <w:pPr>
              <w:adjustRightInd w:val="0"/>
              <w:snapToGrid w:val="0"/>
              <w:spacing w:line="520" w:lineRule="exact"/>
              <w:ind w:firstLine="482" w:firstLineChars="200"/>
              <w:rPr>
                <w:rFonts w:hint="default" w:ascii="Times New Roman" w:hAnsi="Times New Roman" w:cs="Times New Roman"/>
                <w:b/>
                <w:bCs/>
                <w:color w:val="auto"/>
                <w:sz w:val="24"/>
                <w:szCs w:val="24"/>
                <w:u w:val="none"/>
              </w:rPr>
            </w:pPr>
            <w:r>
              <w:rPr>
                <w:rFonts w:hint="eastAsia" w:cs="Times New Roman"/>
                <w:b/>
                <w:bCs/>
                <w:color w:val="auto"/>
                <w:sz w:val="24"/>
                <w:szCs w:val="24"/>
                <w:u w:val="none"/>
                <w:lang w:val="en-US" w:eastAsia="zh-CN"/>
              </w:rPr>
              <w:t>4</w:t>
            </w:r>
            <w:r>
              <w:rPr>
                <w:rFonts w:hint="eastAsia" w:ascii="Times New Roman" w:hAnsi="Times New Roman" w:cs="Times New Roman"/>
                <w:b/>
                <w:bCs/>
                <w:color w:val="auto"/>
                <w:sz w:val="24"/>
                <w:szCs w:val="24"/>
                <w:u w:val="none"/>
                <w:lang w:val="en-US" w:eastAsia="zh-CN"/>
              </w:rPr>
              <w:t>.6</w:t>
            </w:r>
            <w:r>
              <w:rPr>
                <w:rFonts w:hint="default" w:ascii="Times New Roman" w:hAnsi="Times New Roman" w:cs="Times New Roman"/>
                <w:b/>
                <w:bCs/>
                <w:color w:val="auto"/>
                <w:sz w:val="24"/>
                <w:szCs w:val="24"/>
                <w:u w:val="none"/>
              </w:rPr>
              <w:t>固体废物防治措施及运营期管理要求</w:t>
            </w:r>
          </w:p>
          <w:p w14:paraId="56AB1640">
            <w:pPr>
              <w:spacing w:line="520" w:lineRule="exact"/>
              <w:ind w:firstLine="480" w:firstLineChars="200"/>
              <w:jc w:val="left"/>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根据河南省环保厅发布的《河南省危险废物规范化管理工作指南（试行）》要求，所有危险废物产生和经营单位应建造专用危险废物贮存设施，贮存设施应当符合</w:t>
            </w:r>
            <w:r>
              <w:rPr>
                <w:rFonts w:hint="eastAsia" w:ascii="Times New Roman" w:hAnsi="Times New Roman" w:cs="Times New Roman"/>
                <w:color w:val="auto"/>
                <w:sz w:val="24"/>
                <w:szCs w:val="24"/>
                <w:u w:val="none"/>
                <w:lang w:eastAsia="zh-CN"/>
              </w:rPr>
              <w:t>《危险废物贮存污染控制标准》（GB 18597-2023）</w:t>
            </w:r>
            <w:r>
              <w:rPr>
                <w:rFonts w:hint="default" w:ascii="Times New Roman" w:hAnsi="Times New Roman" w:cs="Times New Roman"/>
                <w:color w:val="auto"/>
                <w:sz w:val="24"/>
                <w:szCs w:val="24"/>
                <w:u w:val="none"/>
              </w:rPr>
              <w:t>的要求。本项目拟在</w:t>
            </w:r>
            <w:r>
              <w:rPr>
                <w:rFonts w:hint="eastAsia" w:ascii="Times New Roman" w:hAnsi="Times New Roman" w:cs="Times New Roman"/>
                <w:color w:val="auto"/>
                <w:sz w:val="24"/>
                <w:szCs w:val="24"/>
                <w:u w:val="none"/>
                <w:lang w:val="en-US" w:eastAsia="zh-CN"/>
              </w:rPr>
              <w:t>站区</w:t>
            </w:r>
            <w:r>
              <w:rPr>
                <w:rFonts w:hint="default" w:ascii="Times New Roman" w:hAnsi="Times New Roman" w:cs="Times New Roman"/>
                <w:color w:val="auto"/>
                <w:sz w:val="24"/>
                <w:szCs w:val="24"/>
                <w:u w:val="none"/>
              </w:rPr>
              <w:t>内设置一座危险废物暂存间（面积</w:t>
            </w:r>
            <w:r>
              <w:rPr>
                <w:rFonts w:hint="eastAsia" w:ascii="Times New Roman" w:hAnsi="Times New Roman" w:cs="Times New Roman"/>
                <w:color w:val="auto"/>
                <w:sz w:val="24"/>
                <w:szCs w:val="24"/>
                <w:u w:val="none"/>
                <w:lang w:val="en-US" w:eastAsia="zh-CN"/>
              </w:rPr>
              <w:t>约1</w:t>
            </w:r>
            <w:r>
              <w:rPr>
                <w:rFonts w:hint="eastAsia" w:cs="Times New Roman"/>
                <w:color w:val="auto"/>
                <w:sz w:val="24"/>
                <w:szCs w:val="24"/>
                <w:u w:val="none"/>
                <w:lang w:val="en-US" w:eastAsia="zh-CN"/>
              </w:rPr>
              <w:t>5</w:t>
            </w:r>
            <w:r>
              <w:rPr>
                <w:rFonts w:hint="eastAsia" w:ascii="Times New Roman" w:hAnsi="Times New Roman" w:cs="Times New Roman"/>
                <w:color w:val="auto"/>
                <w:sz w:val="24"/>
                <w:szCs w:val="24"/>
                <w:u w:val="none"/>
                <w:lang w:val="en-US" w:eastAsia="zh-CN"/>
              </w:rPr>
              <w:t>m</w:t>
            </w:r>
            <w:r>
              <w:rPr>
                <w:rFonts w:hint="default" w:ascii="Times New Roman" w:hAnsi="Times New Roman" w:cs="Times New Roman"/>
                <w:color w:val="auto"/>
                <w:sz w:val="24"/>
                <w:szCs w:val="24"/>
                <w:u w:val="none"/>
                <w:vertAlign w:val="superscript"/>
              </w:rPr>
              <w:t>2</w:t>
            </w:r>
            <w:r>
              <w:rPr>
                <w:rFonts w:hint="default" w:ascii="Times New Roman" w:hAnsi="Times New Roman" w:cs="Times New Roman"/>
                <w:color w:val="auto"/>
                <w:sz w:val="24"/>
                <w:szCs w:val="24"/>
                <w:u w:val="none"/>
              </w:rPr>
              <w:t>）。本次环评针对危险废物贮存提出以下管理及防治措施：</w:t>
            </w:r>
          </w:p>
          <w:p w14:paraId="4726A4E9">
            <w:pPr>
              <w:spacing w:line="520" w:lineRule="exact"/>
              <w:ind w:firstLine="480" w:firstLineChars="200"/>
              <w:jc w:val="left"/>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①建设完善的管理制度</w:t>
            </w:r>
          </w:p>
          <w:p w14:paraId="5A4EB4DD">
            <w:pPr>
              <w:spacing w:line="520" w:lineRule="exact"/>
              <w:ind w:firstLine="480" w:firstLineChars="200"/>
              <w:jc w:val="left"/>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危险废物暂存间设置明显的警示标志，四周设置</w:t>
            </w:r>
            <w:r>
              <w:rPr>
                <w:rFonts w:hint="eastAsia" w:cs="Times New Roman"/>
                <w:color w:val="auto"/>
                <w:sz w:val="24"/>
                <w:szCs w:val="24"/>
                <w:u w:val="none"/>
                <w:lang w:val="en-US" w:eastAsia="zh-CN"/>
              </w:rPr>
              <w:t>导流沟</w:t>
            </w:r>
            <w:r>
              <w:rPr>
                <w:rFonts w:hint="default" w:ascii="Times New Roman" w:hAnsi="Times New Roman" w:cs="Times New Roman"/>
                <w:color w:val="auto"/>
                <w:sz w:val="24"/>
                <w:szCs w:val="24"/>
                <w:u w:val="none"/>
              </w:rPr>
              <w:t>，同时设置专人进行管理，制定有关危险废物管理制度，记录危险废物的产生、储存及处置情况。</w:t>
            </w:r>
          </w:p>
          <w:p w14:paraId="2462472C">
            <w:pPr>
              <w:spacing w:line="520" w:lineRule="exact"/>
              <w:ind w:firstLine="480" w:firstLineChars="200"/>
              <w:jc w:val="left"/>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②危险废物贮存设施的建设要求</w:t>
            </w:r>
          </w:p>
          <w:p w14:paraId="01CDF5B9">
            <w:pPr>
              <w:spacing w:line="520" w:lineRule="exact"/>
              <w:ind w:firstLine="480" w:firstLineChars="200"/>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厂区危险废物暂存间的设置应按照</w:t>
            </w:r>
            <w:r>
              <w:rPr>
                <w:rFonts w:hint="eastAsia" w:ascii="Times New Roman" w:hAnsi="Times New Roman" w:cs="Times New Roman"/>
                <w:color w:val="auto"/>
                <w:sz w:val="24"/>
                <w:szCs w:val="24"/>
                <w:u w:val="none"/>
                <w:lang w:eastAsia="zh-CN"/>
              </w:rPr>
              <w:t>《危险废物贮存污染控制标准》（GB 18597-2023）</w:t>
            </w:r>
            <w:r>
              <w:rPr>
                <w:rFonts w:hint="default" w:ascii="Times New Roman" w:hAnsi="Times New Roman" w:cs="Times New Roman"/>
                <w:color w:val="auto"/>
                <w:sz w:val="24"/>
                <w:szCs w:val="24"/>
                <w:u w:val="none"/>
              </w:rPr>
              <w:t>的要求实施。具体要求为：</w:t>
            </w:r>
          </w:p>
          <w:p w14:paraId="033ED5FE">
            <w:pPr>
              <w:keepNext w:val="0"/>
              <w:keepLines w:val="0"/>
              <w:pageBreakBefore w:val="0"/>
              <w:widowControl w:val="0"/>
              <w:kinsoku/>
              <w:wordWrap/>
              <w:overflowPunct/>
              <w:topLinePunct w:val="0"/>
              <w:autoSpaceDE/>
              <w:autoSpaceDN/>
              <w:bidi w:val="0"/>
              <w:spacing w:line="500" w:lineRule="exact"/>
              <w:ind w:firstLine="480" w:firstLineChars="200"/>
              <w:jc w:val="lef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val="en-US" w:eastAsia="zh-CN"/>
              </w:rPr>
              <w:t>A：</w:t>
            </w:r>
            <w:r>
              <w:rPr>
                <w:rFonts w:hint="default" w:ascii="Times New Roman" w:hAnsi="Times New Roman" w:eastAsia="宋体" w:cs="Times New Roman"/>
                <w:color w:val="auto"/>
                <w:sz w:val="24"/>
                <w:szCs w:val="24"/>
                <w:u w:val="none"/>
              </w:rPr>
              <w:t>贮存设施应根据危险废物的形态、物理化学性质、包装形式和污染物迁移途径，采取必要的防风、防晒、防雨、防漏、防渗、防腐以及其他环境污染防治措施，不应露天堆放危险废物。</w:t>
            </w:r>
          </w:p>
          <w:p w14:paraId="5D6F1397">
            <w:pPr>
              <w:keepNext w:val="0"/>
              <w:keepLines w:val="0"/>
              <w:pageBreakBefore w:val="0"/>
              <w:widowControl w:val="0"/>
              <w:kinsoku/>
              <w:wordWrap/>
              <w:overflowPunct/>
              <w:topLinePunct w:val="0"/>
              <w:autoSpaceDE/>
              <w:autoSpaceDN/>
              <w:bidi w:val="0"/>
              <w:spacing w:line="500" w:lineRule="exact"/>
              <w:ind w:firstLine="480" w:firstLineChars="200"/>
              <w:jc w:val="lef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val="en-US" w:eastAsia="zh-CN"/>
              </w:rPr>
              <w:t>B：</w:t>
            </w:r>
            <w:r>
              <w:rPr>
                <w:rFonts w:hint="default" w:ascii="Times New Roman" w:hAnsi="Times New Roman" w:eastAsia="宋体" w:cs="Times New Roman"/>
                <w:color w:val="auto"/>
                <w:sz w:val="24"/>
                <w:szCs w:val="24"/>
                <w:u w:val="none"/>
              </w:rPr>
              <w:t>贮存设施应根据危险废物的类别、数量、形态、物理化学性质和污染防治等要求设置必要的贮存分区，避免不相容的危险废物接触、混合。</w:t>
            </w:r>
          </w:p>
          <w:p w14:paraId="50A49051">
            <w:pPr>
              <w:keepNext w:val="0"/>
              <w:keepLines w:val="0"/>
              <w:pageBreakBefore w:val="0"/>
              <w:widowControl w:val="0"/>
              <w:kinsoku/>
              <w:wordWrap/>
              <w:overflowPunct/>
              <w:topLinePunct w:val="0"/>
              <w:autoSpaceDE/>
              <w:autoSpaceDN/>
              <w:bidi w:val="0"/>
              <w:spacing w:line="500" w:lineRule="exact"/>
              <w:ind w:firstLine="480" w:firstLineChars="200"/>
              <w:jc w:val="lef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val="en-US" w:eastAsia="zh-CN"/>
              </w:rPr>
              <w:t>C：</w:t>
            </w:r>
            <w:r>
              <w:rPr>
                <w:rFonts w:hint="default" w:ascii="Times New Roman" w:hAnsi="Times New Roman" w:eastAsia="宋体" w:cs="Times New Roman"/>
                <w:color w:val="auto"/>
                <w:sz w:val="24"/>
                <w:szCs w:val="24"/>
                <w:u w:val="none"/>
              </w:rPr>
              <w:t>贮存设施或贮存分区内地面、墙面裙脚、接触危险废物的隔板和墙体等应采用坚固的材料建造，表面无裂缝。</w:t>
            </w:r>
          </w:p>
          <w:p w14:paraId="2E6564C5">
            <w:pPr>
              <w:keepNext w:val="0"/>
              <w:keepLines w:val="0"/>
              <w:pageBreakBefore w:val="0"/>
              <w:widowControl w:val="0"/>
              <w:kinsoku/>
              <w:wordWrap/>
              <w:overflowPunct/>
              <w:topLinePunct w:val="0"/>
              <w:autoSpaceDE/>
              <w:autoSpaceDN/>
              <w:bidi w:val="0"/>
              <w:spacing w:line="500" w:lineRule="exact"/>
              <w:ind w:firstLine="480" w:firstLineChars="200"/>
              <w:jc w:val="lef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val="en-US" w:eastAsia="zh-CN"/>
              </w:rPr>
              <w:t>D：</w:t>
            </w:r>
            <w:r>
              <w:rPr>
                <w:rFonts w:hint="default" w:ascii="Times New Roman" w:hAnsi="Times New Roman" w:eastAsia="宋体" w:cs="Times New Roman"/>
                <w:color w:val="auto"/>
                <w:sz w:val="24"/>
                <w:szCs w:val="24"/>
                <w:u w:val="none"/>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w:t>
            </w:r>
            <w:r>
              <w:rPr>
                <w:rFonts w:hint="default" w:ascii="Times New Roman" w:hAnsi="Times New Roman" w:cs="Times New Roman"/>
                <w:color w:val="auto"/>
                <w:sz w:val="24"/>
                <w:szCs w:val="24"/>
                <w:u w:val="none"/>
                <w:lang w:val="en-US" w:eastAsia="zh-CN"/>
              </w:rPr>
              <w:t>1</w:t>
            </w:r>
            <w:r>
              <w:rPr>
                <w:rFonts w:hint="default" w:ascii="Times New Roman" w:hAnsi="Times New Roman" w:eastAsia="宋体" w:cs="Times New Roman"/>
                <w:color w:val="auto"/>
                <w:sz w:val="24"/>
                <w:szCs w:val="24"/>
                <w:u w:val="none"/>
              </w:rPr>
              <w:t>m厚黏土层（渗透系数不大于10</w:t>
            </w:r>
            <w:r>
              <w:rPr>
                <w:rFonts w:hint="default" w:ascii="Times New Roman" w:hAnsi="Times New Roman" w:eastAsia="宋体" w:cs="Times New Roman"/>
                <w:color w:val="auto"/>
                <w:sz w:val="24"/>
                <w:szCs w:val="24"/>
                <w:u w:val="none"/>
                <w:vertAlign w:val="superscript"/>
              </w:rPr>
              <w:t>-7</w:t>
            </w:r>
            <w:r>
              <w:rPr>
                <w:rFonts w:hint="default" w:ascii="Times New Roman" w:hAnsi="Times New Roman" w:eastAsia="宋体" w:cs="Times New Roman"/>
                <w:color w:val="auto"/>
                <w:sz w:val="24"/>
                <w:szCs w:val="24"/>
                <w:u w:val="none"/>
              </w:rPr>
              <w:t>cm/s），或至少2mm厚高密度聚乙烯膜等人工防渗材料（渗透系数不大于10</w:t>
            </w:r>
            <w:r>
              <w:rPr>
                <w:rFonts w:hint="default" w:ascii="Times New Roman" w:hAnsi="Times New Roman" w:eastAsia="宋体" w:cs="Times New Roman"/>
                <w:color w:val="auto"/>
                <w:sz w:val="24"/>
                <w:szCs w:val="24"/>
                <w:u w:val="none"/>
                <w:vertAlign w:val="superscript"/>
              </w:rPr>
              <w:t>-10</w:t>
            </w:r>
            <w:r>
              <w:rPr>
                <w:rFonts w:hint="default" w:ascii="Times New Roman" w:hAnsi="Times New Roman" w:eastAsia="宋体" w:cs="Times New Roman"/>
                <w:color w:val="auto"/>
                <w:sz w:val="24"/>
                <w:szCs w:val="24"/>
                <w:u w:val="none"/>
              </w:rPr>
              <w:t>cm/s），或其他防渗性能等效的材料。</w:t>
            </w:r>
          </w:p>
          <w:p w14:paraId="3C455114">
            <w:pPr>
              <w:keepNext w:val="0"/>
              <w:keepLines w:val="0"/>
              <w:pageBreakBefore w:val="0"/>
              <w:widowControl w:val="0"/>
              <w:kinsoku/>
              <w:wordWrap/>
              <w:overflowPunct/>
              <w:topLinePunct w:val="0"/>
              <w:autoSpaceDE/>
              <w:autoSpaceDN/>
              <w:bidi w:val="0"/>
              <w:spacing w:line="500" w:lineRule="exact"/>
              <w:ind w:firstLine="480" w:firstLineChars="200"/>
              <w:jc w:val="lef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val="en-US" w:eastAsia="zh-CN"/>
              </w:rPr>
              <w:t>E：</w:t>
            </w:r>
            <w:r>
              <w:rPr>
                <w:rFonts w:hint="default" w:ascii="Times New Roman" w:hAnsi="Times New Roman" w:eastAsia="宋体" w:cs="Times New Roman"/>
                <w:color w:val="auto"/>
                <w:sz w:val="24"/>
                <w:szCs w:val="24"/>
                <w:u w:val="none"/>
              </w:rPr>
              <w:t>同一贮存设施宜采用相同的防渗、防腐工艺（包括防渗、防腐结构或材料），防渗、防腐材料应覆盖所有可能与废物及其渗滤液、渗漏液等接触的构筑物表面；采用不同防渗、防腐工艺应分别建设贮存分区。</w:t>
            </w:r>
          </w:p>
          <w:p w14:paraId="2A9C8D30">
            <w:pPr>
              <w:keepNext w:val="0"/>
              <w:keepLines w:val="0"/>
              <w:pageBreakBefore w:val="0"/>
              <w:widowControl w:val="0"/>
              <w:kinsoku/>
              <w:wordWrap/>
              <w:overflowPunct/>
              <w:topLinePunct w:val="0"/>
              <w:autoSpaceDE/>
              <w:autoSpaceDN/>
              <w:bidi w:val="0"/>
              <w:spacing w:line="500" w:lineRule="exact"/>
              <w:ind w:firstLine="480" w:firstLineChars="200"/>
              <w:jc w:val="left"/>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val="en-US" w:eastAsia="zh-CN"/>
              </w:rPr>
              <w:t>F：</w:t>
            </w:r>
            <w:r>
              <w:rPr>
                <w:rFonts w:hint="default" w:ascii="Times New Roman" w:hAnsi="Times New Roman" w:eastAsia="宋体" w:cs="Times New Roman"/>
                <w:color w:val="auto"/>
                <w:sz w:val="24"/>
                <w:szCs w:val="24"/>
                <w:u w:val="none"/>
              </w:rPr>
              <w:t>贮存设施应采取技术和管理措施防止无关人员进入。</w:t>
            </w:r>
          </w:p>
          <w:p w14:paraId="0659468F">
            <w:pPr>
              <w:keepNext w:val="0"/>
              <w:keepLines w:val="0"/>
              <w:pageBreakBefore w:val="0"/>
              <w:widowControl w:val="0"/>
              <w:kinsoku/>
              <w:wordWrap/>
              <w:overflowPunct/>
              <w:topLinePunct w:val="0"/>
              <w:autoSpaceDE/>
              <w:autoSpaceDN/>
              <w:bidi w:val="0"/>
              <w:spacing w:line="500" w:lineRule="exact"/>
              <w:ind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③危险废物贮存容器的相关要求</w:t>
            </w:r>
          </w:p>
          <w:p w14:paraId="307E3386">
            <w:pPr>
              <w:keepNext w:val="0"/>
              <w:keepLines w:val="0"/>
              <w:pageBreakBefore w:val="0"/>
              <w:widowControl w:val="0"/>
              <w:kinsoku/>
              <w:wordWrap/>
              <w:overflowPunct/>
              <w:topLinePunct w:val="0"/>
              <w:autoSpaceDE/>
              <w:autoSpaceDN/>
              <w:bidi w:val="0"/>
              <w:spacing w:line="500" w:lineRule="exact"/>
              <w:ind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A：</w:t>
            </w:r>
            <w:r>
              <w:rPr>
                <w:rFonts w:hint="default" w:ascii="Times New Roman" w:hAnsi="Times New Roman" w:cs="Times New Roman"/>
                <w:color w:val="auto"/>
                <w:sz w:val="24"/>
                <w:szCs w:val="24"/>
                <w:u w:val="none"/>
              </w:rPr>
              <w:t>容器和包装物材质、内衬应与盛装的危险废物相容。</w:t>
            </w:r>
          </w:p>
          <w:p w14:paraId="0A767435">
            <w:pPr>
              <w:keepNext w:val="0"/>
              <w:keepLines w:val="0"/>
              <w:pageBreakBefore w:val="0"/>
              <w:widowControl w:val="0"/>
              <w:kinsoku/>
              <w:wordWrap/>
              <w:overflowPunct/>
              <w:topLinePunct w:val="0"/>
              <w:autoSpaceDE/>
              <w:autoSpaceDN/>
              <w:bidi w:val="0"/>
              <w:spacing w:line="500" w:lineRule="exact"/>
              <w:ind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B：</w:t>
            </w:r>
            <w:r>
              <w:rPr>
                <w:rFonts w:hint="default" w:ascii="Times New Roman" w:hAnsi="Times New Roman" w:cs="Times New Roman"/>
                <w:color w:val="auto"/>
                <w:sz w:val="24"/>
                <w:szCs w:val="24"/>
                <w:u w:val="none"/>
              </w:rPr>
              <w:t>针对不同类别、形态、物理化学性质的危险废物，其容器和包装物应满足相应的防渗、防漏、防腐和强度等要求。</w:t>
            </w:r>
          </w:p>
          <w:p w14:paraId="1564A48B">
            <w:pPr>
              <w:keepNext w:val="0"/>
              <w:keepLines w:val="0"/>
              <w:pageBreakBefore w:val="0"/>
              <w:widowControl w:val="0"/>
              <w:kinsoku/>
              <w:wordWrap/>
              <w:overflowPunct/>
              <w:topLinePunct w:val="0"/>
              <w:autoSpaceDE/>
              <w:autoSpaceDN/>
              <w:bidi w:val="0"/>
              <w:spacing w:line="500" w:lineRule="exact"/>
              <w:ind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C：</w:t>
            </w:r>
            <w:r>
              <w:rPr>
                <w:rFonts w:hint="default" w:ascii="Times New Roman" w:hAnsi="Times New Roman" w:cs="Times New Roman"/>
                <w:color w:val="auto"/>
                <w:sz w:val="24"/>
                <w:szCs w:val="24"/>
                <w:u w:val="none"/>
              </w:rPr>
              <w:t>硬质容器和包装物及其支护结构堆叠码放时不应有明显变形，无破损泄漏。</w:t>
            </w:r>
          </w:p>
          <w:p w14:paraId="6CAC53EA">
            <w:pPr>
              <w:keepNext w:val="0"/>
              <w:keepLines w:val="0"/>
              <w:pageBreakBefore w:val="0"/>
              <w:widowControl w:val="0"/>
              <w:kinsoku/>
              <w:wordWrap/>
              <w:overflowPunct/>
              <w:topLinePunct w:val="0"/>
              <w:autoSpaceDE/>
              <w:autoSpaceDN/>
              <w:bidi w:val="0"/>
              <w:spacing w:line="500" w:lineRule="exact"/>
              <w:ind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D：</w:t>
            </w:r>
            <w:r>
              <w:rPr>
                <w:rFonts w:hint="default" w:ascii="Times New Roman" w:hAnsi="Times New Roman" w:cs="Times New Roman"/>
                <w:color w:val="auto"/>
                <w:sz w:val="24"/>
                <w:szCs w:val="24"/>
                <w:u w:val="none"/>
              </w:rPr>
              <w:t>柔性容器和包装物堆叠码放时应封口严密，无破损泄漏。</w:t>
            </w:r>
          </w:p>
          <w:p w14:paraId="6D2F922B">
            <w:pPr>
              <w:keepNext w:val="0"/>
              <w:keepLines w:val="0"/>
              <w:pageBreakBefore w:val="0"/>
              <w:widowControl w:val="0"/>
              <w:kinsoku/>
              <w:wordWrap/>
              <w:overflowPunct/>
              <w:topLinePunct w:val="0"/>
              <w:autoSpaceDE/>
              <w:autoSpaceDN/>
              <w:bidi w:val="0"/>
              <w:spacing w:line="500" w:lineRule="exact"/>
              <w:ind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E：</w:t>
            </w:r>
            <w:r>
              <w:rPr>
                <w:rFonts w:hint="default" w:ascii="Times New Roman" w:hAnsi="Times New Roman" w:cs="Times New Roman"/>
                <w:color w:val="auto"/>
                <w:sz w:val="24"/>
                <w:szCs w:val="24"/>
                <w:u w:val="none"/>
              </w:rPr>
              <w:t>使用容器盛装液态、半固态危险废物时，容器内部应留有适当的空间，以适应因温度变化等可能引发的收缩和膨胀，防止其导致容器渗漏或永久变形。</w:t>
            </w:r>
          </w:p>
          <w:p w14:paraId="749627ED">
            <w:pPr>
              <w:keepNext w:val="0"/>
              <w:keepLines w:val="0"/>
              <w:pageBreakBefore w:val="0"/>
              <w:widowControl w:val="0"/>
              <w:kinsoku/>
              <w:wordWrap/>
              <w:overflowPunct/>
              <w:topLinePunct w:val="0"/>
              <w:autoSpaceDE/>
              <w:autoSpaceDN/>
              <w:bidi w:val="0"/>
              <w:spacing w:line="500" w:lineRule="exact"/>
              <w:ind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F：</w:t>
            </w:r>
            <w:r>
              <w:rPr>
                <w:rFonts w:hint="default" w:ascii="Times New Roman" w:hAnsi="Times New Roman" w:cs="Times New Roman"/>
                <w:color w:val="auto"/>
                <w:sz w:val="24"/>
                <w:szCs w:val="24"/>
                <w:u w:val="none"/>
              </w:rPr>
              <w:t>容器和包装物外表面应保持清洁。</w:t>
            </w:r>
          </w:p>
          <w:p w14:paraId="42AD1E74">
            <w:pPr>
              <w:keepNext w:val="0"/>
              <w:keepLines w:val="0"/>
              <w:pageBreakBefore w:val="0"/>
              <w:widowControl w:val="0"/>
              <w:kinsoku/>
              <w:wordWrap/>
              <w:overflowPunct/>
              <w:topLinePunct w:val="0"/>
              <w:autoSpaceDE/>
              <w:autoSpaceDN/>
              <w:bidi w:val="0"/>
              <w:spacing w:line="500" w:lineRule="exact"/>
              <w:ind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④危险废物贮存设施的运行与管理要求</w:t>
            </w:r>
          </w:p>
          <w:p w14:paraId="3AEF3C72">
            <w:pPr>
              <w:pStyle w:val="42"/>
              <w:keepNext w:val="0"/>
              <w:keepLines w:val="0"/>
              <w:pageBreakBefore w:val="0"/>
              <w:widowControl w:val="0"/>
              <w:kinsoku/>
              <w:wordWrap/>
              <w:overflowPunct/>
              <w:topLinePunct w:val="0"/>
              <w:autoSpaceDE/>
              <w:autoSpaceDN/>
              <w:bidi w:val="0"/>
              <w:spacing w:before="0" w:line="500" w:lineRule="exact"/>
              <w:ind w:firstLine="480"/>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A：</w:t>
            </w:r>
            <w:r>
              <w:rPr>
                <w:rFonts w:hint="default" w:ascii="Times New Roman" w:hAnsi="Times New Roman" w:cs="Times New Roman"/>
                <w:color w:val="auto"/>
                <w:sz w:val="24"/>
                <w:szCs w:val="24"/>
                <w:u w:val="none"/>
              </w:rPr>
              <w:t>危险废物存入贮存设施前应对危险废物类别和特性与危险废物标签等危险废物识别标志的一致性进行核验，不一致的或类别、特性不明的不应存入。</w:t>
            </w:r>
          </w:p>
          <w:p w14:paraId="666CE1DA">
            <w:pPr>
              <w:pStyle w:val="42"/>
              <w:keepNext w:val="0"/>
              <w:keepLines w:val="0"/>
              <w:pageBreakBefore w:val="0"/>
              <w:widowControl w:val="0"/>
              <w:kinsoku/>
              <w:wordWrap/>
              <w:overflowPunct/>
              <w:topLinePunct w:val="0"/>
              <w:autoSpaceDE/>
              <w:autoSpaceDN/>
              <w:bidi w:val="0"/>
              <w:spacing w:before="0" w:line="500" w:lineRule="exact"/>
              <w:ind w:firstLine="480"/>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B：</w:t>
            </w:r>
            <w:r>
              <w:rPr>
                <w:rFonts w:hint="default" w:ascii="Times New Roman" w:hAnsi="Times New Roman" w:cs="Times New Roman"/>
                <w:color w:val="auto"/>
                <w:sz w:val="24"/>
                <w:szCs w:val="24"/>
                <w:u w:val="none"/>
              </w:rPr>
              <w:t>应定期检查危险废物的贮存状况，及时清理贮存设施地面，更换破损泄漏的危险废物贮存容器和包装物，保证堆存危险废物的防雨、防风、防扬尘等设施功能完好。</w:t>
            </w:r>
          </w:p>
          <w:p w14:paraId="6A9D0D75">
            <w:pPr>
              <w:pStyle w:val="42"/>
              <w:keepNext w:val="0"/>
              <w:keepLines w:val="0"/>
              <w:pageBreakBefore w:val="0"/>
              <w:widowControl w:val="0"/>
              <w:kinsoku/>
              <w:wordWrap/>
              <w:overflowPunct/>
              <w:topLinePunct w:val="0"/>
              <w:autoSpaceDE/>
              <w:autoSpaceDN/>
              <w:bidi w:val="0"/>
              <w:spacing w:before="0" w:line="500" w:lineRule="exact"/>
              <w:ind w:firstLine="480"/>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C：</w:t>
            </w:r>
            <w:r>
              <w:rPr>
                <w:rFonts w:hint="default" w:ascii="Times New Roman" w:hAnsi="Times New Roman" w:cs="Times New Roman"/>
                <w:color w:val="auto"/>
                <w:sz w:val="24"/>
                <w:szCs w:val="24"/>
                <w:u w:val="none"/>
              </w:rPr>
              <w:t>作业设备及车辆等结束作业离开贮存设施时，应对其残留的危险废物进行清理，清理的废物或清洗废水应收集处理。</w:t>
            </w:r>
          </w:p>
          <w:p w14:paraId="6F5C29FE">
            <w:pPr>
              <w:pStyle w:val="42"/>
              <w:keepNext w:val="0"/>
              <w:keepLines w:val="0"/>
              <w:pageBreakBefore w:val="0"/>
              <w:widowControl w:val="0"/>
              <w:kinsoku/>
              <w:wordWrap/>
              <w:overflowPunct/>
              <w:topLinePunct w:val="0"/>
              <w:autoSpaceDE/>
              <w:autoSpaceDN/>
              <w:bidi w:val="0"/>
              <w:spacing w:before="0" w:line="500" w:lineRule="atLeast"/>
              <w:ind w:firstLine="480"/>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D：</w:t>
            </w:r>
            <w:r>
              <w:rPr>
                <w:rFonts w:hint="default" w:ascii="Times New Roman" w:hAnsi="Times New Roman" w:cs="Times New Roman"/>
                <w:color w:val="auto"/>
                <w:sz w:val="24"/>
                <w:szCs w:val="24"/>
                <w:u w:val="none"/>
              </w:rPr>
              <w:t>贮存设施运行期间，应按国家有关标准和规定建立危险废物管理台账并保存。</w:t>
            </w:r>
          </w:p>
          <w:p w14:paraId="15603E2B">
            <w:pPr>
              <w:pStyle w:val="42"/>
              <w:keepNext w:val="0"/>
              <w:keepLines w:val="0"/>
              <w:pageBreakBefore w:val="0"/>
              <w:widowControl w:val="0"/>
              <w:kinsoku/>
              <w:wordWrap/>
              <w:overflowPunct/>
              <w:topLinePunct w:val="0"/>
              <w:autoSpaceDE/>
              <w:autoSpaceDN/>
              <w:bidi w:val="0"/>
              <w:spacing w:before="0" w:line="500" w:lineRule="atLeast"/>
              <w:ind w:firstLine="480"/>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E：</w:t>
            </w:r>
            <w:r>
              <w:rPr>
                <w:rFonts w:hint="default" w:ascii="Times New Roman" w:hAnsi="Times New Roman" w:cs="Times New Roman"/>
                <w:color w:val="auto"/>
                <w:sz w:val="24"/>
                <w:szCs w:val="24"/>
                <w:u w:val="none"/>
              </w:rPr>
              <w:t>贮存设施所有者或运营者应建立贮存设施环境管理制度、管理人员岗位职责制度、设施运行操作制度、人员岗位培训制度等。</w:t>
            </w:r>
          </w:p>
          <w:p w14:paraId="6CBA310A">
            <w:pPr>
              <w:pStyle w:val="42"/>
              <w:keepNext w:val="0"/>
              <w:keepLines w:val="0"/>
              <w:pageBreakBefore w:val="0"/>
              <w:widowControl w:val="0"/>
              <w:kinsoku/>
              <w:wordWrap/>
              <w:overflowPunct/>
              <w:topLinePunct w:val="0"/>
              <w:autoSpaceDE/>
              <w:autoSpaceDN/>
              <w:bidi w:val="0"/>
              <w:spacing w:before="0" w:line="500" w:lineRule="atLeast"/>
              <w:ind w:firstLine="480"/>
              <w:textAlignment w:val="auto"/>
              <w:rPr>
                <w:rFonts w:hint="default" w:ascii="Times New Roman" w:hAnsi="Times New Roman" w:cs="Times New Roman"/>
                <w:color w:val="auto"/>
                <w:sz w:val="24"/>
                <w:szCs w:val="24"/>
                <w:u w:val="none"/>
              </w:rPr>
            </w:pPr>
            <w:r>
              <w:rPr>
                <w:rFonts w:hint="default" w:ascii="Times New Roman" w:hAnsi="Times New Roman" w:eastAsia="宋体" w:cs="Times New Roman"/>
                <w:color w:val="auto"/>
                <w:sz w:val="24"/>
                <w:szCs w:val="24"/>
                <w:u w:val="none"/>
                <w:lang w:val="en-US" w:eastAsia="zh-CN"/>
              </w:rPr>
              <w:t>F：</w:t>
            </w:r>
            <w:r>
              <w:rPr>
                <w:rFonts w:hint="default" w:ascii="Times New Roman" w:hAnsi="Times New Roman" w:cs="Times New Roman"/>
                <w:color w:val="auto"/>
                <w:sz w:val="24"/>
                <w:szCs w:val="24"/>
                <w:u w:val="none"/>
              </w:rPr>
              <w:t>贮存设施所有者或运营者应依据国家土壤和地下水污染防治的有关规定，结合贮存设施特点建立土壤和地下水污染隐患排查制度，并定期开展隐患排查；发现隐患应及时采取措施消除隐患，并建立档案。</w:t>
            </w:r>
          </w:p>
          <w:p w14:paraId="20CCA03D">
            <w:pPr>
              <w:pStyle w:val="42"/>
              <w:keepNext w:val="0"/>
              <w:keepLines w:val="0"/>
              <w:pageBreakBefore w:val="0"/>
              <w:widowControl w:val="0"/>
              <w:kinsoku/>
              <w:wordWrap/>
              <w:overflowPunct/>
              <w:topLinePunct w:val="0"/>
              <w:autoSpaceDE/>
              <w:autoSpaceDN/>
              <w:bidi w:val="0"/>
              <w:spacing w:before="0" w:line="500" w:lineRule="atLeast"/>
              <w:ind w:firstLine="480"/>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lang w:val="en-US" w:eastAsia="zh-CN"/>
              </w:rPr>
              <w:t>G：</w:t>
            </w:r>
            <w:r>
              <w:rPr>
                <w:rFonts w:hint="default" w:ascii="Times New Roman" w:hAnsi="Times New Roman" w:cs="Times New Roman"/>
                <w:color w:val="auto"/>
                <w:sz w:val="24"/>
                <w:szCs w:val="24"/>
                <w:u w:val="none"/>
              </w:rPr>
              <w:t>贮存设施所有者或运营者应建立贮存设施全部档案，包括设计、施工、验收、运行、监测和环境应急等，应按国家有关档案管理的法律法规进行整理和归档。</w:t>
            </w:r>
          </w:p>
          <w:p w14:paraId="434DCBE8">
            <w:pPr>
              <w:keepNext w:val="0"/>
              <w:keepLines w:val="0"/>
              <w:pageBreakBefore w:val="0"/>
              <w:widowControl w:val="0"/>
              <w:kinsoku/>
              <w:wordWrap/>
              <w:overflowPunct/>
              <w:topLinePunct w:val="0"/>
              <w:autoSpaceDE/>
              <w:autoSpaceDN/>
              <w:bidi w:val="0"/>
              <w:spacing w:line="500" w:lineRule="atLeast"/>
              <w:ind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fldChar w:fldCharType="begin"/>
            </w:r>
            <w:r>
              <w:rPr>
                <w:rFonts w:hint="default" w:ascii="Times New Roman" w:hAnsi="Times New Roman" w:cs="Times New Roman"/>
                <w:color w:val="auto"/>
                <w:sz w:val="24"/>
                <w:szCs w:val="24"/>
                <w:u w:val="none"/>
              </w:rPr>
              <w:instrText xml:space="preserve"> = 5 \* GB3 \* MERGEFORMAT </w:instrText>
            </w:r>
            <w:r>
              <w:rPr>
                <w:rFonts w:hint="default" w:ascii="Times New Roman" w:hAnsi="Times New Roman" w:cs="Times New Roman"/>
                <w:color w:val="auto"/>
                <w:sz w:val="24"/>
                <w:szCs w:val="24"/>
                <w:u w:val="none"/>
              </w:rPr>
              <w:fldChar w:fldCharType="separate"/>
            </w:r>
            <w:r>
              <w:rPr>
                <w:rFonts w:hint="default" w:ascii="Times New Roman" w:hAnsi="Times New Roman" w:cs="Times New Roman"/>
                <w:color w:val="auto"/>
                <w:sz w:val="24"/>
                <w:szCs w:val="24"/>
                <w:u w:val="none"/>
              </w:rPr>
              <w:t>⑤</w:t>
            </w:r>
            <w:r>
              <w:rPr>
                <w:rFonts w:hint="default" w:ascii="Times New Roman" w:hAnsi="Times New Roman" w:cs="Times New Roman"/>
                <w:color w:val="auto"/>
                <w:sz w:val="24"/>
                <w:szCs w:val="24"/>
                <w:u w:val="none"/>
              </w:rPr>
              <w:fldChar w:fldCharType="end"/>
            </w:r>
            <w:r>
              <w:rPr>
                <w:rFonts w:hint="default" w:ascii="Times New Roman" w:hAnsi="Times New Roman" w:cs="Times New Roman"/>
                <w:color w:val="auto"/>
                <w:sz w:val="24"/>
                <w:szCs w:val="24"/>
                <w:u w:val="none"/>
              </w:rPr>
              <w:t>危险废物贮存设施的安全防护</w:t>
            </w:r>
          </w:p>
          <w:p w14:paraId="68FC15A3">
            <w:pPr>
              <w:keepNext w:val="0"/>
              <w:keepLines w:val="0"/>
              <w:pageBreakBefore w:val="0"/>
              <w:widowControl w:val="0"/>
              <w:kinsoku/>
              <w:wordWrap/>
              <w:overflowPunct/>
              <w:topLinePunct w:val="0"/>
              <w:autoSpaceDE/>
              <w:autoSpaceDN/>
              <w:bidi w:val="0"/>
              <w:spacing w:line="500" w:lineRule="atLeast"/>
              <w:ind w:firstLine="480" w:firstLineChars="200"/>
              <w:jc w:val="left"/>
              <w:textAlignment w:val="auto"/>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贮存点应采取防风、防雨、防晒和防止危险废物流失、扬散等措施</w:t>
            </w:r>
            <w:r>
              <w:rPr>
                <w:rFonts w:hint="eastAsia" w:ascii="Times New Roman" w:hAnsi="Times New Roman" w:cs="Times New Roman"/>
                <w:color w:val="auto"/>
                <w:sz w:val="24"/>
                <w:szCs w:val="24"/>
                <w:u w:val="none"/>
                <w:lang w:eastAsia="zh-CN"/>
              </w:rPr>
              <w:t>，贮存点应具有固定的区域边界，并应采取与其他区域进行隔离的措施，</w:t>
            </w:r>
            <w:r>
              <w:rPr>
                <w:rFonts w:hint="default" w:ascii="Times New Roman" w:hAnsi="Times New Roman" w:cs="Times New Roman"/>
                <w:color w:val="auto"/>
                <w:sz w:val="24"/>
                <w:szCs w:val="24"/>
                <w:u w:val="none"/>
              </w:rPr>
              <w:t>危险废物贮存设施必须按照GB15562.2的规定设置警示标志，贮存设施周围应设置围墙。危险废物贮存设施应配备通讯设备、照明设施、安全防护服装及工具，并设有应急防护设施。危险废物贮存设施内清理出来的泄漏物，一律按危险废物处理。</w:t>
            </w:r>
          </w:p>
          <w:p w14:paraId="4941CFB7">
            <w:pPr>
              <w:keepNext w:val="0"/>
              <w:keepLines w:val="0"/>
              <w:pageBreakBefore w:val="0"/>
              <w:widowControl w:val="0"/>
              <w:kinsoku/>
              <w:wordWrap/>
              <w:overflowPunct/>
              <w:topLinePunct w:val="0"/>
              <w:autoSpaceDE/>
              <w:autoSpaceDN/>
              <w:bidi w:val="0"/>
              <w:spacing w:line="500" w:lineRule="atLeast"/>
              <w:ind w:firstLine="480" w:firstLineChars="200"/>
              <w:jc w:val="left"/>
              <w:textAlignment w:val="auto"/>
              <w:rPr>
                <w:rFonts w:hint="default" w:ascii="Times New Roman" w:hAnsi="Times New Roman" w:eastAsia="宋体" w:cs="Times New Roman"/>
                <w:b w:val="0"/>
                <w:bCs w:val="0"/>
                <w:color w:val="auto"/>
                <w:kern w:val="2"/>
                <w:sz w:val="24"/>
                <w:szCs w:val="24"/>
                <w:u w:val="none"/>
                <w:lang w:val="en-US" w:eastAsia="zh-CN" w:bidi="ar-SA"/>
              </w:rPr>
            </w:pPr>
            <w:r>
              <w:rPr>
                <w:rFonts w:hint="default" w:ascii="Times New Roman" w:hAnsi="Times New Roman" w:cs="Times New Roman"/>
                <w:color w:val="auto"/>
                <w:sz w:val="24"/>
                <w:szCs w:val="24"/>
                <w:u w:val="none"/>
              </w:rPr>
              <w:t>综合上述分析，本项目产生的各类固体废物经采取本次环评提出的防治措施后，均得到妥善处置，不会造成二次污染，因此对周围环境的影响较小。</w:t>
            </w:r>
          </w:p>
          <w:p w14:paraId="796ACCC7">
            <w:pPr>
              <w:keepNext w:val="0"/>
              <w:keepLines w:val="0"/>
              <w:pageBreakBefore w:val="0"/>
              <w:widowControl w:val="0"/>
              <w:numPr>
                <w:ilvl w:val="0"/>
                <w:numId w:val="0"/>
              </w:numPr>
              <w:kinsoku/>
              <w:wordWrap/>
              <w:overflowPunct/>
              <w:topLinePunct w:val="0"/>
              <w:autoSpaceDE/>
              <w:autoSpaceDN/>
              <w:bidi w:val="0"/>
              <w:adjustRightInd/>
              <w:snapToGrid/>
              <w:spacing w:line="500" w:lineRule="atLeast"/>
              <w:ind w:left="0" w:leftChars="0" w:firstLine="482" w:firstLineChars="200"/>
              <w:textAlignment w:val="auto"/>
              <w:rPr>
                <w:rFonts w:hint="eastAsia" w:ascii="Times New Roman" w:hAnsi="Times New Roman" w:cs="Times New Roman"/>
                <w:b/>
                <w:bCs w:val="0"/>
                <w:color w:val="auto"/>
                <w:sz w:val="24"/>
                <w:u w:val="none"/>
              </w:rPr>
            </w:pPr>
            <w:r>
              <w:rPr>
                <w:rFonts w:hint="eastAsia" w:cs="Times New Roman"/>
                <w:b/>
                <w:bCs w:val="0"/>
                <w:color w:val="auto"/>
                <w:sz w:val="24"/>
                <w:u w:val="none"/>
                <w:lang w:val="en-US" w:eastAsia="zh-CN"/>
              </w:rPr>
              <w:t>5、</w:t>
            </w:r>
            <w:r>
              <w:rPr>
                <w:rFonts w:hint="eastAsia" w:ascii="Times New Roman" w:hAnsi="Times New Roman" w:cs="Times New Roman"/>
                <w:b/>
                <w:bCs w:val="0"/>
                <w:color w:val="auto"/>
                <w:sz w:val="24"/>
                <w:u w:val="none"/>
              </w:rPr>
              <w:t>地下水环境影响分析</w:t>
            </w:r>
          </w:p>
          <w:p w14:paraId="0A9C5FEB">
            <w:pPr>
              <w:keepNext w:val="0"/>
              <w:keepLines w:val="0"/>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b/>
                <w:bCs w:val="0"/>
                <w:color w:val="auto"/>
                <w:sz w:val="24"/>
                <w:u w:val="none"/>
                <w:lang w:val="en-US" w:eastAsia="zh-CN"/>
              </w:rPr>
            </w:pPr>
            <w:r>
              <w:rPr>
                <w:rFonts w:hint="eastAsia" w:cs="Times New Roman"/>
                <w:b/>
                <w:bCs w:val="0"/>
                <w:color w:val="auto"/>
                <w:sz w:val="24"/>
                <w:u w:val="none"/>
                <w:lang w:val="en-US" w:eastAsia="zh-CN"/>
              </w:rPr>
              <w:t>5</w:t>
            </w:r>
            <w:r>
              <w:rPr>
                <w:rFonts w:hint="eastAsia" w:ascii="Times New Roman" w:hAnsi="Times New Roman" w:cs="Times New Roman"/>
                <w:b/>
                <w:bCs w:val="0"/>
                <w:color w:val="auto"/>
                <w:sz w:val="24"/>
                <w:u w:val="none"/>
                <w:lang w:val="en-US" w:eastAsia="zh-CN"/>
              </w:rPr>
              <w:t>.1</w:t>
            </w:r>
            <w:r>
              <w:rPr>
                <w:rFonts w:hint="eastAsia" w:ascii="Times New Roman" w:hAnsi="Times New Roman" w:eastAsia="宋体" w:cs="Times New Roman"/>
                <w:b/>
                <w:bCs w:val="0"/>
                <w:color w:val="auto"/>
                <w:sz w:val="24"/>
                <w:u w:val="none"/>
                <w:lang w:val="en-US" w:eastAsia="zh-CN"/>
              </w:rPr>
              <w:t>地下水</w:t>
            </w:r>
            <w:r>
              <w:rPr>
                <w:rFonts w:hint="eastAsia" w:ascii="Times New Roman" w:hAnsi="Times New Roman" w:cs="Times New Roman"/>
                <w:b/>
                <w:bCs w:val="0"/>
                <w:color w:val="auto"/>
                <w:sz w:val="24"/>
                <w:u w:val="none"/>
                <w:lang w:val="en-US" w:eastAsia="zh-CN"/>
              </w:rPr>
              <w:t>评价类型划分</w:t>
            </w:r>
          </w:p>
          <w:p w14:paraId="6A8F4611">
            <w:pPr>
              <w:keepNext w:val="0"/>
              <w:keepLines w:val="0"/>
              <w:pageBreakBefore w:val="0"/>
              <w:widowControl w:val="0"/>
              <w:kinsoku/>
              <w:wordWrap/>
              <w:overflowPunct/>
              <w:topLinePunct w:val="0"/>
              <w:autoSpaceDE/>
              <w:autoSpaceDN/>
              <w:bidi w:val="0"/>
              <w:spacing w:line="500" w:lineRule="atLeast"/>
              <w:ind w:firstLine="480" w:firstLineChars="200"/>
              <w:textAlignment w:val="auto"/>
              <w:rPr>
                <w:rFonts w:ascii="Times New Roman" w:hAnsi="Times New Roman" w:cs="Times New Roman"/>
                <w:color w:val="auto"/>
                <w:u w:val="none"/>
              </w:rPr>
            </w:pPr>
            <w:r>
              <w:rPr>
                <w:rFonts w:hint="eastAsia" w:ascii="Times New Roman" w:hAnsi="Times New Roman" w:cs="Times New Roman"/>
                <w:color w:val="auto"/>
                <w:sz w:val="24"/>
                <w:u w:val="none"/>
              </w:rPr>
              <w:t>本项目</w:t>
            </w:r>
            <w:r>
              <w:rPr>
                <w:rFonts w:hint="eastAsia" w:ascii="Times New Roman" w:hAnsi="Times New Roman" w:cs="Times New Roman"/>
                <w:color w:val="auto"/>
                <w:sz w:val="24"/>
                <w:u w:val="none"/>
                <w:lang w:val="en-US" w:eastAsia="zh-CN"/>
              </w:rPr>
              <w:t>整个厂区全部硬化</w:t>
            </w:r>
            <w:r>
              <w:rPr>
                <w:rFonts w:hint="eastAsia" w:ascii="Times New Roman" w:hAnsi="Times New Roman" w:cs="Times New Roman"/>
                <w:color w:val="auto"/>
                <w:sz w:val="24"/>
                <w:u w:val="none"/>
              </w:rPr>
              <w:t>，</w:t>
            </w:r>
            <w:r>
              <w:rPr>
                <w:rFonts w:hint="eastAsia" w:cs="Times New Roman"/>
                <w:color w:val="auto"/>
                <w:sz w:val="24"/>
                <w:u w:val="none"/>
                <w:lang w:val="en-US" w:eastAsia="zh-CN"/>
              </w:rPr>
              <w:t>经</w:t>
            </w:r>
            <w:r>
              <w:rPr>
                <w:rFonts w:hint="eastAsia" w:ascii="Times New Roman" w:hAnsi="Times New Roman" w:cs="Times New Roman"/>
                <w:color w:val="auto"/>
                <w:sz w:val="24"/>
                <w:u w:val="none"/>
              </w:rPr>
              <w:t>采取相应的防渗措施</w:t>
            </w:r>
            <w:r>
              <w:rPr>
                <w:rFonts w:hint="eastAsia" w:cs="Times New Roman"/>
                <w:color w:val="auto"/>
                <w:sz w:val="24"/>
                <w:u w:val="none"/>
                <w:lang w:val="en-US" w:eastAsia="zh-CN"/>
              </w:rPr>
              <w:t>后</w:t>
            </w:r>
            <w:r>
              <w:rPr>
                <w:rFonts w:hint="eastAsia" w:ascii="Times New Roman" w:hAnsi="Times New Roman" w:cs="Times New Roman"/>
                <w:color w:val="auto"/>
                <w:sz w:val="24"/>
                <w:u w:val="none"/>
              </w:rPr>
              <w:t>，对区域的地下水造成影响</w:t>
            </w:r>
            <w:r>
              <w:rPr>
                <w:rFonts w:hint="eastAsia" w:cs="Times New Roman"/>
                <w:color w:val="auto"/>
                <w:sz w:val="24"/>
                <w:u w:val="none"/>
                <w:lang w:val="en-US" w:eastAsia="zh-CN"/>
              </w:rPr>
              <w:t>很小</w:t>
            </w:r>
            <w:r>
              <w:rPr>
                <w:rFonts w:hint="eastAsia" w:ascii="Times New Roman" w:hAnsi="Times New Roman" w:cs="Times New Roman"/>
                <w:color w:val="auto"/>
                <w:sz w:val="24"/>
                <w:u w:val="none"/>
              </w:rPr>
              <w:t>。</w:t>
            </w:r>
          </w:p>
          <w:p w14:paraId="1E7E797D">
            <w:pPr>
              <w:spacing w:line="520" w:lineRule="exact"/>
              <w:ind w:firstLine="480" w:firstLineChars="200"/>
              <w:rPr>
                <w:rFonts w:hint="eastAsia" w:ascii="Times New Roman" w:hAnsi="Times New Roman" w:eastAsia="宋体" w:cs="Times New Roman"/>
                <w:color w:val="auto"/>
                <w:sz w:val="24"/>
                <w:u w:val="none"/>
                <w:lang w:eastAsia="zh-CN"/>
              </w:rPr>
            </w:pPr>
            <w:r>
              <w:rPr>
                <w:rFonts w:hint="eastAsia" w:ascii="Times New Roman" w:hAnsi="Times New Roman" w:eastAsia="宋体" w:cs="Times New Roman"/>
                <w:color w:val="auto"/>
                <w:sz w:val="24"/>
                <w:u w:val="none"/>
              </w:rPr>
              <w:t>根据《环境影响评价技术导则—地下水环境》</w:t>
            </w:r>
            <w:r>
              <w:rPr>
                <w:rFonts w:hint="eastAsia" w:ascii="Times New Roman" w:hAnsi="Times New Roman" w:cs="Times New Roman"/>
                <w:color w:val="auto"/>
                <w:sz w:val="24"/>
                <w:u w:val="none"/>
                <w:lang w:eastAsia="zh-CN"/>
              </w:rPr>
              <w:t>（</w:t>
            </w:r>
            <w:r>
              <w:rPr>
                <w:rFonts w:hint="eastAsia" w:ascii="Times New Roman" w:hAnsi="Times New Roman" w:eastAsia="宋体" w:cs="Times New Roman"/>
                <w:color w:val="auto"/>
                <w:sz w:val="24"/>
                <w:u w:val="none"/>
              </w:rPr>
              <w:t>HJ610-2016</w:t>
            </w:r>
            <w:r>
              <w:rPr>
                <w:rFonts w:hint="eastAsia" w:ascii="Times New Roman" w:hAnsi="Times New Roman" w:cs="Times New Roman"/>
                <w:color w:val="auto"/>
                <w:sz w:val="24"/>
                <w:u w:val="none"/>
                <w:lang w:eastAsia="zh-CN"/>
              </w:rPr>
              <w:t>）</w:t>
            </w:r>
            <w:r>
              <w:rPr>
                <w:rFonts w:hint="eastAsia" w:ascii="Times New Roman" w:hAnsi="Times New Roman" w:eastAsia="宋体" w:cs="Times New Roman"/>
                <w:color w:val="auto"/>
                <w:sz w:val="24"/>
                <w:u w:val="none"/>
                <w:lang w:eastAsia="zh-CN"/>
              </w:rPr>
              <w:t>，</w:t>
            </w:r>
            <w:r>
              <w:rPr>
                <w:rFonts w:hint="eastAsia" w:ascii="Times New Roman" w:hAnsi="Times New Roman" w:eastAsia="宋体" w:cs="Times New Roman"/>
                <w:color w:val="auto"/>
                <w:sz w:val="24"/>
                <w:u w:val="none"/>
                <w:lang w:val="en-US" w:eastAsia="zh-CN"/>
              </w:rPr>
              <w:t>本项目划分类别如下表</w:t>
            </w:r>
            <w:r>
              <w:rPr>
                <w:rFonts w:hint="eastAsia" w:ascii="Times New Roman" w:hAnsi="Times New Roman" w:eastAsia="宋体" w:cs="Times New Roman"/>
                <w:color w:val="auto"/>
                <w:sz w:val="24"/>
                <w:u w:val="none"/>
                <w:lang w:eastAsia="zh-CN"/>
              </w:rPr>
              <w:t>：</w:t>
            </w:r>
          </w:p>
          <w:p w14:paraId="00AD774E">
            <w:pPr>
              <w:ind w:firstLine="0" w:firstLineChars="0"/>
              <w:jc w:val="center"/>
              <w:rPr>
                <w:rFonts w:hint="eastAsia" w:ascii="Times New Roman" w:hAnsi="Times New Roman" w:eastAsia="黑体" w:cs="Times New Roman"/>
                <w:color w:val="auto"/>
                <w:kern w:val="2"/>
                <w:sz w:val="24"/>
                <w:u w:val="none"/>
                <w:lang w:val="en-US" w:eastAsia="zh-CN" w:bidi="ar-SA"/>
              </w:rPr>
            </w:pPr>
            <w:r>
              <w:rPr>
                <w:rFonts w:hint="eastAsia" w:ascii="Times New Roman" w:hAnsi="Times New Roman" w:eastAsia="黑体" w:cs="Times New Roman"/>
                <w:color w:val="auto"/>
                <w:kern w:val="2"/>
                <w:sz w:val="24"/>
                <w:u w:val="none"/>
                <w:lang w:val="en-US" w:eastAsia="zh-CN" w:bidi="ar-SA"/>
              </w:rPr>
              <w:t>表</w:t>
            </w:r>
            <w:r>
              <w:rPr>
                <w:rFonts w:hint="eastAsia" w:eastAsia="黑体" w:cs="Times New Roman"/>
                <w:color w:val="auto"/>
                <w:kern w:val="2"/>
                <w:sz w:val="24"/>
                <w:u w:val="none"/>
                <w:lang w:val="en-US" w:eastAsia="zh-CN" w:bidi="ar-SA"/>
              </w:rPr>
              <w:t xml:space="preserve">4-13 </w:t>
            </w:r>
            <w:r>
              <w:rPr>
                <w:rFonts w:hint="eastAsia" w:ascii="Times New Roman" w:hAnsi="Times New Roman" w:eastAsia="黑体" w:cs="Times New Roman"/>
                <w:color w:val="auto"/>
                <w:kern w:val="2"/>
                <w:sz w:val="24"/>
                <w:u w:val="none"/>
                <w:lang w:val="en-US" w:eastAsia="zh-CN" w:bidi="ar-SA"/>
              </w:rPr>
              <w:t>拟建项目类型划分</w:t>
            </w:r>
          </w:p>
          <w:tbl>
            <w:tblPr>
              <w:tblStyle w:val="105"/>
              <w:tblW w:w="8658" w:type="dxa"/>
              <w:tblInd w:w="-7"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636"/>
              <w:gridCol w:w="1757"/>
              <w:gridCol w:w="1776"/>
              <w:gridCol w:w="1357"/>
              <w:gridCol w:w="961"/>
              <w:gridCol w:w="1171"/>
            </w:tblGrid>
            <w:tr w14:paraId="08433B2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36" w:type="dxa"/>
                  <w:vMerge w:val="restart"/>
                  <w:tcBorders>
                    <w:bottom w:val="single" w:color="auto" w:sz="6" w:space="0"/>
                    <w:right w:val="single" w:color="auto" w:sz="6" w:space="0"/>
                    <w:tl2br w:val="single" w:color="auto" w:sz="6" w:space="0"/>
                  </w:tcBorders>
                  <w:vAlign w:val="center"/>
                </w:tcPr>
                <w:p w14:paraId="015B429C">
                  <w:pPr>
                    <w:snapToGrid w:val="0"/>
                    <w:spacing w:line="240" w:lineRule="auto"/>
                    <w:ind w:firstLine="0" w:firstLineChars="0"/>
                    <w:jc w:val="center"/>
                    <w:rPr>
                      <w:rFonts w:ascii="Times New Roman" w:hAnsi="Times New Roman" w:cs="Times New Roman"/>
                      <w:b/>
                      <w:color w:val="auto"/>
                      <w:kern w:val="0"/>
                      <w:sz w:val="21"/>
                      <w:szCs w:val="21"/>
                      <w:u w:val="none"/>
                    </w:rPr>
                  </w:pPr>
                  <w:r>
                    <w:rPr>
                      <w:rFonts w:ascii="Times New Roman" w:hAnsi="Times New Roman" w:cs="Times New Roman"/>
                      <w:b/>
                      <w:color w:val="auto"/>
                      <w:kern w:val="0"/>
                      <w:sz w:val="21"/>
                      <w:szCs w:val="21"/>
                      <w:u w:val="none"/>
                    </w:rPr>
                    <w:t xml:space="preserve">    </w:t>
                  </w:r>
                  <w:r>
                    <w:rPr>
                      <w:rFonts w:hint="eastAsia" w:cs="Times New Roman"/>
                      <w:b/>
                      <w:color w:val="auto"/>
                      <w:kern w:val="0"/>
                      <w:sz w:val="21"/>
                      <w:szCs w:val="21"/>
                      <w:u w:val="none"/>
                      <w:lang w:val="en-US" w:eastAsia="zh-CN"/>
                    </w:rPr>
                    <w:t xml:space="preserve"> </w:t>
                  </w:r>
                  <w:r>
                    <w:rPr>
                      <w:rFonts w:ascii="Times New Roman" w:hAnsi="Times New Roman" w:cs="Times New Roman"/>
                      <w:b/>
                      <w:color w:val="auto"/>
                      <w:kern w:val="0"/>
                      <w:sz w:val="21"/>
                      <w:szCs w:val="21"/>
                      <w:u w:val="none"/>
                    </w:rPr>
                    <w:t>环评类别</w:t>
                  </w:r>
                </w:p>
                <w:p w14:paraId="41A0AE48">
                  <w:pPr>
                    <w:snapToGrid w:val="0"/>
                    <w:spacing w:line="240" w:lineRule="auto"/>
                    <w:ind w:firstLine="0" w:firstLineChars="0"/>
                    <w:rPr>
                      <w:rFonts w:ascii="Times New Roman" w:hAnsi="Times New Roman" w:cs="Times New Roman"/>
                      <w:b/>
                      <w:color w:val="auto"/>
                      <w:kern w:val="0"/>
                      <w:sz w:val="21"/>
                      <w:szCs w:val="21"/>
                      <w:u w:val="none"/>
                    </w:rPr>
                  </w:pPr>
                  <w:r>
                    <w:rPr>
                      <w:rFonts w:ascii="Times New Roman" w:hAnsi="Times New Roman" w:cs="Times New Roman"/>
                      <w:b/>
                      <w:color w:val="auto"/>
                      <w:kern w:val="0"/>
                      <w:sz w:val="21"/>
                      <w:szCs w:val="21"/>
                      <w:u w:val="none"/>
                    </w:rPr>
                    <w:t>行业类别</w:t>
                  </w:r>
                </w:p>
              </w:tc>
              <w:tc>
                <w:tcPr>
                  <w:tcW w:w="1757" w:type="dxa"/>
                  <w:vMerge w:val="restart"/>
                  <w:tcBorders>
                    <w:left w:val="single" w:color="auto" w:sz="6" w:space="0"/>
                    <w:tl2br w:val="nil"/>
                    <w:tr2bl w:val="nil"/>
                  </w:tcBorders>
                  <w:vAlign w:val="center"/>
                </w:tcPr>
                <w:p w14:paraId="17334F14">
                  <w:pPr>
                    <w:snapToGrid w:val="0"/>
                    <w:spacing w:line="240" w:lineRule="auto"/>
                    <w:ind w:firstLine="0" w:firstLineChars="0"/>
                    <w:jc w:val="center"/>
                    <w:rPr>
                      <w:rFonts w:ascii="Times New Roman" w:hAnsi="Times New Roman" w:cs="Times New Roman"/>
                      <w:b/>
                      <w:color w:val="auto"/>
                      <w:kern w:val="0"/>
                      <w:sz w:val="21"/>
                      <w:szCs w:val="21"/>
                      <w:u w:val="none"/>
                    </w:rPr>
                  </w:pPr>
                  <w:r>
                    <w:rPr>
                      <w:rFonts w:ascii="Times New Roman" w:hAnsi="Times New Roman" w:cs="Times New Roman"/>
                      <w:b/>
                      <w:color w:val="auto"/>
                      <w:kern w:val="0"/>
                      <w:sz w:val="21"/>
                      <w:szCs w:val="21"/>
                      <w:u w:val="none"/>
                    </w:rPr>
                    <w:t>报告书</w:t>
                  </w:r>
                </w:p>
              </w:tc>
              <w:tc>
                <w:tcPr>
                  <w:tcW w:w="1776" w:type="dxa"/>
                  <w:vMerge w:val="restart"/>
                  <w:tcBorders>
                    <w:tl2br w:val="nil"/>
                    <w:tr2bl w:val="nil"/>
                  </w:tcBorders>
                  <w:vAlign w:val="center"/>
                </w:tcPr>
                <w:p w14:paraId="06EB270F">
                  <w:pPr>
                    <w:snapToGrid w:val="0"/>
                    <w:spacing w:line="240" w:lineRule="auto"/>
                    <w:ind w:firstLine="0" w:firstLineChars="0"/>
                    <w:jc w:val="center"/>
                    <w:rPr>
                      <w:rFonts w:ascii="Times New Roman" w:hAnsi="Times New Roman" w:cs="Times New Roman"/>
                      <w:b/>
                      <w:color w:val="auto"/>
                      <w:kern w:val="0"/>
                      <w:sz w:val="21"/>
                      <w:szCs w:val="21"/>
                      <w:u w:val="none"/>
                    </w:rPr>
                  </w:pPr>
                  <w:r>
                    <w:rPr>
                      <w:rFonts w:ascii="Times New Roman" w:hAnsi="Times New Roman" w:cs="Times New Roman"/>
                      <w:b/>
                      <w:color w:val="auto"/>
                      <w:kern w:val="0"/>
                      <w:sz w:val="21"/>
                      <w:szCs w:val="21"/>
                      <w:u w:val="none"/>
                    </w:rPr>
                    <w:t>报告表</w:t>
                  </w:r>
                </w:p>
              </w:tc>
              <w:tc>
                <w:tcPr>
                  <w:tcW w:w="2318" w:type="dxa"/>
                  <w:gridSpan w:val="2"/>
                  <w:tcBorders>
                    <w:tl2br w:val="nil"/>
                    <w:tr2bl w:val="nil"/>
                  </w:tcBorders>
                  <w:vAlign w:val="center"/>
                </w:tcPr>
                <w:p w14:paraId="016DB9DF">
                  <w:pPr>
                    <w:snapToGrid w:val="0"/>
                    <w:spacing w:line="240" w:lineRule="auto"/>
                    <w:ind w:firstLine="0" w:firstLineChars="0"/>
                    <w:jc w:val="center"/>
                    <w:rPr>
                      <w:rFonts w:ascii="Times New Roman" w:hAnsi="Times New Roman" w:cs="Times New Roman"/>
                      <w:b/>
                      <w:color w:val="auto"/>
                      <w:kern w:val="0"/>
                      <w:sz w:val="21"/>
                      <w:szCs w:val="21"/>
                      <w:u w:val="none"/>
                    </w:rPr>
                  </w:pPr>
                  <w:r>
                    <w:rPr>
                      <w:rFonts w:ascii="Times New Roman" w:hAnsi="Times New Roman" w:cs="Times New Roman"/>
                      <w:b/>
                      <w:color w:val="auto"/>
                      <w:kern w:val="0"/>
                      <w:sz w:val="21"/>
                      <w:szCs w:val="21"/>
                      <w:u w:val="none"/>
                    </w:rPr>
                    <w:t>地下水环境影响评价项目类别</w:t>
                  </w:r>
                </w:p>
              </w:tc>
              <w:tc>
                <w:tcPr>
                  <w:tcW w:w="1171" w:type="dxa"/>
                  <w:vMerge w:val="restart"/>
                  <w:tcBorders>
                    <w:tl2br w:val="nil"/>
                    <w:tr2bl w:val="nil"/>
                  </w:tcBorders>
                  <w:vAlign w:val="center"/>
                </w:tcPr>
                <w:p w14:paraId="2B59EAEC">
                  <w:pPr>
                    <w:snapToGrid w:val="0"/>
                    <w:spacing w:line="240" w:lineRule="auto"/>
                    <w:ind w:firstLine="0" w:firstLineChars="0"/>
                    <w:jc w:val="center"/>
                    <w:rPr>
                      <w:rFonts w:ascii="Times New Roman" w:hAnsi="Times New Roman" w:cs="Times New Roman"/>
                      <w:b/>
                      <w:color w:val="auto"/>
                      <w:kern w:val="0"/>
                      <w:sz w:val="21"/>
                      <w:szCs w:val="21"/>
                      <w:u w:val="none"/>
                    </w:rPr>
                  </w:pPr>
                  <w:r>
                    <w:rPr>
                      <w:rFonts w:ascii="Times New Roman" w:hAnsi="Times New Roman" w:cs="Times New Roman"/>
                      <w:b/>
                      <w:color w:val="auto"/>
                      <w:kern w:val="0"/>
                      <w:sz w:val="21"/>
                      <w:szCs w:val="21"/>
                      <w:u w:val="none"/>
                    </w:rPr>
                    <w:t>项目属性</w:t>
                  </w:r>
                </w:p>
              </w:tc>
            </w:tr>
            <w:tr w14:paraId="50F2898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1636" w:type="dxa"/>
                  <w:vMerge w:val="continue"/>
                  <w:tcBorders>
                    <w:top w:val="single" w:color="auto" w:sz="6" w:space="0"/>
                    <w:bottom w:val="single" w:color="auto" w:sz="6" w:space="0"/>
                    <w:right w:val="single" w:color="auto" w:sz="6" w:space="0"/>
                    <w:tl2br w:val="nil"/>
                    <w:tr2bl w:val="nil"/>
                  </w:tcBorders>
                  <w:vAlign w:val="center"/>
                </w:tcPr>
                <w:p w14:paraId="6991B4B8">
                  <w:pPr>
                    <w:spacing w:line="240" w:lineRule="auto"/>
                    <w:ind w:firstLine="0" w:firstLineChars="0"/>
                    <w:jc w:val="center"/>
                    <w:rPr>
                      <w:rFonts w:ascii="Times New Roman" w:hAnsi="Times New Roman" w:cs="Times New Roman"/>
                      <w:b/>
                      <w:color w:val="auto"/>
                      <w:kern w:val="0"/>
                      <w:sz w:val="21"/>
                      <w:szCs w:val="21"/>
                      <w:u w:val="none"/>
                    </w:rPr>
                  </w:pPr>
                </w:p>
              </w:tc>
              <w:tc>
                <w:tcPr>
                  <w:tcW w:w="1757" w:type="dxa"/>
                  <w:vMerge w:val="continue"/>
                  <w:tcBorders>
                    <w:left w:val="single" w:color="auto" w:sz="6" w:space="0"/>
                    <w:tl2br w:val="nil"/>
                    <w:tr2bl w:val="nil"/>
                  </w:tcBorders>
                  <w:vAlign w:val="center"/>
                </w:tcPr>
                <w:p w14:paraId="42121468">
                  <w:pPr>
                    <w:spacing w:line="240" w:lineRule="auto"/>
                    <w:ind w:firstLine="0" w:firstLineChars="0"/>
                    <w:jc w:val="center"/>
                    <w:rPr>
                      <w:rFonts w:ascii="Times New Roman" w:hAnsi="Times New Roman" w:cs="Times New Roman"/>
                      <w:b/>
                      <w:color w:val="auto"/>
                      <w:kern w:val="0"/>
                      <w:sz w:val="21"/>
                      <w:szCs w:val="21"/>
                      <w:u w:val="none"/>
                    </w:rPr>
                  </w:pPr>
                </w:p>
              </w:tc>
              <w:tc>
                <w:tcPr>
                  <w:tcW w:w="1776" w:type="dxa"/>
                  <w:vMerge w:val="continue"/>
                  <w:tcBorders>
                    <w:tl2br w:val="nil"/>
                    <w:tr2bl w:val="nil"/>
                  </w:tcBorders>
                  <w:vAlign w:val="center"/>
                </w:tcPr>
                <w:p w14:paraId="35ED14F1">
                  <w:pPr>
                    <w:spacing w:line="240" w:lineRule="auto"/>
                    <w:ind w:firstLine="0" w:firstLineChars="0"/>
                    <w:jc w:val="center"/>
                    <w:rPr>
                      <w:rFonts w:ascii="Times New Roman" w:hAnsi="Times New Roman" w:cs="Times New Roman"/>
                      <w:b/>
                      <w:color w:val="auto"/>
                      <w:kern w:val="0"/>
                      <w:sz w:val="21"/>
                      <w:szCs w:val="21"/>
                      <w:u w:val="none"/>
                    </w:rPr>
                  </w:pPr>
                </w:p>
              </w:tc>
              <w:tc>
                <w:tcPr>
                  <w:tcW w:w="1357" w:type="dxa"/>
                  <w:tcBorders>
                    <w:tl2br w:val="nil"/>
                    <w:tr2bl w:val="nil"/>
                  </w:tcBorders>
                  <w:vAlign w:val="center"/>
                </w:tcPr>
                <w:p w14:paraId="0D453CC0">
                  <w:pPr>
                    <w:snapToGrid w:val="0"/>
                    <w:spacing w:line="240" w:lineRule="auto"/>
                    <w:ind w:firstLine="0" w:firstLineChars="0"/>
                    <w:jc w:val="center"/>
                    <w:rPr>
                      <w:rFonts w:ascii="Times New Roman" w:hAnsi="Times New Roman" w:cs="Times New Roman"/>
                      <w:b/>
                      <w:color w:val="auto"/>
                      <w:kern w:val="0"/>
                      <w:sz w:val="21"/>
                      <w:szCs w:val="21"/>
                      <w:u w:val="none"/>
                    </w:rPr>
                  </w:pPr>
                  <w:r>
                    <w:rPr>
                      <w:rFonts w:ascii="Times New Roman" w:hAnsi="Times New Roman" w:cs="Times New Roman"/>
                      <w:b/>
                      <w:color w:val="auto"/>
                      <w:kern w:val="0"/>
                      <w:sz w:val="21"/>
                      <w:szCs w:val="21"/>
                      <w:u w:val="none"/>
                    </w:rPr>
                    <w:t>报告书</w:t>
                  </w:r>
                </w:p>
              </w:tc>
              <w:tc>
                <w:tcPr>
                  <w:tcW w:w="961" w:type="dxa"/>
                  <w:tcBorders>
                    <w:tl2br w:val="nil"/>
                    <w:tr2bl w:val="nil"/>
                  </w:tcBorders>
                  <w:vAlign w:val="center"/>
                </w:tcPr>
                <w:p w14:paraId="7C0E3FC2">
                  <w:pPr>
                    <w:snapToGrid w:val="0"/>
                    <w:spacing w:line="240" w:lineRule="auto"/>
                    <w:ind w:firstLine="0" w:firstLineChars="0"/>
                    <w:jc w:val="center"/>
                    <w:rPr>
                      <w:rFonts w:ascii="Times New Roman" w:hAnsi="Times New Roman" w:cs="Times New Roman"/>
                      <w:b/>
                      <w:color w:val="auto"/>
                      <w:kern w:val="0"/>
                      <w:sz w:val="21"/>
                      <w:szCs w:val="21"/>
                      <w:u w:val="none"/>
                    </w:rPr>
                  </w:pPr>
                  <w:r>
                    <w:rPr>
                      <w:rFonts w:ascii="Times New Roman" w:hAnsi="Times New Roman" w:cs="Times New Roman"/>
                      <w:b/>
                      <w:color w:val="auto"/>
                      <w:kern w:val="0"/>
                      <w:sz w:val="21"/>
                      <w:szCs w:val="21"/>
                      <w:u w:val="none"/>
                    </w:rPr>
                    <w:t>报告表</w:t>
                  </w:r>
                </w:p>
              </w:tc>
              <w:tc>
                <w:tcPr>
                  <w:tcW w:w="1171" w:type="dxa"/>
                  <w:vMerge w:val="continue"/>
                  <w:tcBorders>
                    <w:tl2br w:val="nil"/>
                    <w:tr2bl w:val="nil"/>
                  </w:tcBorders>
                  <w:vAlign w:val="center"/>
                </w:tcPr>
                <w:p w14:paraId="7E431EF2">
                  <w:pPr>
                    <w:spacing w:line="240" w:lineRule="auto"/>
                    <w:ind w:firstLine="0" w:firstLineChars="0"/>
                    <w:jc w:val="center"/>
                    <w:rPr>
                      <w:rFonts w:ascii="Times New Roman" w:hAnsi="Times New Roman" w:cs="Times New Roman"/>
                      <w:b/>
                      <w:color w:val="auto"/>
                      <w:kern w:val="0"/>
                      <w:sz w:val="21"/>
                      <w:szCs w:val="21"/>
                      <w:u w:val="none"/>
                    </w:rPr>
                  </w:pPr>
                </w:p>
              </w:tc>
            </w:tr>
            <w:tr w14:paraId="02FC03F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7487" w:type="dxa"/>
                  <w:gridSpan w:val="5"/>
                  <w:tcBorders>
                    <w:tl2br w:val="nil"/>
                    <w:tr2bl w:val="nil"/>
                  </w:tcBorders>
                  <w:vAlign w:val="center"/>
                </w:tcPr>
                <w:p w14:paraId="235C7462">
                  <w:pPr>
                    <w:pStyle w:val="50"/>
                    <w:keepNext w:val="0"/>
                    <w:keepLines w:val="0"/>
                    <w:pageBreakBefore w:val="0"/>
                    <w:widowControl/>
                    <w:kinsoku/>
                    <w:wordWrap/>
                    <w:overflowPunct/>
                    <w:topLinePunct w:val="0"/>
                    <w:autoSpaceDE/>
                    <w:autoSpaceDN/>
                    <w:bidi w:val="0"/>
                    <w:adjustRightInd/>
                    <w:snapToGrid/>
                    <w:ind w:firstLine="0" w:firstLineChars="0"/>
                    <w:jc w:val="center"/>
                    <w:textAlignment w:val="auto"/>
                    <w:rPr>
                      <w:rFonts w:ascii="Times New Roman" w:hAnsi="Times New Roman" w:cs="Times New Roman"/>
                      <w:color w:val="auto"/>
                      <w:kern w:val="0"/>
                      <w:sz w:val="21"/>
                      <w:szCs w:val="21"/>
                      <w:u w:val="none"/>
                    </w:rPr>
                  </w:pPr>
                  <w:r>
                    <w:rPr>
                      <w:rFonts w:hint="eastAsia" w:ascii="Times New Roman" w:hAnsi="Times New Roman" w:cs="Times New Roman"/>
                      <w:color w:val="auto"/>
                      <w:u w:val="none"/>
                      <w:lang w:val="en-US" w:eastAsia="zh-CN"/>
                    </w:rPr>
                    <w:t>E电力</w:t>
                  </w:r>
                </w:p>
              </w:tc>
              <w:tc>
                <w:tcPr>
                  <w:tcW w:w="1171" w:type="dxa"/>
                  <w:vMerge w:val="restart"/>
                  <w:tcBorders>
                    <w:tl2br w:val="nil"/>
                    <w:tr2bl w:val="nil"/>
                  </w:tcBorders>
                  <w:vAlign w:val="center"/>
                </w:tcPr>
                <w:p w14:paraId="6EACE047">
                  <w:pPr>
                    <w:snapToGrid w:val="0"/>
                    <w:spacing w:line="240" w:lineRule="auto"/>
                    <w:ind w:firstLine="0" w:firstLineChars="0"/>
                    <w:jc w:val="center"/>
                    <w:rPr>
                      <w:rFonts w:ascii="Times New Roman" w:hAnsi="Times New Roman" w:cs="Times New Roman"/>
                      <w:color w:val="auto"/>
                      <w:kern w:val="0"/>
                      <w:sz w:val="21"/>
                      <w:szCs w:val="21"/>
                      <w:u w:val="none"/>
                    </w:rPr>
                  </w:pPr>
                  <w:r>
                    <w:rPr>
                      <w:rFonts w:ascii="Times New Roman" w:hAnsi="Times New Roman" w:cs="Times New Roman"/>
                      <w:color w:val="auto"/>
                      <w:kern w:val="0"/>
                      <w:sz w:val="21"/>
                      <w:szCs w:val="21"/>
                      <w:u w:val="none"/>
                    </w:rPr>
                    <w:t>项目属于</w:t>
                  </w:r>
                  <w:r>
                    <w:rPr>
                      <w:rFonts w:hint="eastAsia" w:ascii="Times New Roman" w:hAnsi="Times New Roman" w:eastAsia="宋体" w:cs="Times New Roman"/>
                      <w:color w:val="auto"/>
                      <w:kern w:val="0"/>
                      <w:sz w:val="21"/>
                      <w:szCs w:val="21"/>
                      <w:u w:val="none"/>
                    </w:rPr>
                    <w:t>Ⅳ</w:t>
                  </w:r>
                  <w:r>
                    <w:rPr>
                      <w:rFonts w:ascii="Times New Roman" w:hAnsi="Times New Roman" w:cs="Times New Roman"/>
                      <w:color w:val="auto"/>
                      <w:kern w:val="0"/>
                      <w:sz w:val="21"/>
                      <w:szCs w:val="21"/>
                      <w:u w:val="none"/>
                    </w:rPr>
                    <w:t>类项目</w:t>
                  </w:r>
                </w:p>
              </w:tc>
            </w:tr>
            <w:tr w14:paraId="77A4BA7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57" w:hRule="atLeast"/>
              </w:trPr>
              <w:tc>
                <w:tcPr>
                  <w:tcW w:w="1636" w:type="dxa"/>
                  <w:tcBorders>
                    <w:tl2br w:val="nil"/>
                    <w:tr2bl w:val="nil"/>
                  </w:tcBorders>
                  <w:vAlign w:val="center"/>
                </w:tcPr>
                <w:p w14:paraId="05166218">
                  <w:pPr>
                    <w:pStyle w:val="50"/>
                    <w:keepNext w:val="0"/>
                    <w:keepLines w:val="0"/>
                    <w:pageBreakBefore w:val="0"/>
                    <w:widowControl/>
                    <w:numPr>
                      <w:ilvl w:val="0"/>
                      <w:numId w:val="0"/>
                    </w:numPr>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kern w:val="0"/>
                      <w:sz w:val="21"/>
                      <w:szCs w:val="21"/>
                      <w:u w:val="none"/>
                      <w:lang w:val="en-US"/>
                    </w:rPr>
                  </w:pPr>
                  <w:r>
                    <w:rPr>
                      <w:rFonts w:hint="eastAsia" w:ascii="Times New Roman" w:hAnsi="Times New Roman" w:eastAsia="宋体" w:cs="Times New Roman"/>
                      <w:color w:val="auto"/>
                      <w:kern w:val="0"/>
                      <w:sz w:val="21"/>
                      <w:szCs w:val="20"/>
                      <w:lang w:val="en-US" w:eastAsia="zh-CN" w:bidi="ar-SA"/>
                    </w:rPr>
                    <w:t>33、</w:t>
                  </w:r>
                  <w:r>
                    <w:rPr>
                      <w:rFonts w:hint="eastAsia" w:ascii="Times New Roman" w:hAnsi="Times New Roman" w:cs="Times New Roman"/>
                      <w:color w:val="auto"/>
                      <w:u w:val="none"/>
                      <w:lang w:val="en-US" w:eastAsia="zh-CN"/>
                    </w:rPr>
                    <w:t>综合利用发电</w:t>
                  </w:r>
                </w:p>
              </w:tc>
              <w:tc>
                <w:tcPr>
                  <w:tcW w:w="1757" w:type="dxa"/>
                  <w:tcBorders>
                    <w:tl2br w:val="nil"/>
                    <w:tr2bl w:val="nil"/>
                  </w:tcBorders>
                  <w:vAlign w:val="center"/>
                </w:tcPr>
                <w:p w14:paraId="7C31F716">
                  <w:pPr>
                    <w:pStyle w:val="50"/>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lang w:val="en-US" w:eastAsia="zh-CN"/>
                    </w:rPr>
                  </w:pPr>
                  <w:r>
                    <w:rPr>
                      <w:rFonts w:hint="eastAsia" w:ascii="Times New Roman" w:hAnsi="Times New Roman" w:cs="Times New Roman"/>
                      <w:color w:val="auto"/>
                      <w:u w:val="none"/>
                      <w:lang w:val="en-US" w:eastAsia="zh-CN"/>
                    </w:rPr>
                    <w:t>利用矸石、油页岩、石油焦等发电</w:t>
                  </w:r>
                </w:p>
              </w:tc>
              <w:tc>
                <w:tcPr>
                  <w:tcW w:w="1776" w:type="dxa"/>
                  <w:tcBorders>
                    <w:tl2br w:val="nil"/>
                    <w:tr2bl w:val="nil"/>
                  </w:tcBorders>
                  <w:vAlign w:val="center"/>
                </w:tcPr>
                <w:p w14:paraId="48A17AE1">
                  <w:pPr>
                    <w:pStyle w:val="50"/>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kern w:val="0"/>
                      <w:sz w:val="21"/>
                      <w:szCs w:val="21"/>
                      <w:u w:val="none"/>
                      <w:lang w:val="en-US"/>
                    </w:rPr>
                  </w:pPr>
                  <w:r>
                    <w:rPr>
                      <w:rFonts w:hint="eastAsia" w:ascii="Times New Roman" w:hAnsi="Times New Roman" w:cs="Times New Roman"/>
                      <w:color w:val="auto"/>
                      <w:u w:val="none"/>
                      <w:lang w:val="en-US" w:eastAsia="zh-CN"/>
                    </w:rPr>
                    <w:t>单纯利用余热、余压、余气（含煤层气）发电</w:t>
                  </w:r>
                </w:p>
              </w:tc>
              <w:tc>
                <w:tcPr>
                  <w:tcW w:w="1357" w:type="dxa"/>
                  <w:tcBorders>
                    <w:tl2br w:val="nil"/>
                    <w:tr2bl w:val="nil"/>
                  </w:tcBorders>
                  <w:vAlign w:val="center"/>
                </w:tcPr>
                <w:p w14:paraId="46970C78">
                  <w:pPr>
                    <w:pStyle w:val="50"/>
                    <w:keepNext w:val="0"/>
                    <w:keepLines w:val="0"/>
                    <w:pageBreakBefore w:val="0"/>
                    <w:widowControl/>
                    <w:kinsoku/>
                    <w:wordWrap/>
                    <w:overflowPunct/>
                    <w:topLinePunct w:val="0"/>
                    <w:autoSpaceDE/>
                    <w:autoSpaceDN/>
                    <w:bidi w:val="0"/>
                    <w:adjustRightInd/>
                    <w:snapToGrid/>
                    <w:ind w:firstLine="0" w:firstLineChars="0"/>
                    <w:jc w:val="center"/>
                    <w:textAlignment w:val="auto"/>
                    <w:rPr>
                      <w:rFonts w:ascii="Times New Roman" w:hAnsi="Times New Roman" w:cs="Times New Roman"/>
                      <w:color w:val="auto"/>
                      <w:kern w:val="0"/>
                      <w:sz w:val="21"/>
                      <w:szCs w:val="21"/>
                      <w:u w:val="none"/>
                    </w:rPr>
                  </w:pPr>
                  <w:r>
                    <w:rPr>
                      <w:rFonts w:hint="eastAsia" w:ascii="Times New Roman" w:hAnsi="Times New Roman" w:cs="Times New Roman"/>
                      <w:color w:val="auto"/>
                      <w:u w:val="none"/>
                      <w:lang w:val="en-US" w:eastAsia="zh-CN"/>
                    </w:rPr>
                    <w:t>Ⅲ类</w:t>
                  </w:r>
                </w:p>
              </w:tc>
              <w:tc>
                <w:tcPr>
                  <w:tcW w:w="961" w:type="dxa"/>
                  <w:tcBorders>
                    <w:tl2br w:val="nil"/>
                    <w:tr2bl w:val="nil"/>
                  </w:tcBorders>
                  <w:vAlign w:val="center"/>
                </w:tcPr>
                <w:p w14:paraId="55FBCC83">
                  <w:pPr>
                    <w:pStyle w:val="50"/>
                    <w:keepNext w:val="0"/>
                    <w:keepLines w:val="0"/>
                    <w:pageBreakBefore w:val="0"/>
                    <w:widowControl/>
                    <w:kinsoku/>
                    <w:wordWrap/>
                    <w:overflowPunct/>
                    <w:topLinePunct w:val="0"/>
                    <w:autoSpaceDE/>
                    <w:autoSpaceDN/>
                    <w:bidi w:val="0"/>
                    <w:adjustRightInd/>
                    <w:snapToGrid/>
                    <w:ind w:firstLine="0" w:firstLineChars="0"/>
                    <w:jc w:val="center"/>
                    <w:textAlignment w:val="auto"/>
                    <w:rPr>
                      <w:rFonts w:ascii="Times New Roman" w:hAnsi="Times New Roman" w:cs="Times New Roman"/>
                      <w:color w:val="auto"/>
                      <w:kern w:val="0"/>
                      <w:sz w:val="21"/>
                      <w:szCs w:val="21"/>
                      <w:u w:val="none"/>
                    </w:rPr>
                  </w:pPr>
                  <w:r>
                    <w:rPr>
                      <w:rFonts w:hint="eastAsia" w:ascii="Times New Roman" w:hAnsi="Times New Roman" w:cs="Times New Roman"/>
                      <w:color w:val="auto"/>
                      <w:u w:val="none"/>
                      <w:lang w:val="en-US" w:eastAsia="zh-CN"/>
                    </w:rPr>
                    <w:t>Ⅳ类</w:t>
                  </w:r>
                </w:p>
              </w:tc>
              <w:tc>
                <w:tcPr>
                  <w:tcW w:w="1171" w:type="dxa"/>
                  <w:vMerge w:val="continue"/>
                  <w:tcBorders>
                    <w:tl2br w:val="nil"/>
                    <w:tr2bl w:val="nil"/>
                  </w:tcBorders>
                  <w:vAlign w:val="center"/>
                </w:tcPr>
                <w:p w14:paraId="6553119F">
                  <w:pPr>
                    <w:spacing w:line="240" w:lineRule="auto"/>
                    <w:ind w:firstLine="0" w:firstLineChars="0"/>
                    <w:jc w:val="center"/>
                    <w:rPr>
                      <w:rFonts w:ascii="Times New Roman" w:hAnsi="Times New Roman" w:cs="Times New Roman"/>
                      <w:color w:val="auto"/>
                      <w:kern w:val="0"/>
                      <w:sz w:val="21"/>
                      <w:szCs w:val="21"/>
                      <w:u w:val="none"/>
                    </w:rPr>
                  </w:pPr>
                </w:p>
              </w:tc>
            </w:tr>
          </w:tbl>
          <w:p w14:paraId="3A88396A">
            <w:pPr>
              <w:spacing w:line="360" w:lineRule="auto"/>
              <w:ind w:firstLine="480" w:firstLineChars="200"/>
              <w:rPr>
                <w:rFonts w:hint="default" w:ascii="Times New Roman" w:hAnsi="Times New Roman" w:eastAsia="宋体" w:cs="Times New Roman"/>
                <w:color w:val="auto"/>
                <w:sz w:val="24"/>
                <w:u w:val="none"/>
                <w:lang w:val="en-US" w:eastAsia="zh-CN"/>
              </w:rPr>
            </w:pPr>
            <w:r>
              <w:rPr>
                <w:rFonts w:hint="eastAsia" w:ascii="Times New Roman" w:hAnsi="Times New Roman" w:eastAsia="宋体" w:cs="Times New Roman"/>
                <w:color w:val="auto"/>
                <w:sz w:val="24"/>
                <w:u w:val="none"/>
                <w:lang w:val="en-US" w:eastAsia="zh-CN"/>
              </w:rPr>
              <w:t>由上表可知，</w:t>
            </w:r>
            <w:r>
              <w:rPr>
                <w:rFonts w:hint="eastAsia" w:ascii="Times New Roman" w:hAnsi="Times New Roman" w:eastAsia="宋体" w:cs="Times New Roman"/>
                <w:color w:val="auto"/>
                <w:sz w:val="24"/>
                <w:u w:val="none"/>
              </w:rPr>
              <w:t>本项目属于编制报告表项目的地下水环境影响评价项目类别Ⅳ类建设项目，</w:t>
            </w:r>
            <w:r>
              <w:rPr>
                <w:rFonts w:hint="default" w:ascii="Times New Roman" w:hAnsi="Times New Roman" w:eastAsia="宋体" w:cs="Times New Roman"/>
                <w:color w:val="auto"/>
                <w:sz w:val="24"/>
                <w:szCs w:val="24"/>
                <w:u w:val="none"/>
                <w:lang w:val="en-US" w:eastAsia="zh-CN"/>
              </w:rPr>
              <w:t>IV</w:t>
            </w:r>
            <w:r>
              <w:rPr>
                <w:rFonts w:hint="eastAsia" w:ascii="Times New Roman" w:hAnsi="Times New Roman" w:eastAsia="宋体" w:cs="Times New Roman"/>
                <w:color w:val="auto"/>
                <w:sz w:val="24"/>
                <w:u w:val="none"/>
              </w:rPr>
              <w:t>类建设项目不开展地下水环境影响评价</w:t>
            </w:r>
            <w:r>
              <w:rPr>
                <w:rFonts w:hint="eastAsia" w:ascii="Times New Roman" w:hAnsi="Times New Roman" w:eastAsia="宋体" w:cs="Times New Roman"/>
                <w:color w:val="auto"/>
                <w:sz w:val="24"/>
                <w:u w:val="none"/>
                <w:lang w:eastAsia="zh-CN"/>
              </w:rPr>
              <w:t>，</w:t>
            </w:r>
            <w:r>
              <w:rPr>
                <w:rFonts w:hint="eastAsia" w:ascii="Times New Roman" w:hAnsi="Times New Roman" w:eastAsia="宋体" w:cs="Times New Roman"/>
                <w:color w:val="auto"/>
                <w:sz w:val="24"/>
                <w:u w:val="none"/>
                <w:lang w:val="en-US" w:eastAsia="zh-CN"/>
              </w:rPr>
              <w:t>因此本项目无需开展地下水环境影响评价。</w:t>
            </w:r>
          </w:p>
          <w:p w14:paraId="03215D00">
            <w:pPr>
              <w:adjustRightInd w:val="0"/>
              <w:snapToGrid w:val="0"/>
              <w:spacing w:line="360" w:lineRule="auto"/>
              <w:ind w:firstLine="480"/>
              <w:rPr>
                <w:rFonts w:hint="eastAsia" w:ascii="Times New Roman" w:hAnsi="Times New Roman" w:eastAsia="宋体" w:cs="Times New Roman"/>
                <w:b/>
                <w:bCs w:val="0"/>
                <w:color w:val="auto"/>
                <w:sz w:val="24"/>
                <w:u w:val="none"/>
                <w:lang w:val="en-US" w:eastAsia="zh-CN"/>
              </w:rPr>
            </w:pPr>
            <w:r>
              <w:rPr>
                <w:rFonts w:hint="eastAsia" w:cs="Times New Roman"/>
                <w:b/>
                <w:bCs w:val="0"/>
                <w:color w:val="auto"/>
                <w:sz w:val="24"/>
                <w:u w:val="none"/>
                <w:lang w:val="en-US" w:eastAsia="zh-CN"/>
              </w:rPr>
              <w:t>5</w:t>
            </w:r>
            <w:r>
              <w:rPr>
                <w:rFonts w:hint="eastAsia" w:ascii="Times New Roman" w:hAnsi="Times New Roman" w:cs="Times New Roman"/>
                <w:b/>
                <w:bCs w:val="0"/>
                <w:color w:val="auto"/>
                <w:sz w:val="24"/>
                <w:u w:val="none"/>
                <w:lang w:val="en-US" w:eastAsia="zh-CN"/>
              </w:rPr>
              <w:t>.2</w:t>
            </w:r>
            <w:r>
              <w:rPr>
                <w:rFonts w:hint="eastAsia" w:ascii="Times New Roman" w:hAnsi="Times New Roman" w:eastAsia="宋体" w:cs="Times New Roman"/>
                <w:b/>
                <w:bCs w:val="0"/>
                <w:color w:val="auto"/>
                <w:sz w:val="24"/>
                <w:u w:val="none"/>
                <w:lang w:val="en-US" w:eastAsia="zh-CN"/>
              </w:rPr>
              <w:t>地下水环境保护措施与对策</w:t>
            </w:r>
          </w:p>
          <w:p w14:paraId="24E90D8F">
            <w:pPr>
              <w:spacing w:line="360" w:lineRule="auto"/>
              <w:ind w:firstLine="480" w:firstLineChars="200"/>
              <w:rPr>
                <w:rFonts w:hint="eastAsia" w:cs="Times New Roman"/>
                <w:bCs/>
                <w:color w:val="auto"/>
                <w:kern w:val="2"/>
                <w:sz w:val="24"/>
                <w:szCs w:val="20"/>
                <w:u w:val="none"/>
                <w:lang w:val="en-US" w:eastAsia="zh-CN" w:bidi="ar-SA"/>
              </w:rPr>
            </w:pPr>
            <w:r>
              <w:rPr>
                <w:rFonts w:hint="eastAsia" w:ascii="Times New Roman" w:hAnsi="Times New Roman" w:eastAsia="宋体" w:cs="Times New Roman"/>
                <w:bCs/>
                <w:color w:val="auto"/>
                <w:kern w:val="2"/>
                <w:sz w:val="24"/>
                <w:szCs w:val="20"/>
                <w:u w:val="none"/>
                <w:lang w:val="en-US" w:eastAsia="zh-CN" w:bidi="ar-SA"/>
              </w:rPr>
              <w:t>为防止地下水污染事故的发生，按照地下水保护与污染防治“源头控制、分区防治、污染监控、应急响应”的原则，生产运行过程中要建立健全地下水保护与污染防治的措施与方法；必须采取必要监测制度，一旦发现地下水遭受污染，就应及时采取措施，防微杜渐。评价建议采取如下措施防治项目运营对地下水水质的影响：根据厂区各功能单位可能污染地下水的污染物性质和构筑方式，对照《环境影响评价技术导则--地下水环境》（HJ610-2016）将厂区进行分区防渗。</w:t>
            </w:r>
            <w:r>
              <w:rPr>
                <w:rFonts w:hint="eastAsia" w:cs="Times New Roman"/>
                <w:bCs/>
                <w:color w:val="auto"/>
                <w:kern w:val="2"/>
                <w:sz w:val="24"/>
                <w:szCs w:val="20"/>
                <w:u w:val="none"/>
                <w:lang w:val="en-US" w:eastAsia="zh-CN" w:bidi="ar-SA"/>
              </w:rPr>
              <w:t>其中机组基础、储油池、危废间等进行重点防渗，办公生活区、厂区道路进行地面硬化处理。</w:t>
            </w:r>
          </w:p>
          <w:p w14:paraId="01B2B4AC">
            <w:pPr>
              <w:spacing w:line="360" w:lineRule="auto"/>
              <w:ind w:firstLine="480" w:firstLineChars="200"/>
              <w:rPr>
                <w:rFonts w:hint="default" w:ascii="Times New Roman" w:hAnsi="Times New Roman" w:eastAsia="宋体" w:cs="Times New Roman"/>
                <w:bCs/>
                <w:color w:val="auto"/>
                <w:kern w:val="2"/>
                <w:sz w:val="24"/>
                <w:szCs w:val="20"/>
                <w:u w:val="none"/>
                <w:lang w:val="en-US" w:eastAsia="zh-CN" w:bidi="ar-SA"/>
              </w:rPr>
            </w:pPr>
            <w:r>
              <w:rPr>
                <w:rFonts w:hint="eastAsia" w:cs="Times New Roman"/>
                <w:bCs/>
                <w:color w:val="auto"/>
                <w:kern w:val="2"/>
                <w:sz w:val="24"/>
                <w:szCs w:val="20"/>
                <w:u w:val="none"/>
                <w:lang w:val="en-US" w:eastAsia="zh-CN" w:bidi="ar-SA"/>
              </w:rPr>
              <w:t>为防止机组所在区发生油类物质泄漏事故，拟在机组周边设置导流沟，并设计储油池（相当于事故池），便于一旦发生泄漏事故，可将机油润滑油等引流至储油池，其中机组基础、导流沟、储油池均进行重点防渗，除此之外，环评要求危废间进行重点防渗，按照</w:t>
            </w:r>
            <w:r>
              <w:rPr>
                <w:rFonts w:hint="eastAsia" w:ascii="Times New Roman" w:hAnsi="Times New Roman" w:cs="Times New Roman"/>
                <w:color w:val="auto"/>
                <w:sz w:val="24"/>
                <w:szCs w:val="24"/>
                <w:u w:val="none"/>
                <w:lang w:eastAsia="zh-CN"/>
              </w:rPr>
              <w:t>《危险废物贮存污染控制标准》（GB 18597-2023）</w:t>
            </w:r>
            <w:r>
              <w:rPr>
                <w:rFonts w:hint="default" w:ascii="Times New Roman" w:hAnsi="Times New Roman" w:cs="Times New Roman"/>
                <w:color w:val="auto"/>
                <w:sz w:val="24"/>
                <w:szCs w:val="24"/>
                <w:u w:val="none"/>
              </w:rPr>
              <w:t>要求</w:t>
            </w:r>
            <w:r>
              <w:rPr>
                <w:rFonts w:hint="eastAsia" w:cs="Times New Roman"/>
                <w:color w:val="auto"/>
                <w:sz w:val="24"/>
                <w:szCs w:val="24"/>
                <w:u w:val="none"/>
                <w:lang w:val="en-US" w:eastAsia="zh-CN"/>
              </w:rPr>
              <w:t>进行设置管理。</w:t>
            </w:r>
          </w:p>
          <w:p w14:paraId="196313F1">
            <w:pPr>
              <w:spacing w:line="360" w:lineRule="auto"/>
              <w:ind w:firstLine="480" w:firstLineChars="200"/>
              <w:rPr>
                <w:rFonts w:hint="eastAsia" w:ascii="Times New Roman" w:hAnsi="Times New Roman" w:eastAsia="宋体" w:cs="Times New Roman"/>
                <w:bCs/>
                <w:color w:val="auto"/>
                <w:kern w:val="2"/>
                <w:sz w:val="24"/>
                <w:szCs w:val="20"/>
                <w:u w:val="none"/>
                <w:lang w:val="en-US" w:eastAsia="zh-CN" w:bidi="ar-SA"/>
              </w:rPr>
            </w:pPr>
            <w:r>
              <w:rPr>
                <w:rFonts w:hint="eastAsia" w:ascii="Times New Roman" w:hAnsi="Times New Roman" w:eastAsia="宋体" w:cs="Times New Roman"/>
                <w:bCs/>
                <w:color w:val="auto"/>
                <w:kern w:val="2"/>
                <w:sz w:val="24"/>
                <w:szCs w:val="20"/>
                <w:u w:val="none"/>
                <w:lang w:val="en-US" w:eastAsia="zh-CN" w:bidi="ar-SA"/>
              </w:rPr>
              <w:t>综上所述，在对可能产生地下水影响的各项污染途径均采取有效措施进行预防，在确保相关防渗、防漏及地面硬化等措施得以落实，并在加强维护和厂区环境管理的前提下，可有效控制</w:t>
            </w:r>
            <w:r>
              <w:rPr>
                <w:rFonts w:hint="eastAsia" w:cs="Times New Roman"/>
                <w:bCs/>
                <w:color w:val="auto"/>
                <w:kern w:val="2"/>
                <w:sz w:val="24"/>
                <w:szCs w:val="20"/>
                <w:u w:val="none"/>
                <w:lang w:val="en-US" w:eastAsia="zh-CN" w:bidi="ar-SA"/>
              </w:rPr>
              <w:t>油类物质等</w:t>
            </w:r>
            <w:r>
              <w:rPr>
                <w:rFonts w:hint="eastAsia" w:ascii="Times New Roman" w:hAnsi="Times New Roman" w:eastAsia="宋体" w:cs="Times New Roman"/>
                <w:bCs/>
                <w:color w:val="auto"/>
                <w:kern w:val="2"/>
                <w:sz w:val="24"/>
                <w:szCs w:val="20"/>
                <w:u w:val="none"/>
                <w:lang w:val="en-US" w:eastAsia="zh-CN" w:bidi="ar-SA"/>
              </w:rPr>
              <w:t>下渗，基本不会对区域地下水产生影响。</w:t>
            </w:r>
          </w:p>
          <w:p w14:paraId="581F8ECB">
            <w:pPr>
              <w:spacing w:line="360" w:lineRule="auto"/>
              <w:ind w:firstLine="482" w:firstLineChars="200"/>
              <w:rPr>
                <w:rFonts w:ascii="Times New Roman" w:hAnsi="Times New Roman" w:cs="Times New Roman"/>
                <w:b/>
                <w:bCs w:val="0"/>
                <w:color w:val="auto"/>
                <w:sz w:val="24"/>
                <w:u w:val="none"/>
              </w:rPr>
            </w:pPr>
            <w:r>
              <w:rPr>
                <w:rFonts w:hint="eastAsia" w:cs="Times New Roman"/>
                <w:b/>
                <w:bCs w:val="0"/>
                <w:color w:val="auto"/>
                <w:sz w:val="24"/>
                <w:u w:val="none"/>
                <w:lang w:val="en-US" w:eastAsia="zh-CN"/>
              </w:rPr>
              <w:t>6、</w:t>
            </w:r>
            <w:r>
              <w:rPr>
                <w:rFonts w:hint="eastAsia" w:ascii="Times New Roman" w:hAnsi="Times New Roman" w:cs="Times New Roman"/>
                <w:b/>
                <w:bCs w:val="0"/>
                <w:color w:val="auto"/>
                <w:sz w:val="24"/>
                <w:u w:val="none"/>
                <w:lang w:val="en-US" w:eastAsia="zh-CN"/>
              </w:rPr>
              <w:t>土壤</w:t>
            </w:r>
            <w:r>
              <w:rPr>
                <w:rFonts w:hint="eastAsia" w:ascii="Times New Roman" w:hAnsi="Times New Roman" w:cs="Times New Roman"/>
                <w:b/>
                <w:bCs w:val="0"/>
                <w:color w:val="auto"/>
                <w:sz w:val="24"/>
                <w:u w:val="none"/>
              </w:rPr>
              <w:t>环境影响分析</w:t>
            </w:r>
          </w:p>
          <w:p w14:paraId="6590404C">
            <w:pPr>
              <w:adjustRightInd w:val="0"/>
              <w:snapToGrid w:val="0"/>
              <w:spacing w:line="360" w:lineRule="auto"/>
              <w:ind w:firstLine="480"/>
              <w:rPr>
                <w:rFonts w:hint="eastAsia" w:ascii="Times New Roman" w:hAnsi="Times New Roman" w:eastAsia="宋体" w:cs="Times New Roman"/>
                <w:b/>
                <w:bCs w:val="0"/>
                <w:color w:val="auto"/>
                <w:sz w:val="24"/>
                <w:u w:val="none"/>
                <w:lang w:val="en-US" w:eastAsia="zh-CN"/>
              </w:rPr>
            </w:pPr>
            <w:r>
              <w:rPr>
                <w:rFonts w:hint="eastAsia" w:cs="Times New Roman"/>
                <w:b/>
                <w:bCs w:val="0"/>
                <w:color w:val="auto"/>
                <w:sz w:val="24"/>
                <w:u w:val="none"/>
                <w:lang w:val="en-US" w:eastAsia="zh-CN"/>
              </w:rPr>
              <w:t>6</w:t>
            </w:r>
            <w:r>
              <w:rPr>
                <w:rFonts w:hint="eastAsia" w:ascii="Times New Roman" w:hAnsi="Times New Roman" w:cs="Times New Roman"/>
                <w:b/>
                <w:bCs w:val="0"/>
                <w:color w:val="auto"/>
                <w:sz w:val="24"/>
                <w:u w:val="none"/>
                <w:lang w:val="en-US" w:eastAsia="zh-CN"/>
              </w:rPr>
              <w:t>.1</w:t>
            </w:r>
            <w:r>
              <w:rPr>
                <w:rFonts w:hint="eastAsia" w:ascii="Times New Roman" w:hAnsi="Times New Roman" w:eastAsia="宋体" w:cs="Times New Roman"/>
                <w:b/>
                <w:bCs w:val="0"/>
                <w:color w:val="auto"/>
                <w:sz w:val="24"/>
                <w:u w:val="none"/>
                <w:lang w:val="en-US" w:eastAsia="zh-CN"/>
              </w:rPr>
              <w:t>土壤环境影响评价分类</w:t>
            </w:r>
          </w:p>
          <w:p w14:paraId="46FB0353">
            <w:pPr>
              <w:spacing w:line="360" w:lineRule="auto"/>
              <w:ind w:firstLine="480" w:firstLineChars="200"/>
              <w:rPr>
                <w:rFonts w:hint="eastAsia" w:ascii="Times New Roman" w:hAnsi="Times New Roman" w:eastAsia="宋体" w:cs="Times New Roman"/>
                <w:b w:val="0"/>
                <w:bCs/>
                <w:color w:val="auto"/>
                <w:sz w:val="24"/>
                <w:u w:val="none"/>
                <w:lang w:val="en-US" w:eastAsia="zh-CN"/>
              </w:rPr>
            </w:pPr>
            <w:r>
              <w:rPr>
                <w:rFonts w:hint="eastAsia" w:ascii="Times New Roman" w:hAnsi="Times New Roman" w:eastAsia="宋体" w:cs="Times New Roman"/>
                <w:bCs/>
                <w:color w:val="auto"/>
                <w:kern w:val="2"/>
                <w:sz w:val="24"/>
                <w:u w:val="none"/>
                <w:lang w:val="en-US" w:eastAsia="zh-CN" w:bidi="ar-SA"/>
              </w:rPr>
              <w:t>本项目在</w:t>
            </w:r>
            <w:r>
              <w:rPr>
                <w:rFonts w:hint="eastAsia" w:cs="Times New Roman"/>
                <w:bCs/>
                <w:color w:val="auto"/>
                <w:kern w:val="2"/>
                <w:sz w:val="24"/>
                <w:u w:val="none"/>
                <w:lang w:val="en-US" w:eastAsia="zh-CN" w:bidi="ar-SA"/>
              </w:rPr>
              <w:t>平顶山市叶县洪庄杨乡张集村、贾庄村</w:t>
            </w:r>
            <w:r>
              <w:rPr>
                <w:rFonts w:hint="eastAsia" w:ascii="Times New Roman" w:hAnsi="Times New Roman" w:eastAsia="宋体" w:cs="Times New Roman"/>
                <w:bCs/>
                <w:color w:val="auto"/>
                <w:kern w:val="2"/>
                <w:sz w:val="24"/>
                <w:u w:val="none"/>
                <w:lang w:val="en-US" w:eastAsia="zh-CN" w:bidi="ar-SA"/>
              </w:rPr>
              <w:t>，</w:t>
            </w:r>
            <w:r>
              <w:rPr>
                <w:rFonts w:hint="eastAsia" w:ascii="Times New Roman" w:hAnsi="Times New Roman" w:eastAsia="宋体" w:cs="Times New Roman"/>
                <w:b w:val="0"/>
                <w:bCs/>
                <w:color w:val="auto"/>
                <w:sz w:val="24"/>
                <w:u w:val="none"/>
                <w:lang w:val="en-US" w:eastAsia="zh-CN"/>
              </w:rPr>
              <w:t>本项目对照《环境影响评价技术导则</w:t>
            </w:r>
            <w:r>
              <w:rPr>
                <w:rFonts w:hint="eastAsia" w:ascii="Times New Roman" w:hAnsi="Times New Roman" w:eastAsia="宋体" w:cs="Times New Roman"/>
                <w:bCs/>
                <w:color w:val="auto"/>
                <w:kern w:val="2"/>
                <w:sz w:val="24"/>
                <w:u w:val="none"/>
                <w:lang w:val="en-US" w:eastAsia="zh-CN" w:bidi="ar-SA"/>
              </w:rPr>
              <w:t>土壤环境（试行）》附录</w:t>
            </w:r>
            <w:r>
              <w:rPr>
                <w:rFonts w:hint="default" w:ascii="Times New Roman" w:hAnsi="Times New Roman" w:eastAsia="宋体" w:cs="Times New Roman"/>
                <w:bCs/>
                <w:color w:val="auto"/>
                <w:kern w:val="2"/>
                <w:sz w:val="24"/>
                <w:u w:val="none"/>
                <w:lang w:val="en-US" w:eastAsia="zh-CN" w:bidi="ar-SA"/>
              </w:rPr>
              <w:t>A</w:t>
            </w:r>
            <w:r>
              <w:rPr>
                <w:rFonts w:hint="eastAsia" w:ascii="Times New Roman" w:hAnsi="Times New Roman" w:eastAsia="宋体" w:cs="Times New Roman"/>
                <w:bCs/>
                <w:color w:val="auto"/>
                <w:kern w:val="2"/>
                <w:sz w:val="24"/>
                <w:u w:val="none"/>
                <w:lang w:val="en-US" w:eastAsia="zh-CN" w:bidi="ar-SA"/>
              </w:rPr>
              <w:t>，见下表</w:t>
            </w:r>
            <w:r>
              <w:rPr>
                <w:rFonts w:hint="eastAsia" w:ascii="Times New Roman" w:hAnsi="Times New Roman" w:eastAsia="宋体" w:cs="Times New Roman"/>
                <w:b w:val="0"/>
                <w:bCs/>
                <w:color w:val="auto"/>
                <w:sz w:val="24"/>
                <w:u w:val="none"/>
                <w:lang w:val="en-US" w:eastAsia="zh-CN"/>
              </w:rPr>
              <w:t>。</w:t>
            </w:r>
          </w:p>
          <w:p w14:paraId="4737A88B">
            <w:pPr>
              <w:pStyle w:val="102"/>
              <w:keepNext w:val="0"/>
              <w:keepLines w:val="0"/>
              <w:pageBreakBefore w:val="0"/>
              <w:widowControl w:val="0"/>
              <w:numPr>
                <w:ilvl w:val="0"/>
                <w:numId w:val="0"/>
              </w:numPr>
              <w:kinsoku/>
              <w:wordWrap/>
              <w:overflowPunct/>
              <w:topLinePunct w:val="0"/>
              <w:autoSpaceDE w:val="0"/>
              <w:autoSpaceDN/>
              <w:bidi w:val="0"/>
              <w:adjustRightInd/>
              <w:snapToGrid/>
              <w:spacing w:before="0" w:line="240" w:lineRule="auto"/>
              <w:ind w:right="0" w:rightChars="0"/>
              <w:jc w:val="center"/>
              <w:textAlignment w:val="auto"/>
              <w:rPr>
                <w:rFonts w:hint="eastAsia" w:ascii="Times New Roman" w:hAnsi="Times New Roman" w:eastAsia="黑体" w:cs="Times New Roman"/>
                <w:color w:val="auto"/>
                <w:kern w:val="0"/>
                <w:sz w:val="24"/>
                <w:szCs w:val="20"/>
                <w:u w:val="none"/>
                <w:lang w:val="en-US" w:eastAsia="zh-CN" w:bidi="zh-CN"/>
              </w:rPr>
            </w:pPr>
            <w:r>
              <w:rPr>
                <w:rFonts w:hint="eastAsia" w:ascii="Times New Roman" w:hAnsi="Times New Roman" w:eastAsia="黑体" w:cs="Times New Roman"/>
                <w:color w:val="auto"/>
                <w:kern w:val="0"/>
                <w:sz w:val="24"/>
                <w:szCs w:val="20"/>
                <w:u w:val="none"/>
                <w:lang w:val="en-US" w:eastAsia="zh-CN" w:bidi="zh-CN"/>
              </w:rPr>
              <w:t>表</w:t>
            </w:r>
            <w:r>
              <w:rPr>
                <w:rFonts w:hint="eastAsia" w:eastAsia="黑体" w:cs="Times New Roman"/>
                <w:color w:val="auto"/>
                <w:kern w:val="0"/>
                <w:sz w:val="24"/>
                <w:szCs w:val="20"/>
                <w:u w:val="none"/>
                <w:lang w:val="en-US" w:eastAsia="zh-CN" w:bidi="zh-CN"/>
              </w:rPr>
              <w:t>4-14</w:t>
            </w:r>
            <w:r>
              <w:rPr>
                <w:rFonts w:hint="eastAsia" w:ascii="Times New Roman" w:hAnsi="Times New Roman" w:eastAsia="黑体" w:cs="Times New Roman"/>
                <w:color w:val="auto"/>
                <w:kern w:val="0"/>
                <w:sz w:val="24"/>
                <w:szCs w:val="20"/>
                <w:u w:val="none"/>
                <w:lang w:val="en-US" w:eastAsia="zh-CN" w:bidi="zh-CN"/>
              </w:rPr>
              <w:t xml:space="preserve"> 土壤环境影响评价分类</w:t>
            </w:r>
          </w:p>
          <w:tbl>
            <w:tblPr>
              <w:tblStyle w:val="32"/>
              <w:tblW w:w="8659" w:type="dxa"/>
              <w:jc w:val="center"/>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41"/>
              <w:gridCol w:w="1243"/>
              <w:gridCol w:w="2599"/>
              <w:gridCol w:w="2825"/>
              <w:gridCol w:w="751"/>
            </w:tblGrid>
            <w:tr w14:paraId="71BEFB30">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70" w:hRule="atLeast"/>
                <w:jc w:val="center"/>
              </w:trPr>
              <w:tc>
                <w:tcPr>
                  <w:tcW w:w="1241" w:type="dxa"/>
                  <w:vMerge w:val="restart"/>
                  <w:tcBorders>
                    <w:tl2br w:val="nil"/>
                    <w:tr2bl w:val="nil"/>
                  </w:tcBorders>
                  <w:vAlign w:val="center"/>
                </w:tcPr>
                <w:p w14:paraId="56D6D1D3">
                  <w:pPr>
                    <w:pStyle w:val="50"/>
                    <w:bidi w:val="0"/>
                    <w:spacing w:line="240" w:lineRule="auto"/>
                    <w:jc w:val="center"/>
                    <w:rPr>
                      <w:rFonts w:hint="default" w:ascii="Times New Roman" w:hAnsi="Times New Roman" w:eastAsia="宋体" w:cs="Times New Roman"/>
                      <w:b/>
                      <w:bCs/>
                      <w:color w:val="auto"/>
                      <w:sz w:val="21"/>
                      <w:szCs w:val="21"/>
                      <w:u w:val="none"/>
                      <w:lang w:val="en-US" w:eastAsia="zh-CN"/>
                    </w:rPr>
                  </w:pPr>
                  <w:r>
                    <w:rPr>
                      <w:rFonts w:hint="default" w:ascii="Times New Roman" w:hAnsi="Times New Roman" w:eastAsia="宋体" w:cs="Times New Roman"/>
                      <w:b/>
                      <w:bCs/>
                      <w:color w:val="auto"/>
                      <w:sz w:val="21"/>
                      <w:szCs w:val="21"/>
                      <w:u w:val="none"/>
                      <w:lang w:val="en-US" w:eastAsia="zh-CN"/>
                    </w:rPr>
                    <w:t>行业类别</w:t>
                  </w:r>
                </w:p>
              </w:tc>
              <w:tc>
                <w:tcPr>
                  <w:tcW w:w="7418" w:type="dxa"/>
                  <w:gridSpan w:val="4"/>
                  <w:tcBorders>
                    <w:tl2br w:val="nil"/>
                    <w:tr2bl w:val="nil"/>
                  </w:tcBorders>
                  <w:vAlign w:val="center"/>
                </w:tcPr>
                <w:p w14:paraId="5168D7D0">
                  <w:pPr>
                    <w:pStyle w:val="50"/>
                    <w:bidi w:val="0"/>
                    <w:spacing w:line="240" w:lineRule="auto"/>
                    <w:jc w:val="center"/>
                    <w:rPr>
                      <w:rFonts w:hint="default" w:ascii="Times New Roman" w:hAnsi="Times New Roman" w:eastAsia="宋体" w:cs="Times New Roman"/>
                      <w:b/>
                      <w:bCs/>
                      <w:color w:val="auto"/>
                      <w:sz w:val="21"/>
                      <w:szCs w:val="21"/>
                      <w:u w:val="none"/>
                      <w:lang w:val="en-US" w:eastAsia="zh-CN"/>
                    </w:rPr>
                  </w:pPr>
                  <w:r>
                    <w:rPr>
                      <w:rFonts w:hint="default" w:ascii="Times New Roman" w:hAnsi="Times New Roman" w:eastAsia="宋体" w:cs="Times New Roman"/>
                      <w:b/>
                      <w:bCs/>
                      <w:color w:val="auto"/>
                      <w:sz w:val="21"/>
                      <w:szCs w:val="21"/>
                      <w:u w:val="none"/>
                      <w:lang w:val="en-US" w:eastAsia="zh-CN"/>
                    </w:rPr>
                    <w:t>环境影响评价类别</w:t>
                  </w:r>
                </w:p>
              </w:tc>
            </w:tr>
            <w:tr w14:paraId="243E7200">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1241" w:type="dxa"/>
                  <w:vMerge w:val="continue"/>
                  <w:tcBorders>
                    <w:tl2br w:val="nil"/>
                    <w:tr2bl w:val="nil"/>
                  </w:tcBorders>
                  <w:vAlign w:val="center"/>
                </w:tcPr>
                <w:p w14:paraId="5B3E2B30">
                  <w:pPr>
                    <w:pStyle w:val="50"/>
                    <w:bidi w:val="0"/>
                    <w:spacing w:line="240" w:lineRule="auto"/>
                    <w:jc w:val="center"/>
                    <w:rPr>
                      <w:rFonts w:hint="default" w:ascii="Times New Roman" w:hAnsi="Times New Roman" w:eastAsia="宋体" w:cs="Times New Roman"/>
                      <w:b/>
                      <w:bCs/>
                      <w:color w:val="auto"/>
                      <w:sz w:val="21"/>
                      <w:szCs w:val="21"/>
                      <w:u w:val="none"/>
                      <w:lang w:val="en-US" w:eastAsia="zh-CN"/>
                    </w:rPr>
                  </w:pPr>
                </w:p>
              </w:tc>
              <w:tc>
                <w:tcPr>
                  <w:tcW w:w="1243" w:type="dxa"/>
                  <w:tcBorders>
                    <w:tl2br w:val="nil"/>
                    <w:tr2bl w:val="nil"/>
                  </w:tcBorders>
                  <w:vAlign w:val="center"/>
                </w:tcPr>
                <w:p w14:paraId="41F4116E">
                  <w:pPr>
                    <w:pStyle w:val="50"/>
                    <w:bidi w:val="0"/>
                    <w:spacing w:line="240" w:lineRule="auto"/>
                    <w:jc w:val="center"/>
                    <w:rPr>
                      <w:rFonts w:hint="default" w:ascii="Times New Roman" w:hAnsi="Times New Roman" w:eastAsia="宋体" w:cs="Times New Roman"/>
                      <w:b/>
                      <w:bCs/>
                      <w:color w:val="auto"/>
                      <w:sz w:val="21"/>
                      <w:szCs w:val="21"/>
                      <w:u w:val="none"/>
                      <w:lang w:val="en-US" w:eastAsia="zh-CN"/>
                    </w:rPr>
                  </w:pPr>
                  <w:r>
                    <w:rPr>
                      <w:rFonts w:hint="default" w:ascii="Times New Roman" w:hAnsi="Times New Roman" w:eastAsia="宋体" w:cs="Times New Roman"/>
                      <w:b/>
                      <w:bCs/>
                      <w:color w:val="auto"/>
                      <w:sz w:val="21"/>
                      <w:szCs w:val="21"/>
                      <w:u w:val="none"/>
                      <w:lang w:val="en-US" w:eastAsia="zh-CN"/>
                    </w:rPr>
                    <w:t>I</w:t>
                  </w:r>
                </w:p>
              </w:tc>
              <w:tc>
                <w:tcPr>
                  <w:tcW w:w="2599" w:type="dxa"/>
                  <w:tcBorders>
                    <w:tl2br w:val="nil"/>
                    <w:tr2bl w:val="nil"/>
                  </w:tcBorders>
                  <w:vAlign w:val="center"/>
                </w:tcPr>
                <w:p w14:paraId="06E5869A">
                  <w:pPr>
                    <w:pStyle w:val="50"/>
                    <w:bidi w:val="0"/>
                    <w:spacing w:line="240" w:lineRule="auto"/>
                    <w:jc w:val="center"/>
                    <w:rPr>
                      <w:rFonts w:hint="default" w:ascii="Times New Roman" w:hAnsi="Times New Roman" w:eastAsia="宋体" w:cs="Times New Roman"/>
                      <w:b/>
                      <w:bCs/>
                      <w:color w:val="auto"/>
                      <w:sz w:val="21"/>
                      <w:szCs w:val="21"/>
                      <w:u w:val="none"/>
                      <w:lang w:val="en-US" w:eastAsia="zh-CN"/>
                    </w:rPr>
                  </w:pPr>
                  <w:r>
                    <w:rPr>
                      <w:rFonts w:hint="default" w:ascii="Times New Roman" w:hAnsi="Times New Roman" w:eastAsia="宋体" w:cs="Times New Roman"/>
                      <w:b/>
                      <w:bCs/>
                      <w:color w:val="auto"/>
                      <w:sz w:val="21"/>
                      <w:szCs w:val="21"/>
                      <w:u w:val="none"/>
                      <w:lang w:val="en-US" w:eastAsia="zh-CN"/>
                    </w:rPr>
                    <w:t>II</w:t>
                  </w:r>
                </w:p>
              </w:tc>
              <w:tc>
                <w:tcPr>
                  <w:tcW w:w="2825" w:type="dxa"/>
                  <w:tcBorders>
                    <w:tl2br w:val="nil"/>
                    <w:tr2bl w:val="nil"/>
                  </w:tcBorders>
                  <w:vAlign w:val="center"/>
                </w:tcPr>
                <w:p w14:paraId="1901853D">
                  <w:pPr>
                    <w:pStyle w:val="50"/>
                    <w:bidi w:val="0"/>
                    <w:spacing w:line="240" w:lineRule="auto"/>
                    <w:jc w:val="center"/>
                    <w:rPr>
                      <w:rFonts w:hint="default" w:ascii="Times New Roman" w:hAnsi="Times New Roman" w:eastAsia="宋体" w:cs="Times New Roman"/>
                      <w:b/>
                      <w:bCs/>
                      <w:color w:val="auto"/>
                      <w:sz w:val="21"/>
                      <w:szCs w:val="21"/>
                      <w:u w:val="none"/>
                      <w:lang w:val="en-US" w:eastAsia="zh-CN"/>
                    </w:rPr>
                  </w:pPr>
                  <w:r>
                    <w:rPr>
                      <w:rFonts w:hint="default" w:ascii="Times New Roman" w:hAnsi="Times New Roman" w:eastAsia="宋体" w:cs="Times New Roman"/>
                      <w:b/>
                      <w:bCs/>
                      <w:color w:val="auto"/>
                      <w:sz w:val="21"/>
                      <w:szCs w:val="21"/>
                      <w:u w:val="none"/>
                      <w:lang w:val="en-US" w:eastAsia="zh-CN"/>
                    </w:rPr>
                    <w:t>Ⅲ</w:t>
                  </w:r>
                </w:p>
              </w:tc>
              <w:tc>
                <w:tcPr>
                  <w:tcW w:w="751" w:type="dxa"/>
                  <w:tcBorders>
                    <w:tl2br w:val="nil"/>
                    <w:tr2bl w:val="nil"/>
                  </w:tcBorders>
                  <w:vAlign w:val="center"/>
                </w:tcPr>
                <w:p w14:paraId="5E60F0DE">
                  <w:pPr>
                    <w:pStyle w:val="50"/>
                    <w:bidi w:val="0"/>
                    <w:spacing w:line="240" w:lineRule="auto"/>
                    <w:jc w:val="center"/>
                    <w:rPr>
                      <w:rFonts w:hint="default" w:ascii="Times New Roman" w:hAnsi="Times New Roman" w:eastAsia="宋体" w:cs="Times New Roman"/>
                      <w:b/>
                      <w:bCs/>
                      <w:color w:val="auto"/>
                      <w:sz w:val="21"/>
                      <w:szCs w:val="21"/>
                      <w:u w:val="none"/>
                      <w:lang w:val="en-US" w:eastAsia="zh-CN"/>
                    </w:rPr>
                  </w:pPr>
                  <w:r>
                    <w:rPr>
                      <w:rFonts w:hint="default" w:ascii="Times New Roman" w:hAnsi="Times New Roman" w:eastAsia="宋体" w:cs="Times New Roman"/>
                      <w:b/>
                      <w:bCs/>
                      <w:color w:val="auto"/>
                      <w:sz w:val="21"/>
                      <w:szCs w:val="21"/>
                      <w:u w:val="none"/>
                      <w:lang w:val="en-US" w:eastAsia="zh-CN"/>
                    </w:rPr>
                    <w:t>IV</w:t>
                  </w:r>
                </w:p>
              </w:tc>
            </w:tr>
            <w:tr w14:paraId="4FAD4799">
              <w:tblPrEx>
                <w:tblBorders>
                  <w:top w:val="single" w:color="auto" w:sz="4" w:space="0"/>
                  <w:left w:val="single" w:color="auto" w:sz="6" w:space="0"/>
                  <w:bottom w:val="single" w:color="000000"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09" w:hRule="atLeast"/>
                <w:jc w:val="center"/>
              </w:trPr>
              <w:tc>
                <w:tcPr>
                  <w:tcW w:w="1241" w:type="dxa"/>
                  <w:tcBorders>
                    <w:tl2br w:val="nil"/>
                    <w:tr2bl w:val="nil"/>
                  </w:tcBorders>
                  <w:vAlign w:val="center"/>
                </w:tcPr>
                <w:p w14:paraId="1513DB91">
                  <w:pPr>
                    <w:pStyle w:val="50"/>
                    <w:bidi w:val="0"/>
                    <w:spacing w:line="240" w:lineRule="auto"/>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电力热力燃气及水生产和供应业</w:t>
                  </w:r>
                </w:p>
              </w:tc>
              <w:tc>
                <w:tcPr>
                  <w:tcW w:w="1243" w:type="dxa"/>
                  <w:tcBorders>
                    <w:tl2br w:val="nil"/>
                    <w:tr2bl w:val="nil"/>
                  </w:tcBorders>
                  <w:vAlign w:val="center"/>
                </w:tcPr>
                <w:p w14:paraId="4E9F6F9B">
                  <w:pPr>
                    <w:pStyle w:val="50"/>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u w:val="none"/>
                      <w:lang w:val="en-US" w:eastAsia="zh-CN"/>
                    </w:rPr>
                  </w:pPr>
                  <w:r>
                    <w:rPr>
                      <w:rFonts w:hint="eastAsia" w:ascii="Times New Roman" w:hAnsi="Times New Roman" w:eastAsia="宋体" w:cs="Times New Roman"/>
                      <w:color w:val="auto"/>
                      <w:u w:val="none"/>
                      <w:lang w:val="en-US" w:eastAsia="zh-CN"/>
                    </w:rPr>
                    <w:t>生活垃圾及污泥发电</w:t>
                  </w:r>
                </w:p>
              </w:tc>
              <w:tc>
                <w:tcPr>
                  <w:tcW w:w="2599" w:type="dxa"/>
                  <w:tcBorders>
                    <w:tl2br w:val="nil"/>
                    <w:tr2bl w:val="nil"/>
                  </w:tcBorders>
                  <w:vAlign w:val="center"/>
                </w:tcPr>
                <w:p w14:paraId="591EBAE6">
                  <w:pPr>
                    <w:pStyle w:val="50"/>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u w:val="none"/>
                      <w:lang w:val="en-US" w:eastAsia="zh-CN"/>
                    </w:rPr>
                  </w:pPr>
                  <w:r>
                    <w:rPr>
                      <w:rFonts w:hint="eastAsia" w:ascii="Times New Roman" w:hAnsi="Times New Roman" w:eastAsia="宋体" w:cs="Times New Roman"/>
                      <w:color w:val="auto"/>
                      <w:u w:val="none"/>
                      <w:lang w:val="en-US" w:eastAsia="zh-CN"/>
                    </w:rPr>
                    <w:t>水力发电火力发电（燃气发电除外）研石、油页岩、石油焦等综合利用发电工业废水处理燃气生产</w:t>
                  </w:r>
                </w:p>
              </w:tc>
              <w:tc>
                <w:tcPr>
                  <w:tcW w:w="2825" w:type="dxa"/>
                  <w:tcBorders>
                    <w:tl2br w:val="nil"/>
                    <w:tr2bl w:val="nil"/>
                  </w:tcBorders>
                  <w:vAlign w:val="center"/>
                </w:tcPr>
                <w:p w14:paraId="350B6BF5">
                  <w:pPr>
                    <w:pStyle w:val="50"/>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u w:val="none"/>
                      <w:lang w:val="en-US" w:eastAsia="zh-CN"/>
                    </w:rPr>
                  </w:pPr>
                  <w:r>
                    <w:rPr>
                      <w:rFonts w:hint="eastAsia" w:ascii="Times New Roman" w:hAnsi="Times New Roman" w:eastAsia="宋体" w:cs="Times New Roman"/>
                      <w:color w:val="auto"/>
                      <w:u w:val="none"/>
                      <w:lang w:val="en-US" w:eastAsia="zh-CN"/>
                    </w:rPr>
                    <w:t>生活污水处理</w:t>
                  </w:r>
                  <w:r>
                    <w:rPr>
                      <w:rFonts w:hint="eastAsia" w:ascii="Times New Roman" w:cs="Times New Roman"/>
                      <w:color w:val="auto"/>
                      <w:u w:val="none"/>
                      <w:lang w:val="en-US" w:eastAsia="zh-CN"/>
                    </w:rPr>
                    <w:t>：</w:t>
                  </w:r>
                  <w:r>
                    <w:rPr>
                      <w:rFonts w:hint="eastAsia" w:ascii="Times New Roman" w:hAnsi="Times New Roman" w:eastAsia="宋体" w:cs="Times New Roman"/>
                      <w:color w:val="auto"/>
                      <w:u w:val="none"/>
                      <w:lang w:val="en-US" w:eastAsia="zh-CN"/>
                    </w:rPr>
                    <w:t>燃煤锅炉总容量65t</w:t>
                  </w:r>
                  <w:r>
                    <w:rPr>
                      <w:rFonts w:hint="eastAsia" w:ascii="Times New Roman" w:cs="Times New Roman"/>
                      <w:color w:val="auto"/>
                      <w:u w:val="none"/>
                      <w:lang w:val="en-US" w:eastAsia="zh-CN"/>
                    </w:rPr>
                    <w:t>/</w:t>
                  </w:r>
                  <w:r>
                    <w:rPr>
                      <w:rFonts w:hint="eastAsia" w:ascii="Times New Roman" w:hAnsi="Times New Roman" w:eastAsia="宋体" w:cs="Times New Roman"/>
                      <w:color w:val="auto"/>
                      <w:u w:val="none"/>
                      <w:lang w:val="en-US" w:eastAsia="zh-CN"/>
                    </w:rPr>
                    <w:t>h（不含）以上的热力生产工程</w:t>
                  </w:r>
                  <w:r>
                    <w:rPr>
                      <w:rFonts w:hint="eastAsia" w:ascii="Times New Roman" w:cs="Times New Roman"/>
                      <w:color w:val="auto"/>
                      <w:u w:val="none"/>
                      <w:lang w:val="en-US" w:eastAsia="zh-CN"/>
                    </w:rPr>
                    <w:t>：</w:t>
                  </w:r>
                  <w:r>
                    <w:rPr>
                      <w:rFonts w:hint="eastAsia" w:ascii="Times New Roman" w:hAnsi="Times New Roman" w:eastAsia="宋体" w:cs="Times New Roman"/>
                      <w:color w:val="auto"/>
                      <w:u w:val="none"/>
                      <w:lang w:val="en-US" w:eastAsia="zh-CN"/>
                    </w:rPr>
                    <w:t>德油锅炉总容量65t</w:t>
                  </w:r>
                  <w:r>
                    <w:rPr>
                      <w:rFonts w:hint="eastAsia" w:ascii="Times New Roman" w:cs="Times New Roman"/>
                      <w:color w:val="auto"/>
                      <w:u w:val="none"/>
                      <w:lang w:val="en-US" w:eastAsia="zh-CN"/>
                    </w:rPr>
                    <w:t>/</w:t>
                  </w:r>
                  <w:r>
                    <w:rPr>
                      <w:rFonts w:hint="eastAsia" w:ascii="Times New Roman" w:hAnsi="Times New Roman" w:eastAsia="宋体" w:cs="Times New Roman"/>
                      <w:color w:val="auto"/>
                      <w:u w:val="none"/>
                      <w:lang w:val="en-US" w:eastAsia="zh-CN"/>
                    </w:rPr>
                    <w:t>h（不含）以上的热力生产工程</w:t>
                  </w:r>
                </w:p>
              </w:tc>
              <w:tc>
                <w:tcPr>
                  <w:tcW w:w="751" w:type="dxa"/>
                  <w:tcBorders>
                    <w:tl2br w:val="nil"/>
                    <w:tr2bl w:val="nil"/>
                  </w:tcBorders>
                  <w:vAlign w:val="center"/>
                </w:tcPr>
                <w:p w14:paraId="77AE96F9">
                  <w:pPr>
                    <w:pStyle w:val="50"/>
                    <w:bidi w:val="0"/>
                    <w:spacing w:line="240" w:lineRule="auto"/>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其他</w:t>
                  </w:r>
                </w:p>
              </w:tc>
            </w:tr>
          </w:tbl>
          <w:p w14:paraId="2EC58F5D">
            <w:pPr>
              <w:pStyle w:val="31"/>
              <w:keepNext w:val="0"/>
              <w:keepLines w:val="0"/>
              <w:pageBreakBefore w:val="0"/>
              <w:widowControl w:val="0"/>
              <w:kinsoku/>
              <w:wordWrap/>
              <w:overflowPunct/>
              <w:topLinePunct w:val="0"/>
              <w:autoSpaceDE/>
              <w:autoSpaceDN/>
              <w:bidi w:val="0"/>
              <w:spacing w:after="0" w:line="500" w:lineRule="exact"/>
              <w:ind w:left="0" w:leftChars="0" w:firstLine="480" w:firstLineChars="200"/>
              <w:textAlignment w:val="auto"/>
              <w:rPr>
                <w:rFonts w:hint="eastAsia"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bCs/>
                <w:color w:val="auto"/>
                <w:kern w:val="2"/>
                <w:sz w:val="24"/>
                <w:u w:val="none"/>
                <w:lang w:val="en-US" w:eastAsia="zh-CN" w:bidi="ar-SA"/>
              </w:rPr>
              <w:t>根据《环境影响评价技术导则土壤环境（试行）》（HJ964-2018），本项目属于</w:t>
            </w:r>
            <w:r>
              <w:rPr>
                <w:rFonts w:hint="default" w:ascii="Times New Roman" w:hAnsi="Times New Roman" w:eastAsia="宋体" w:cs="Times New Roman"/>
                <w:color w:val="auto"/>
                <w:sz w:val="24"/>
                <w:szCs w:val="24"/>
                <w:u w:val="none"/>
                <w:lang w:val="en-US" w:eastAsia="zh-CN"/>
              </w:rPr>
              <w:t>IV</w:t>
            </w:r>
            <w:r>
              <w:rPr>
                <w:rFonts w:hint="eastAsia" w:ascii="Times New Roman" w:hAnsi="Times New Roman" w:eastAsia="宋体" w:cs="Times New Roman"/>
                <w:bCs/>
                <w:color w:val="auto"/>
                <w:kern w:val="2"/>
                <w:sz w:val="24"/>
                <w:u w:val="none"/>
                <w:lang w:val="en-US" w:eastAsia="zh-CN" w:bidi="ar-SA"/>
              </w:rPr>
              <w:t>类项目，故本项目可不开展土壤环境影响评价，因此本次评价不再对项目区域土壤现状进行评价分析。</w:t>
            </w:r>
          </w:p>
          <w:p w14:paraId="56C40679">
            <w:pPr>
              <w:keepNext w:val="0"/>
              <w:keepLines w:val="0"/>
              <w:pageBreakBefore w:val="0"/>
              <w:widowControl w:val="0"/>
              <w:kinsoku/>
              <w:wordWrap/>
              <w:overflowPunct/>
              <w:topLinePunct w:val="0"/>
              <w:autoSpaceDE/>
              <w:autoSpaceDN/>
              <w:bidi w:val="0"/>
              <w:adjustRightInd w:val="0"/>
              <w:snapToGrid w:val="0"/>
              <w:spacing w:line="500" w:lineRule="exact"/>
              <w:ind w:firstLine="480"/>
              <w:textAlignment w:val="auto"/>
              <w:rPr>
                <w:rFonts w:hint="eastAsia" w:ascii="Times New Roman" w:hAnsi="Times New Roman" w:eastAsia="宋体" w:cs="Times New Roman"/>
                <w:b/>
                <w:bCs w:val="0"/>
                <w:color w:val="auto"/>
                <w:sz w:val="24"/>
                <w:u w:val="none"/>
              </w:rPr>
            </w:pPr>
            <w:r>
              <w:rPr>
                <w:rFonts w:hint="eastAsia" w:cs="Times New Roman"/>
                <w:b/>
                <w:bCs w:val="0"/>
                <w:color w:val="auto"/>
                <w:sz w:val="24"/>
                <w:u w:val="none"/>
                <w:lang w:val="en-US" w:eastAsia="zh-CN"/>
              </w:rPr>
              <w:t>6</w:t>
            </w:r>
            <w:r>
              <w:rPr>
                <w:rFonts w:hint="eastAsia" w:ascii="Times New Roman" w:hAnsi="Times New Roman" w:cs="Times New Roman"/>
                <w:b/>
                <w:bCs w:val="0"/>
                <w:color w:val="auto"/>
                <w:sz w:val="24"/>
                <w:u w:val="none"/>
                <w:lang w:val="en-US" w:eastAsia="zh-CN"/>
              </w:rPr>
              <w:t>.2</w:t>
            </w:r>
            <w:r>
              <w:rPr>
                <w:rFonts w:hint="eastAsia" w:ascii="Times New Roman" w:hAnsi="Times New Roman" w:eastAsia="宋体" w:cs="Times New Roman"/>
                <w:b/>
                <w:bCs w:val="0"/>
                <w:color w:val="auto"/>
                <w:sz w:val="24"/>
                <w:u w:val="none"/>
              </w:rPr>
              <w:t>污染防控措施</w:t>
            </w:r>
          </w:p>
          <w:p w14:paraId="4D8E9FD7">
            <w:pPr>
              <w:keepNext w:val="0"/>
              <w:keepLines w:val="0"/>
              <w:pageBreakBefore w:val="0"/>
              <w:widowControl w:val="0"/>
              <w:kinsoku/>
              <w:wordWrap/>
              <w:overflowPunct/>
              <w:topLinePunct w:val="0"/>
              <w:autoSpaceDE/>
              <w:autoSpaceDN/>
              <w:bidi w:val="0"/>
              <w:adjustRightInd w:val="0"/>
              <w:snapToGrid w:val="0"/>
              <w:spacing w:line="500" w:lineRule="exact"/>
              <w:ind w:firstLine="480"/>
              <w:textAlignment w:val="auto"/>
              <w:rPr>
                <w:rFonts w:hint="eastAsia" w:ascii="Times New Roman" w:hAnsi="Times New Roman" w:eastAsia="宋体" w:cs="Times New Roman"/>
                <w:bCs/>
                <w:color w:val="auto"/>
                <w:sz w:val="24"/>
                <w:u w:val="none"/>
              </w:rPr>
            </w:pPr>
            <w:r>
              <w:rPr>
                <w:rFonts w:hint="eastAsia" w:ascii="Times New Roman" w:hAnsi="Times New Roman" w:eastAsia="宋体" w:cs="Times New Roman"/>
                <w:bCs/>
                <w:color w:val="auto"/>
                <w:sz w:val="24"/>
                <w:u w:val="none"/>
              </w:rPr>
              <w:t>土壤污染防治贯彻“以防为主，治理为辅，防治结合”的理念，坚持源头控制、防止渗漏、污染监测和应急处理的主动防渗措施与被动防渗措施相结合的原则；治理措施（包括补救措施和修复计划）按照从简单到复杂，遵循技术实用可靠、经济合理、效果明显和目标相符的原则。针对项目可能发生的土壤污染，土壤污染防治措施采取“源头控制措施和分区防控措施”相结合。</w:t>
            </w:r>
          </w:p>
          <w:p w14:paraId="6E632261">
            <w:pPr>
              <w:keepNext w:val="0"/>
              <w:keepLines w:val="0"/>
              <w:pageBreakBefore w:val="0"/>
              <w:widowControl w:val="0"/>
              <w:kinsoku/>
              <w:wordWrap/>
              <w:overflowPunct/>
              <w:topLinePunct w:val="0"/>
              <w:autoSpaceDE/>
              <w:autoSpaceDN/>
              <w:bidi w:val="0"/>
              <w:adjustRightInd w:val="0"/>
              <w:snapToGrid w:val="0"/>
              <w:spacing w:line="500" w:lineRule="exact"/>
              <w:ind w:firstLine="480"/>
              <w:textAlignment w:val="auto"/>
              <w:rPr>
                <w:rFonts w:hint="eastAsia" w:ascii="Times New Roman" w:hAnsi="Times New Roman" w:eastAsia="宋体" w:cs="Times New Roman"/>
                <w:bCs/>
                <w:color w:val="auto"/>
                <w:sz w:val="24"/>
                <w:u w:val="none"/>
              </w:rPr>
            </w:pPr>
            <w:r>
              <w:rPr>
                <w:rFonts w:hint="eastAsia" w:ascii="Times New Roman" w:hAnsi="Times New Roman" w:eastAsia="宋体" w:cs="Times New Roman"/>
                <w:bCs/>
                <w:color w:val="auto"/>
                <w:sz w:val="24"/>
                <w:u w:val="none"/>
              </w:rPr>
              <w:t>（1）源头控制措施：项目应选择先进、成熟、可靠的工艺技术和较清洁的原辅材料，采用清洁生产审核等手段对生产全过程进行控制，并对产生的各类废物进行合理回用和治理，尽可能从源头上减少污染物产生和排放，降低生产过程和末端治理成本。积极开展水循环使用，减少废水排放。严格按照国家相关规范要求，对工艺、设备、仓库等采取相应措施，防止和降低污染物跑冒滴漏，将污染物泄漏环境风险事故降到最低程度。防渗工程设计使用年限不应低于设备、管线及建、构筑物的设计使用年限。</w:t>
            </w:r>
          </w:p>
          <w:p w14:paraId="65E4AA8D">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eastAsia" w:ascii="Times New Roman" w:hAnsi="Times New Roman" w:eastAsia="宋体" w:cs="Times New Roman"/>
                <w:bCs/>
                <w:color w:val="auto"/>
                <w:sz w:val="24"/>
                <w:highlight w:val="none"/>
                <w:u w:val="none"/>
                <w:lang w:val="en-US" w:eastAsia="zh-CN"/>
              </w:rPr>
            </w:pPr>
            <w:r>
              <w:rPr>
                <w:rFonts w:hint="eastAsia" w:ascii="Times New Roman" w:hAnsi="Times New Roman" w:eastAsia="宋体" w:cs="Times New Roman"/>
                <w:bCs/>
                <w:color w:val="auto"/>
                <w:sz w:val="24"/>
                <w:u w:val="none"/>
              </w:rPr>
              <w:t>（2）分区防护</w:t>
            </w:r>
            <w:r>
              <w:rPr>
                <w:rFonts w:hint="eastAsia" w:ascii="Times New Roman" w:hAnsi="Times New Roman" w:eastAsia="宋体" w:cs="Times New Roman"/>
                <w:bCs/>
                <w:color w:val="auto"/>
                <w:sz w:val="24"/>
                <w:u w:val="none"/>
                <w:lang w:eastAsia="zh-CN"/>
              </w:rPr>
              <w:t>：</w:t>
            </w:r>
            <w:r>
              <w:rPr>
                <w:rFonts w:hint="eastAsia" w:ascii="Times New Roman" w:hAnsi="Times New Roman" w:eastAsia="宋体" w:cs="Times New Roman"/>
                <w:bCs/>
                <w:color w:val="auto"/>
                <w:sz w:val="24"/>
                <w:u w:val="none"/>
              </w:rPr>
              <w:t>根据本项目建设特点，本次环评参照《环境影响评价技术导则地下水环境》（HJ610-2016）</w:t>
            </w:r>
            <w:r>
              <w:rPr>
                <w:rFonts w:hint="eastAsia" w:ascii="Times New Roman" w:hAnsi="Times New Roman" w:eastAsia="宋体" w:cs="Times New Roman"/>
                <w:bCs/>
                <w:color w:val="auto"/>
                <w:sz w:val="24"/>
                <w:szCs w:val="22"/>
                <w:u w:val="none"/>
                <w:lang w:val="en-US" w:eastAsia="zh-CN"/>
              </w:rPr>
              <w:t>防渗要求进行分区防护。</w:t>
            </w:r>
            <w:r>
              <w:rPr>
                <w:rFonts w:hint="eastAsia" w:ascii="Times New Roman" w:hAnsi="Times New Roman" w:eastAsia="宋体" w:cs="Times New Roman"/>
                <w:bCs/>
                <w:color w:val="auto"/>
                <w:sz w:val="24"/>
                <w:szCs w:val="22"/>
                <w:u w:val="none"/>
              </w:rPr>
              <w:t>对本项目进行</w:t>
            </w:r>
            <w:r>
              <w:rPr>
                <w:rFonts w:hint="eastAsia" w:ascii="Times New Roman" w:hAnsi="Times New Roman" w:eastAsia="宋体" w:cs="Times New Roman"/>
                <w:bCs/>
                <w:color w:val="auto"/>
                <w:sz w:val="24"/>
                <w:u w:val="none"/>
              </w:rPr>
              <w:t>整体的污染分区划分，分为污染防治区和非污染防治区，其中污染防治区又分为一般污染防治区、重点污染防治区。</w:t>
            </w:r>
            <w:r>
              <w:rPr>
                <w:rFonts w:hint="eastAsia" w:ascii="Times New Roman" w:hAnsi="Times New Roman" w:eastAsia="宋体" w:cs="Times New Roman"/>
                <w:bCs/>
                <w:color w:val="auto"/>
                <w:sz w:val="24"/>
                <w:highlight w:val="none"/>
                <w:u w:val="none"/>
              </w:rPr>
              <w:t>本项目</w:t>
            </w:r>
            <w:r>
              <w:rPr>
                <w:rFonts w:hint="eastAsia" w:ascii="Times New Roman" w:hAnsi="Times New Roman" w:eastAsia="宋体" w:cs="Times New Roman"/>
                <w:bCs/>
                <w:color w:val="auto"/>
                <w:sz w:val="24"/>
                <w:highlight w:val="none"/>
                <w:u w:val="none"/>
                <w:lang w:val="en-US" w:eastAsia="zh-CN"/>
              </w:rPr>
              <w:t>危废库属于重点防渗区。</w:t>
            </w:r>
          </w:p>
          <w:p w14:paraId="254BF76C">
            <w:pPr>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default" w:ascii="Times New Roman" w:hAnsi="Times New Roman" w:eastAsia="宋体" w:cs="Times New Roman"/>
                <w:b/>
                <w:color w:val="auto"/>
                <w:kern w:val="2"/>
                <w:sz w:val="24"/>
                <w:szCs w:val="24"/>
                <w:highlight w:val="none"/>
                <w:u w:val="none"/>
                <w:lang w:val="en-US" w:eastAsia="zh-CN" w:bidi="ar-SA"/>
              </w:rPr>
            </w:pPr>
            <w:r>
              <w:rPr>
                <w:rFonts w:hint="default" w:ascii="Times New Roman" w:hAnsi="Times New Roman" w:cs="Times New Roman"/>
                <w:b/>
                <w:color w:val="auto"/>
                <w:kern w:val="2"/>
                <w:sz w:val="24"/>
                <w:szCs w:val="24"/>
                <w:highlight w:val="none"/>
                <w:u w:val="none"/>
                <w:lang w:val="en-US" w:eastAsia="zh-CN" w:bidi="ar-SA"/>
              </w:rPr>
              <w:t>7、</w:t>
            </w:r>
            <w:r>
              <w:rPr>
                <w:rFonts w:hint="default" w:ascii="Times New Roman" w:hAnsi="Times New Roman" w:eastAsia="宋体" w:cs="Times New Roman"/>
                <w:b/>
                <w:color w:val="auto"/>
                <w:kern w:val="2"/>
                <w:sz w:val="24"/>
                <w:szCs w:val="24"/>
                <w:highlight w:val="none"/>
                <w:u w:val="none"/>
                <w:lang w:val="en-US" w:eastAsia="zh-CN" w:bidi="ar-SA"/>
              </w:rPr>
              <w:t>应急预案</w:t>
            </w:r>
          </w:p>
          <w:p w14:paraId="64F26693">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ascii="Times New Roman" w:hAnsi="Times New Roman" w:eastAsia="宋体" w:cs="Times New Roman"/>
                <w:color w:val="auto"/>
                <w:kern w:val="2"/>
                <w:sz w:val="24"/>
                <w:szCs w:val="32"/>
                <w:u w:val="none"/>
                <w:lang w:val="en-US" w:eastAsia="zh-CN" w:bidi="ar-SA"/>
              </w:rPr>
              <w:t>为了在发生突发环境事件时，能够及时、有序、高效地实施抢险救援工作，最大限度地减少人员伤亡和财产损失，尽快恢复正常工作秩序，建设单位应按照《建设项目环境风险评价技术导则》、《</w:t>
            </w:r>
            <w:r>
              <w:rPr>
                <w:rFonts w:hint="eastAsia" w:ascii="Times New Roman" w:hAnsi="Times New Roman" w:eastAsia="宋体" w:cs="Times New Roman"/>
                <w:color w:val="auto"/>
                <w:kern w:val="2"/>
                <w:sz w:val="24"/>
                <w:szCs w:val="32"/>
                <w:u w:val="none"/>
                <w:lang w:val="en-US" w:eastAsia="zh-CN" w:bidi="ar-SA"/>
              </w:rPr>
              <w:t>河南</w:t>
            </w:r>
            <w:r>
              <w:rPr>
                <w:rFonts w:ascii="Times New Roman" w:hAnsi="Times New Roman" w:eastAsia="宋体" w:cs="Times New Roman"/>
                <w:color w:val="auto"/>
                <w:kern w:val="2"/>
                <w:sz w:val="24"/>
                <w:szCs w:val="32"/>
                <w:u w:val="none"/>
                <w:lang w:val="en-US" w:eastAsia="zh-CN" w:bidi="ar-SA"/>
              </w:rPr>
              <w:t>省突发环境事件应急预案编制导则（试行）（企业事业单位版）》和《企业事业单位突发环境事件应急预案备案管理办法（试行）》（环发[2015]4号）等文件的要求编制拟建项目突发环境事件应急预案，并进行备案。</w:t>
            </w:r>
          </w:p>
          <w:p w14:paraId="010A44D6">
            <w:pPr>
              <w:keepNext w:val="0"/>
              <w:keepLines w:val="0"/>
              <w:pageBreakBefore w:val="0"/>
              <w:widowControl w:val="0"/>
              <w:kinsoku/>
              <w:wordWrap/>
              <w:overflowPunct/>
              <w:topLinePunct w:val="0"/>
              <w:autoSpaceDE/>
              <w:autoSpaceDN/>
              <w:bidi w:val="0"/>
              <w:adjustRightInd/>
              <w:snapToGrid/>
              <w:spacing w:line="500" w:lineRule="atLeast"/>
              <w:ind w:firstLine="480" w:firstLineChars="200"/>
              <w:jc w:val="both"/>
              <w:textAlignment w:val="auto"/>
              <w:rPr>
                <w:rFonts w:hint="eastAsia" w:ascii="Times New Roman" w:hAnsi="Times New Roman" w:eastAsia="黑体" w:cs="Times New Roman"/>
                <w:b w:val="0"/>
                <w:color w:val="auto"/>
                <w:kern w:val="0"/>
                <w:sz w:val="24"/>
                <w:szCs w:val="20"/>
                <w:highlight w:val="none"/>
                <w:u w:val="none"/>
                <w:lang w:val="en-US" w:eastAsia="zh-CN" w:bidi="zh-CN"/>
              </w:rPr>
            </w:pPr>
            <w:r>
              <w:rPr>
                <w:rFonts w:hint="eastAsia" w:eastAsia="黑体" w:cs="Times New Roman"/>
                <w:b w:val="0"/>
                <w:color w:val="auto"/>
                <w:kern w:val="0"/>
                <w:sz w:val="24"/>
                <w:szCs w:val="20"/>
                <w:highlight w:val="none"/>
                <w:u w:val="none"/>
                <w:lang w:val="en-US" w:eastAsia="zh-CN" w:bidi="zh-CN"/>
              </w:rPr>
              <w:t>7.1</w:t>
            </w:r>
            <w:r>
              <w:rPr>
                <w:rFonts w:hint="eastAsia" w:ascii="Times New Roman" w:hAnsi="Times New Roman" w:eastAsia="黑体" w:cs="Times New Roman"/>
                <w:b w:val="0"/>
                <w:color w:val="auto"/>
                <w:kern w:val="0"/>
                <w:sz w:val="24"/>
                <w:szCs w:val="20"/>
                <w:highlight w:val="none"/>
                <w:u w:val="none"/>
                <w:lang w:val="en-US" w:eastAsia="zh-CN" w:bidi="zh-CN"/>
              </w:rPr>
              <w:t>瓦斯异常情况汇报处理程序</w:t>
            </w:r>
          </w:p>
          <w:p w14:paraId="35EF62A8">
            <w:pPr>
              <w:keepNext w:val="0"/>
              <w:keepLines w:val="0"/>
              <w:pageBreakBefore w:val="0"/>
              <w:widowControl w:val="0"/>
              <w:kinsoku/>
              <w:wordWrap/>
              <w:overflowPunct/>
              <w:topLinePunct w:val="0"/>
              <w:autoSpaceDE/>
              <w:autoSpaceDN/>
              <w:bidi w:val="0"/>
              <w:adjustRightInd/>
              <w:snapToGrid/>
              <w:spacing w:line="500" w:lineRule="atLeast"/>
              <w:ind w:firstLine="480" w:firstLineChars="200"/>
              <w:jc w:val="left"/>
              <w:textAlignment w:val="auto"/>
              <w:rPr>
                <w:rFonts w:hint="default" w:ascii="Times New Roman" w:hAnsi="Times New Roman" w:eastAsia="宋体" w:cs="Times New Roman"/>
                <w:b w:val="0"/>
                <w:color w:val="auto"/>
                <w:kern w:val="0"/>
                <w:sz w:val="24"/>
                <w:szCs w:val="20"/>
                <w:u w:val="none"/>
                <w:lang w:val="en-US" w:eastAsia="zh-CN" w:bidi="zh-CN"/>
              </w:rPr>
            </w:pPr>
            <w:r>
              <w:rPr>
                <w:rFonts w:hint="eastAsia" w:ascii="Times New Roman" w:hAnsi="Times New Roman" w:eastAsia="宋体" w:cs="Times New Roman"/>
                <w:b w:val="0"/>
                <w:color w:val="auto"/>
                <w:kern w:val="0"/>
                <w:sz w:val="24"/>
                <w:szCs w:val="20"/>
                <w:u w:val="none"/>
                <w:lang w:val="en-US" w:eastAsia="zh-CN" w:bidi="zh-CN"/>
              </w:rPr>
              <w:t>①</w:t>
            </w:r>
            <w:r>
              <w:rPr>
                <w:rFonts w:hint="default" w:ascii="Times New Roman" w:hAnsi="Times New Roman" w:eastAsia="宋体" w:cs="Times New Roman"/>
                <w:b w:val="0"/>
                <w:color w:val="auto"/>
                <w:kern w:val="0"/>
                <w:sz w:val="24"/>
                <w:szCs w:val="20"/>
                <w:u w:val="none"/>
                <w:lang w:val="en-US" w:eastAsia="zh-CN" w:bidi="zh-CN"/>
              </w:rPr>
              <w:t>瓦检员、安全员、现场施工人员及其他人员，发现施工地点瓦斯异常时，立即停止该区域内内一切作业，撤离人员，及时查明原因，并向</w:t>
            </w:r>
            <w:r>
              <w:rPr>
                <w:rFonts w:hint="eastAsia" w:cs="Times New Roman"/>
                <w:b w:val="0"/>
                <w:color w:val="auto"/>
                <w:kern w:val="0"/>
                <w:sz w:val="24"/>
                <w:szCs w:val="20"/>
                <w:u w:val="none"/>
                <w:lang w:val="en-US" w:eastAsia="zh-CN" w:bidi="zh-CN"/>
              </w:rPr>
              <w:t>值班</w:t>
            </w:r>
            <w:r>
              <w:rPr>
                <w:rFonts w:hint="default" w:ascii="Times New Roman" w:hAnsi="Times New Roman" w:eastAsia="宋体" w:cs="Times New Roman"/>
                <w:b w:val="0"/>
                <w:color w:val="auto"/>
                <w:kern w:val="0"/>
                <w:sz w:val="24"/>
                <w:szCs w:val="20"/>
                <w:u w:val="none"/>
                <w:lang w:val="en-US" w:eastAsia="zh-CN" w:bidi="zh-CN"/>
              </w:rPr>
              <w:t>室汇报。</w:t>
            </w:r>
          </w:p>
          <w:p w14:paraId="32D42B97">
            <w:pPr>
              <w:keepNext w:val="0"/>
              <w:keepLines w:val="0"/>
              <w:pageBreakBefore w:val="0"/>
              <w:widowControl w:val="0"/>
              <w:kinsoku/>
              <w:wordWrap/>
              <w:overflowPunct/>
              <w:topLinePunct w:val="0"/>
              <w:autoSpaceDE/>
              <w:autoSpaceDN/>
              <w:bidi w:val="0"/>
              <w:adjustRightInd/>
              <w:snapToGrid/>
              <w:spacing w:line="500" w:lineRule="atLeast"/>
              <w:ind w:firstLine="480" w:firstLineChars="200"/>
              <w:jc w:val="left"/>
              <w:textAlignment w:val="auto"/>
              <w:rPr>
                <w:rFonts w:hint="default" w:ascii="Times New Roman" w:hAnsi="Times New Roman" w:eastAsia="宋体" w:cs="Times New Roman"/>
                <w:b w:val="0"/>
                <w:color w:val="auto"/>
                <w:kern w:val="0"/>
                <w:sz w:val="24"/>
                <w:szCs w:val="20"/>
                <w:u w:val="none"/>
                <w:lang w:val="en-US" w:eastAsia="zh-CN" w:bidi="zh-CN"/>
              </w:rPr>
            </w:pPr>
            <w:r>
              <w:rPr>
                <w:rFonts w:hint="eastAsia" w:ascii="Times New Roman" w:hAnsi="Times New Roman" w:eastAsia="宋体" w:cs="Times New Roman"/>
                <w:b w:val="0"/>
                <w:color w:val="auto"/>
                <w:kern w:val="0"/>
                <w:sz w:val="24"/>
                <w:szCs w:val="20"/>
                <w:u w:val="none"/>
                <w:lang w:val="en-US" w:eastAsia="zh-CN" w:bidi="zh-CN"/>
              </w:rPr>
              <w:t>②</w:t>
            </w:r>
            <w:r>
              <w:rPr>
                <w:rFonts w:hint="default" w:ascii="Times New Roman" w:hAnsi="Times New Roman" w:eastAsia="宋体" w:cs="Times New Roman"/>
                <w:b w:val="0"/>
                <w:color w:val="auto"/>
                <w:kern w:val="0"/>
                <w:sz w:val="24"/>
                <w:szCs w:val="20"/>
                <w:u w:val="none"/>
                <w:lang w:val="en-US" w:eastAsia="zh-CN" w:bidi="zh-CN"/>
              </w:rPr>
              <w:t>监控系统地面中心站值班室必须24小时有监控员值班，发现瓦斯传感器显示值出现大增幅、瓦斯曲线不正常及临近报警值时，及时向</w:t>
            </w:r>
            <w:r>
              <w:rPr>
                <w:rFonts w:hint="eastAsia" w:cs="Times New Roman"/>
                <w:b w:val="0"/>
                <w:color w:val="auto"/>
                <w:kern w:val="0"/>
                <w:sz w:val="24"/>
                <w:szCs w:val="20"/>
                <w:u w:val="none"/>
                <w:lang w:val="en-US" w:eastAsia="zh-CN" w:bidi="zh-CN"/>
              </w:rPr>
              <w:t>办公</w:t>
            </w:r>
            <w:r>
              <w:rPr>
                <w:rFonts w:hint="default" w:ascii="Times New Roman" w:hAnsi="Times New Roman" w:eastAsia="宋体" w:cs="Times New Roman"/>
                <w:b w:val="0"/>
                <w:color w:val="auto"/>
                <w:kern w:val="0"/>
                <w:sz w:val="24"/>
                <w:szCs w:val="20"/>
                <w:u w:val="none"/>
                <w:lang w:val="en-US" w:eastAsia="zh-CN" w:bidi="zh-CN"/>
              </w:rPr>
              <w:t>室汇报，</w:t>
            </w:r>
            <w:r>
              <w:rPr>
                <w:rFonts w:hint="eastAsia" w:cs="Times New Roman"/>
                <w:b w:val="0"/>
                <w:color w:val="auto"/>
                <w:kern w:val="0"/>
                <w:sz w:val="24"/>
                <w:szCs w:val="20"/>
                <w:u w:val="none"/>
                <w:lang w:val="en-US" w:eastAsia="zh-CN" w:bidi="zh-CN"/>
              </w:rPr>
              <w:t>值班人</w:t>
            </w:r>
            <w:r>
              <w:rPr>
                <w:rFonts w:hint="default" w:ascii="Times New Roman" w:hAnsi="Times New Roman" w:eastAsia="宋体" w:cs="Times New Roman"/>
                <w:b w:val="0"/>
                <w:color w:val="auto"/>
                <w:kern w:val="0"/>
                <w:sz w:val="24"/>
                <w:szCs w:val="20"/>
                <w:u w:val="none"/>
                <w:lang w:val="en-US" w:eastAsia="zh-CN" w:bidi="zh-CN"/>
              </w:rPr>
              <w:t>员立即电话通知该工作面瓦检员，查明原因，采取措施，进行处理，并将瓦斯异常原因、处理措施及处理结果汇报</w:t>
            </w:r>
            <w:r>
              <w:rPr>
                <w:rFonts w:hint="eastAsia" w:cs="Times New Roman"/>
                <w:b w:val="0"/>
                <w:color w:val="auto"/>
                <w:kern w:val="0"/>
                <w:sz w:val="24"/>
                <w:szCs w:val="20"/>
                <w:u w:val="none"/>
                <w:lang w:val="en-US" w:eastAsia="zh-CN" w:bidi="zh-CN"/>
              </w:rPr>
              <w:t>办公</w:t>
            </w:r>
            <w:r>
              <w:rPr>
                <w:rFonts w:hint="default" w:ascii="Times New Roman" w:hAnsi="Times New Roman" w:eastAsia="宋体" w:cs="Times New Roman"/>
                <w:b w:val="0"/>
                <w:color w:val="auto"/>
                <w:kern w:val="0"/>
                <w:sz w:val="24"/>
                <w:szCs w:val="20"/>
                <w:u w:val="none"/>
                <w:lang w:val="en-US" w:eastAsia="zh-CN" w:bidi="zh-CN"/>
              </w:rPr>
              <w:t>室，并做好记录。</w:t>
            </w:r>
          </w:p>
          <w:p w14:paraId="7953CA09">
            <w:pPr>
              <w:keepNext w:val="0"/>
              <w:keepLines w:val="0"/>
              <w:pageBreakBefore w:val="0"/>
              <w:widowControl w:val="0"/>
              <w:kinsoku/>
              <w:wordWrap/>
              <w:overflowPunct/>
              <w:topLinePunct w:val="0"/>
              <w:autoSpaceDE/>
              <w:autoSpaceDN/>
              <w:bidi w:val="0"/>
              <w:adjustRightInd/>
              <w:snapToGrid/>
              <w:spacing w:line="500" w:lineRule="atLeast"/>
              <w:ind w:firstLine="480" w:firstLineChars="200"/>
              <w:jc w:val="left"/>
              <w:textAlignment w:val="auto"/>
              <w:rPr>
                <w:rFonts w:hint="default" w:ascii="Times New Roman" w:hAnsi="Times New Roman" w:eastAsia="宋体" w:cs="Times New Roman"/>
                <w:b w:val="0"/>
                <w:color w:val="auto"/>
                <w:kern w:val="0"/>
                <w:sz w:val="24"/>
                <w:szCs w:val="20"/>
                <w:u w:val="none"/>
                <w:lang w:val="en-US" w:eastAsia="zh-CN" w:bidi="zh-CN"/>
              </w:rPr>
            </w:pPr>
            <w:r>
              <w:rPr>
                <w:rFonts w:hint="eastAsia" w:ascii="Times New Roman" w:hAnsi="Times New Roman" w:eastAsia="宋体" w:cs="Times New Roman"/>
                <w:b w:val="0"/>
                <w:color w:val="auto"/>
                <w:kern w:val="0"/>
                <w:sz w:val="24"/>
                <w:szCs w:val="20"/>
                <w:u w:val="none"/>
                <w:lang w:val="en-US" w:eastAsia="zh-CN" w:bidi="zh-CN"/>
              </w:rPr>
              <w:t>③</w:t>
            </w:r>
            <w:r>
              <w:rPr>
                <w:rFonts w:hint="default" w:ascii="Times New Roman" w:hAnsi="Times New Roman" w:eastAsia="宋体" w:cs="Times New Roman"/>
                <w:b w:val="0"/>
                <w:color w:val="auto"/>
                <w:kern w:val="0"/>
                <w:sz w:val="24"/>
                <w:szCs w:val="20"/>
                <w:u w:val="none"/>
                <w:lang w:val="en-US" w:eastAsia="zh-CN" w:bidi="zh-CN"/>
              </w:rPr>
              <w:t>监控员做好报</w:t>
            </w:r>
            <w:r>
              <w:rPr>
                <w:rFonts w:hint="eastAsia" w:cs="Times New Roman"/>
                <w:b w:val="0"/>
                <w:color w:val="auto"/>
                <w:kern w:val="0"/>
                <w:sz w:val="24"/>
                <w:szCs w:val="20"/>
                <w:u w:val="none"/>
                <w:lang w:val="en-US" w:eastAsia="zh-CN" w:bidi="zh-CN"/>
              </w:rPr>
              <w:t>告</w:t>
            </w:r>
            <w:r>
              <w:rPr>
                <w:rFonts w:hint="default" w:ascii="Times New Roman" w:hAnsi="Times New Roman" w:eastAsia="宋体" w:cs="Times New Roman"/>
                <w:b w:val="0"/>
                <w:color w:val="auto"/>
                <w:kern w:val="0"/>
                <w:sz w:val="24"/>
                <w:szCs w:val="20"/>
                <w:u w:val="none"/>
                <w:lang w:val="en-US" w:eastAsia="zh-CN" w:bidi="zh-CN"/>
              </w:rPr>
              <w:t>记录的同时，应立即汇报</w:t>
            </w:r>
            <w:r>
              <w:rPr>
                <w:rFonts w:hint="eastAsia" w:cs="Times New Roman"/>
                <w:b w:val="0"/>
                <w:color w:val="auto"/>
                <w:kern w:val="0"/>
                <w:sz w:val="24"/>
                <w:szCs w:val="20"/>
                <w:u w:val="none"/>
                <w:lang w:val="en-US" w:eastAsia="zh-CN" w:bidi="zh-CN"/>
              </w:rPr>
              <w:t>值班</w:t>
            </w:r>
            <w:r>
              <w:rPr>
                <w:rFonts w:hint="default" w:ascii="Times New Roman" w:hAnsi="Times New Roman" w:eastAsia="宋体" w:cs="Times New Roman"/>
                <w:b w:val="0"/>
                <w:color w:val="auto"/>
                <w:kern w:val="0"/>
                <w:sz w:val="24"/>
                <w:szCs w:val="20"/>
                <w:u w:val="none"/>
                <w:lang w:val="en-US" w:eastAsia="zh-CN" w:bidi="zh-CN"/>
              </w:rPr>
              <w:t>室，</w:t>
            </w:r>
            <w:r>
              <w:rPr>
                <w:rFonts w:hint="eastAsia" w:cs="Times New Roman"/>
                <w:b w:val="0"/>
                <w:color w:val="auto"/>
                <w:kern w:val="0"/>
                <w:sz w:val="24"/>
                <w:szCs w:val="20"/>
                <w:u w:val="none"/>
                <w:lang w:val="en-US" w:eastAsia="zh-CN" w:bidi="zh-CN"/>
              </w:rPr>
              <w:t>值班</w:t>
            </w:r>
            <w:r>
              <w:rPr>
                <w:rFonts w:hint="default" w:ascii="Times New Roman" w:hAnsi="Times New Roman" w:eastAsia="宋体" w:cs="Times New Roman"/>
                <w:b w:val="0"/>
                <w:color w:val="auto"/>
                <w:kern w:val="0"/>
                <w:sz w:val="24"/>
                <w:szCs w:val="20"/>
                <w:u w:val="none"/>
                <w:lang w:val="en-US" w:eastAsia="zh-CN" w:bidi="zh-CN"/>
              </w:rPr>
              <w:t>室在接到通知后，立即通知该工作面瓦检员、安全员对停工及处理全过程进行监督检查。</w:t>
            </w:r>
          </w:p>
          <w:p w14:paraId="52818362">
            <w:pPr>
              <w:keepNext w:val="0"/>
              <w:keepLines w:val="0"/>
              <w:pageBreakBefore w:val="0"/>
              <w:widowControl w:val="0"/>
              <w:kinsoku/>
              <w:wordWrap/>
              <w:overflowPunct/>
              <w:topLinePunct w:val="0"/>
              <w:autoSpaceDE/>
              <w:autoSpaceDN/>
              <w:bidi w:val="0"/>
              <w:adjustRightInd/>
              <w:snapToGrid/>
              <w:spacing w:line="500" w:lineRule="atLeast"/>
              <w:ind w:firstLine="480" w:firstLineChars="200"/>
              <w:jc w:val="left"/>
              <w:textAlignment w:val="auto"/>
              <w:rPr>
                <w:rFonts w:hint="default" w:ascii="Times New Roman" w:hAnsi="Times New Roman" w:eastAsia="宋体" w:cs="Times New Roman"/>
                <w:b w:val="0"/>
                <w:color w:val="auto"/>
                <w:kern w:val="0"/>
                <w:sz w:val="24"/>
                <w:szCs w:val="20"/>
                <w:u w:val="none"/>
                <w:lang w:val="en-US" w:eastAsia="zh-CN" w:bidi="zh-CN"/>
              </w:rPr>
            </w:pPr>
            <w:r>
              <w:rPr>
                <w:rFonts w:hint="eastAsia" w:cs="Times New Roman"/>
                <w:b w:val="0"/>
                <w:color w:val="auto"/>
                <w:kern w:val="0"/>
                <w:sz w:val="24"/>
                <w:szCs w:val="20"/>
                <w:u w:val="none"/>
                <w:lang w:val="en-US" w:eastAsia="zh-CN" w:bidi="zh-CN"/>
              </w:rPr>
              <w:t>④</w:t>
            </w:r>
            <w:r>
              <w:rPr>
                <w:rFonts w:hint="default" w:ascii="Times New Roman" w:hAnsi="Times New Roman" w:eastAsia="宋体" w:cs="Times New Roman"/>
                <w:b w:val="0"/>
                <w:color w:val="auto"/>
                <w:kern w:val="0"/>
                <w:sz w:val="24"/>
                <w:szCs w:val="20"/>
                <w:u w:val="none"/>
                <w:lang w:val="en-US" w:eastAsia="zh-CN" w:bidi="zh-CN"/>
              </w:rPr>
              <w:t>瓦检员在停工处理完毕，检查工作面等地点瓦斯浓度降到《煤矿安全规程》规定范围内，汇报</w:t>
            </w:r>
            <w:r>
              <w:rPr>
                <w:rFonts w:hint="eastAsia" w:cs="Times New Roman"/>
                <w:b w:val="0"/>
                <w:color w:val="auto"/>
                <w:kern w:val="0"/>
                <w:sz w:val="24"/>
                <w:szCs w:val="20"/>
                <w:u w:val="none"/>
                <w:lang w:val="en-US" w:eastAsia="zh-CN" w:bidi="zh-CN"/>
              </w:rPr>
              <w:t>值班</w:t>
            </w:r>
            <w:r>
              <w:rPr>
                <w:rFonts w:hint="default" w:ascii="Times New Roman" w:hAnsi="Times New Roman" w:eastAsia="宋体" w:cs="Times New Roman"/>
                <w:b w:val="0"/>
                <w:color w:val="auto"/>
                <w:kern w:val="0"/>
                <w:sz w:val="24"/>
                <w:szCs w:val="20"/>
                <w:u w:val="none"/>
                <w:lang w:val="en-US" w:eastAsia="zh-CN" w:bidi="zh-CN"/>
              </w:rPr>
              <w:t>室，由</w:t>
            </w:r>
            <w:r>
              <w:rPr>
                <w:rFonts w:hint="eastAsia" w:cs="Times New Roman"/>
                <w:b w:val="0"/>
                <w:color w:val="auto"/>
                <w:kern w:val="0"/>
                <w:sz w:val="24"/>
                <w:szCs w:val="20"/>
                <w:u w:val="none"/>
                <w:lang w:val="en-US" w:eastAsia="zh-CN" w:bidi="zh-CN"/>
              </w:rPr>
              <w:t>值班</w:t>
            </w:r>
            <w:r>
              <w:rPr>
                <w:rFonts w:hint="default" w:ascii="Times New Roman" w:hAnsi="Times New Roman" w:eastAsia="宋体" w:cs="Times New Roman"/>
                <w:b w:val="0"/>
                <w:color w:val="auto"/>
                <w:kern w:val="0"/>
                <w:sz w:val="24"/>
                <w:szCs w:val="20"/>
                <w:u w:val="none"/>
                <w:lang w:val="en-US" w:eastAsia="zh-CN" w:bidi="zh-CN"/>
              </w:rPr>
              <w:t>室下达恢复生产命令。</w:t>
            </w:r>
          </w:p>
          <w:p w14:paraId="186535CA">
            <w:pPr>
              <w:keepNext w:val="0"/>
              <w:keepLines w:val="0"/>
              <w:pageBreakBefore w:val="0"/>
              <w:widowControl w:val="0"/>
              <w:kinsoku/>
              <w:wordWrap/>
              <w:overflowPunct/>
              <w:topLinePunct w:val="0"/>
              <w:autoSpaceDE/>
              <w:autoSpaceDN/>
              <w:bidi w:val="0"/>
              <w:adjustRightInd/>
              <w:snapToGrid/>
              <w:spacing w:line="500" w:lineRule="atLeast"/>
              <w:ind w:firstLine="480" w:firstLineChars="200"/>
              <w:jc w:val="left"/>
              <w:textAlignment w:val="auto"/>
              <w:rPr>
                <w:rFonts w:hint="default" w:ascii="Times New Roman" w:hAnsi="Times New Roman" w:eastAsia="宋体" w:cs="Times New Roman"/>
                <w:b w:val="0"/>
                <w:color w:val="auto"/>
                <w:kern w:val="0"/>
                <w:sz w:val="24"/>
                <w:szCs w:val="20"/>
                <w:u w:val="none"/>
                <w:lang w:val="en-US" w:eastAsia="zh-CN" w:bidi="zh-CN"/>
              </w:rPr>
            </w:pPr>
            <w:r>
              <w:rPr>
                <w:rFonts w:hint="eastAsia" w:cs="Times New Roman"/>
                <w:b w:val="0"/>
                <w:color w:val="auto"/>
                <w:kern w:val="0"/>
                <w:sz w:val="24"/>
                <w:szCs w:val="20"/>
                <w:u w:val="none"/>
                <w:lang w:val="en-US" w:eastAsia="zh-CN" w:bidi="zh-CN"/>
              </w:rPr>
              <w:t>⑤</w:t>
            </w:r>
            <w:r>
              <w:rPr>
                <w:rFonts w:hint="default" w:ascii="Times New Roman" w:hAnsi="Times New Roman" w:eastAsia="宋体" w:cs="Times New Roman"/>
                <w:b w:val="0"/>
                <w:color w:val="auto"/>
                <w:kern w:val="0"/>
                <w:sz w:val="24"/>
                <w:szCs w:val="20"/>
                <w:u w:val="none"/>
                <w:lang w:val="en-US" w:eastAsia="zh-CN" w:bidi="zh-CN"/>
              </w:rPr>
              <w:t>瓦检员处理过程中，发现瓦斯浓度未被有效控制，持续升高，达到超限浓度时，应立即停止该工作面一切作业，切断电源，汇报值班矿领导。安全员与瓦检员一起组织将工作面人员在工作面巷道口设置栅栏，揭示警标。</w:t>
            </w:r>
          </w:p>
          <w:p w14:paraId="26C59D40">
            <w:pPr>
              <w:keepNext w:val="0"/>
              <w:keepLines w:val="0"/>
              <w:pageBreakBefore w:val="0"/>
              <w:widowControl w:val="0"/>
              <w:kinsoku/>
              <w:wordWrap/>
              <w:overflowPunct/>
              <w:topLinePunct w:val="0"/>
              <w:autoSpaceDE/>
              <w:autoSpaceDN/>
              <w:bidi w:val="0"/>
              <w:adjustRightInd/>
              <w:snapToGrid/>
              <w:spacing w:line="500" w:lineRule="atLeast"/>
              <w:ind w:firstLine="480" w:firstLineChars="200"/>
              <w:jc w:val="left"/>
              <w:textAlignment w:val="auto"/>
              <w:rPr>
                <w:rFonts w:hint="default" w:ascii="Times New Roman" w:hAnsi="Times New Roman" w:eastAsia="宋体" w:cs="Times New Roman"/>
                <w:b w:val="0"/>
                <w:color w:val="auto"/>
                <w:kern w:val="0"/>
                <w:sz w:val="24"/>
                <w:szCs w:val="20"/>
                <w:u w:val="none"/>
                <w:lang w:val="en-US" w:eastAsia="zh-CN" w:bidi="zh-CN"/>
              </w:rPr>
            </w:pPr>
            <w:r>
              <w:rPr>
                <w:rFonts w:hint="eastAsia" w:cs="Times New Roman"/>
                <w:b w:val="0"/>
                <w:color w:val="auto"/>
                <w:kern w:val="0"/>
                <w:sz w:val="24"/>
                <w:szCs w:val="20"/>
                <w:u w:val="none"/>
                <w:lang w:val="en-US" w:eastAsia="zh-CN" w:bidi="zh-CN"/>
              </w:rPr>
              <w:t>⑥</w:t>
            </w:r>
            <w:r>
              <w:rPr>
                <w:rFonts w:hint="default" w:ascii="Times New Roman" w:hAnsi="Times New Roman" w:eastAsia="宋体" w:cs="Times New Roman"/>
                <w:b w:val="0"/>
                <w:color w:val="auto"/>
                <w:kern w:val="0"/>
                <w:sz w:val="24"/>
                <w:szCs w:val="20"/>
                <w:u w:val="none"/>
                <w:lang w:val="en-US" w:eastAsia="zh-CN" w:bidi="zh-CN"/>
              </w:rPr>
              <w:t>矿值班领导立即制定措施，并电话通知</w:t>
            </w:r>
            <w:r>
              <w:rPr>
                <w:rFonts w:hint="eastAsia" w:cs="Times New Roman"/>
                <w:b w:val="0"/>
                <w:color w:val="auto"/>
                <w:kern w:val="0"/>
                <w:sz w:val="24"/>
                <w:szCs w:val="20"/>
                <w:u w:val="none"/>
                <w:lang w:val="en-US" w:eastAsia="zh-CN" w:bidi="zh-CN"/>
              </w:rPr>
              <w:t>其他部门</w:t>
            </w:r>
            <w:r>
              <w:rPr>
                <w:rFonts w:hint="eastAsia" w:ascii="Times New Roman" w:hAnsi="Times New Roman" w:eastAsia="宋体" w:cs="Times New Roman"/>
                <w:b w:val="0"/>
                <w:color w:val="auto"/>
                <w:kern w:val="0"/>
                <w:sz w:val="24"/>
                <w:szCs w:val="20"/>
                <w:u w:val="none"/>
                <w:lang w:val="en-US" w:eastAsia="zh-CN" w:bidi="zh-CN"/>
              </w:rPr>
              <w:t>人员</w:t>
            </w:r>
            <w:r>
              <w:rPr>
                <w:rFonts w:hint="default" w:ascii="Times New Roman" w:hAnsi="Times New Roman" w:eastAsia="宋体" w:cs="Times New Roman"/>
                <w:b w:val="0"/>
                <w:color w:val="auto"/>
                <w:kern w:val="0"/>
                <w:sz w:val="24"/>
                <w:szCs w:val="20"/>
                <w:u w:val="none"/>
                <w:lang w:val="en-US" w:eastAsia="zh-CN" w:bidi="zh-CN"/>
              </w:rPr>
              <w:t>，在半小时内赶到现场，指挥处理，处理完毕</w:t>
            </w:r>
            <w:r>
              <w:rPr>
                <w:rFonts w:hint="eastAsia" w:cs="Times New Roman"/>
                <w:b w:val="0"/>
                <w:color w:val="auto"/>
                <w:kern w:val="0"/>
                <w:sz w:val="24"/>
                <w:szCs w:val="20"/>
                <w:u w:val="none"/>
                <w:lang w:val="en-US" w:eastAsia="zh-CN" w:bidi="zh-CN"/>
              </w:rPr>
              <w:t>后整理</w:t>
            </w:r>
            <w:r>
              <w:rPr>
                <w:rFonts w:hint="default" w:ascii="Times New Roman" w:hAnsi="Times New Roman" w:eastAsia="宋体" w:cs="Times New Roman"/>
                <w:b w:val="0"/>
                <w:color w:val="auto"/>
                <w:kern w:val="0"/>
                <w:sz w:val="24"/>
                <w:szCs w:val="20"/>
                <w:u w:val="none"/>
                <w:lang w:val="en-US" w:eastAsia="zh-CN" w:bidi="zh-CN"/>
              </w:rPr>
              <w:t>汇报，并做好记录。</w:t>
            </w:r>
            <w:r>
              <w:rPr>
                <w:rFonts w:hint="eastAsia" w:cs="Times New Roman"/>
                <w:b w:val="0"/>
                <w:color w:val="auto"/>
                <w:kern w:val="0"/>
                <w:sz w:val="24"/>
                <w:szCs w:val="20"/>
                <w:u w:val="none"/>
                <w:lang w:val="en-US" w:eastAsia="zh-CN" w:bidi="zh-CN"/>
              </w:rPr>
              <w:t>值班</w:t>
            </w:r>
            <w:r>
              <w:rPr>
                <w:rFonts w:hint="default" w:ascii="Times New Roman" w:hAnsi="Times New Roman" w:eastAsia="宋体" w:cs="Times New Roman"/>
                <w:b w:val="0"/>
                <w:color w:val="auto"/>
                <w:kern w:val="0"/>
                <w:sz w:val="24"/>
                <w:szCs w:val="20"/>
                <w:u w:val="none"/>
                <w:lang w:val="en-US" w:eastAsia="zh-CN" w:bidi="zh-CN"/>
              </w:rPr>
              <w:t>领导确认隐患排除后，方准下达撤除警戒、恢复送电、人员进入工作面生产的命令。</w:t>
            </w:r>
          </w:p>
          <w:p w14:paraId="25ED4F8A">
            <w:pPr>
              <w:jc w:val="center"/>
              <w:rPr>
                <w:rFonts w:hint="eastAsia" w:ascii="Times New Roman" w:hAnsi="Times New Roman" w:eastAsia="黑体" w:cs="Times New Roman"/>
                <w:b w:val="0"/>
                <w:color w:val="auto"/>
                <w:kern w:val="0"/>
                <w:sz w:val="24"/>
                <w:szCs w:val="20"/>
                <w:u w:val="none"/>
                <w:lang w:val="en-US" w:eastAsia="zh-CN" w:bidi="zh-CN"/>
              </w:rPr>
            </w:pPr>
            <w:r>
              <w:rPr>
                <w:rFonts w:hint="eastAsia" w:ascii="Times New Roman" w:hAnsi="Times New Roman" w:eastAsia="黑体" w:cs="Times New Roman"/>
                <w:b w:val="0"/>
                <w:color w:val="auto"/>
                <w:kern w:val="0"/>
                <w:sz w:val="24"/>
                <w:szCs w:val="20"/>
                <w:u w:val="none"/>
                <w:lang w:val="en-US" w:eastAsia="zh-CN" w:bidi="zh-CN"/>
              </w:rPr>
              <w:t>表</w:t>
            </w:r>
            <w:r>
              <w:rPr>
                <w:rFonts w:hint="eastAsia" w:eastAsia="黑体" w:cs="Times New Roman"/>
                <w:b w:val="0"/>
                <w:color w:val="auto"/>
                <w:kern w:val="0"/>
                <w:sz w:val="24"/>
                <w:szCs w:val="20"/>
                <w:u w:val="none"/>
                <w:lang w:val="en-US" w:eastAsia="zh-CN" w:bidi="zh-CN"/>
              </w:rPr>
              <w:t>4-15</w:t>
            </w:r>
            <w:r>
              <w:rPr>
                <w:rFonts w:hint="eastAsia" w:ascii="Times New Roman" w:hAnsi="Times New Roman" w:eastAsia="黑体" w:cs="Times New Roman"/>
                <w:b w:val="0"/>
                <w:color w:val="auto"/>
                <w:kern w:val="0"/>
                <w:sz w:val="24"/>
                <w:szCs w:val="20"/>
                <w:u w:val="none"/>
                <w:lang w:val="en-US" w:eastAsia="zh-CN" w:bidi="zh-CN"/>
              </w:rPr>
              <w:t xml:space="preserve"> 应急预案</w:t>
            </w:r>
            <w:r>
              <w:rPr>
                <w:rFonts w:hint="eastAsia" w:eastAsia="黑体" w:cs="Times New Roman"/>
                <w:b w:val="0"/>
                <w:color w:val="auto"/>
                <w:kern w:val="0"/>
                <w:sz w:val="24"/>
                <w:szCs w:val="20"/>
                <w:u w:val="none"/>
                <w:lang w:val="en-US" w:eastAsia="zh-CN" w:bidi="zh-CN"/>
              </w:rPr>
              <w:t>应对措施</w:t>
            </w:r>
          </w:p>
          <w:tbl>
            <w:tblPr>
              <w:tblStyle w:val="105"/>
              <w:tblW w:w="8523" w:type="dxa"/>
              <w:tblInd w:w="49" w:type="dxa"/>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714"/>
              <w:gridCol w:w="1319"/>
              <w:gridCol w:w="6490"/>
            </w:tblGrid>
            <w:tr w14:paraId="0865C049">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714" w:type="dxa"/>
                  <w:tcBorders>
                    <w:tl2br w:val="nil"/>
                    <w:tr2bl w:val="nil"/>
                  </w:tcBorders>
                  <w:vAlign w:val="center"/>
                </w:tcPr>
                <w:p w14:paraId="76B7C6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color w:val="auto"/>
                      <w:kern w:val="0"/>
                      <w:sz w:val="21"/>
                      <w:szCs w:val="20"/>
                      <w:u w:val="none"/>
                    </w:rPr>
                  </w:pPr>
                  <w:r>
                    <w:rPr>
                      <w:b/>
                      <w:color w:val="auto"/>
                      <w:kern w:val="0"/>
                      <w:sz w:val="21"/>
                      <w:szCs w:val="20"/>
                      <w:u w:val="none"/>
                    </w:rPr>
                    <w:t>序号</w:t>
                  </w:r>
                </w:p>
              </w:tc>
              <w:tc>
                <w:tcPr>
                  <w:tcW w:w="1319" w:type="dxa"/>
                  <w:tcBorders>
                    <w:tl2br w:val="nil"/>
                    <w:tr2bl w:val="nil"/>
                  </w:tcBorders>
                  <w:vAlign w:val="center"/>
                </w:tcPr>
                <w:p w14:paraId="1F13AA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color w:val="auto"/>
                      <w:kern w:val="0"/>
                      <w:sz w:val="21"/>
                      <w:szCs w:val="20"/>
                      <w:u w:val="none"/>
                    </w:rPr>
                  </w:pPr>
                  <w:r>
                    <w:rPr>
                      <w:b/>
                      <w:color w:val="auto"/>
                      <w:kern w:val="0"/>
                      <w:sz w:val="21"/>
                      <w:szCs w:val="20"/>
                      <w:u w:val="none"/>
                    </w:rPr>
                    <w:t>项目</w:t>
                  </w:r>
                </w:p>
              </w:tc>
              <w:tc>
                <w:tcPr>
                  <w:tcW w:w="6490" w:type="dxa"/>
                  <w:tcBorders>
                    <w:tl2br w:val="nil"/>
                    <w:tr2bl w:val="nil"/>
                  </w:tcBorders>
                  <w:vAlign w:val="center"/>
                </w:tcPr>
                <w:p w14:paraId="14D058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color w:val="auto"/>
                      <w:kern w:val="0"/>
                      <w:sz w:val="21"/>
                      <w:szCs w:val="20"/>
                      <w:u w:val="none"/>
                    </w:rPr>
                  </w:pPr>
                  <w:r>
                    <w:rPr>
                      <w:b/>
                      <w:color w:val="auto"/>
                      <w:kern w:val="0"/>
                      <w:sz w:val="21"/>
                      <w:szCs w:val="20"/>
                      <w:u w:val="none"/>
                    </w:rPr>
                    <w:t>内容及要求</w:t>
                  </w:r>
                </w:p>
              </w:tc>
            </w:tr>
            <w:tr w14:paraId="549829AF">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714" w:type="dxa"/>
                  <w:tcBorders>
                    <w:tl2br w:val="nil"/>
                    <w:tr2bl w:val="nil"/>
                  </w:tcBorders>
                  <w:vAlign w:val="center"/>
                </w:tcPr>
                <w:p w14:paraId="640938AA">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1</w:t>
                  </w:r>
                </w:p>
              </w:tc>
              <w:tc>
                <w:tcPr>
                  <w:tcW w:w="1319" w:type="dxa"/>
                  <w:tcBorders>
                    <w:tl2br w:val="nil"/>
                    <w:tr2bl w:val="nil"/>
                  </w:tcBorders>
                  <w:vAlign w:val="center"/>
                </w:tcPr>
                <w:p w14:paraId="176DAD31">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总则</w:t>
                  </w:r>
                </w:p>
              </w:tc>
              <w:tc>
                <w:tcPr>
                  <w:tcW w:w="6490" w:type="dxa"/>
                  <w:tcBorders>
                    <w:tl2br w:val="nil"/>
                    <w:tr2bl w:val="nil"/>
                  </w:tcBorders>
                  <w:vAlign w:val="center"/>
                </w:tcPr>
                <w:p w14:paraId="4899515C">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明确编制目的、编制依据、适用范围、工作原则等。</w:t>
                  </w:r>
                </w:p>
              </w:tc>
            </w:tr>
            <w:tr w14:paraId="6DFFFD98">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94" w:hRule="atLeast"/>
              </w:trPr>
              <w:tc>
                <w:tcPr>
                  <w:tcW w:w="714" w:type="dxa"/>
                  <w:tcBorders>
                    <w:tl2br w:val="nil"/>
                    <w:tr2bl w:val="nil"/>
                  </w:tcBorders>
                  <w:vAlign w:val="center"/>
                </w:tcPr>
                <w:p w14:paraId="3E1AFE16">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2</w:t>
                  </w:r>
                </w:p>
              </w:tc>
              <w:tc>
                <w:tcPr>
                  <w:tcW w:w="1319" w:type="dxa"/>
                  <w:tcBorders>
                    <w:tl2br w:val="nil"/>
                    <w:tr2bl w:val="nil"/>
                  </w:tcBorders>
                  <w:vAlign w:val="center"/>
                </w:tcPr>
                <w:p w14:paraId="39740F01">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危险源概况</w:t>
                  </w:r>
                </w:p>
              </w:tc>
              <w:tc>
                <w:tcPr>
                  <w:tcW w:w="6490" w:type="dxa"/>
                  <w:tcBorders>
                    <w:tl2br w:val="nil"/>
                    <w:tr2bl w:val="nil"/>
                  </w:tcBorders>
                  <w:vAlign w:val="center"/>
                </w:tcPr>
                <w:p w14:paraId="7039159C">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环境风险源基本情况、周边环境状况及环境保护目标调查结果。</w:t>
                  </w:r>
                </w:p>
              </w:tc>
            </w:tr>
            <w:tr w14:paraId="3B4B906B">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714" w:type="dxa"/>
                  <w:tcBorders>
                    <w:tl2br w:val="nil"/>
                    <w:tr2bl w:val="nil"/>
                  </w:tcBorders>
                  <w:vAlign w:val="center"/>
                </w:tcPr>
                <w:p w14:paraId="5C77E5CD">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3</w:t>
                  </w:r>
                </w:p>
              </w:tc>
              <w:tc>
                <w:tcPr>
                  <w:tcW w:w="1319" w:type="dxa"/>
                  <w:tcBorders>
                    <w:tl2br w:val="nil"/>
                    <w:tr2bl w:val="nil"/>
                  </w:tcBorders>
                  <w:vAlign w:val="center"/>
                </w:tcPr>
                <w:p w14:paraId="299DA770">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应急计划区</w:t>
                  </w:r>
                </w:p>
              </w:tc>
              <w:tc>
                <w:tcPr>
                  <w:tcW w:w="6490" w:type="dxa"/>
                  <w:tcBorders>
                    <w:tl2br w:val="nil"/>
                    <w:tr2bl w:val="nil"/>
                  </w:tcBorders>
                  <w:vAlign w:val="center"/>
                </w:tcPr>
                <w:p w14:paraId="27101CB8">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危险目标：各生产区、储存区、环境保护目标等。</w:t>
                  </w:r>
                </w:p>
              </w:tc>
            </w:tr>
            <w:tr w14:paraId="0FD068A3">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714" w:type="dxa"/>
                  <w:tcBorders>
                    <w:tl2br w:val="nil"/>
                    <w:tr2bl w:val="nil"/>
                  </w:tcBorders>
                  <w:vAlign w:val="center"/>
                </w:tcPr>
                <w:p w14:paraId="3421D217">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4</w:t>
                  </w:r>
                </w:p>
              </w:tc>
              <w:tc>
                <w:tcPr>
                  <w:tcW w:w="1319" w:type="dxa"/>
                  <w:tcBorders>
                    <w:tl2br w:val="nil"/>
                    <w:tr2bl w:val="nil"/>
                  </w:tcBorders>
                  <w:vAlign w:val="center"/>
                </w:tcPr>
                <w:p w14:paraId="0C36F5AD">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组织机构及职责</w:t>
                  </w:r>
                </w:p>
              </w:tc>
              <w:tc>
                <w:tcPr>
                  <w:tcW w:w="6490" w:type="dxa"/>
                  <w:tcBorders>
                    <w:tl2br w:val="nil"/>
                    <w:tr2bl w:val="nil"/>
                  </w:tcBorders>
                  <w:vAlign w:val="center"/>
                </w:tcPr>
                <w:p w14:paraId="2C50A207">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依据企业的规模大小和突发环境事件危害程度的级别，设置分级应急救援的组织机构。并明确各组及人员职责。</w:t>
                  </w:r>
                </w:p>
              </w:tc>
            </w:tr>
            <w:tr w14:paraId="19A111BB">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714" w:type="dxa"/>
                  <w:tcBorders>
                    <w:tl2br w:val="nil"/>
                    <w:tr2bl w:val="nil"/>
                  </w:tcBorders>
                  <w:vAlign w:val="center"/>
                </w:tcPr>
                <w:p w14:paraId="3FDA71B1">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5</w:t>
                  </w:r>
                </w:p>
              </w:tc>
              <w:tc>
                <w:tcPr>
                  <w:tcW w:w="1319" w:type="dxa"/>
                  <w:tcBorders>
                    <w:tl2br w:val="nil"/>
                    <w:tr2bl w:val="nil"/>
                  </w:tcBorders>
                  <w:vAlign w:val="center"/>
                </w:tcPr>
                <w:p w14:paraId="76EC21E0">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预防与预警</w:t>
                  </w:r>
                </w:p>
              </w:tc>
              <w:tc>
                <w:tcPr>
                  <w:tcW w:w="6490" w:type="dxa"/>
                  <w:tcBorders>
                    <w:tl2br w:val="nil"/>
                    <w:tr2bl w:val="nil"/>
                  </w:tcBorders>
                  <w:vAlign w:val="center"/>
                </w:tcPr>
                <w:p w14:paraId="17A679B4">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明确事件预警的条件、方式、方法。报警、通讯联络方式等。</w:t>
                  </w:r>
                </w:p>
              </w:tc>
            </w:tr>
            <w:tr w14:paraId="5F70DB89">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714" w:type="dxa"/>
                  <w:tcBorders>
                    <w:tl2br w:val="nil"/>
                    <w:tr2bl w:val="nil"/>
                  </w:tcBorders>
                  <w:vAlign w:val="center"/>
                </w:tcPr>
                <w:p w14:paraId="1E0E8A9D">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6</w:t>
                  </w:r>
                </w:p>
              </w:tc>
              <w:tc>
                <w:tcPr>
                  <w:tcW w:w="1319" w:type="dxa"/>
                  <w:tcBorders>
                    <w:tl2br w:val="nil"/>
                    <w:tr2bl w:val="nil"/>
                  </w:tcBorders>
                  <w:vAlign w:val="center"/>
                </w:tcPr>
                <w:p w14:paraId="1053C2A9">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信息报告与通报</w:t>
                  </w:r>
                </w:p>
              </w:tc>
              <w:tc>
                <w:tcPr>
                  <w:tcW w:w="6490" w:type="dxa"/>
                  <w:tcBorders>
                    <w:tl2br w:val="nil"/>
                    <w:tr2bl w:val="nil"/>
                  </w:tcBorders>
                  <w:vAlign w:val="center"/>
                </w:tcPr>
                <w:p w14:paraId="63E720E6">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明确信息报告时限和发布的程序、内容和方式。</w:t>
                  </w:r>
                </w:p>
              </w:tc>
            </w:tr>
            <w:tr w14:paraId="1C65332A">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820" w:hRule="atLeast"/>
              </w:trPr>
              <w:tc>
                <w:tcPr>
                  <w:tcW w:w="714" w:type="dxa"/>
                  <w:tcBorders>
                    <w:tl2br w:val="nil"/>
                    <w:tr2bl w:val="nil"/>
                  </w:tcBorders>
                  <w:vAlign w:val="center"/>
                </w:tcPr>
                <w:p w14:paraId="368945EA">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7</w:t>
                  </w:r>
                </w:p>
              </w:tc>
              <w:tc>
                <w:tcPr>
                  <w:tcW w:w="1319" w:type="dxa"/>
                  <w:tcBorders>
                    <w:tl2br w:val="nil"/>
                    <w:tr2bl w:val="nil"/>
                  </w:tcBorders>
                  <w:vAlign w:val="center"/>
                </w:tcPr>
                <w:p w14:paraId="5D3160A8">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应急响应</w:t>
                  </w:r>
                </w:p>
                <w:p w14:paraId="38708766">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与措施</w:t>
                  </w:r>
                </w:p>
              </w:tc>
              <w:tc>
                <w:tcPr>
                  <w:tcW w:w="6490" w:type="dxa"/>
                  <w:tcBorders>
                    <w:tl2br w:val="nil"/>
                    <w:tr2bl w:val="nil"/>
                  </w:tcBorders>
                  <w:vAlign w:val="center"/>
                </w:tcPr>
                <w:p w14:paraId="1D2D64C7">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规定预案的级别和相应的分级响应程序，明确应急措施、应急监测相关内容、应急终止响应条件等，并考虑与区域应急预案的衔接。一级—装置区；二级—全厂；三级—社会（结合园区、平顶山市体系）</w:t>
                  </w:r>
                </w:p>
              </w:tc>
            </w:tr>
            <w:tr w14:paraId="3523656D">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1271" w:hRule="atLeast"/>
              </w:trPr>
              <w:tc>
                <w:tcPr>
                  <w:tcW w:w="714" w:type="dxa"/>
                  <w:tcBorders>
                    <w:tl2br w:val="nil"/>
                    <w:tr2bl w:val="nil"/>
                  </w:tcBorders>
                  <w:vAlign w:val="center"/>
                </w:tcPr>
                <w:p w14:paraId="630B40F7">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8</w:t>
                  </w:r>
                </w:p>
              </w:tc>
              <w:tc>
                <w:tcPr>
                  <w:tcW w:w="1319" w:type="dxa"/>
                  <w:tcBorders>
                    <w:tl2br w:val="nil"/>
                    <w:tr2bl w:val="nil"/>
                  </w:tcBorders>
                  <w:vAlign w:val="center"/>
                </w:tcPr>
                <w:p w14:paraId="5E31C93D">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应急救援</w:t>
                  </w:r>
                </w:p>
                <w:p w14:paraId="739B3AB6">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保障</w:t>
                  </w:r>
                </w:p>
              </w:tc>
              <w:tc>
                <w:tcPr>
                  <w:tcW w:w="6490" w:type="dxa"/>
                  <w:tcBorders>
                    <w:tl2br w:val="nil"/>
                    <w:tr2bl w:val="nil"/>
                  </w:tcBorders>
                  <w:vAlign w:val="center"/>
                </w:tcPr>
                <w:p w14:paraId="0E16C874">
                  <w:pPr>
                    <w:keepNext w:val="0"/>
                    <w:keepLines w:val="0"/>
                    <w:pageBreakBefore w:val="0"/>
                    <w:widowControl w:val="0"/>
                    <w:kinsoku/>
                    <w:wordWrap/>
                    <w:overflowPunct/>
                    <w:topLinePunct w:val="0"/>
                    <w:autoSpaceDE/>
                    <w:autoSpaceDN/>
                    <w:bidi w:val="0"/>
                    <w:spacing w:line="240" w:lineRule="auto"/>
                    <w:jc w:val="both"/>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应急设施、设备与器材等生产装置：</w:t>
                  </w:r>
                </w:p>
                <w:p w14:paraId="1EACF971">
                  <w:pPr>
                    <w:keepNext w:val="0"/>
                    <w:keepLines w:val="0"/>
                    <w:pageBreakBefore w:val="0"/>
                    <w:widowControl w:val="0"/>
                    <w:kinsoku/>
                    <w:wordWrap/>
                    <w:overflowPunct/>
                    <w:topLinePunct w:val="0"/>
                    <w:autoSpaceDE/>
                    <w:autoSpaceDN/>
                    <w:bidi w:val="0"/>
                    <w:spacing w:line="240" w:lineRule="auto"/>
                    <w:jc w:val="both"/>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（1）防火灾、爆炸事故应急设施、设备与材料，主要为消防器材</w:t>
                  </w:r>
                </w:p>
                <w:p w14:paraId="10824ED6">
                  <w:pPr>
                    <w:keepNext w:val="0"/>
                    <w:keepLines w:val="0"/>
                    <w:pageBreakBefore w:val="0"/>
                    <w:widowControl w:val="0"/>
                    <w:kinsoku/>
                    <w:wordWrap/>
                    <w:overflowPunct/>
                    <w:topLinePunct w:val="0"/>
                    <w:autoSpaceDE/>
                    <w:autoSpaceDN/>
                    <w:bidi w:val="0"/>
                    <w:spacing w:line="240" w:lineRule="auto"/>
                    <w:jc w:val="both"/>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（2）防有毒有害物质外溢、扩散、泄漏，主要靠</w:t>
                  </w:r>
                  <w:r>
                    <w:rPr>
                      <w:rFonts w:hint="eastAsia" w:cs="Times New Roman"/>
                      <w:color w:val="auto"/>
                      <w:kern w:val="0"/>
                      <w:sz w:val="21"/>
                      <w:szCs w:val="20"/>
                      <w:u w:val="none"/>
                      <w:lang w:val="en-US" w:eastAsia="zh-CN" w:bidi="ar-SA"/>
                    </w:rPr>
                    <w:t>导流沟</w:t>
                  </w:r>
                  <w:r>
                    <w:rPr>
                      <w:rFonts w:hint="eastAsia" w:ascii="Times New Roman" w:hAnsi="Times New Roman" w:eastAsia="宋体" w:cs="Times New Roman"/>
                      <w:color w:val="auto"/>
                      <w:kern w:val="0"/>
                      <w:sz w:val="21"/>
                      <w:szCs w:val="20"/>
                      <w:u w:val="none"/>
                      <w:lang w:val="en-US" w:eastAsia="zh-CN" w:bidi="ar-SA"/>
                    </w:rPr>
                    <w:t>、事故池，堵漏材料等</w:t>
                  </w:r>
                </w:p>
                <w:p w14:paraId="52B425AD">
                  <w:pPr>
                    <w:keepNext w:val="0"/>
                    <w:keepLines w:val="0"/>
                    <w:pageBreakBefore w:val="0"/>
                    <w:widowControl w:val="0"/>
                    <w:kinsoku/>
                    <w:wordWrap/>
                    <w:overflowPunct/>
                    <w:topLinePunct w:val="0"/>
                    <w:autoSpaceDE/>
                    <w:autoSpaceDN/>
                    <w:bidi w:val="0"/>
                    <w:spacing w:line="240" w:lineRule="auto"/>
                    <w:jc w:val="both"/>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（3）防火灾、爆炸事故应急设施、设备与材料，主要为消防器材</w:t>
                  </w:r>
                </w:p>
              </w:tc>
            </w:tr>
            <w:tr w14:paraId="51400D54">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714" w:type="dxa"/>
                  <w:tcBorders>
                    <w:tl2br w:val="nil"/>
                    <w:tr2bl w:val="nil"/>
                  </w:tcBorders>
                  <w:vAlign w:val="center"/>
                </w:tcPr>
                <w:p w14:paraId="45E3B50E">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9</w:t>
                  </w:r>
                </w:p>
              </w:tc>
              <w:tc>
                <w:tcPr>
                  <w:tcW w:w="1319" w:type="dxa"/>
                  <w:tcBorders>
                    <w:tl2br w:val="nil"/>
                    <w:tr2bl w:val="nil"/>
                  </w:tcBorders>
                  <w:vAlign w:val="center"/>
                </w:tcPr>
                <w:p w14:paraId="037B3609">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后期处置</w:t>
                  </w:r>
                </w:p>
              </w:tc>
              <w:tc>
                <w:tcPr>
                  <w:tcW w:w="6490" w:type="dxa"/>
                  <w:tcBorders>
                    <w:tl2br w:val="nil"/>
                    <w:tr2bl w:val="nil"/>
                  </w:tcBorders>
                  <w:vAlign w:val="center"/>
                </w:tcPr>
                <w:p w14:paraId="6767FE69">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明确受灾人员的安置及损失赔偿。组织专家对突发环境事件中长期环境影响进行评估，明确修复方案。</w:t>
                  </w:r>
                </w:p>
              </w:tc>
            </w:tr>
            <w:tr w14:paraId="19B5DDB7">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714" w:type="dxa"/>
                  <w:tcBorders>
                    <w:tl2br w:val="nil"/>
                    <w:tr2bl w:val="nil"/>
                  </w:tcBorders>
                  <w:vAlign w:val="center"/>
                </w:tcPr>
                <w:p w14:paraId="3B5FD48B">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10</w:t>
                  </w:r>
                </w:p>
              </w:tc>
              <w:tc>
                <w:tcPr>
                  <w:tcW w:w="1319" w:type="dxa"/>
                  <w:tcBorders>
                    <w:tl2br w:val="nil"/>
                    <w:tr2bl w:val="nil"/>
                  </w:tcBorders>
                  <w:vAlign w:val="center"/>
                </w:tcPr>
                <w:p w14:paraId="0A3AC870">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应急培训和演练</w:t>
                  </w:r>
                </w:p>
              </w:tc>
              <w:tc>
                <w:tcPr>
                  <w:tcW w:w="6490" w:type="dxa"/>
                  <w:tcBorders>
                    <w:tl2br w:val="nil"/>
                    <w:tr2bl w:val="nil"/>
                  </w:tcBorders>
                  <w:vAlign w:val="center"/>
                </w:tcPr>
                <w:p w14:paraId="4CE90AC6">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对工厂及临近地区开展公众教育、培训和发布有关信息。</w:t>
                  </w:r>
                </w:p>
              </w:tc>
            </w:tr>
            <w:tr w14:paraId="34C63FA6">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714" w:type="dxa"/>
                  <w:tcBorders>
                    <w:tl2br w:val="nil"/>
                    <w:tr2bl w:val="nil"/>
                  </w:tcBorders>
                  <w:vAlign w:val="center"/>
                </w:tcPr>
                <w:p w14:paraId="273B3B68">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11</w:t>
                  </w:r>
                </w:p>
              </w:tc>
              <w:tc>
                <w:tcPr>
                  <w:tcW w:w="1319" w:type="dxa"/>
                  <w:tcBorders>
                    <w:tl2br w:val="nil"/>
                    <w:tr2bl w:val="nil"/>
                  </w:tcBorders>
                  <w:vAlign w:val="center"/>
                </w:tcPr>
                <w:p w14:paraId="2EB83017">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奖惩</w:t>
                  </w:r>
                </w:p>
              </w:tc>
              <w:tc>
                <w:tcPr>
                  <w:tcW w:w="6490" w:type="dxa"/>
                  <w:tcBorders>
                    <w:tl2br w:val="nil"/>
                    <w:tr2bl w:val="nil"/>
                  </w:tcBorders>
                  <w:vAlign w:val="center"/>
                </w:tcPr>
                <w:p w14:paraId="7413E1BF">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明确突发环境事件应急救援工作中奖励和处罚的条件和内容。</w:t>
                  </w:r>
                </w:p>
              </w:tc>
            </w:tr>
            <w:tr w14:paraId="7B8584CE">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714" w:type="dxa"/>
                  <w:tcBorders>
                    <w:tl2br w:val="nil"/>
                    <w:tr2bl w:val="nil"/>
                  </w:tcBorders>
                  <w:vAlign w:val="center"/>
                </w:tcPr>
                <w:p w14:paraId="24F814CF">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12</w:t>
                  </w:r>
                </w:p>
              </w:tc>
              <w:tc>
                <w:tcPr>
                  <w:tcW w:w="1319" w:type="dxa"/>
                  <w:tcBorders>
                    <w:tl2br w:val="nil"/>
                    <w:tr2bl w:val="nil"/>
                  </w:tcBorders>
                  <w:vAlign w:val="center"/>
                </w:tcPr>
                <w:p w14:paraId="2BE69812">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保障措施</w:t>
                  </w:r>
                </w:p>
              </w:tc>
              <w:tc>
                <w:tcPr>
                  <w:tcW w:w="6490" w:type="dxa"/>
                  <w:tcBorders>
                    <w:tl2br w:val="nil"/>
                    <w:tr2bl w:val="nil"/>
                  </w:tcBorders>
                  <w:vAlign w:val="center"/>
                </w:tcPr>
                <w:p w14:paraId="263673FD">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明确应急专项经费、应急救援需要使用的应急物资及装备、应急队伍的组成、通信与信息保障等内容。</w:t>
                  </w:r>
                </w:p>
              </w:tc>
            </w:tr>
            <w:tr w14:paraId="1AB66B77">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714" w:type="dxa"/>
                  <w:tcBorders>
                    <w:tl2br w:val="nil"/>
                    <w:tr2bl w:val="nil"/>
                  </w:tcBorders>
                  <w:vAlign w:val="center"/>
                </w:tcPr>
                <w:p w14:paraId="00CCE79C">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13</w:t>
                  </w:r>
                </w:p>
              </w:tc>
              <w:tc>
                <w:tcPr>
                  <w:tcW w:w="1319" w:type="dxa"/>
                  <w:tcBorders>
                    <w:tl2br w:val="nil"/>
                    <w:tr2bl w:val="nil"/>
                  </w:tcBorders>
                  <w:vAlign w:val="center"/>
                </w:tcPr>
                <w:p w14:paraId="0959D7CB">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附件</w:t>
                  </w:r>
                </w:p>
              </w:tc>
              <w:tc>
                <w:tcPr>
                  <w:tcW w:w="6490" w:type="dxa"/>
                  <w:tcBorders>
                    <w:tl2br w:val="nil"/>
                    <w:tr2bl w:val="nil"/>
                  </w:tcBorders>
                  <w:vAlign w:val="center"/>
                </w:tcPr>
                <w:p w14:paraId="446FCA06">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与应急事故有关的多种附件材料的准备和形成。</w:t>
                  </w:r>
                </w:p>
              </w:tc>
            </w:tr>
          </w:tbl>
          <w:p w14:paraId="7B695B46">
            <w:pPr>
              <w:keepNext w:val="0"/>
              <w:keepLines w:val="0"/>
              <w:pageBreakBefore w:val="0"/>
              <w:widowControl w:val="0"/>
              <w:kinsoku/>
              <w:wordWrap/>
              <w:overflowPunct/>
              <w:topLinePunct w:val="0"/>
              <w:autoSpaceDE/>
              <w:autoSpaceDN/>
              <w:bidi w:val="0"/>
              <w:adjustRightInd/>
              <w:snapToGrid w:val="0"/>
              <w:spacing w:line="500" w:lineRule="exact"/>
              <w:ind w:firstLine="482" w:firstLineChars="200"/>
              <w:textAlignment w:val="auto"/>
              <w:rPr>
                <w:rFonts w:ascii="Times New Roman" w:hAnsi="Times New Roman" w:eastAsia="宋体" w:cs="Times New Roman"/>
                <w:b/>
                <w:bCs/>
                <w:color w:val="auto"/>
                <w:kern w:val="2"/>
                <w:sz w:val="24"/>
                <w:szCs w:val="32"/>
                <w:u w:val="none"/>
                <w:lang w:val="en-US" w:eastAsia="zh-CN" w:bidi="ar-SA"/>
              </w:rPr>
            </w:pPr>
            <w:r>
              <w:rPr>
                <w:rFonts w:hint="eastAsia" w:cs="Times New Roman"/>
                <w:b/>
                <w:bCs/>
                <w:color w:val="auto"/>
                <w:kern w:val="2"/>
                <w:sz w:val="24"/>
                <w:szCs w:val="32"/>
                <w:u w:val="none"/>
                <w:lang w:val="en-US" w:eastAsia="zh-CN" w:bidi="ar-SA"/>
              </w:rPr>
              <w:t>8、</w:t>
            </w:r>
            <w:r>
              <w:rPr>
                <w:rFonts w:ascii="Times New Roman" w:hAnsi="Times New Roman" w:eastAsia="宋体" w:cs="Times New Roman"/>
                <w:b/>
                <w:bCs/>
                <w:color w:val="auto"/>
                <w:kern w:val="2"/>
                <w:sz w:val="24"/>
                <w:szCs w:val="32"/>
                <w:u w:val="none"/>
                <w:lang w:val="en-US" w:eastAsia="zh-CN" w:bidi="ar-SA"/>
              </w:rPr>
              <w:t>环境管理</w:t>
            </w:r>
          </w:p>
          <w:p w14:paraId="220B8CA2">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为了贯彻执行国家和地方环境保护法律、法规、政策与标准，及时掌握和了解污染控制措施的效果，以及项目所在区域环境质量的变化情况，更好地监控环保设施的运行情况，协调与地方环保职能部门和其他有关部门的工作，同时保证企业生产管理和环境管理的正常运作，建立环境管理体系与监测制度是非常必要和重要的。</w:t>
            </w:r>
          </w:p>
          <w:p w14:paraId="53FD9C4B">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环境管理体系与监测机构的建立能够帮助企业及早发现问题，使企业在发展生产的同时节约能源、降低原材料的消耗，控制污染物排放量，减轻污染物排放对环境产生的影响，为企业创造更好的经济效益和环境效益，树立良好的社会形象。</w:t>
            </w:r>
          </w:p>
          <w:p w14:paraId="08A663D5">
            <w:pPr>
              <w:keepNext w:val="0"/>
              <w:keepLines w:val="0"/>
              <w:pageBreakBefore w:val="0"/>
              <w:widowControl w:val="0"/>
              <w:kinsoku/>
              <w:wordWrap/>
              <w:overflowPunct/>
              <w:topLinePunct w:val="0"/>
              <w:autoSpaceDE/>
              <w:autoSpaceDN/>
              <w:bidi w:val="0"/>
              <w:adjustRightInd/>
              <w:snapToGrid w:val="0"/>
              <w:spacing w:line="500" w:lineRule="exact"/>
              <w:ind w:firstLine="482"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cs="Times New Roman"/>
                <w:b/>
                <w:bCs/>
                <w:color w:val="auto"/>
                <w:kern w:val="2"/>
                <w:sz w:val="24"/>
                <w:szCs w:val="32"/>
                <w:u w:val="none"/>
                <w:lang w:val="en-US" w:eastAsia="zh-CN" w:bidi="ar-SA"/>
              </w:rPr>
              <w:t>8</w:t>
            </w:r>
            <w:r>
              <w:rPr>
                <w:rFonts w:hint="eastAsia" w:ascii="Times New Roman" w:hAnsi="Times New Roman" w:eastAsia="宋体" w:cs="Times New Roman"/>
                <w:b/>
                <w:bCs/>
                <w:color w:val="auto"/>
                <w:kern w:val="2"/>
                <w:sz w:val="24"/>
                <w:szCs w:val="32"/>
                <w:u w:val="none"/>
                <w:lang w:val="en-US" w:eastAsia="zh-CN" w:bidi="ar-SA"/>
              </w:rPr>
              <w:t>.1环境管理的目的</w:t>
            </w:r>
          </w:p>
          <w:p w14:paraId="065CC903">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保证本工程各项环境保护措施的顺利落实，使工程建设对环境的影响得以减免和控制，保护好评价区生态环境，以保持工程地区生态系统的良性发展。</w:t>
            </w:r>
          </w:p>
          <w:p w14:paraId="070FF736">
            <w:pPr>
              <w:keepNext w:val="0"/>
              <w:keepLines w:val="0"/>
              <w:pageBreakBefore w:val="0"/>
              <w:widowControl w:val="0"/>
              <w:kinsoku/>
              <w:wordWrap/>
              <w:overflowPunct/>
              <w:topLinePunct w:val="0"/>
              <w:autoSpaceDE/>
              <w:autoSpaceDN/>
              <w:bidi w:val="0"/>
              <w:adjustRightInd/>
              <w:snapToGrid w:val="0"/>
              <w:spacing w:line="500" w:lineRule="exact"/>
              <w:ind w:firstLine="482" w:firstLineChars="200"/>
              <w:textAlignment w:val="auto"/>
              <w:rPr>
                <w:rFonts w:ascii="Times New Roman" w:hAnsi="Times New Roman" w:eastAsia="宋体" w:cs="Times New Roman"/>
                <w:b/>
                <w:bCs/>
                <w:color w:val="auto"/>
                <w:kern w:val="2"/>
                <w:sz w:val="24"/>
                <w:szCs w:val="32"/>
                <w:u w:val="none"/>
                <w:lang w:val="en-US" w:eastAsia="zh-CN" w:bidi="ar-SA"/>
              </w:rPr>
            </w:pPr>
            <w:r>
              <w:rPr>
                <w:rFonts w:hint="eastAsia" w:cs="Times New Roman"/>
                <w:b/>
                <w:bCs/>
                <w:color w:val="auto"/>
                <w:kern w:val="2"/>
                <w:sz w:val="24"/>
                <w:szCs w:val="32"/>
                <w:u w:val="none"/>
                <w:lang w:val="en-US" w:eastAsia="zh-CN" w:bidi="ar-SA"/>
              </w:rPr>
              <w:t>8</w:t>
            </w:r>
            <w:r>
              <w:rPr>
                <w:rFonts w:hint="eastAsia" w:ascii="Times New Roman" w:hAnsi="Times New Roman" w:eastAsia="宋体" w:cs="Times New Roman"/>
                <w:b/>
                <w:bCs/>
                <w:color w:val="auto"/>
                <w:kern w:val="2"/>
                <w:sz w:val="24"/>
                <w:szCs w:val="32"/>
                <w:u w:val="none"/>
                <w:lang w:val="en-US" w:eastAsia="zh-CN" w:bidi="ar-SA"/>
              </w:rPr>
              <w:t>.2环境管理机构的设置</w:t>
            </w:r>
          </w:p>
          <w:p w14:paraId="3DC218BE">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环境保护是现代企业管理的一个重要组成部分，为做好环境保护和“三废”治理工作，充分发挥各项环保设施的作用。评价建议设置环境管理机构，并配备专业的管理人员，建立各项管理制度。</w:t>
            </w:r>
          </w:p>
          <w:p w14:paraId="0AB59B21">
            <w:pPr>
              <w:keepNext w:val="0"/>
              <w:keepLines w:val="0"/>
              <w:pageBreakBefore w:val="0"/>
              <w:widowControl w:val="0"/>
              <w:kinsoku/>
              <w:wordWrap/>
              <w:overflowPunct/>
              <w:topLinePunct w:val="0"/>
              <w:autoSpaceDE/>
              <w:autoSpaceDN/>
              <w:bidi w:val="0"/>
              <w:adjustRightInd/>
              <w:snapToGrid w:val="0"/>
              <w:spacing w:line="500" w:lineRule="exact"/>
              <w:ind w:firstLine="482" w:firstLineChars="200"/>
              <w:textAlignment w:val="auto"/>
              <w:rPr>
                <w:rFonts w:ascii="Times New Roman" w:hAnsi="Times New Roman" w:eastAsia="宋体" w:cs="Times New Roman"/>
                <w:b/>
                <w:bCs/>
                <w:color w:val="auto"/>
                <w:kern w:val="2"/>
                <w:sz w:val="24"/>
                <w:szCs w:val="32"/>
                <w:u w:val="none"/>
                <w:lang w:val="en-US" w:eastAsia="zh-CN" w:bidi="ar-SA"/>
              </w:rPr>
            </w:pPr>
            <w:r>
              <w:rPr>
                <w:rFonts w:hint="eastAsia" w:cs="Times New Roman"/>
                <w:b/>
                <w:bCs/>
                <w:color w:val="auto"/>
                <w:kern w:val="2"/>
                <w:sz w:val="24"/>
                <w:szCs w:val="32"/>
                <w:u w:val="none"/>
                <w:lang w:val="en-US" w:eastAsia="zh-CN" w:bidi="ar-SA"/>
              </w:rPr>
              <w:t>8</w:t>
            </w:r>
            <w:r>
              <w:rPr>
                <w:rFonts w:hint="eastAsia" w:ascii="Times New Roman" w:hAnsi="Times New Roman" w:eastAsia="宋体" w:cs="Times New Roman"/>
                <w:b/>
                <w:bCs/>
                <w:color w:val="auto"/>
                <w:kern w:val="2"/>
                <w:sz w:val="24"/>
                <w:szCs w:val="32"/>
                <w:u w:val="none"/>
                <w:lang w:val="en-US" w:eastAsia="zh-CN" w:bidi="ar-SA"/>
              </w:rPr>
              <w:t>.3环境管理机构的职责</w:t>
            </w:r>
          </w:p>
          <w:p w14:paraId="48D9EBCE">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环境管理机构主要职责如下：</w:t>
            </w:r>
          </w:p>
          <w:p w14:paraId="5D47F5A8">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（1）认真贯彻执行国家、省、州及行业部门制定的环保法规和各项规章制度及具体要求。</w:t>
            </w:r>
          </w:p>
          <w:p w14:paraId="0FE864FD">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（2）负责制定企业近期、远期、环境保护规划，按计划实施、落实环保规划。</w:t>
            </w:r>
          </w:p>
          <w:p w14:paraId="50530FEE">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（3）各职能部门编制环保管理方案，协调、协助有关部门实施环境管理方案。</w:t>
            </w:r>
          </w:p>
          <w:p w14:paraId="5AAC9D0B">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（4）协调内、外部环保工作的交流和沟通，并对相关方的意见或投诉作出回应或处理。</w:t>
            </w:r>
          </w:p>
          <w:p w14:paraId="29665501">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（5）协调和监督各部门工作运行情况，包括督促、检查各有关部门的环保设施管理工作，设备运行记录情况，环保法规、以及上级领导所下达的工作及任务的执行情况。</w:t>
            </w:r>
          </w:p>
          <w:p w14:paraId="0880786F">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（6）积极研究、开发污染治理及综合利用技术，推广应用环保先进技术和经验。</w:t>
            </w:r>
          </w:p>
          <w:p w14:paraId="0F1526CF">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（7）负责公司环保的统计工作，按时、准确地填写，上报各种环保报表，及时整理和归档各类环保资料。</w:t>
            </w:r>
          </w:p>
          <w:p w14:paraId="0F9C5346">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（8）按照规定定期向有关环保执法部门及相关部门办理排污申报、登记和缴纳各种费用等事宜。</w:t>
            </w:r>
          </w:p>
          <w:p w14:paraId="103F7750">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（9）参与工程项目的设计、审查和验收，监督检查环保设施的“三同时”等规定的贯彻执行情况。按有关规定向相关部门进行申报和办理各种审批手续。</w:t>
            </w:r>
          </w:p>
          <w:p w14:paraId="6BE5A208">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（10）通过各种形式，对职工进行环境保护的宣传教育活动。</w:t>
            </w:r>
          </w:p>
          <w:p w14:paraId="1D67EE14">
            <w:pPr>
              <w:keepNext w:val="0"/>
              <w:keepLines w:val="0"/>
              <w:pageBreakBefore w:val="0"/>
              <w:widowControl w:val="0"/>
              <w:kinsoku/>
              <w:wordWrap/>
              <w:overflowPunct/>
              <w:topLinePunct w:val="0"/>
              <w:autoSpaceDE/>
              <w:autoSpaceDN/>
              <w:bidi w:val="0"/>
              <w:adjustRightInd/>
              <w:snapToGrid w:val="0"/>
              <w:spacing w:line="500" w:lineRule="exact"/>
              <w:ind w:firstLine="482"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cs="Times New Roman"/>
                <w:b/>
                <w:bCs/>
                <w:color w:val="auto"/>
                <w:kern w:val="2"/>
                <w:sz w:val="24"/>
                <w:szCs w:val="32"/>
                <w:u w:val="none"/>
                <w:lang w:val="en-US" w:eastAsia="zh-CN" w:bidi="ar-SA"/>
              </w:rPr>
              <w:t>8</w:t>
            </w:r>
            <w:r>
              <w:rPr>
                <w:rFonts w:hint="eastAsia" w:ascii="Times New Roman" w:hAnsi="Times New Roman" w:eastAsia="宋体" w:cs="Times New Roman"/>
                <w:b/>
                <w:bCs/>
                <w:color w:val="auto"/>
                <w:kern w:val="2"/>
                <w:sz w:val="24"/>
                <w:szCs w:val="32"/>
                <w:u w:val="none"/>
                <w:lang w:val="en-US" w:eastAsia="zh-CN" w:bidi="ar-SA"/>
              </w:rPr>
              <w:t>.4环境管理内容</w:t>
            </w:r>
          </w:p>
          <w:p w14:paraId="42CB9083">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环境管理要贯彻项目建设的全过程，各阶段环境管理计划如下表所示。在环境管理过程监督机构为平顶山市生态环境局</w:t>
            </w:r>
            <w:r>
              <w:rPr>
                <w:rFonts w:hint="eastAsia" w:cs="Times New Roman"/>
                <w:color w:val="auto"/>
                <w:kern w:val="2"/>
                <w:sz w:val="24"/>
                <w:szCs w:val="32"/>
                <w:u w:val="none"/>
                <w:lang w:val="en-US" w:eastAsia="zh-CN" w:bidi="ar-SA"/>
              </w:rPr>
              <w:t>叶县</w:t>
            </w:r>
            <w:r>
              <w:rPr>
                <w:rFonts w:hint="eastAsia" w:ascii="Times New Roman" w:hAnsi="Times New Roman" w:eastAsia="宋体" w:cs="Times New Roman"/>
                <w:color w:val="auto"/>
                <w:kern w:val="2"/>
                <w:sz w:val="24"/>
                <w:szCs w:val="32"/>
                <w:u w:val="none"/>
                <w:lang w:val="en-US" w:eastAsia="zh-CN" w:bidi="ar-SA"/>
              </w:rPr>
              <w:t>分局。</w:t>
            </w:r>
          </w:p>
          <w:p w14:paraId="129F9CDF">
            <w:pPr>
              <w:jc w:val="center"/>
              <w:rPr>
                <w:rFonts w:hint="eastAsia" w:ascii="Times New Roman" w:hAnsi="Times New Roman" w:eastAsia="黑体" w:cs="Times New Roman"/>
                <w:b w:val="0"/>
                <w:color w:val="auto"/>
                <w:kern w:val="0"/>
                <w:sz w:val="24"/>
                <w:szCs w:val="20"/>
                <w:u w:val="none"/>
                <w:lang w:val="en-US" w:eastAsia="zh-CN" w:bidi="zh-CN"/>
              </w:rPr>
            </w:pPr>
            <w:r>
              <w:rPr>
                <w:rFonts w:hint="eastAsia" w:ascii="Times New Roman" w:hAnsi="Times New Roman" w:eastAsia="黑体" w:cs="Times New Roman"/>
                <w:b w:val="0"/>
                <w:color w:val="auto"/>
                <w:kern w:val="0"/>
                <w:sz w:val="24"/>
                <w:szCs w:val="20"/>
                <w:u w:val="none"/>
                <w:lang w:val="en-US" w:eastAsia="zh-CN" w:bidi="zh-CN"/>
              </w:rPr>
              <w:t>表</w:t>
            </w:r>
            <w:r>
              <w:rPr>
                <w:rFonts w:hint="eastAsia" w:eastAsia="黑体" w:cs="Times New Roman"/>
                <w:b w:val="0"/>
                <w:color w:val="auto"/>
                <w:kern w:val="0"/>
                <w:sz w:val="24"/>
                <w:szCs w:val="20"/>
                <w:u w:val="none"/>
                <w:lang w:val="en-US" w:eastAsia="zh-CN" w:bidi="zh-CN"/>
              </w:rPr>
              <w:t>4-16</w:t>
            </w:r>
            <w:r>
              <w:rPr>
                <w:rFonts w:hint="eastAsia" w:ascii="Times New Roman" w:hAnsi="Times New Roman" w:eastAsia="黑体" w:cs="Times New Roman"/>
                <w:b w:val="0"/>
                <w:color w:val="auto"/>
                <w:kern w:val="0"/>
                <w:sz w:val="24"/>
                <w:szCs w:val="20"/>
                <w:u w:val="none"/>
                <w:lang w:val="en-US" w:eastAsia="zh-CN" w:bidi="zh-CN"/>
              </w:rPr>
              <w:t xml:space="preserve"> 环境管理部门各阶段管理任务</w:t>
            </w:r>
          </w:p>
          <w:tbl>
            <w:tblPr>
              <w:tblStyle w:val="33"/>
              <w:tblW w:w="7946" w:type="dxa"/>
              <w:jc w:val="center"/>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575"/>
              <w:gridCol w:w="6371"/>
            </w:tblGrid>
            <w:tr w14:paraId="0D815886">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1575" w:type="dxa"/>
                  <w:tcBorders>
                    <w:tl2br w:val="nil"/>
                    <w:tr2bl w:val="nil"/>
                  </w:tcBorders>
                  <w:vAlign w:val="center"/>
                </w:tcPr>
                <w:p w14:paraId="72BC8C75">
                  <w:pPr>
                    <w:spacing w:line="240" w:lineRule="auto"/>
                    <w:jc w:val="center"/>
                    <w:rPr>
                      <w:rFonts w:hint="eastAsia" w:ascii="Times New Roman" w:hAnsi="Times New Roman" w:eastAsia="宋体" w:cs="Times New Roman"/>
                      <w:b/>
                      <w:bCs/>
                      <w:color w:val="auto"/>
                      <w:kern w:val="0"/>
                      <w:sz w:val="21"/>
                      <w:szCs w:val="20"/>
                      <w:u w:val="none"/>
                      <w:lang w:val="en-US" w:eastAsia="zh-CN" w:bidi="ar-SA"/>
                    </w:rPr>
                  </w:pPr>
                  <w:r>
                    <w:rPr>
                      <w:rFonts w:hint="eastAsia" w:ascii="Times New Roman" w:hAnsi="Times New Roman" w:eastAsia="宋体" w:cs="Times New Roman"/>
                      <w:b/>
                      <w:bCs/>
                      <w:color w:val="auto"/>
                      <w:kern w:val="0"/>
                      <w:sz w:val="21"/>
                      <w:szCs w:val="20"/>
                      <w:u w:val="none"/>
                      <w:lang w:val="en-US" w:eastAsia="zh-CN" w:bidi="ar-SA"/>
                    </w:rPr>
                    <w:t>工程实施阶段</w:t>
                  </w:r>
                </w:p>
              </w:tc>
              <w:tc>
                <w:tcPr>
                  <w:tcW w:w="6371" w:type="dxa"/>
                  <w:tcBorders>
                    <w:tl2br w:val="nil"/>
                    <w:tr2bl w:val="nil"/>
                  </w:tcBorders>
                  <w:vAlign w:val="center"/>
                </w:tcPr>
                <w:p w14:paraId="0B474B6F">
                  <w:pPr>
                    <w:spacing w:line="240" w:lineRule="auto"/>
                    <w:jc w:val="center"/>
                    <w:rPr>
                      <w:rFonts w:hint="eastAsia" w:ascii="Times New Roman" w:hAnsi="Times New Roman" w:eastAsia="宋体" w:cs="Times New Roman"/>
                      <w:b/>
                      <w:bCs/>
                      <w:color w:val="auto"/>
                      <w:kern w:val="0"/>
                      <w:sz w:val="21"/>
                      <w:szCs w:val="20"/>
                      <w:u w:val="none"/>
                      <w:lang w:val="en-US" w:eastAsia="zh-CN" w:bidi="ar-SA"/>
                    </w:rPr>
                  </w:pPr>
                  <w:r>
                    <w:rPr>
                      <w:rFonts w:hint="eastAsia" w:ascii="Times New Roman" w:hAnsi="Times New Roman" w:eastAsia="宋体" w:cs="Times New Roman"/>
                      <w:b/>
                      <w:bCs/>
                      <w:color w:val="auto"/>
                      <w:kern w:val="0"/>
                      <w:sz w:val="21"/>
                      <w:szCs w:val="20"/>
                      <w:u w:val="none"/>
                      <w:lang w:val="en-US" w:eastAsia="zh-CN" w:bidi="ar-SA"/>
                    </w:rPr>
                    <w:t>环境管理目标</w:t>
                  </w:r>
                </w:p>
              </w:tc>
            </w:tr>
            <w:tr w14:paraId="61047E32">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1575" w:type="dxa"/>
                  <w:tcBorders>
                    <w:tl2br w:val="nil"/>
                    <w:tr2bl w:val="nil"/>
                  </w:tcBorders>
                  <w:vAlign w:val="center"/>
                </w:tcPr>
                <w:p w14:paraId="7230D333">
                  <w:pPr>
                    <w:spacing w:line="240" w:lineRule="auto"/>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初步设计阶段</w:t>
                  </w:r>
                </w:p>
              </w:tc>
              <w:tc>
                <w:tcPr>
                  <w:tcW w:w="6371" w:type="dxa"/>
                  <w:tcBorders>
                    <w:tl2br w:val="nil"/>
                    <w:tr2bl w:val="nil"/>
                  </w:tcBorders>
                  <w:vAlign w:val="center"/>
                </w:tcPr>
                <w:p w14:paraId="4FBD7F3E">
                  <w:pPr>
                    <w:spacing w:line="240" w:lineRule="auto"/>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设计应结合环评报告及批文，编制有环保设计篇章，并报环保主管部门备案</w:t>
                  </w:r>
                </w:p>
              </w:tc>
            </w:tr>
            <w:tr w14:paraId="6DD2FB3E">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575" w:type="dxa"/>
                  <w:tcBorders>
                    <w:tl2br w:val="nil"/>
                    <w:tr2bl w:val="nil"/>
                  </w:tcBorders>
                  <w:vAlign w:val="center"/>
                </w:tcPr>
                <w:p w14:paraId="72CFC6F4">
                  <w:pPr>
                    <w:spacing w:line="240" w:lineRule="auto"/>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施工阶段</w:t>
                  </w:r>
                </w:p>
              </w:tc>
              <w:tc>
                <w:tcPr>
                  <w:tcW w:w="6371" w:type="dxa"/>
                  <w:tcBorders>
                    <w:tl2br w:val="nil"/>
                    <w:tr2bl w:val="nil"/>
                  </w:tcBorders>
                  <w:vAlign w:val="center"/>
                </w:tcPr>
                <w:p w14:paraId="719331B8">
                  <w:pPr>
                    <w:spacing w:line="240" w:lineRule="auto"/>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对项目建设实行环境监理</w:t>
                  </w:r>
                </w:p>
              </w:tc>
            </w:tr>
            <w:tr w14:paraId="11901915">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1" w:hRule="atLeast"/>
                <w:jc w:val="center"/>
              </w:trPr>
              <w:tc>
                <w:tcPr>
                  <w:tcW w:w="1575" w:type="dxa"/>
                  <w:tcBorders>
                    <w:tl2br w:val="nil"/>
                    <w:tr2bl w:val="nil"/>
                  </w:tcBorders>
                  <w:vAlign w:val="center"/>
                </w:tcPr>
                <w:p w14:paraId="44A6FC49">
                  <w:pPr>
                    <w:spacing w:line="240" w:lineRule="auto"/>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试生产前</w:t>
                  </w:r>
                </w:p>
              </w:tc>
              <w:tc>
                <w:tcPr>
                  <w:tcW w:w="6371" w:type="dxa"/>
                  <w:tcBorders>
                    <w:tl2br w:val="nil"/>
                    <w:tr2bl w:val="nil"/>
                  </w:tcBorders>
                  <w:vAlign w:val="center"/>
                </w:tcPr>
                <w:p w14:paraId="3E113996">
                  <w:pPr>
                    <w:spacing w:line="240" w:lineRule="auto"/>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应由业主、设计单位、施工单位、检测单位及环境影响评价文件编制单位共同对项目环保设施“三同时”执行情况进行现场核查，并由业主提出项目自验收</w:t>
                  </w:r>
                </w:p>
              </w:tc>
            </w:tr>
          </w:tbl>
          <w:p w14:paraId="4C0E9361">
            <w:pPr>
              <w:keepNext w:val="0"/>
              <w:keepLines w:val="0"/>
              <w:pageBreakBefore w:val="0"/>
              <w:widowControl w:val="0"/>
              <w:kinsoku/>
              <w:wordWrap/>
              <w:overflowPunct/>
              <w:topLinePunct w:val="0"/>
              <w:autoSpaceDE/>
              <w:autoSpaceDN/>
              <w:bidi w:val="0"/>
              <w:adjustRightInd/>
              <w:snapToGrid w:val="0"/>
              <w:spacing w:line="500" w:lineRule="exact"/>
              <w:ind w:firstLine="482" w:firstLineChars="200"/>
              <w:textAlignment w:val="auto"/>
              <w:rPr>
                <w:rFonts w:ascii="Times New Roman" w:hAnsi="Times New Roman" w:eastAsia="宋体" w:cs="Times New Roman"/>
                <w:b/>
                <w:bCs/>
                <w:color w:val="auto"/>
                <w:kern w:val="2"/>
                <w:sz w:val="24"/>
                <w:szCs w:val="32"/>
                <w:u w:val="none"/>
                <w:lang w:val="en-US" w:eastAsia="zh-CN" w:bidi="ar-SA"/>
              </w:rPr>
            </w:pPr>
            <w:r>
              <w:rPr>
                <w:rFonts w:hint="eastAsia" w:cs="Times New Roman"/>
                <w:b/>
                <w:bCs/>
                <w:color w:val="auto"/>
                <w:kern w:val="2"/>
                <w:sz w:val="24"/>
                <w:szCs w:val="32"/>
                <w:u w:val="none"/>
                <w:lang w:val="en-US" w:eastAsia="zh-CN" w:bidi="ar-SA"/>
              </w:rPr>
              <w:t>9、</w:t>
            </w:r>
            <w:r>
              <w:rPr>
                <w:rFonts w:hint="eastAsia" w:ascii="Times New Roman" w:hAnsi="Times New Roman" w:eastAsia="宋体" w:cs="Times New Roman"/>
                <w:b/>
                <w:bCs/>
                <w:color w:val="auto"/>
                <w:kern w:val="2"/>
                <w:sz w:val="24"/>
                <w:szCs w:val="32"/>
                <w:u w:val="none"/>
                <w:lang w:val="en-US" w:eastAsia="zh-CN" w:bidi="ar-SA"/>
              </w:rPr>
              <w:t>环境监测计划</w:t>
            </w:r>
          </w:p>
          <w:p w14:paraId="17A66B7E">
            <w:pPr>
              <w:keepNext w:val="0"/>
              <w:keepLines w:val="0"/>
              <w:pageBreakBefore w:val="0"/>
              <w:widowControl w:val="0"/>
              <w:kinsoku/>
              <w:wordWrap/>
              <w:overflowPunct/>
              <w:topLinePunct w:val="0"/>
              <w:autoSpaceDE/>
              <w:autoSpaceDN/>
              <w:bidi w:val="0"/>
              <w:adjustRightInd/>
              <w:snapToGrid w:val="0"/>
              <w:spacing w:line="500" w:lineRule="exact"/>
              <w:ind w:firstLine="482" w:firstLineChars="200"/>
              <w:textAlignment w:val="auto"/>
              <w:rPr>
                <w:rFonts w:hint="eastAsia" w:ascii="Times New Roman" w:hAnsi="Times New Roman" w:eastAsia="宋体" w:cs="Times New Roman"/>
                <w:b/>
                <w:bCs/>
                <w:color w:val="auto"/>
                <w:kern w:val="2"/>
                <w:sz w:val="24"/>
                <w:szCs w:val="32"/>
                <w:u w:val="none"/>
                <w:lang w:val="en-US" w:eastAsia="zh-CN" w:bidi="ar-SA"/>
              </w:rPr>
            </w:pPr>
            <w:r>
              <w:rPr>
                <w:rFonts w:hint="eastAsia" w:cs="Times New Roman"/>
                <w:b/>
                <w:bCs/>
                <w:color w:val="auto"/>
                <w:kern w:val="2"/>
                <w:sz w:val="24"/>
                <w:szCs w:val="32"/>
                <w:u w:val="none"/>
                <w:lang w:val="en-US" w:eastAsia="zh-CN" w:bidi="ar-SA"/>
              </w:rPr>
              <w:t>9</w:t>
            </w:r>
            <w:r>
              <w:rPr>
                <w:rFonts w:hint="eastAsia" w:ascii="Times New Roman" w:hAnsi="Times New Roman" w:eastAsia="宋体" w:cs="Times New Roman"/>
                <w:b/>
                <w:bCs/>
                <w:color w:val="auto"/>
                <w:kern w:val="2"/>
                <w:sz w:val="24"/>
                <w:szCs w:val="32"/>
                <w:u w:val="none"/>
                <w:lang w:val="en-US" w:eastAsia="zh-CN" w:bidi="ar-SA"/>
              </w:rPr>
              <w:t>.1环境监测的目的</w:t>
            </w:r>
          </w:p>
          <w:p w14:paraId="45D108DF">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环境监测是为环境管理提供科学依据的必不可少的基础性工作，是企业环境管理的一个重要组成部分，是执行环保法规、评价环境质量、判断环保治理设施运行效果的重要手段，通过对该企业主要污染物的排放情况进行定期监测掌握装置排放污染物含量、污染排放规律，评价净化设施性能，制定控制和治理污染的方案，并建立监测档案，为贯彻国家和地方有关环保政策、法律、规定、标准等情况提供依据。通过一系列监测数据和资料，对企业环境质量进行综合分析和评价，为控制污染和环保管理提供依据。</w:t>
            </w:r>
          </w:p>
          <w:p w14:paraId="3327DA47">
            <w:pPr>
              <w:keepNext w:val="0"/>
              <w:keepLines w:val="0"/>
              <w:pageBreakBefore w:val="0"/>
              <w:widowControl w:val="0"/>
              <w:kinsoku/>
              <w:wordWrap/>
              <w:overflowPunct/>
              <w:topLinePunct w:val="0"/>
              <w:autoSpaceDE/>
              <w:autoSpaceDN/>
              <w:bidi w:val="0"/>
              <w:adjustRightInd/>
              <w:snapToGrid w:val="0"/>
              <w:spacing w:line="500" w:lineRule="exact"/>
              <w:ind w:firstLine="482" w:firstLineChars="200"/>
              <w:textAlignment w:val="auto"/>
              <w:rPr>
                <w:rFonts w:ascii="Times New Roman" w:hAnsi="Times New Roman" w:eastAsia="宋体" w:cs="Times New Roman"/>
                <w:b/>
                <w:bCs/>
                <w:color w:val="auto"/>
                <w:kern w:val="2"/>
                <w:sz w:val="24"/>
                <w:szCs w:val="32"/>
                <w:u w:val="none"/>
                <w:lang w:val="en-US" w:eastAsia="zh-CN" w:bidi="ar-SA"/>
              </w:rPr>
            </w:pPr>
            <w:r>
              <w:rPr>
                <w:rFonts w:hint="eastAsia" w:cs="Times New Roman"/>
                <w:b/>
                <w:bCs/>
                <w:color w:val="auto"/>
                <w:kern w:val="2"/>
                <w:sz w:val="24"/>
                <w:szCs w:val="32"/>
                <w:u w:val="none"/>
                <w:lang w:val="en-US" w:eastAsia="zh-CN" w:bidi="ar-SA"/>
              </w:rPr>
              <w:t>9</w:t>
            </w:r>
            <w:r>
              <w:rPr>
                <w:rFonts w:hint="eastAsia" w:ascii="Times New Roman" w:hAnsi="Times New Roman" w:eastAsia="宋体" w:cs="Times New Roman"/>
                <w:b/>
                <w:bCs/>
                <w:color w:val="auto"/>
                <w:kern w:val="2"/>
                <w:sz w:val="24"/>
                <w:szCs w:val="32"/>
                <w:u w:val="none"/>
                <w:lang w:val="en-US" w:eastAsia="zh-CN" w:bidi="ar-SA"/>
              </w:rPr>
              <w:t>.2环境监控机构的职责</w:t>
            </w:r>
          </w:p>
          <w:p w14:paraId="6D1FC3CB">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（1）根据国家颁布的环境质量标准和污染物排放标准及环境保护监测工作规定，制定项目监测计划和工作方案。</w:t>
            </w:r>
          </w:p>
          <w:p w14:paraId="1DF299E5">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（2）定期对各项污染防治设施进行监测，随时掌握运行状况，监测结果出现异常时，应及时查明原因，并及时上报企业主管环保的领导。</w:t>
            </w:r>
          </w:p>
          <w:p w14:paraId="2A61F5EB">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（3）做好废气、噪声的污染源及监测数据记录、统计分析及存档工作，分析污染物排放规律，整理监测数据，并建立企业环保档案。</w:t>
            </w:r>
          </w:p>
          <w:p w14:paraId="39CE613D">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（4）建立质量保证体系，监测站的规范化建设，不断提高监测质量和监测水平。</w:t>
            </w:r>
          </w:p>
          <w:p w14:paraId="3979E51C">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（5）加强监测仪器设备的日常保养和校验工作，确保监测站的正常运行。</w:t>
            </w:r>
          </w:p>
          <w:p w14:paraId="06C637B4">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（6）接受地方环保主管部门的指导和监督管理。</w:t>
            </w:r>
          </w:p>
          <w:p w14:paraId="314D483A">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hint="eastAsia" w:ascii="Times New Roman" w:hAnsi="Times New Roman" w:eastAsia="宋体" w:cs="Times New Roman"/>
                <w:color w:val="auto"/>
                <w:kern w:val="2"/>
                <w:sz w:val="24"/>
                <w:szCs w:val="32"/>
                <w:u w:val="none"/>
                <w:lang w:val="en-US" w:eastAsia="zh-CN" w:bidi="ar-SA"/>
              </w:rPr>
              <w:t>本环评建议企业委托有资质的环境监测部门承担营运期的环境监测工作，安全环保科组织并协助配合。</w:t>
            </w:r>
          </w:p>
          <w:p w14:paraId="7309970B">
            <w:pPr>
              <w:pStyle w:val="98"/>
              <w:keepNext w:val="0"/>
              <w:keepLines w:val="0"/>
              <w:pageBreakBefore w:val="0"/>
              <w:widowControl w:val="0"/>
              <w:kinsoku/>
              <w:wordWrap/>
              <w:overflowPunct/>
              <w:topLinePunct w:val="0"/>
              <w:autoSpaceDE/>
              <w:autoSpaceDN/>
              <w:bidi w:val="0"/>
              <w:adjustRightInd/>
              <w:snapToGrid w:val="0"/>
              <w:spacing w:line="500" w:lineRule="exact"/>
              <w:ind w:left="0" w:leftChars="0" w:firstLine="482" w:firstLineChars="200"/>
              <w:textAlignment w:val="auto"/>
              <w:rPr>
                <w:rFonts w:ascii="Times New Roman" w:hAnsi="Times New Roman" w:eastAsia="宋体" w:cs="Times New Roman"/>
                <w:b/>
                <w:bCs/>
                <w:color w:val="auto"/>
                <w:kern w:val="2"/>
                <w:sz w:val="24"/>
                <w:szCs w:val="32"/>
                <w:u w:val="none"/>
                <w:lang w:val="en-US" w:eastAsia="zh-CN" w:bidi="ar-SA"/>
              </w:rPr>
            </w:pPr>
            <w:r>
              <w:rPr>
                <w:rFonts w:hint="eastAsia" w:ascii="Times New Roman" w:hAnsi="Times New Roman" w:cs="Times New Roman"/>
                <w:b/>
                <w:bCs/>
                <w:color w:val="auto"/>
                <w:kern w:val="2"/>
                <w:sz w:val="24"/>
                <w:szCs w:val="32"/>
                <w:u w:val="none"/>
                <w:lang w:val="en-US" w:eastAsia="zh-CN" w:bidi="ar-SA"/>
              </w:rPr>
              <w:t>9</w:t>
            </w:r>
            <w:r>
              <w:rPr>
                <w:rFonts w:hint="eastAsia" w:ascii="Times New Roman" w:hAnsi="Times New Roman" w:eastAsia="宋体" w:cs="Times New Roman"/>
                <w:b/>
                <w:bCs/>
                <w:color w:val="auto"/>
                <w:kern w:val="2"/>
                <w:sz w:val="24"/>
                <w:szCs w:val="32"/>
                <w:u w:val="none"/>
                <w:lang w:val="en-US" w:eastAsia="zh-CN" w:bidi="ar-SA"/>
              </w:rPr>
              <w:t>.3</w:t>
            </w:r>
            <w:r>
              <w:rPr>
                <w:rFonts w:ascii="Times New Roman" w:hAnsi="Times New Roman" w:eastAsia="宋体" w:cs="Times New Roman"/>
                <w:b/>
                <w:bCs/>
                <w:color w:val="auto"/>
                <w:kern w:val="2"/>
                <w:sz w:val="24"/>
                <w:szCs w:val="32"/>
                <w:u w:val="none"/>
                <w:lang w:val="en-US" w:eastAsia="zh-CN" w:bidi="ar-SA"/>
              </w:rPr>
              <w:t>环境监测</w:t>
            </w:r>
            <w:r>
              <w:rPr>
                <w:rFonts w:hint="eastAsia" w:ascii="Times New Roman" w:hAnsi="Times New Roman" w:eastAsia="宋体" w:cs="Times New Roman"/>
                <w:b/>
                <w:bCs/>
                <w:color w:val="auto"/>
                <w:kern w:val="2"/>
                <w:sz w:val="24"/>
                <w:szCs w:val="32"/>
                <w:u w:val="none"/>
                <w:lang w:val="en-US" w:eastAsia="zh-CN" w:bidi="ar-SA"/>
              </w:rPr>
              <w:t>计划</w:t>
            </w:r>
          </w:p>
          <w:p w14:paraId="52A29904">
            <w:pPr>
              <w:pStyle w:val="42"/>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left"/>
              <w:textAlignment w:val="auto"/>
              <w:rPr>
                <w:rFonts w:hint="eastAsia" w:ascii="Times New Roman" w:hAnsi="Times New Roman" w:eastAsia="宋体" w:cs="Times New Roman"/>
                <w:b w:val="0"/>
                <w:color w:val="auto"/>
                <w:kern w:val="2"/>
                <w:sz w:val="24"/>
                <w:szCs w:val="32"/>
                <w:u w:val="none"/>
                <w:lang w:val="en-US" w:eastAsia="zh-CN" w:bidi="ar-SA"/>
              </w:rPr>
            </w:pPr>
            <w:r>
              <w:rPr>
                <w:rFonts w:ascii="Times New Roman" w:hAnsi="Times New Roman" w:eastAsia="宋体" w:cs="Times New Roman"/>
                <w:color w:val="auto"/>
                <w:kern w:val="2"/>
                <w:sz w:val="24"/>
                <w:szCs w:val="24"/>
                <w:u w:val="none"/>
                <w:lang w:val="en-US" w:eastAsia="zh-CN" w:bidi="ar-SA"/>
              </w:rPr>
              <w:t>根据《排污单位自行监测技术指南</w:t>
            </w:r>
            <w:r>
              <w:rPr>
                <w:rFonts w:hint="eastAsia" w:ascii="Times New Roman" w:hAnsi="Times New Roman" w:eastAsia="宋体" w:cs="Times New Roman"/>
                <w:color w:val="auto"/>
                <w:kern w:val="2"/>
                <w:sz w:val="24"/>
                <w:szCs w:val="24"/>
                <w:u w:val="none"/>
                <w:lang w:val="en-US" w:eastAsia="zh-CN" w:bidi="ar-SA"/>
              </w:rPr>
              <w:t>·</w:t>
            </w:r>
            <w:r>
              <w:rPr>
                <w:rFonts w:ascii="Times New Roman" w:hAnsi="Times New Roman" w:eastAsia="宋体" w:cs="Times New Roman"/>
                <w:color w:val="auto"/>
                <w:kern w:val="2"/>
                <w:sz w:val="24"/>
                <w:szCs w:val="24"/>
                <w:u w:val="none"/>
                <w:lang w:val="en-US" w:eastAsia="zh-CN" w:bidi="ar-SA"/>
              </w:rPr>
              <w:t xml:space="preserve">总则》（HJ819-2017）及本项目排污特点，并参考《排污单位自行监测技术指南 </w:t>
            </w:r>
            <w:r>
              <w:rPr>
                <w:rFonts w:hint="eastAsia" w:ascii="Times New Roman" w:hAnsi="Times New Roman" w:eastAsia="宋体" w:cs="Times New Roman"/>
                <w:color w:val="auto"/>
                <w:kern w:val="2"/>
                <w:sz w:val="24"/>
                <w:szCs w:val="24"/>
                <w:u w:val="none"/>
                <w:lang w:val="en-US" w:eastAsia="zh-CN" w:bidi="ar-SA"/>
              </w:rPr>
              <w:t>火力发电及锅炉</w:t>
            </w:r>
            <w:r>
              <w:rPr>
                <w:rFonts w:ascii="Times New Roman" w:hAnsi="Times New Roman" w:eastAsia="宋体" w:cs="Times New Roman"/>
                <w:color w:val="auto"/>
                <w:kern w:val="2"/>
                <w:sz w:val="24"/>
                <w:szCs w:val="24"/>
                <w:u w:val="none"/>
                <w:lang w:val="en-US" w:eastAsia="zh-CN" w:bidi="ar-SA"/>
              </w:rPr>
              <w:t>》HJ 8</w:t>
            </w:r>
            <w:r>
              <w:rPr>
                <w:rFonts w:hint="eastAsia" w:ascii="Times New Roman" w:hAnsi="Times New Roman" w:eastAsia="宋体" w:cs="Times New Roman"/>
                <w:color w:val="auto"/>
                <w:kern w:val="2"/>
                <w:sz w:val="24"/>
                <w:szCs w:val="24"/>
                <w:u w:val="none"/>
                <w:lang w:val="en-US" w:eastAsia="zh-CN" w:bidi="ar-SA"/>
              </w:rPr>
              <w:t>20</w:t>
            </w:r>
            <w:r>
              <w:rPr>
                <w:rFonts w:ascii="Times New Roman" w:hAnsi="Times New Roman" w:eastAsia="宋体" w:cs="Times New Roman"/>
                <w:color w:val="auto"/>
                <w:kern w:val="2"/>
                <w:sz w:val="24"/>
                <w:szCs w:val="24"/>
                <w:u w:val="none"/>
                <w:lang w:val="en-US" w:eastAsia="zh-CN" w:bidi="ar-SA"/>
              </w:rPr>
              <w:t>-2017，结</w:t>
            </w:r>
            <w:r>
              <w:rPr>
                <w:rFonts w:ascii="Times New Roman" w:hAnsi="Times New Roman" w:cs="Times New Roman"/>
                <w:color w:val="auto"/>
                <w:sz w:val="24"/>
                <w:szCs w:val="24"/>
                <w:u w:val="none"/>
              </w:rPr>
              <w:t>合本项目运行期产污特征、项目工程周围环境实际情况，制定出本项目运行期环境监测计划，详见下表。</w:t>
            </w:r>
          </w:p>
          <w:p w14:paraId="0A0FCB16">
            <w:pPr>
              <w:jc w:val="center"/>
              <w:rPr>
                <w:rFonts w:hint="eastAsia" w:ascii="Times New Roman" w:hAnsi="Times New Roman" w:eastAsia="黑体" w:cs="Times New Roman"/>
                <w:b w:val="0"/>
                <w:color w:val="auto"/>
                <w:kern w:val="0"/>
                <w:sz w:val="24"/>
                <w:szCs w:val="20"/>
                <w:u w:val="none"/>
                <w:lang w:val="en-US" w:eastAsia="zh-CN" w:bidi="zh-CN"/>
              </w:rPr>
            </w:pPr>
            <w:r>
              <w:rPr>
                <w:rFonts w:hint="eastAsia" w:ascii="Times New Roman" w:hAnsi="Times New Roman" w:eastAsia="黑体" w:cs="Times New Roman"/>
                <w:b w:val="0"/>
                <w:color w:val="auto"/>
                <w:kern w:val="0"/>
                <w:sz w:val="24"/>
                <w:szCs w:val="20"/>
                <w:u w:val="none"/>
                <w:lang w:val="en-US" w:eastAsia="zh-CN" w:bidi="zh-CN"/>
              </w:rPr>
              <w:t>表</w:t>
            </w:r>
            <w:r>
              <w:rPr>
                <w:rFonts w:hint="eastAsia" w:eastAsia="黑体" w:cs="Times New Roman"/>
                <w:b w:val="0"/>
                <w:color w:val="auto"/>
                <w:kern w:val="0"/>
                <w:sz w:val="24"/>
                <w:szCs w:val="20"/>
                <w:u w:val="none"/>
                <w:lang w:val="en-US" w:eastAsia="zh-CN" w:bidi="zh-CN"/>
              </w:rPr>
              <w:t>4-17</w:t>
            </w:r>
            <w:r>
              <w:rPr>
                <w:rFonts w:hint="eastAsia" w:ascii="Times New Roman" w:hAnsi="Times New Roman" w:eastAsia="黑体" w:cs="Times New Roman"/>
                <w:b w:val="0"/>
                <w:color w:val="auto"/>
                <w:kern w:val="0"/>
                <w:sz w:val="24"/>
                <w:szCs w:val="20"/>
                <w:u w:val="none"/>
                <w:lang w:val="en-US" w:eastAsia="zh-CN" w:bidi="zh-CN"/>
              </w:rPr>
              <w:t xml:space="preserve"> 营运期环境监测内容及监测频率</w:t>
            </w:r>
          </w:p>
          <w:tbl>
            <w:tblPr>
              <w:tblStyle w:val="32"/>
              <w:tblW w:w="8573" w:type="dxa"/>
              <w:tblInd w:w="-7" w:type="dxa"/>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680"/>
              <w:gridCol w:w="1908"/>
              <w:gridCol w:w="1727"/>
              <w:gridCol w:w="1375"/>
              <w:gridCol w:w="2883"/>
            </w:tblGrid>
            <w:tr w14:paraId="7AAA721B">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80" w:type="dxa"/>
                  <w:tcBorders>
                    <w:tl2br w:val="nil"/>
                    <w:tr2bl w:val="nil"/>
                  </w:tcBorders>
                  <w:vAlign w:val="center"/>
                </w:tcPr>
                <w:p w14:paraId="6D46F408">
                  <w:pPr>
                    <w:spacing w:line="240" w:lineRule="auto"/>
                    <w:jc w:val="center"/>
                    <w:rPr>
                      <w:rFonts w:hint="eastAsia" w:ascii="Times New Roman" w:hAnsi="Times New Roman" w:eastAsia="宋体" w:cs="Times New Roman"/>
                      <w:b/>
                      <w:bCs/>
                      <w:color w:val="auto"/>
                      <w:kern w:val="0"/>
                      <w:sz w:val="21"/>
                      <w:szCs w:val="20"/>
                      <w:u w:val="none"/>
                      <w:lang w:val="en-US" w:eastAsia="zh-CN" w:bidi="ar-SA"/>
                    </w:rPr>
                  </w:pPr>
                  <w:r>
                    <w:rPr>
                      <w:rFonts w:hint="eastAsia" w:ascii="Times New Roman" w:hAnsi="Times New Roman" w:eastAsia="宋体" w:cs="Times New Roman"/>
                      <w:b/>
                      <w:bCs/>
                      <w:color w:val="auto"/>
                      <w:kern w:val="0"/>
                      <w:sz w:val="21"/>
                      <w:szCs w:val="20"/>
                      <w:u w:val="none"/>
                      <w:lang w:val="en-US" w:eastAsia="zh-CN" w:bidi="ar-SA"/>
                    </w:rPr>
                    <w:t>项目</w:t>
                  </w:r>
                </w:p>
              </w:tc>
              <w:tc>
                <w:tcPr>
                  <w:tcW w:w="1908" w:type="dxa"/>
                  <w:tcBorders>
                    <w:tl2br w:val="nil"/>
                    <w:tr2bl w:val="nil"/>
                  </w:tcBorders>
                  <w:vAlign w:val="center"/>
                </w:tcPr>
                <w:p w14:paraId="0F14FA19">
                  <w:pPr>
                    <w:spacing w:line="240" w:lineRule="auto"/>
                    <w:jc w:val="center"/>
                    <w:rPr>
                      <w:rFonts w:hint="eastAsia" w:ascii="Times New Roman" w:hAnsi="Times New Roman" w:eastAsia="宋体" w:cs="Times New Roman"/>
                      <w:b/>
                      <w:bCs/>
                      <w:color w:val="auto"/>
                      <w:kern w:val="0"/>
                      <w:sz w:val="21"/>
                      <w:szCs w:val="20"/>
                      <w:u w:val="none"/>
                      <w:lang w:val="en-US" w:eastAsia="zh-CN" w:bidi="ar-SA"/>
                    </w:rPr>
                  </w:pPr>
                  <w:r>
                    <w:rPr>
                      <w:rFonts w:hint="eastAsia" w:ascii="Times New Roman" w:hAnsi="Times New Roman" w:eastAsia="宋体" w:cs="Times New Roman"/>
                      <w:b/>
                      <w:bCs/>
                      <w:color w:val="auto"/>
                      <w:kern w:val="0"/>
                      <w:sz w:val="21"/>
                      <w:szCs w:val="20"/>
                      <w:u w:val="none"/>
                      <w:lang w:val="en-US" w:eastAsia="zh-CN" w:bidi="ar-SA"/>
                    </w:rPr>
                    <w:t>监测点位</w:t>
                  </w:r>
                </w:p>
              </w:tc>
              <w:tc>
                <w:tcPr>
                  <w:tcW w:w="1727" w:type="dxa"/>
                  <w:tcBorders>
                    <w:tl2br w:val="nil"/>
                    <w:tr2bl w:val="nil"/>
                  </w:tcBorders>
                  <w:vAlign w:val="center"/>
                </w:tcPr>
                <w:p w14:paraId="7D0CE0E5">
                  <w:pPr>
                    <w:spacing w:line="240" w:lineRule="auto"/>
                    <w:jc w:val="center"/>
                    <w:rPr>
                      <w:rFonts w:hint="eastAsia" w:ascii="Times New Roman" w:hAnsi="Times New Roman" w:eastAsia="宋体" w:cs="Times New Roman"/>
                      <w:b/>
                      <w:bCs/>
                      <w:color w:val="auto"/>
                      <w:kern w:val="0"/>
                      <w:sz w:val="21"/>
                      <w:szCs w:val="20"/>
                      <w:u w:val="none"/>
                      <w:lang w:val="en-US" w:eastAsia="zh-CN" w:bidi="ar-SA"/>
                    </w:rPr>
                  </w:pPr>
                  <w:r>
                    <w:rPr>
                      <w:rFonts w:hint="eastAsia" w:ascii="Times New Roman" w:hAnsi="Times New Roman" w:eastAsia="宋体" w:cs="Times New Roman"/>
                      <w:b/>
                      <w:bCs/>
                      <w:color w:val="auto"/>
                      <w:kern w:val="0"/>
                      <w:sz w:val="21"/>
                      <w:szCs w:val="20"/>
                      <w:u w:val="none"/>
                      <w:lang w:val="en-US" w:eastAsia="zh-CN" w:bidi="ar-SA"/>
                    </w:rPr>
                    <w:t>监测因子</w:t>
                  </w:r>
                </w:p>
              </w:tc>
              <w:tc>
                <w:tcPr>
                  <w:tcW w:w="1375" w:type="dxa"/>
                  <w:tcBorders>
                    <w:tl2br w:val="nil"/>
                    <w:tr2bl w:val="nil"/>
                  </w:tcBorders>
                  <w:vAlign w:val="center"/>
                </w:tcPr>
                <w:p w14:paraId="023C0913">
                  <w:pPr>
                    <w:spacing w:line="240" w:lineRule="auto"/>
                    <w:jc w:val="center"/>
                    <w:rPr>
                      <w:rFonts w:hint="eastAsia" w:ascii="Times New Roman" w:hAnsi="Times New Roman" w:eastAsia="宋体" w:cs="Times New Roman"/>
                      <w:b/>
                      <w:bCs/>
                      <w:color w:val="auto"/>
                      <w:kern w:val="0"/>
                      <w:sz w:val="21"/>
                      <w:szCs w:val="20"/>
                      <w:u w:val="none"/>
                      <w:lang w:val="en-US" w:eastAsia="zh-CN" w:bidi="ar-SA"/>
                    </w:rPr>
                  </w:pPr>
                  <w:r>
                    <w:rPr>
                      <w:rFonts w:hint="eastAsia" w:ascii="Times New Roman" w:hAnsi="Times New Roman" w:eastAsia="宋体" w:cs="Times New Roman"/>
                      <w:b/>
                      <w:bCs/>
                      <w:color w:val="auto"/>
                      <w:kern w:val="0"/>
                      <w:sz w:val="21"/>
                      <w:szCs w:val="20"/>
                      <w:u w:val="none"/>
                      <w:lang w:val="en-US" w:eastAsia="zh-CN" w:bidi="ar-SA"/>
                    </w:rPr>
                    <w:t>监测频次</w:t>
                  </w:r>
                </w:p>
              </w:tc>
              <w:tc>
                <w:tcPr>
                  <w:tcW w:w="2883" w:type="dxa"/>
                  <w:tcBorders>
                    <w:tl2br w:val="nil"/>
                    <w:tr2bl w:val="nil"/>
                  </w:tcBorders>
                  <w:vAlign w:val="center"/>
                </w:tcPr>
                <w:p w14:paraId="4891AE6B">
                  <w:pPr>
                    <w:spacing w:line="240" w:lineRule="auto"/>
                    <w:jc w:val="center"/>
                    <w:rPr>
                      <w:rFonts w:hint="eastAsia" w:ascii="Times New Roman" w:hAnsi="Times New Roman" w:eastAsia="宋体" w:cs="Times New Roman"/>
                      <w:b/>
                      <w:bCs/>
                      <w:color w:val="auto"/>
                      <w:kern w:val="0"/>
                      <w:sz w:val="21"/>
                      <w:szCs w:val="20"/>
                      <w:u w:val="none"/>
                      <w:lang w:val="en-US" w:eastAsia="zh-CN" w:bidi="ar-SA"/>
                    </w:rPr>
                  </w:pPr>
                  <w:r>
                    <w:rPr>
                      <w:rFonts w:hint="eastAsia" w:ascii="Times New Roman" w:hAnsi="Times New Roman" w:eastAsia="宋体" w:cs="Times New Roman"/>
                      <w:b/>
                      <w:bCs/>
                      <w:color w:val="auto"/>
                      <w:kern w:val="0"/>
                      <w:sz w:val="21"/>
                      <w:szCs w:val="20"/>
                      <w:u w:val="none"/>
                      <w:lang w:val="en-US" w:eastAsia="zh-CN" w:bidi="ar-SA"/>
                    </w:rPr>
                    <w:t>备注</w:t>
                  </w:r>
                </w:p>
              </w:tc>
            </w:tr>
            <w:tr w14:paraId="43B67CAC">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80" w:type="dxa"/>
                  <w:tcBorders>
                    <w:tl2br w:val="nil"/>
                    <w:tr2bl w:val="nil"/>
                  </w:tcBorders>
                  <w:vAlign w:val="center"/>
                </w:tcPr>
                <w:p w14:paraId="65AA0C04">
                  <w:pPr>
                    <w:spacing w:line="240" w:lineRule="auto"/>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噪声</w:t>
                  </w:r>
                </w:p>
              </w:tc>
              <w:tc>
                <w:tcPr>
                  <w:tcW w:w="1908" w:type="dxa"/>
                  <w:tcBorders>
                    <w:tl2br w:val="nil"/>
                    <w:tr2bl w:val="nil"/>
                  </w:tcBorders>
                  <w:vAlign w:val="center"/>
                </w:tcPr>
                <w:p w14:paraId="4242D268">
                  <w:pPr>
                    <w:spacing w:line="240" w:lineRule="auto"/>
                    <w:jc w:val="center"/>
                    <w:rPr>
                      <w:rFonts w:hint="eastAsia" w:ascii="Times New Roman" w:hAnsi="Times New Roman" w:eastAsia="宋体" w:cs="Times New Roman"/>
                      <w:color w:val="auto"/>
                      <w:kern w:val="0"/>
                      <w:sz w:val="21"/>
                      <w:szCs w:val="20"/>
                      <w:u w:val="none"/>
                      <w:lang w:val="en-US" w:eastAsia="zh-CN" w:bidi="ar-SA"/>
                    </w:rPr>
                  </w:pPr>
                  <w:r>
                    <w:rPr>
                      <w:rFonts w:hint="eastAsia" w:cs="Times New Roman"/>
                      <w:color w:val="auto"/>
                      <w:kern w:val="0"/>
                      <w:sz w:val="21"/>
                      <w:szCs w:val="20"/>
                      <w:u w:val="none"/>
                      <w:lang w:val="en-US" w:eastAsia="zh-CN" w:bidi="ar-SA"/>
                    </w:rPr>
                    <w:t>四周</w:t>
                  </w:r>
                  <w:r>
                    <w:rPr>
                      <w:rFonts w:hint="eastAsia" w:ascii="Times New Roman" w:hAnsi="Times New Roman" w:eastAsia="宋体" w:cs="Times New Roman"/>
                      <w:color w:val="auto"/>
                      <w:kern w:val="0"/>
                      <w:sz w:val="21"/>
                      <w:szCs w:val="20"/>
                      <w:u w:val="none"/>
                      <w:lang w:val="en-US" w:eastAsia="zh-CN" w:bidi="ar-SA"/>
                    </w:rPr>
                    <w:t>厂界外1m</w:t>
                  </w:r>
                </w:p>
              </w:tc>
              <w:tc>
                <w:tcPr>
                  <w:tcW w:w="1727" w:type="dxa"/>
                  <w:tcBorders>
                    <w:tl2br w:val="nil"/>
                    <w:tr2bl w:val="nil"/>
                  </w:tcBorders>
                  <w:vAlign w:val="center"/>
                </w:tcPr>
                <w:p w14:paraId="372AC33F">
                  <w:pPr>
                    <w:spacing w:line="240" w:lineRule="auto"/>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昼间、夜间</w:t>
                  </w:r>
                </w:p>
                <w:p w14:paraId="6059160E">
                  <w:pPr>
                    <w:spacing w:line="240" w:lineRule="auto"/>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Leq（A）</w:t>
                  </w:r>
                </w:p>
              </w:tc>
              <w:tc>
                <w:tcPr>
                  <w:tcW w:w="1375" w:type="dxa"/>
                  <w:tcBorders>
                    <w:tl2br w:val="nil"/>
                    <w:tr2bl w:val="nil"/>
                  </w:tcBorders>
                  <w:vAlign w:val="center"/>
                </w:tcPr>
                <w:p w14:paraId="036DA2B6">
                  <w:pPr>
                    <w:spacing w:line="240" w:lineRule="auto"/>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每季度1次</w:t>
                  </w:r>
                </w:p>
              </w:tc>
              <w:tc>
                <w:tcPr>
                  <w:tcW w:w="2883" w:type="dxa"/>
                  <w:tcBorders>
                    <w:tl2br w:val="nil"/>
                    <w:tr2bl w:val="nil"/>
                  </w:tcBorders>
                  <w:vAlign w:val="center"/>
                </w:tcPr>
                <w:p w14:paraId="3378BD64">
                  <w:pPr>
                    <w:spacing w:line="240" w:lineRule="auto"/>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满足</w:t>
                  </w:r>
                  <w:r>
                    <w:rPr>
                      <w:rFonts w:hint="default" w:ascii="Times New Roman" w:hAnsi="Times New Roman" w:eastAsia="宋体" w:cs="Times New Roman"/>
                      <w:color w:val="auto"/>
                      <w:kern w:val="0"/>
                      <w:sz w:val="21"/>
                      <w:szCs w:val="20"/>
                      <w:u w:val="none"/>
                      <w:lang w:val="en-US" w:eastAsia="zh-CN" w:bidi="ar-SA"/>
                    </w:rPr>
                    <w:t>《</w:t>
                  </w:r>
                  <w:r>
                    <w:rPr>
                      <w:rFonts w:hint="eastAsia" w:ascii="Times New Roman" w:hAnsi="Times New Roman" w:eastAsia="宋体" w:cs="Times New Roman"/>
                      <w:color w:val="auto"/>
                      <w:kern w:val="0"/>
                      <w:sz w:val="21"/>
                      <w:szCs w:val="20"/>
                      <w:u w:val="none"/>
                      <w:lang w:val="en-US" w:eastAsia="zh-CN" w:bidi="ar-SA"/>
                    </w:rPr>
                    <w:t>工业企业厂界环境噪声排放标准》(GB12348-2008)</w:t>
                  </w:r>
                </w:p>
                <w:p w14:paraId="5AB6323D">
                  <w:pPr>
                    <w:spacing w:line="240" w:lineRule="auto"/>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 xml:space="preserve"> 2类标准</w:t>
                  </w:r>
                </w:p>
              </w:tc>
            </w:tr>
            <w:tr w14:paraId="4D5E99AD">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80" w:type="dxa"/>
                  <w:tcBorders>
                    <w:tl2br w:val="nil"/>
                    <w:tr2bl w:val="nil"/>
                  </w:tcBorders>
                  <w:vAlign w:val="center"/>
                </w:tcPr>
                <w:p w14:paraId="72114294">
                  <w:pPr>
                    <w:spacing w:line="240" w:lineRule="auto"/>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废气</w:t>
                  </w:r>
                </w:p>
              </w:tc>
              <w:tc>
                <w:tcPr>
                  <w:tcW w:w="1908" w:type="dxa"/>
                  <w:tcBorders>
                    <w:tl2br w:val="nil"/>
                    <w:tr2bl w:val="nil"/>
                  </w:tcBorders>
                  <w:vAlign w:val="center"/>
                </w:tcPr>
                <w:p w14:paraId="35999790">
                  <w:pPr>
                    <w:spacing w:line="240" w:lineRule="auto"/>
                    <w:jc w:val="center"/>
                    <w:rPr>
                      <w:rFonts w:hint="default"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DA001、DA002</w:t>
                  </w:r>
                  <w:r>
                    <w:rPr>
                      <w:rFonts w:hint="eastAsia" w:cs="Times New Roman"/>
                      <w:color w:val="auto"/>
                      <w:kern w:val="0"/>
                      <w:sz w:val="21"/>
                      <w:szCs w:val="20"/>
                      <w:u w:val="none"/>
                      <w:lang w:val="en-US" w:eastAsia="zh-CN" w:bidi="ar-SA"/>
                    </w:rPr>
                    <w:t>、</w:t>
                  </w:r>
                  <w:r>
                    <w:rPr>
                      <w:rFonts w:hint="eastAsia" w:ascii="Times New Roman" w:hAnsi="Times New Roman" w:eastAsia="宋体" w:cs="Times New Roman"/>
                      <w:color w:val="auto"/>
                      <w:kern w:val="0"/>
                      <w:sz w:val="21"/>
                      <w:szCs w:val="20"/>
                      <w:u w:val="none"/>
                      <w:lang w:val="en-US" w:eastAsia="zh-CN" w:bidi="ar-SA"/>
                    </w:rPr>
                    <w:t>DA003、DA004</w:t>
                  </w:r>
                </w:p>
              </w:tc>
              <w:tc>
                <w:tcPr>
                  <w:tcW w:w="1727" w:type="dxa"/>
                  <w:tcBorders>
                    <w:tl2br w:val="nil"/>
                    <w:tr2bl w:val="nil"/>
                  </w:tcBorders>
                  <w:vAlign w:val="center"/>
                </w:tcPr>
                <w:p w14:paraId="7C371A4B">
                  <w:pPr>
                    <w:spacing w:line="240" w:lineRule="auto"/>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氮氧化物、颗粒物、非甲烷总烃、一氧化碳</w:t>
                  </w:r>
                </w:p>
              </w:tc>
              <w:tc>
                <w:tcPr>
                  <w:tcW w:w="1375" w:type="dxa"/>
                  <w:tcBorders>
                    <w:tl2br w:val="nil"/>
                    <w:tr2bl w:val="nil"/>
                  </w:tcBorders>
                  <w:vAlign w:val="center"/>
                </w:tcPr>
                <w:p w14:paraId="472F7D27">
                  <w:pPr>
                    <w:spacing w:line="240" w:lineRule="auto"/>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每年一次</w:t>
                  </w:r>
                </w:p>
              </w:tc>
              <w:tc>
                <w:tcPr>
                  <w:tcW w:w="2883" w:type="dxa"/>
                  <w:tcBorders>
                    <w:tl2br w:val="nil"/>
                    <w:tr2bl w:val="nil"/>
                  </w:tcBorders>
                  <w:vAlign w:val="center"/>
                </w:tcPr>
                <w:p w14:paraId="4FBEB0D9">
                  <w:pPr>
                    <w:spacing w:line="240" w:lineRule="auto"/>
                    <w:jc w:val="center"/>
                    <w:rPr>
                      <w:rFonts w:hint="eastAsia" w:ascii="Times New Roman" w:hAnsi="Times New Roman" w:eastAsia="宋体" w:cs="Times New Roman"/>
                      <w:color w:val="auto"/>
                      <w:kern w:val="0"/>
                      <w:sz w:val="21"/>
                      <w:szCs w:val="20"/>
                      <w:u w:val="none"/>
                      <w:lang w:val="en-US" w:eastAsia="zh-CN" w:bidi="ar-SA"/>
                    </w:rPr>
                  </w:pPr>
                  <w:r>
                    <w:rPr>
                      <w:rFonts w:hint="eastAsia" w:ascii="Times New Roman" w:hAnsi="Times New Roman" w:eastAsia="宋体" w:cs="Times New Roman"/>
                      <w:color w:val="auto"/>
                      <w:kern w:val="0"/>
                      <w:sz w:val="21"/>
                      <w:szCs w:val="20"/>
                      <w:u w:val="none"/>
                      <w:lang w:val="en-US" w:eastAsia="zh-CN" w:bidi="ar-SA"/>
                    </w:rPr>
                    <w:t>《重型柴油车污染物排放限值及测量方法（中国第六阶段）》GB 17691-2018</w:t>
                  </w:r>
                </w:p>
              </w:tc>
            </w:tr>
          </w:tbl>
          <w:p w14:paraId="3F5EC0A2">
            <w:pPr>
              <w:keepNext w:val="0"/>
              <w:keepLines w:val="0"/>
              <w:pageBreakBefore w:val="0"/>
              <w:numPr>
                <w:ilvl w:val="0"/>
                <w:numId w:val="0"/>
              </w:numPr>
              <w:kinsoku/>
              <w:wordWrap/>
              <w:overflowPunct/>
              <w:topLinePunct w:val="0"/>
              <w:autoSpaceDE/>
              <w:autoSpaceDN/>
              <w:bidi w:val="0"/>
              <w:adjustRightInd/>
              <w:snapToGrid/>
              <w:spacing w:line="500" w:lineRule="exact"/>
              <w:ind w:firstLine="480" w:firstLineChars="200"/>
              <w:textAlignment w:val="auto"/>
              <w:rPr>
                <w:rFonts w:ascii="Times New Roman" w:hAnsi="Times New Roman" w:eastAsia="宋体" w:cs="Times New Roman"/>
                <w:color w:val="auto"/>
                <w:kern w:val="2"/>
                <w:sz w:val="24"/>
                <w:szCs w:val="32"/>
                <w:u w:val="none"/>
                <w:lang w:val="en-US" w:eastAsia="zh-CN" w:bidi="ar-SA"/>
              </w:rPr>
            </w:pPr>
            <w:r>
              <w:rPr>
                <w:rFonts w:ascii="Times New Roman" w:hAnsi="Times New Roman" w:eastAsia="宋体" w:cs="Times New Roman"/>
                <w:color w:val="auto"/>
                <w:kern w:val="2"/>
                <w:sz w:val="24"/>
                <w:szCs w:val="32"/>
                <w:u w:val="none"/>
                <w:lang w:val="en-US" w:eastAsia="zh-CN" w:bidi="ar-SA"/>
              </w:rPr>
              <w:t>在监测单位出具环境监测报告后，企业应当将监测数据归类、归档，妥善保存。对于监测结果所反映的环保问题应及时采取措施，及时纠正，确保污染物排放达标。</w:t>
            </w:r>
          </w:p>
          <w:p w14:paraId="7F51B29C">
            <w:pPr>
              <w:keepNext w:val="0"/>
              <w:keepLines w:val="0"/>
              <w:pageBreakBefore w:val="0"/>
              <w:numPr>
                <w:ilvl w:val="0"/>
                <w:numId w:val="0"/>
              </w:numPr>
              <w:kinsoku/>
              <w:wordWrap/>
              <w:overflowPunct/>
              <w:topLinePunct w:val="0"/>
              <w:autoSpaceDE/>
              <w:autoSpaceDN/>
              <w:bidi w:val="0"/>
              <w:adjustRightInd/>
              <w:snapToGrid/>
              <w:spacing w:line="500" w:lineRule="exact"/>
              <w:ind w:firstLine="482" w:firstLineChars="200"/>
              <w:textAlignment w:val="auto"/>
              <w:rPr>
                <w:rFonts w:hint="eastAsia" w:ascii="Times New Roman" w:hAnsi="Times New Roman" w:cs="Times New Roman"/>
                <w:b/>
                <w:color w:val="auto"/>
                <w:sz w:val="24"/>
                <w:szCs w:val="24"/>
                <w:highlight w:val="none"/>
                <w:u w:val="none"/>
              </w:rPr>
            </w:pPr>
            <w:r>
              <w:rPr>
                <w:rFonts w:hint="eastAsia" w:cs="Times New Roman"/>
                <w:b/>
                <w:color w:val="auto"/>
                <w:sz w:val="24"/>
                <w:szCs w:val="24"/>
                <w:highlight w:val="none"/>
                <w:u w:val="none"/>
                <w:lang w:val="en-US" w:eastAsia="zh-CN"/>
              </w:rPr>
              <w:t>10、</w:t>
            </w:r>
            <w:r>
              <w:rPr>
                <w:rFonts w:hint="eastAsia" w:ascii="Times New Roman" w:hAnsi="Times New Roman" w:cs="Times New Roman"/>
                <w:b/>
                <w:color w:val="auto"/>
                <w:sz w:val="24"/>
                <w:szCs w:val="24"/>
                <w:highlight w:val="none"/>
                <w:u w:val="none"/>
              </w:rPr>
              <w:t>总量控制</w:t>
            </w:r>
          </w:p>
          <w:p w14:paraId="0D12E317">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b w:val="0"/>
                <w:bCs w:val="0"/>
                <w:color w:val="auto"/>
                <w:sz w:val="24"/>
                <w:szCs w:val="24"/>
                <w:highlight w:val="none"/>
                <w:u w:val="none"/>
              </w:rPr>
            </w:pPr>
            <w:r>
              <w:rPr>
                <w:rFonts w:hint="default" w:ascii="Times New Roman" w:hAnsi="Times New Roman" w:eastAsia="宋体" w:cs="Times New Roman"/>
                <w:b w:val="0"/>
                <w:bCs w:val="0"/>
                <w:color w:val="auto"/>
                <w:sz w:val="24"/>
                <w:szCs w:val="24"/>
                <w:highlight w:val="none"/>
                <w:u w:val="none"/>
              </w:rPr>
              <w:t>在满足“达标排放、清洁生产、总量控制”原则的基础上，给出本项目总量控制建议指标如下。</w:t>
            </w:r>
          </w:p>
          <w:p w14:paraId="567AF70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sz w:val="24"/>
                <w:szCs w:val="24"/>
                <w:highlight w:val="none"/>
                <w:u w:val="none"/>
              </w:rPr>
            </w:pPr>
            <w:r>
              <w:rPr>
                <w:rFonts w:hint="default" w:ascii="Times New Roman" w:hAnsi="Times New Roman" w:cs="Times New Roman"/>
                <w:color w:val="auto"/>
                <w:sz w:val="24"/>
                <w:szCs w:val="24"/>
                <w:highlight w:val="none"/>
                <w:u w:val="none"/>
              </w:rPr>
              <w:t>本项目</w:t>
            </w:r>
            <w:r>
              <w:rPr>
                <w:rFonts w:hint="default" w:ascii="Times New Roman" w:hAnsi="Times New Roman" w:cs="Times New Roman"/>
                <w:color w:val="auto"/>
                <w:sz w:val="24"/>
                <w:szCs w:val="24"/>
                <w:highlight w:val="none"/>
                <w:u w:val="none"/>
                <w:lang w:val="en-US" w:eastAsia="zh-CN"/>
              </w:rPr>
              <w:t>无废水外排，</w:t>
            </w:r>
            <w:r>
              <w:rPr>
                <w:rFonts w:hint="default" w:ascii="Times New Roman" w:hAnsi="Times New Roman" w:cs="Times New Roman"/>
                <w:color w:val="auto"/>
                <w:sz w:val="24"/>
                <w:szCs w:val="24"/>
                <w:highlight w:val="none"/>
                <w:u w:val="none"/>
              </w:rPr>
              <w:t>员工日常办公生活产生的生活污水</w:t>
            </w:r>
            <w:r>
              <w:rPr>
                <w:rFonts w:hint="default" w:ascii="Times New Roman" w:hAnsi="Times New Roman" w:cs="Times New Roman"/>
                <w:color w:val="auto"/>
                <w:sz w:val="24"/>
                <w:szCs w:val="24"/>
                <w:highlight w:val="none"/>
                <w:u w:val="none"/>
                <w:lang w:eastAsia="zh-CN"/>
              </w:rPr>
              <w:t>不外排，</w:t>
            </w:r>
            <w:r>
              <w:rPr>
                <w:rFonts w:hint="default" w:ascii="Times New Roman" w:hAnsi="Times New Roman" w:cs="Times New Roman"/>
                <w:color w:val="auto"/>
                <w:sz w:val="24"/>
                <w:szCs w:val="24"/>
                <w:highlight w:val="none"/>
                <w:u w:val="none"/>
                <w:lang w:val="en-US" w:eastAsia="zh-CN"/>
              </w:rPr>
              <w:t>机组产生的冷凝水重新利用不外排</w:t>
            </w:r>
            <w:r>
              <w:rPr>
                <w:rFonts w:hint="default" w:ascii="Times New Roman" w:hAnsi="Times New Roman" w:cs="Times New Roman"/>
                <w:color w:val="auto"/>
                <w:sz w:val="24"/>
                <w:szCs w:val="24"/>
                <w:highlight w:val="none"/>
                <w:u w:val="none"/>
              </w:rPr>
              <w:t>。故本评价无</w:t>
            </w:r>
            <w:r>
              <w:rPr>
                <w:rFonts w:hint="eastAsia" w:ascii="Times New Roman" w:hAnsi="Times New Roman" w:cs="Times New Roman"/>
                <w:color w:val="auto"/>
                <w:sz w:val="24"/>
                <w:szCs w:val="24"/>
                <w:highlight w:val="none"/>
                <w:u w:val="none"/>
                <w:lang w:val="en-US" w:eastAsia="zh-CN"/>
              </w:rPr>
              <w:t>废</w:t>
            </w:r>
            <w:r>
              <w:rPr>
                <w:rFonts w:hint="default" w:ascii="Times New Roman" w:hAnsi="Times New Roman" w:cs="Times New Roman"/>
                <w:color w:val="auto"/>
                <w:sz w:val="24"/>
                <w:szCs w:val="24"/>
                <w:highlight w:val="none"/>
                <w:u w:val="none"/>
              </w:rPr>
              <w:t>水污染物总量控制指标建议。</w:t>
            </w:r>
          </w:p>
          <w:p w14:paraId="4ACF66D6">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Cs/>
                <w:color w:val="auto"/>
                <w:kern w:val="2"/>
                <w:sz w:val="24"/>
                <w:szCs w:val="24"/>
                <w:highlight w:val="none"/>
                <w:u w:val="none"/>
                <w:lang w:val="en-US" w:eastAsia="zh-CN" w:bidi="ar-SA"/>
              </w:rPr>
            </w:pPr>
            <w:r>
              <w:rPr>
                <w:rFonts w:hint="default" w:ascii="Times New Roman" w:hAnsi="Times New Roman" w:cs="Times New Roman"/>
                <w:b w:val="0"/>
                <w:bCs w:val="0"/>
                <w:color w:val="auto"/>
                <w:sz w:val="24"/>
                <w:szCs w:val="24"/>
                <w:highlight w:val="none"/>
                <w:u w:val="none"/>
              </w:rPr>
              <w:t>本项目</w:t>
            </w:r>
            <w:r>
              <w:rPr>
                <w:rFonts w:hint="default" w:ascii="Times New Roman" w:hAnsi="Times New Roman" w:cs="Times New Roman"/>
                <w:b w:val="0"/>
                <w:bCs w:val="0"/>
                <w:color w:val="auto"/>
                <w:sz w:val="24"/>
                <w:szCs w:val="24"/>
                <w:highlight w:val="none"/>
                <w:u w:val="none"/>
                <w:lang w:val="en-US" w:eastAsia="zh-CN"/>
              </w:rPr>
              <w:t>废气排放量</w:t>
            </w:r>
            <w:r>
              <w:rPr>
                <w:rFonts w:hint="default" w:ascii="Times New Roman" w:hAnsi="Times New Roman" w:cs="Times New Roman"/>
                <w:b w:val="0"/>
                <w:bCs w:val="0"/>
                <w:color w:val="auto"/>
                <w:sz w:val="24"/>
                <w:szCs w:val="24"/>
                <w:highlight w:val="none"/>
                <w:u w:val="none"/>
              </w:rPr>
              <w:t>控制指标：</w:t>
            </w:r>
            <w:r>
              <w:rPr>
                <w:rFonts w:hint="default" w:ascii="Times New Roman" w:hAnsi="Times New Roman" w:cs="Times New Roman"/>
                <w:b w:val="0"/>
                <w:bCs w:val="0"/>
                <w:color w:val="auto"/>
                <w:sz w:val="24"/>
                <w:szCs w:val="24"/>
                <w:highlight w:val="none"/>
                <w:u w:val="none"/>
                <w:shd w:val="clear" w:color="auto" w:fill="auto"/>
                <w:lang w:val="en-US" w:eastAsia="zh-CN"/>
              </w:rPr>
              <w:t>NOx：</w:t>
            </w:r>
            <w:r>
              <w:rPr>
                <w:rFonts w:hint="eastAsia" w:ascii="Times New Roman" w:hAnsi="Times New Roman" w:cs="Times New Roman"/>
                <w:b w:val="0"/>
                <w:bCs w:val="0"/>
                <w:color w:val="auto"/>
                <w:sz w:val="24"/>
                <w:szCs w:val="24"/>
                <w:highlight w:val="none"/>
                <w:u w:val="none"/>
                <w:shd w:val="clear" w:color="auto" w:fill="auto"/>
                <w:lang w:val="en-US" w:eastAsia="zh-CN"/>
              </w:rPr>
              <w:t>8.29</w:t>
            </w:r>
            <w:r>
              <w:rPr>
                <w:rFonts w:hint="default" w:ascii="Times New Roman" w:hAnsi="Times New Roman" w:cs="Times New Roman"/>
                <w:b w:val="0"/>
                <w:bCs w:val="0"/>
                <w:color w:val="auto"/>
                <w:sz w:val="24"/>
                <w:szCs w:val="24"/>
                <w:highlight w:val="none"/>
                <w:u w:val="none"/>
                <w:shd w:val="clear" w:color="auto" w:fill="auto"/>
                <w:lang w:val="en-US" w:eastAsia="zh-CN"/>
              </w:rPr>
              <w:t>t/a</w:t>
            </w:r>
            <w:r>
              <w:rPr>
                <w:rFonts w:hint="default" w:ascii="Times New Roman" w:hAnsi="Times New Roman" w:cs="Times New Roman"/>
                <w:b w:val="0"/>
                <w:bCs w:val="0"/>
                <w:color w:val="auto"/>
                <w:sz w:val="24"/>
                <w:szCs w:val="24"/>
                <w:highlight w:val="none"/>
                <w:u w:val="none"/>
                <w:shd w:val="clear" w:color="auto" w:fill="auto"/>
                <w:lang w:eastAsia="zh-CN"/>
              </w:rPr>
              <w:t>、</w:t>
            </w:r>
            <w:r>
              <w:rPr>
                <w:rFonts w:hint="default" w:ascii="Times New Roman" w:hAnsi="Times New Roman" w:cs="Times New Roman"/>
                <w:b w:val="0"/>
                <w:bCs w:val="0"/>
                <w:color w:val="auto"/>
                <w:sz w:val="24"/>
                <w:szCs w:val="24"/>
                <w:highlight w:val="none"/>
                <w:u w:val="none"/>
                <w:shd w:val="clear" w:color="auto" w:fill="auto"/>
                <w:lang w:val="en-US" w:eastAsia="zh-CN"/>
              </w:rPr>
              <w:t>颗粒物：0.</w:t>
            </w:r>
            <w:r>
              <w:rPr>
                <w:rFonts w:hint="eastAsia" w:ascii="Times New Roman" w:hAnsi="Times New Roman" w:cs="Times New Roman"/>
                <w:b w:val="0"/>
                <w:bCs w:val="0"/>
                <w:color w:val="auto"/>
                <w:sz w:val="24"/>
                <w:szCs w:val="24"/>
                <w:highlight w:val="none"/>
                <w:u w:val="none"/>
                <w:shd w:val="clear" w:color="auto" w:fill="auto"/>
                <w:lang w:val="en-US" w:eastAsia="zh-CN"/>
              </w:rPr>
              <w:t>207</w:t>
            </w:r>
            <w:r>
              <w:rPr>
                <w:rFonts w:hint="default" w:ascii="Times New Roman" w:hAnsi="Times New Roman" w:cs="Times New Roman"/>
                <w:b w:val="0"/>
                <w:bCs w:val="0"/>
                <w:color w:val="auto"/>
                <w:sz w:val="24"/>
                <w:szCs w:val="24"/>
                <w:highlight w:val="none"/>
                <w:u w:val="none"/>
                <w:shd w:val="clear" w:color="auto" w:fill="auto"/>
                <w:lang w:val="en-US" w:eastAsia="zh-CN"/>
              </w:rPr>
              <w:t>t/a、非甲烷总烃</w:t>
            </w:r>
            <w:r>
              <w:rPr>
                <w:rFonts w:hint="eastAsia" w:ascii="Times New Roman" w:hAnsi="Times New Roman" w:cs="Times New Roman"/>
                <w:b w:val="0"/>
                <w:bCs w:val="0"/>
                <w:color w:val="auto"/>
                <w:sz w:val="24"/>
                <w:szCs w:val="24"/>
                <w:highlight w:val="none"/>
                <w:u w:val="none"/>
                <w:shd w:val="clear" w:color="auto" w:fill="auto"/>
                <w:lang w:val="en-US" w:eastAsia="zh-CN"/>
              </w:rPr>
              <w:t>1.59</w:t>
            </w:r>
            <w:r>
              <w:rPr>
                <w:rFonts w:hint="default" w:ascii="Times New Roman" w:hAnsi="Times New Roman" w:cs="Times New Roman"/>
                <w:b w:val="0"/>
                <w:bCs w:val="0"/>
                <w:color w:val="auto"/>
                <w:sz w:val="24"/>
                <w:szCs w:val="24"/>
                <w:highlight w:val="none"/>
                <w:u w:val="none"/>
                <w:shd w:val="clear" w:color="auto" w:fill="auto"/>
                <w:lang w:val="en-US" w:eastAsia="zh-CN"/>
              </w:rPr>
              <w:t>t/a。叶县柴油货车淘汰削减量</w:t>
            </w:r>
            <w:r>
              <w:rPr>
                <w:rFonts w:hint="default" w:ascii="Times New Roman" w:hAnsi="Times New Roman" w:cs="Times New Roman"/>
                <w:color w:val="auto"/>
                <w:sz w:val="24"/>
                <w:szCs w:val="24"/>
                <w:highlight w:val="none"/>
                <w:u w:val="none"/>
                <w:lang w:val="en-US" w:eastAsia="zh-CN"/>
              </w:rPr>
              <w:t>可以满足本项目</w:t>
            </w:r>
            <w:r>
              <w:rPr>
                <w:rFonts w:hint="default" w:ascii="Times New Roman" w:hAnsi="Times New Roman" w:cs="Times New Roman"/>
                <w:bCs/>
                <w:color w:val="auto"/>
                <w:kern w:val="2"/>
                <w:sz w:val="24"/>
                <w:szCs w:val="24"/>
                <w:highlight w:val="none"/>
                <w:u w:val="none"/>
                <w:lang w:val="en-US" w:eastAsia="zh-CN" w:bidi="ar-SA"/>
              </w:rPr>
              <w:t>NOx排放量的替代要求。非甲烷总烃无需进行替代。</w:t>
            </w:r>
          </w:p>
          <w:p w14:paraId="3B793C3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cs="Times New Roman"/>
                <w:color w:val="auto"/>
                <w:sz w:val="24"/>
                <w:szCs w:val="24"/>
                <w:highlight w:val="none"/>
                <w:u w:val="none"/>
                <w:lang w:val="en-US" w:eastAsia="zh-CN"/>
              </w:rPr>
            </w:pPr>
            <w:r>
              <w:rPr>
                <w:rFonts w:hint="default" w:ascii="Times New Roman" w:hAnsi="Times New Roman" w:cs="Times New Roman"/>
                <w:color w:val="auto"/>
                <w:sz w:val="24"/>
                <w:szCs w:val="24"/>
                <w:highlight w:val="none"/>
                <w:u w:val="none"/>
              </w:rPr>
              <w:t>建设项目本身属于节能环保项目，是利用煤矿瓦斯发电</w:t>
            </w:r>
            <w:r>
              <w:rPr>
                <w:rFonts w:hint="default" w:ascii="Times New Roman" w:hAnsi="Times New Roman" w:cs="Times New Roman"/>
                <w:color w:val="auto"/>
                <w:sz w:val="24"/>
                <w:szCs w:val="24"/>
                <w:highlight w:val="none"/>
                <w:u w:val="none"/>
                <w:lang w:val="en-US" w:eastAsia="zh-CN"/>
              </w:rPr>
              <w:t>的同时可以减排VOCs和温室气体。</w:t>
            </w:r>
            <w:r>
              <w:rPr>
                <w:rFonts w:hint="eastAsia" w:cs="Times New Roman"/>
                <w:color w:val="auto"/>
                <w:sz w:val="24"/>
                <w:szCs w:val="24"/>
                <w:highlight w:val="none"/>
                <w:u w:val="none"/>
                <w:lang w:val="en-US" w:eastAsia="zh-CN"/>
              </w:rPr>
              <w:t>河南平煤神马中南检验检测有限公司对八</w:t>
            </w:r>
            <w:r>
              <w:rPr>
                <w:rFonts w:hint="eastAsia" w:cs="Times New Roman"/>
                <w:b w:val="0"/>
                <w:bCs/>
                <w:color w:val="auto"/>
                <w:sz w:val="24"/>
                <w:highlight w:val="none"/>
                <w:u w:val="none"/>
                <w:lang w:val="en-US" w:eastAsia="zh-CN"/>
              </w:rPr>
              <w:t>矿二井</w:t>
            </w:r>
            <w:r>
              <w:rPr>
                <w:rFonts w:hint="eastAsia" w:cs="Times New Roman"/>
                <w:color w:val="auto"/>
                <w:sz w:val="24"/>
                <w:szCs w:val="24"/>
                <w:highlight w:val="none"/>
                <w:u w:val="none"/>
                <w:lang w:val="en-US" w:eastAsia="zh-CN"/>
              </w:rPr>
              <w:t>泵站抽放瓦斯气体进行分析，瓦斯成分分析结果（见附件7），本次瓦斯成分分析检测在常温常压下进行检测（25℃，正常大气压下）。该项目全年燃烧瓦斯气体为1152万m</w:t>
            </w:r>
            <w:r>
              <w:rPr>
                <w:rFonts w:hint="eastAsia" w:cs="Times New Roman"/>
                <w:color w:val="auto"/>
                <w:sz w:val="24"/>
                <w:szCs w:val="24"/>
                <w:highlight w:val="none"/>
                <w:u w:val="none"/>
                <w:vertAlign w:val="superscript"/>
                <w:lang w:val="en-US" w:eastAsia="zh-CN"/>
              </w:rPr>
              <w:t>3</w:t>
            </w:r>
            <w:r>
              <w:rPr>
                <w:rFonts w:hint="eastAsia" w:cs="Times New Roman"/>
                <w:color w:val="auto"/>
                <w:sz w:val="24"/>
                <w:szCs w:val="24"/>
                <w:highlight w:val="none"/>
                <w:u w:val="none"/>
                <w:lang w:val="en-US" w:eastAsia="zh-CN"/>
              </w:rPr>
              <w:t>，根据成分分析结果显示其中乙烷、丙烷属于挥发性有机气体，乙烷所占0.2106%，丙烷所占0.0243%，通过比例计算，乙烷气体为24261.12m</w:t>
            </w:r>
            <w:r>
              <w:rPr>
                <w:rFonts w:hint="eastAsia" w:cs="Times New Roman"/>
                <w:color w:val="auto"/>
                <w:sz w:val="24"/>
                <w:szCs w:val="24"/>
                <w:highlight w:val="none"/>
                <w:u w:val="none"/>
                <w:vertAlign w:val="superscript"/>
                <w:lang w:val="en-US" w:eastAsia="zh-CN"/>
              </w:rPr>
              <w:t>3</w:t>
            </w:r>
            <w:r>
              <w:rPr>
                <w:rFonts w:hint="eastAsia" w:cs="Times New Roman"/>
                <w:color w:val="auto"/>
                <w:sz w:val="24"/>
                <w:szCs w:val="24"/>
                <w:highlight w:val="none"/>
                <w:u w:val="none"/>
                <w:lang w:val="en-US" w:eastAsia="zh-CN"/>
              </w:rPr>
              <w:t>，丙烷气体2799.36m</w:t>
            </w:r>
            <w:r>
              <w:rPr>
                <w:rFonts w:hint="eastAsia" w:cs="Times New Roman"/>
                <w:color w:val="auto"/>
                <w:sz w:val="24"/>
                <w:szCs w:val="24"/>
                <w:highlight w:val="none"/>
                <w:u w:val="none"/>
                <w:vertAlign w:val="superscript"/>
                <w:lang w:val="en-US" w:eastAsia="zh-CN"/>
              </w:rPr>
              <w:t>3</w:t>
            </w:r>
            <w:r>
              <w:rPr>
                <w:rFonts w:hint="eastAsia" w:cs="Times New Roman"/>
                <w:color w:val="auto"/>
                <w:sz w:val="24"/>
                <w:szCs w:val="24"/>
                <w:highlight w:val="none"/>
                <w:u w:val="none"/>
                <w:lang w:val="en-US" w:eastAsia="zh-CN"/>
              </w:rPr>
              <w:t>。乙烷气体的密度为1.222kg/m</w:t>
            </w:r>
            <w:r>
              <w:rPr>
                <w:rFonts w:hint="eastAsia" w:cs="Times New Roman"/>
                <w:color w:val="auto"/>
                <w:sz w:val="24"/>
                <w:szCs w:val="24"/>
                <w:highlight w:val="none"/>
                <w:u w:val="none"/>
                <w:vertAlign w:val="superscript"/>
                <w:lang w:val="en-US" w:eastAsia="zh-CN"/>
              </w:rPr>
              <w:t>3</w:t>
            </w:r>
            <w:r>
              <w:rPr>
                <w:rFonts w:hint="eastAsia" w:cs="Times New Roman"/>
                <w:color w:val="auto"/>
                <w:sz w:val="24"/>
                <w:szCs w:val="24"/>
                <w:highlight w:val="none"/>
                <w:u w:val="none"/>
                <w:lang w:val="en-US" w:eastAsia="zh-CN"/>
              </w:rPr>
              <w:t>（25℃，常压下），丙烷气体的密度为1.76kg/m</w:t>
            </w:r>
            <w:r>
              <w:rPr>
                <w:rFonts w:hint="eastAsia" w:cs="Times New Roman"/>
                <w:color w:val="auto"/>
                <w:sz w:val="24"/>
                <w:szCs w:val="24"/>
                <w:highlight w:val="none"/>
                <w:u w:val="none"/>
                <w:vertAlign w:val="superscript"/>
                <w:lang w:val="en-US" w:eastAsia="zh-CN"/>
              </w:rPr>
              <w:t>3</w:t>
            </w:r>
            <w:r>
              <w:rPr>
                <w:rFonts w:hint="eastAsia" w:cs="Times New Roman"/>
                <w:color w:val="auto"/>
                <w:sz w:val="24"/>
                <w:szCs w:val="24"/>
                <w:highlight w:val="none"/>
                <w:u w:val="none"/>
                <w:lang w:val="en-US" w:eastAsia="zh-CN"/>
              </w:rPr>
              <w:t>（25℃，常压下），根据体积和密度来计算乙烷、丙烷的含量，所用1152万m</w:t>
            </w:r>
            <w:r>
              <w:rPr>
                <w:rFonts w:hint="eastAsia" w:cs="Times New Roman"/>
                <w:color w:val="auto"/>
                <w:sz w:val="24"/>
                <w:szCs w:val="24"/>
                <w:highlight w:val="none"/>
                <w:u w:val="none"/>
                <w:vertAlign w:val="superscript"/>
                <w:lang w:val="en-US" w:eastAsia="zh-CN"/>
              </w:rPr>
              <w:t>3</w:t>
            </w:r>
            <w:r>
              <w:rPr>
                <w:rFonts w:hint="eastAsia" w:cs="Times New Roman"/>
                <w:color w:val="auto"/>
                <w:sz w:val="24"/>
                <w:szCs w:val="24"/>
                <w:highlight w:val="none"/>
                <w:u w:val="none"/>
                <w:vertAlign w:val="baseline"/>
                <w:lang w:val="en-US" w:eastAsia="zh-CN"/>
              </w:rPr>
              <w:t>瓦斯气体中乙烷含量有29.6t，丙烷含量有4.92t，挥发性有机气体合计产生量有34.52t，该项目非甲烷总烃类比分析排放量有1.59t/a，项目瓦斯内挥发性有机气体经过4台机组燃烧，VOCs减排量为32.93t。</w:t>
            </w:r>
          </w:p>
          <w:p w14:paraId="54D98C28">
            <w:pPr>
              <w:keepNext w:val="0"/>
              <w:keepLines w:val="0"/>
              <w:pageBreakBefore w:val="0"/>
              <w:numPr>
                <w:ilvl w:val="0"/>
                <w:numId w:val="0"/>
              </w:numPr>
              <w:kinsoku/>
              <w:wordWrap/>
              <w:overflowPunct/>
              <w:topLinePunct w:val="0"/>
              <w:autoSpaceDE/>
              <w:autoSpaceDN/>
              <w:bidi w:val="0"/>
              <w:adjustRightInd/>
              <w:snapToGrid/>
              <w:spacing w:line="500" w:lineRule="exact"/>
              <w:ind w:firstLine="482" w:firstLineChars="200"/>
              <w:textAlignment w:val="auto"/>
              <w:rPr>
                <w:rFonts w:hint="eastAsia" w:ascii="Times New Roman" w:hAnsi="Times New Roman" w:eastAsia="宋体" w:cs="Times New Roman"/>
                <w:b/>
                <w:color w:val="auto"/>
                <w:sz w:val="24"/>
                <w:szCs w:val="24"/>
                <w:u w:val="none"/>
              </w:rPr>
            </w:pPr>
            <w:r>
              <w:rPr>
                <w:rFonts w:hint="eastAsia" w:cs="Times New Roman"/>
                <w:b/>
                <w:color w:val="auto"/>
                <w:sz w:val="24"/>
                <w:szCs w:val="24"/>
                <w:u w:val="none"/>
                <w:lang w:val="en-US" w:eastAsia="zh-CN"/>
              </w:rPr>
              <w:t>11、</w:t>
            </w:r>
            <w:r>
              <w:rPr>
                <w:rFonts w:hint="eastAsia" w:ascii="Times New Roman" w:hAnsi="Times New Roman" w:eastAsia="宋体" w:cs="Times New Roman"/>
                <w:b/>
                <w:color w:val="auto"/>
                <w:sz w:val="24"/>
                <w:szCs w:val="24"/>
                <w:u w:val="none"/>
              </w:rPr>
              <w:t>环境风险评价分析</w:t>
            </w:r>
          </w:p>
          <w:p w14:paraId="51BDDB7F">
            <w:pPr>
              <w:keepNext w:val="0"/>
              <w:keepLines w:val="0"/>
              <w:pageBreakBefore w:val="0"/>
              <w:numPr>
                <w:ilvl w:val="0"/>
                <w:numId w:val="0"/>
              </w:numPr>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bCs/>
                <w:color w:val="auto"/>
                <w:kern w:val="0"/>
                <w:sz w:val="24"/>
                <w:u w:val="none"/>
              </w:rPr>
            </w:pPr>
            <w:r>
              <w:rPr>
                <w:rFonts w:ascii="Times New Roman" w:hAnsi="Times New Roman" w:cs="Times New Roman"/>
                <w:bCs/>
                <w:color w:val="auto"/>
                <w:kern w:val="0"/>
                <w:sz w:val="24"/>
                <w:u w:val="none"/>
              </w:rPr>
              <w:t>所谓环境风险是指突发性灾难事故造成重大环境污染的事件，它具有危害性大、影响范围广等特点，同时风险发生的概率又有很大的不确定性，倘若一旦发生，其破坏性极强，对生态环境会产生严重破坏。</w:t>
            </w:r>
          </w:p>
          <w:p w14:paraId="576CFCF5">
            <w:pPr>
              <w:keepNext w:val="0"/>
              <w:keepLines w:val="0"/>
              <w:pageBreakBefore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bCs/>
                <w:color w:val="auto"/>
                <w:kern w:val="0"/>
                <w:sz w:val="24"/>
                <w:u w:val="none"/>
              </w:rPr>
            </w:pPr>
            <w:r>
              <w:rPr>
                <w:rFonts w:ascii="Times New Roman" w:hAnsi="Times New Roman" w:cs="Times New Roman"/>
                <w:bCs/>
                <w:color w:val="auto"/>
                <w:kern w:val="0"/>
                <w:sz w:val="24"/>
                <w:u w:val="none"/>
              </w:rPr>
              <w:t>环境风险评价的目的是分析和预测建设项目存在的潜在危险、有害因素，建设项目建设和运行期间可能发生的突发性事件或事故，引起有毒有害和易燃易爆等物质的泄漏，所造成的人身安全与环境影响和损害程度，提出合理可行的防范、应急与减缓措施，以使建设项目事故率、损失和环境影响达到可接受的水平。</w:t>
            </w:r>
          </w:p>
          <w:p w14:paraId="7B975352">
            <w:pPr>
              <w:keepNext w:val="0"/>
              <w:keepLines w:val="0"/>
              <w:pageBreakBefore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Cs/>
                <w:color w:val="auto"/>
                <w:kern w:val="0"/>
                <w:sz w:val="24"/>
                <w:u w:val="none"/>
                <w:lang w:val="en-US" w:eastAsia="zh-CN"/>
              </w:rPr>
            </w:pPr>
            <w:r>
              <w:rPr>
                <w:rFonts w:hint="eastAsia" w:ascii="Times New Roman" w:hAnsi="Times New Roman" w:eastAsia="宋体" w:cs="Times New Roman"/>
                <w:bCs/>
                <w:color w:val="auto"/>
                <w:kern w:val="0"/>
                <w:sz w:val="24"/>
                <w:u w:val="none"/>
                <w:lang w:val="en-US" w:eastAsia="zh-CN"/>
              </w:rPr>
              <w:t>因此本次评价的重点是：分析在运行期间可能发生的突发性事故，评估其可能对环境造成的影响和危害，并提出防范、减缓措施与应急预案。</w:t>
            </w:r>
          </w:p>
          <w:p w14:paraId="61A296DF">
            <w:pPr>
              <w:keepNext w:val="0"/>
              <w:keepLines w:val="0"/>
              <w:pageBreakBefore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bCs/>
                <w:color w:val="auto"/>
                <w:kern w:val="0"/>
                <w:sz w:val="24"/>
                <w:u w:val="none"/>
                <w:lang w:val="en-US" w:eastAsia="zh-CN"/>
              </w:rPr>
            </w:pPr>
            <w:r>
              <w:rPr>
                <w:rFonts w:hint="eastAsia" w:ascii="Times New Roman" w:hAnsi="Times New Roman" w:eastAsia="宋体" w:cs="Times New Roman"/>
                <w:bCs/>
                <w:color w:val="auto"/>
                <w:kern w:val="0"/>
                <w:sz w:val="24"/>
                <w:u w:val="none"/>
                <w:lang w:val="en-US" w:eastAsia="zh-CN"/>
              </w:rPr>
              <w:t>（1）风险识别</w:t>
            </w:r>
          </w:p>
          <w:p w14:paraId="1C4D470D">
            <w:pPr>
              <w:keepNext w:val="0"/>
              <w:keepLines w:val="0"/>
              <w:pageBreakBefore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bCs/>
                <w:color w:val="auto"/>
                <w:kern w:val="0"/>
                <w:sz w:val="24"/>
                <w:u w:val="none"/>
                <w:lang w:val="en-US" w:eastAsia="zh-CN"/>
              </w:rPr>
            </w:pPr>
            <w:r>
              <w:rPr>
                <w:rFonts w:hint="eastAsia" w:ascii="Times New Roman" w:hAnsi="Times New Roman" w:eastAsia="宋体" w:cs="Times New Roman"/>
                <w:bCs/>
                <w:color w:val="auto"/>
                <w:kern w:val="0"/>
                <w:sz w:val="24"/>
                <w:u w:val="none"/>
                <w:lang w:val="en-US" w:eastAsia="zh-CN"/>
              </w:rPr>
              <w:t>本项目涉及危险品为瓦斯和</w:t>
            </w:r>
            <w:r>
              <w:rPr>
                <w:rFonts w:hint="eastAsia" w:cs="Times New Roman"/>
                <w:bCs/>
                <w:color w:val="auto"/>
                <w:kern w:val="0"/>
                <w:sz w:val="24"/>
                <w:u w:val="none"/>
                <w:lang w:val="en-US" w:eastAsia="zh-CN"/>
              </w:rPr>
              <w:t>油类物质</w:t>
            </w:r>
            <w:r>
              <w:rPr>
                <w:rFonts w:hint="eastAsia" w:ascii="Times New Roman" w:hAnsi="Times New Roman" w:eastAsia="宋体" w:cs="Times New Roman"/>
                <w:bCs/>
                <w:color w:val="auto"/>
                <w:kern w:val="0"/>
                <w:sz w:val="24"/>
                <w:u w:val="none"/>
                <w:lang w:val="en-US" w:eastAsia="zh-CN"/>
              </w:rPr>
              <w:t>。本项目不设置储气罐，使用管道对瓦斯进行抽采和输送，因此本项目环境风险主要为瓦斯抽采和输送过程环境风险及消防废水事故排放对地表水和土壤的危害</w:t>
            </w:r>
            <w:r>
              <w:rPr>
                <w:rFonts w:hint="eastAsia" w:ascii="Times New Roman" w:hAnsi="Times New Roman" w:cs="Times New Roman"/>
                <w:bCs/>
                <w:color w:val="auto"/>
                <w:kern w:val="0"/>
                <w:sz w:val="24"/>
                <w:u w:val="none"/>
                <w:lang w:val="en-US" w:eastAsia="zh-CN"/>
              </w:rPr>
              <w:t>和</w:t>
            </w:r>
            <w:r>
              <w:rPr>
                <w:rFonts w:hint="eastAsia" w:cs="Times New Roman"/>
                <w:bCs/>
                <w:color w:val="auto"/>
                <w:kern w:val="0"/>
                <w:sz w:val="24"/>
                <w:u w:val="none"/>
                <w:lang w:val="en-US" w:eastAsia="zh-CN"/>
              </w:rPr>
              <w:t>油类物质</w:t>
            </w:r>
            <w:r>
              <w:rPr>
                <w:rFonts w:hint="eastAsia" w:ascii="Times New Roman" w:hAnsi="Times New Roman" w:cs="Times New Roman"/>
                <w:bCs/>
                <w:color w:val="auto"/>
                <w:kern w:val="0"/>
                <w:sz w:val="24"/>
                <w:u w:val="none"/>
                <w:lang w:val="en-US" w:eastAsia="zh-CN"/>
              </w:rPr>
              <w:t>泄漏环境风险</w:t>
            </w:r>
            <w:r>
              <w:rPr>
                <w:rFonts w:hint="eastAsia" w:ascii="Times New Roman" w:hAnsi="Times New Roman" w:eastAsia="宋体" w:cs="Times New Roman"/>
                <w:bCs/>
                <w:color w:val="auto"/>
                <w:kern w:val="0"/>
                <w:sz w:val="24"/>
                <w:u w:val="none"/>
                <w:lang w:val="en-US" w:eastAsia="zh-CN"/>
              </w:rPr>
              <w:t>。</w:t>
            </w:r>
          </w:p>
          <w:p w14:paraId="4F08A192">
            <w:pPr>
              <w:pStyle w:val="31"/>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u w:val="none"/>
                <w:lang w:val="en-US" w:eastAsia="zh-CN"/>
              </w:rPr>
            </w:pPr>
            <w:r>
              <w:rPr>
                <w:rFonts w:hint="eastAsia" w:ascii="Times New Roman" w:hAnsi="Times New Roman" w:eastAsia="黑体" w:cs="Times New Roman"/>
                <w:color w:val="auto"/>
                <w:kern w:val="0"/>
                <w:sz w:val="24"/>
                <w:szCs w:val="20"/>
                <w:u w:val="none"/>
                <w:lang w:val="en-US" w:eastAsia="zh-CN" w:bidi="zh-CN"/>
              </w:rPr>
              <w:t>表</w:t>
            </w:r>
            <w:r>
              <w:rPr>
                <w:rFonts w:hint="eastAsia" w:eastAsia="黑体" w:cs="Times New Roman"/>
                <w:color w:val="auto"/>
                <w:kern w:val="0"/>
                <w:sz w:val="24"/>
                <w:szCs w:val="20"/>
                <w:u w:val="none"/>
                <w:lang w:val="en-US" w:eastAsia="zh-CN" w:bidi="zh-CN"/>
              </w:rPr>
              <w:t>4-18</w:t>
            </w:r>
            <w:r>
              <w:rPr>
                <w:rFonts w:hint="eastAsia" w:ascii="Times New Roman" w:hAnsi="Times New Roman" w:eastAsia="黑体" w:cs="Times New Roman"/>
                <w:color w:val="auto"/>
                <w:kern w:val="0"/>
                <w:sz w:val="24"/>
                <w:szCs w:val="20"/>
                <w:u w:val="none"/>
                <w:lang w:val="en-US" w:eastAsia="zh-CN" w:bidi="zh-CN"/>
              </w:rPr>
              <w:t xml:space="preserve"> 本项目涉及危险物质理化性质、毒性及易燃易爆性一览表</w:t>
            </w:r>
          </w:p>
          <w:tbl>
            <w:tblPr>
              <w:tblStyle w:val="33"/>
              <w:tblW w:w="8343" w:type="dxa"/>
              <w:jc w:val="center"/>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644"/>
              <w:gridCol w:w="1952"/>
              <w:gridCol w:w="2488"/>
              <w:gridCol w:w="2259"/>
            </w:tblGrid>
            <w:tr w14:paraId="79D5F006">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644" w:type="dxa"/>
                  <w:tcBorders>
                    <w:tl2br w:val="nil"/>
                    <w:tr2bl w:val="nil"/>
                  </w:tcBorders>
                  <w:vAlign w:val="center"/>
                </w:tcPr>
                <w:p w14:paraId="7EF84DA2">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
                      <w:bCs/>
                      <w:color w:val="auto"/>
                      <w:kern w:val="0"/>
                      <w:szCs w:val="21"/>
                      <w:u w:val="none"/>
                      <w:lang w:eastAsia="zh-CN"/>
                    </w:rPr>
                    <w:t>物质名称</w:t>
                  </w:r>
                </w:p>
              </w:tc>
              <w:tc>
                <w:tcPr>
                  <w:tcW w:w="1952" w:type="dxa"/>
                  <w:tcBorders>
                    <w:tl2br w:val="nil"/>
                    <w:tr2bl w:val="nil"/>
                  </w:tcBorders>
                  <w:vAlign w:val="center"/>
                </w:tcPr>
                <w:p w14:paraId="0D79D546">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
                      <w:bCs/>
                      <w:color w:val="auto"/>
                      <w:kern w:val="0"/>
                      <w:szCs w:val="21"/>
                      <w:u w:val="none"/>
                      <w:lang w:eastAsia="zh-CN"/>
                    </w:rPr>
                    <w:t>理化性质</w:t>
                  </w:r>
                </w:p>
              </w:tc>
              <w:tc>
                <w:tcPr>
                  <w:tcW w:w="2488" w:type="dxa"/>
                  <w:tcBorders>
                    <w:tl2br w:val="nil"/>
                    <w:tr2bl w:val="nil"/>
                  </w:tcBorders>
                  <w:vAlign w:val="center"/>
                </w:tcPr>
                <w:p w14:paraId="195B5DA8">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
                      <w:bCs/>
                      <w:color w:val="auto"/>
                      <w:kern w:val="0"/>
                      <w:szCs w:val="21"/>
                      <w:u w:val="none"/>
                      <w:lang w:eastAsia="zh-CN"/>
                    </w:rPr>
                    <w:t>易燃易爆性</w:t>
                  </w:r>
                </w:p>
              </w:tc>
              <w:tc>
                <w:tcPr>
                  <w:tcW w:w="2259" w:type="dxa"/>
                  <w:tcBorders>
                    <w:tl2br w:val="nil"/>
                    <w:tr2bl w:val="nil"/>
                  </w:tcBorders>
                  <w:vAlign w:val="center"/>
                </w:tcPr>
                <w:p w14:paraId="789397A8">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
                      <w:bCs/>
                      <w:color w:val="auto"/>
                      <w:kern w:val="0"/>
                      <w:szCs w:val="21"/>
                      <w:u w:val="none"/>
                      <w:lang w:eastAsia="zh-CN"/>
                    </w:rPr>
                    <w:t>毒性</w:t>
                  </w:r>
                </w:p>
              </w:tc>
            </w:tr>
            <w:tr w14:paraId="04ED073D">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493" w:hRule="atLeast"/>
                <w:jc w:val="center"/>
              </w:trPr>
              <w:tc>
                <w:tcPr>
                  <w:tcW w:w="1644" w:type="dxa"/>
                  <w:tcBorders>
                    <w:tl2br w:val="nil"/>
                    <w:tr2bl w:val="nil"/>
                  </w:tcBorders>
                  <w:vAlign w:val="center"/>
                </w:tcPr>
                <w:p w14:paraId="5D5B8A9C">
                  <w:pPr>
                    <w:adjustRightInd w:val="0"/>
                    <w:snapToGrid w:val="0"/>
                    <w:spacing w:line="240" w:lineRule="auto"/>
                    <w:jc w:val="center"/>
                    <w:rPr>
                      <w:rFonts w:hint="eastAsia" w:ascii="Times New Roman" w:hAnsi="Times New Roman" w:cs="Times New Roman"/>
                      <w:b/>
                      <w:color w:val="auto"/>
                      <w:sz w:val="24"/>
                      <w:szCs w:val="24"/>
                      <w:u w:val="none"/>
                      <w:vertAlign w:val="baseline"/>
                      <w:lang w:val="en-US" w:eastAsia="zh-CN"/>
                    </w:rPr>
                  </w:pPr>
                  <w:r>
                    <w:rPr>
                      <w:rFonts w:hint="eastAsia" w:ascii="Times New Roman" w:hAnsi="Times New Roman" w:eastAsia="宋体" w:cs="Times New Roman"/>
                      <w:bCs/>
                      <w:color w:val="auto"/>
                      <w:kern w:val="0"/>
                      <w:szCs w:val="21"/>
                      <w:u w:val="none"/>
                      <w:lang w:val="en-US" w:eastAsia="zh-CN"/>
                    </w:rPr>
                    <w:t>甲烷</w:t>
                  </w:r>
                </w:p>
              </w:tc>
              <w:tc>
                <w:tcPr>
                  <w:tcW w:w="1952" w:type="dxa"/>
                  <w:tcBorders>
                    <w:tl2br w:val="nil"/>
                    <w:tr2bl w:val="nil"/>
                  </w:tcBorders>
                  <w:vAlign w:val="center"/>
                </w:tcPr>
                <w:p w14:paraId="54102FE0">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无色，无臭气体，熔点-182.5℃，0.7kg/m</w:t>
                  </w:r>
                  <w:r>
                    <w:rPr>
                      <w:rFonts w:hint="eastAsia" w:ascii="Times New Roman" w:hAnsi="Times New Roman" w:eastAsia="宋体" w:cs="Times New Roman"/>
                      <w:bCs/>
                      <w:color w:val="auto"/>
                      <w:kern w:val="0"/>
                      <w:szCs w:val="21"/>
                      <w:u w:val="none"/>
                      <w:vertAlign w:val="superscript"/>
                      <w:lang w:val="en-US" w:eastAsia="zh-CN"/>
                    </w:rPr>
                    <w:t>3</w:t>
                  </w:r>
                </w:p>
                <w:p w14:paraId="38F0BBD5">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eastAsia" w:ascii="Times New Roman" w:hAnsi="Times New Roman" w:cs="Times New Roman"/>
                      <w:b/>
                      <w:color w:val="auto"/>
                      <w:sz w:val="24"/>
                      <w:szCs w:val="24"/>
                      <w:u w:val="none"/>
                      <w:vertAlign w:val="baseline"/>
                      <w:lang w:val="en-US" w:eastAsia="zh-CN"/>
                    </w:rPr>
                  </w:pPr>
                  <w:r>
                    <w:rPr>
                      <w:rFonts w:hint="eastAsia" w:ascii="Times New Roman" w:hAnsi="Times New Roman" w:eastAsia="宋体" w:cs="Times New Roman"/>
                      <w:bCs/>
                      <w:color w:val="auto"/>
                      <w:kern w:val="0"/>
                      <w:szCs w:val="21"/>
                      <w:u w:val="none"/>
                      <w:lang w:val="en-US" w:eastAsia="zh-CN"/>
                    </w:rPr>
                    <w:t>引燃温度53.8℃，临界压力4.59Mpa∶临界温度-82.6℃最大爆炸压力0.717MPa</w:t>
                  </w:r>
                  <w:r>
                    <w:rPr>
                      <w:rFonts w:hint="eastAsia" w:cs="Times New Roman"/>
                      <w:bCs/>
                      <w:color w:val="auto"/>
                      <w:kern w:val="0"/>
                      <w:szCs w:val="21"/>
                      <w:u w:val="none"/>
                      <w:lang w:val="en-US" w:eastAsia="zh-CN"/>
                    </w:rPr>
                    <w:t>：</w:t>
                  </w:r>
                  <w:r>
                    <w:rPr>
                      <w:rFonts w:hint="eastAsia" w:ascii="Times New Roman" w:hAnsi="Times New Roman" w:eastAsia="宋体" w:cs="Times New Roman"/>
                      <w:bCs/>
                      <w:color w:val="auto"/>
                      <w:kern w:val="0"/>
                      <w:szCs w:val="21"/>
                      <w:u w:val="none"/>
                      <w:lang w:val="en-US" w:eastAsia="zh-CN"/>
                    </w:rPr>
                    <w:t>爆炸热值889.5KJ/mol</w:t>
                  </w:r>
                </w:p>
              </w:tc>
              <w:tc>
                <w:tcPr>
                  <w:tcW w:w="2488" w:type="dxa"/>
                  <w:tcBorders>
                    <w:tl2br w:val="nil"/>
                    <w:tr2bl w:val="nil"/>
                  </w:tcBorders>
                  <w:vAlign w:val="center"/>
                </w:tcPr>
                <w:p w14:paraId="6F505C52">
                  <w:pPr>
                    <w:adjustRightInd w:val="0"/>
                    <w:snapToGrid w:val="0"/>
                    <w:spacing w:line="240" w:lineRule="auto"/>
                    <w:jc w:val="center"/>
                    <w:rPr>
                      <w:rFonts w:hint="eastAsia" w:ascii="Times New Roman" w:hAnsi="Times New Roman" w:cs="Times New Roman"/>
                      <w:b/>
                      <w:color w:val="auto"/>
                      <w:sz w:val="24"/>
                      <w:szCs w:val="24"/>
                      <w:u w:val="none"/>
                      <w:vertAlign w:val="baseline"/>
                      <w:lang w:val="en-US" w:eastAsia="zh-CN"/>
                    </w:rPr>
                  </w:pPr>
                  <w:r>
                    <w:rPr>
                      <w:rFonts w:hint="eastAsia" w:ascii="Times New Roman" w:hAnsi="Times New Roman" w:eastAsia="宋体" w:cs="Times New Roman"/>
                      <w:bCs/>
                      <w:color w:val="auto"/>
                      <w:kern w:val="0"/>
                      <w:szCs w:val="21"/>
                      <w:u w:val="none"/>
                      <w:lang w:val="en-US" w:eastAsia="zh-CN"/>
                    </w:rPr>
                    <w:t>易燃、与空气混合能形成爆炸性混合物，遇见明火和热源有燃烧爆炸的危险，与五氧化溴、氯气、次氯酸、三氟化氮、液氨二氟化氧及其他强氧化剂接触剧烈反应</w:t>
                  </w:r>
                </w:p>
              </w:tc>
              <w:tc>
                <w:tcPr>
                  <w:tcW w:w="2259" w:type="dxa"/>
                  <w:tcBorders>
                    <w:tl2br w:val="nil"/>
                    <w:tr2bl w:val="nil"/>
                  </w:tcBorders>
                  <w:vAlign w:val="center"/>
                </w:tcPr>
                <w:p w14:paraId="3BC9EBBE">
                  <w:pPr>
                    <w:adjustRightInd w:val="0"/>
                    <w:snapToGrid w:val="0"/>
                    <w:spacing w:line="240" w:lineRule="auto"/>
                    <w:jc w:val="center"/>
                    <w:rPr>
                      <w:rFonts w:hint="eastAsia" w:ascii="Times New Roman" w:hAnsi="Times New Roman" w:cs="Times New Roman"/>
                      <w:b/>
                      <w:color w:val="auto"/>
                      <w:sz w:val="24"/>
                      <w:szCs w:val="24"/>
                      <w:u w:val="none"/>
                      <w:vertAlign w:val="baseline"/>
                      <w:lang w:val="en-US" w:eastAsia="zh-CN"/>
                    </w:rPr>
                  </w:pPr>
                  <w:r>
                    <w:rPr>
                      <w:rFonts w:hint="eastAsia" w:ascii="Times New Roman" w:hAnsi="Times New Roman" w:eastAsia="宋体" w:cs="Times New Roman"/>
                      <w:bCs/>
                      <w:color w:val="auto"/>
                      <w:kern w:val="0"/>
                      <w:szCs w:val="21"/>
                      <w:u w:val="none"/>
                      <w:lang w:val="en-US" w:eastAsia="zh-CN"/>
                    </w:rPr>
                    <w:t>甲烷对人体基本无毒，但浓度高时，使空气中氧含量明显降低，使人窒息。当空气中甲烷达25%-30%时，可引起头疼头晕、乏力、注意力不集中呼吸和心跳加速、心率失调若不及时脱离，可窒息死亡</w:t>
                  </w:r>
                </w:p>
              </w:tc>
            </w:tr>
            <w:tr w14:paraId="20FB8E51">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644" w:type="dxa"/>
                  <w:tcBorders>
                    <w:tl2br w:val="nil"/>
                    <w:tr2bl w:val="nil"/>
                  </w:tcBorders>
                  <w:vAlign w:val="center"/>
                </w:tcPr>
                <w:p w14:paraId="19B72E9B">
                  <w:pPr>
                    <w:adjustRightInd w:val="0"/>
                    <w:snapToGrid w:val="0"/>
                    <w:spacing w:line="240" w:lineRule="auto"/>
                    <w:jc w:val="center"/>
                    <w:rPr>
                      <w:rFonts w:hint="eastAsia" w:ascii="Times New Roman" w:hAnsi="Times New Roman" w:cs="Times New Roman"/>
                      <w:b/>
                      <w:color w:val="auto"/>
                      <w:sz w:val="24"/>
                      <w:szCs w:val="24"/>
                      <w:u w:val="none"/>
                      <w:vertAlign w:val="baseline"/>
                      <w:lang w:val="en-US" w:eastAsia="zh-CN"/>
                    </w:rPr>
                  </w:pPr>
                  <w:r>
                    <w:rPr>
                      <w:rFonts w:hint="eastAsia" w:ascii="Times New Roman" w:hAnsi="Times New Roman" w:eastAsia="宋体" w:cs="Times New Roman"/>
                      <w:bCs/>
                      <w:color w:val="auto"/>
                      <w:kern w:val="0"/>
                      <w:szCs w:val="21"/>
                      <w:u w:val="none"/>
                      <w:lang w:val="en-US" w:eastAsia="zh-CN"/>
                    </w:rPr>
                    <w:t>瓦斯气</w:t>
                  </w:r>
                </w:p>
              </w:tc>
              <w:tc>
                <w:tcPr>
                  <w:tcW w:w="1952" w:type="dxa"/>
                  <w:tcBorders>
                    <w:tl2br w:val="nil"/>
                    <w:tr2bl w:val="nil"/>
                  </w:tcBorders>
                  <w:vAlign w:val="center"/>
                </w:tcPr>
                <w:p w14:paraId="3CBE8B06">
                  <w:pPr>
                    <w:adjustRightInd w:val="0"/>
                    <w:snapToGrid w:val="0"/>
                    <w:spacing w:line="240" w:lineRule="auto"/>
                    <w:jc w:val="center"/>
                    <w:rPr>
                      <w:rFonts w:hint="eastAsia" w:ascii="Times New Roman" w:hAnsi="Times New Roman" w:cs="Times New Roman"/>
                      <w:b/>
                      <w:color w:val="auto"/>
                      <w:sz w:val="24"/>
                      <w:szCs w:val="24"/>
                      <w:u w:val="none"/>
                      <w:vertAlign w:val="baseline"/>
                      <w:lang w:val="en-US" w:eastAsia="zh-CN"/>
                    </w:rPr>
                  </w:pPr>
                  <w:r>
                    <w:rPr>
                      <w:rFonts w:hint="eastAsia" w:ascii="Times New Roman" w:hAnsi="Times New Roman" w:eastAsia="宋体" w:cs="Times New Roman"/>
                      <w:bCs/>
                      <w:color w:val="auto"/>
                      <w:kern w:val="0"/>
                      <w:szCs w:val="21"/>
                      <w:u w:val="none"/>
                      <w:lang w:val="en-US" w:eastAsia="zh-CN"/>
                    </w:rPr>
                    <w:t>爆炸上限15％，爆炸下限5％</w:t>
                  </w:r>
                </w:p>
              </w:tc>
              <w:tc>
                <w:tcPr>
                  <w:tcW w:w="2488" w:type="dxa"/>
                  <w:tcBorders>
                    <w:tl2br w:val="nil"/>
                    <w:tr2bl w:val="nil"/>
                  </w:tcBorders>
                  <w:vAlign w:val="center"/>
                </w:tcPr>
                <w:p w14:paraId="327543DD">
                  <w:pPr>
                    <w:adjustRightInd w:val="0"/>
                    <w:snapToGrid w:val="0"/>
                    <w:spacing w:line="240" w:lineRule="auto"/>
                    <w:jc w:val="center"/>
                    <w:rPr>
                      <w:rFonts w:hint="eastAsia" w:ascii="Times New Roman" w:hAnsi="Times New Roman" w:cs="Times New Roman"/>
                      <w:b/>
                      <w:color w:val="auto"/>
                      <w:sz w:val="24"/>
                      <w:szCs w:val="24"/>
                      <w:u w:val="none"/>
                      <w:vertAlign w:val="baseline"/>
                      <w:lang w:val="en-US" w:eastAsia="zh-CN"/>
                    </w:rPr>
                  </w:pPr>
                  <w:r>
                    <w:rPr>
                      <w:rFonts w:hint="eastAsia" w:ascii="Times New Roman" w:hAnsi="Times New Roman" w:eastAsia="宋体" w:cs="Times New Roman"/>
                      <w:bCs/>
                      <w:color w:val="auto"/>
                      <w:kern w:val="0"/>
                      <w:szCs w:val="21"/>
                      <w:u w:val="none"/>
                      <w:lang w:val="en-US" w:eastAsia="zh-CN"/>
                    </w:rPr>
                    <w:t>与空气混合能形成爆炸性混合物，遇见明火和热源有燃烧爆炸的危险</w:t>
                  </w:r>
                </w:p>
              </w:tc>
              <w:tc>
                <w:tcPr>
                  <w:tcW w:w="2259" w:type="dxa"/>
                  <w:tcBorders>
                    <w:tl2br w:val="nil"/>
                    <w:tr2bl w:val="nil"/>
                  </w:tcBorders>
                  <w:vAlign w:val="center"/>
                </w:tcPr>
                <w:p w14:paraId="600454F0">
                  <w:pPr>
                    <w:adjustRightInd w:val="0"/>
                    <w:snapToGrid w:val="0"/>
                    <w:spacing w:line="240" w:lineRule="auto"/>
                    <w:jc w:val="center"/>
                    <w:rPr>
                      <w:rFonts w:hint="eastAsia" w:ascii="Times New Roman" w:hAnsi="Times New Roman" w:cs="Times New Roman"/>
                      <w:b/>
                      <w:color w:val="auto"/>
                      <w:sz w:val="24"/>
                      <w:szCs w:val="24"/>
                      <w:u w:val="none"/>
                      <w:vertAlign w:val="baseline"/>
                      <w:lang w:val="en-US" w:eastAsia="zh-CN"/>
                    </w:rPr>
                  </w:pPr>
                  <w:r>
                    <w:rPr>
                      <w:rFonts w:hint="eastAsia" w:ascii="Times New Roman" w:hAnsi="Times New Roman" w:eastAsia="宋体" w:cs="Times New Roman"/>
                      <w:bCs/>
                      <w:color w:val="auto"/>
                      <w:kern w:val="0"/>
                      <w:szCs w:val="21"/>
                      <w:u w:val="none"/>
                      <w:lang w:val="en-US" w:eastAsia="zh-CN"/>
                    </w:rPr>
                    <w:t>/</w:t>
                  </w:r>
                </w:p>
              </w:tc>
            </w:tr>
            <w:tr w14:paraId="3A4C6934">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644" w:type="dxa"/>
                  <w:tcBorders>
                    <w:tl2br w:val="nil"/>
                    <w:tr2bl w:val="nil"/>
                  </w:tcBorders>
                  <w:vAlign w:val="center"/>
                </w:tcPr>
                <w:p w14:paraId="5C2B7643">
                  <w:pPr>
                    <w:adjustRightInd w:val="0"/>
                    <w:snapToGrid w:val="0"/>
                    <w:spacing w:line="240" w:lineRule="auto"/>
                    <w:jc w:val="center"/>
                    <w:rPr>
                      <w:rFonts w:hint="default"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机油</w:t>
                  </w:r>
                </w:p>
              </w:tc>
              <w:tc>
                <w:tcPr>
                  <w:tcW w:w="1952" w:type="dxa"/>
                  <w:tcBorders>
                    <w:tl2br w:val="nil"/>
                    <w:tr2bl w:val="nil"/>
                  </w:tcBorders>
                  <w:vAlign w:val="center"/>
                </w:tcPr>
                <w:p w14:paraId="35AE9D43">
                  <w:pPr>
                    <w:adjustRightInd w:val="0"/>
                    <w:snapToGrid w:val="0"/>
                    <w:spacing w:line="240" w:lineRule="auto"/>
                    <w:jc w:val="center"/>
                    <w:rPr>
                      <w:rFonts w:hint="default"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碳氢混合化合物</w:t>
                  </w:r>
                </w:p>
              </w:tc>
              <w:tc>
                <w:tcPr>
                  <w:tcW w:w="2488" w:type="dxa"/>
                  <w:tcBorders>
                    <w:tl2br w:val="nil"/>
                    <w:tr2bl w:val="nil"/>
                  </w:tcBorders>
                  <w:vAlign w:val="center"/>
                </w:tcPr>
                <w:p w14:paraId="3221BD1E">
                  <w:pPr>
                    <w:adjustRightInd w:val="0"/>
                    <w:snapToGrid w:val="0"/>
                    <w:spacing w:line="240" w:lineRule="auto"/>
                    <w:jc w:val="center"/>
                    <w:rPr>
                      <w:rFonts w:hint="default"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遇明火、高热能、高温气体会引起火灾爆炸事故</w:t>
                  </w:r>
                </w:p>
              </w:tc>
              <w:tc>
                <w:tcPr>
                  <w:tcW w:w="2259" w:type="dxa"/>
                  <w:tcBorders>
                    <w:tl2br w:val="nil"/>
                    <w:tr2bl w:val="nil"/>
                  </w:tcBorders>
                  <w:vAlign w:val="center"/>
                </w:tcPr>
                <w:p w14:paraId="032FDECB">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w:t>
                  </w:r>
                </w:p>
              </w:tc>
            </w:tr>
            <w:tr w14:paraId="60BB6D9E">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644" w:type="dxa"/>
                  <w:tcBorders>
                    <w:tl2br w:val="nil"/>
                    <w:tr2bl w:val="nil"/>
                  </w:tcBorders>
                  <w:vAlign w:val="center"/>
                </w:tcPr>
                <w:p w14:paraId="53F5D70D">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cs="Times New Roman"/>
                      <w:bCs/>
                      <w:color w:val="auto"/>
                      <w:kern w:val="0"/>
                      <w:szCs w:val="21"/>
                      <w:u w:val="none"/>
                      <w:lang w:val="en-US" w:eastAsia="zh-CN"/>
                    </w:rPr>
                    <w:t>润滑油</w:t>
                  </w:r>
                </w:p>
              </w:tc>
              <w:tc>
                <w:tcPr>
                  <w:tcW w:w="1952" w:type="dxa"/>
                  <w:tcBorders>
                    <w:tl2br w:val="nil"/>
                    <w:tr2bl w:val="nil"/>
                  </w:tcBorders>
                  <w:vAlign w:val="center"/>
                </w:tcPr>
                <w:p w14:paraId="5647347B">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cs="Times New Roman"/>
                      <w:bCs/>
                      <w:color w:val="auto"/>
                      <w:kern w:val="0"/>
                      <w:szCs w:val="21"/>
                      <w:u w:val="none"/>
                      <w:lang w:val="en-US" w:eastAsia="zh-CN"/>
                    </w:rPr>
                    <w:t>淡黄色粘稠液体，溶于有机溶剂</w:t>
                  </w:r>
                </w:p>
              </w:tc>
              <w:tc>
                <w:tcPr>
                  <w:tcW w:w="2488" w:type="dxa"/>
                  <w:tcBorders>
                    <w:tl2br w:val="nil"/>
                    <w:tr2bl w:val="nil"/>
                  </w:tcBorders>
                  <w:vAlign w:val="center"/>
                </w:tcPr>
                <w:p w14:paraId="078FFC2B">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可燃液体，火灾危险性为丙B类</w:t>
                  </w:r>
                  <w:r>
                    <w:rPr>
                      <w:rFonts w:hint="eastAsia" w:cs="Times New Roman"/>
                      <w:bCs/>
                      <w:color w:val="auto"/>
                      <w:kern w:val="0"/>
                      <w:szCs w:val="21"/>
                      <w:u w:val="none"/>
                      <w:lang w:val="en-US" w:eastAsia="zh-CN"/>
                    </w:rPr>
                    <w:t>；</w:t>
                  </w:r>
                  <w:r>
                    <w:rPr>
                      <w:rFonts w:hint="eastAsia" w:ascii="Times New Roman" w:hAnsi="Times New Roman" w:eastAsia="宋体" w:cs="Times New Roman"/>
                      <w:bCs/>
                      <w:color w:val="auto"/>
                      <w:kern w:val="0"/>
                      <w:szCs w:val="21"/>
                      <w:u w:val="none"/>
                      <w:lang w:val="en-US" w:eastAsia="zh-CN"/>
                    </w:rPr>
                    <w:t>遇明火、高热可燃</w:t>
                  </w:r>
                </w:p>
              </w:tc>
              <w:tc>
                <w:tcPr>
                  <w:tcW w:w="2259" w:type="dxa"/>
                  <w:tcBorders>
                    <w:tl2br w:val="nil"/>
                    <w:tr2bl w:val="nil"/>
                  </w:tcBorders>
                  <w:vAlign w:val="center"/>
                </w:tcPr>
                <w:p w14:paraId="23F3EBD3">
                  <w:pPr>
                    <w:adjustRightInd w:val="0"/>
                    <w:snapToGrid w:val="0"/>
                    <w:spacing w:line="240" w:lineRule="auto"/>
                    <w:jc w:val="center"/>
                    <w:rPr>
                      <w:rFonts w:hint="eastAsia" w:ascii="Times New Roman" w:hAnsi="Times New Roman" w:eastAsia="宋体" w:cs="Times New Roman"/>
                      <w:bCs/>
                      <w:color w:val="auto"/>
                      <w:kern w:val="0"/>
                      <w:szCs w:val="21"/>
                      <w:u w:val="none"/>
                      <w:lang w:val="en-US" w:eastAsia="zh-CN"/>
                    </w:rPr>
                  </w:pPr>
                  <w:r>
                    <w:rPr>
                      <w:rFonts w:hint="eastAsia" w:ascii="Times New Roman" w:hAnsi="Times New Roman" w:eastAsia="宋体" w:cs="Times New Roman"/>
                      <w:bCs/>
                      <w:color w:val="auto"/>
                      <w:kern w:val="0"/>
                      <w:szCs w:val="21"/>
                      <w:u w:val="none"/>
                      <w:lang w:val="en-US" w:eastAsia="zh-CN"/>
                    </w:rPr>
                    <w:t>急性吸入，可出现乏力、头晕、头痛、恶心，严重者可引起油脂性肺炎慢接触者，暴露部位可发生油性座和接触型皮炎。可引发神经衰弱综合症，呼吸道和眼刺激症状及慢性油脂性肺炎。</w:t>
                  </w:r>
                </w:p>
              </w:tc>
            </w:tr>
          </w:tbl>
          <w:p w14:paraId="72B2511A">
            <w:pPr>
              <w:pStyle w:val="12"/>
              <w:keepNext w:val="0"/>
              <w:keepLines w:val="0"/>
              <w:pageBreakBefore w:val="0"/>
              <w:widowControl/>
              <w:tabs>
                <w:tab w:val="left" w:pos="3176"/>
              </w:tabs>
              <w:kinsoku/>
              <w:wordWrap/>
              <w:overflowPunct/>
              <w:topLinePunct w:val="0"/>
              <w:autoSpaceDE/>
              <w:autoSpaceDN/>
              <w:bidi w:val="0"/>
              <w:adjustRightInd/>
              <w:snapToGrid w:val="0"/>
              <w:spacing w:before="0" w:after="0" w:line="240" w:lineRule="auto"/>
              <w:ind w:left="0" w:right="0"/>
              <w:jc w:val="center"/>
              <w:textAlignment w:val="auto"/>
              <w:rPr>
                <w:rFonts w:hint="eastAsia" w:ascii="Times New Roman" w:hAnsi="Times New Roman" w:eastAsia="黑体" w:cs="Times New Roman"/>
                <w:b w:val="0"/>
                <w:color w:val="auto"/>
                <w:kern w:val="0"/>
                <w:sz w:val="24"/>
                <w:szCs w:val="20"/>
                <w:highlight w:val="none"/>
                <w:u w:val="none"/>
                <w:lang w:val="en-US" w:eastAsia="zh-CN" w:bidi="zh-CN"/>
              </w:rPr>
            </w:pPr>
            <w:r>
              <w:rPr>
                <w:rFonts w:hint="eastAsia" w:ascii="Times New Roman" w:hAnsi="Times New Roman" w:eastAsia="黑体" w:cs="Times New Roman"/>
                <w:b w:val="0"/>
                <w:color w:val="auto"/>
                <w:kern w:val="0"/>
                <w:sz w:val="24"/>
                <w:szCs w:val="20"/>
                <w:highlight w:val="none"/>
                <w:u w:val="none"/>
                <w:lang w:val="en-US" w:eastAsia="zh-CN" w:bidi="zh-CN"/>
              </w:rPr>
              <w:t>表</w:t>
            </w:r>
            <w:r>
              <w:rPr>
                <w:rFonts w:hint="eastAsia" w:eastAsia="黑体" w:cs="Times New Roman"/>
                <w:b w:val="0"/>
                <w:color w:val="auto"/>
                <w:kern w:val="0"/>
                <w:sz w:val="24"/>
                <w:szCs w:val="20"/>
                <w:highlight w:val="none"/>
                <w:u w:val="none"/>
                <w:lang w:val="en-US" w:eastAsia="zh-CN" w:bidi="zh-CN"/>
              </w:rPr>
              <w:t xml:space="preserve">4-19 </w:t>
            </w:r>
            <w:r>
              <w:rPr>
                <w:rFonts w:hint="eastAsia" w:ascii="Times New Roman" w:hAnsi="Times New Roman" w:eastAsia="黑体" w:cs="Times New Roman"/>
                <w:b w:val="0"/>
                <w:color w:val="auto"/>
                <w:kern w:val="0"/>
                <w:sz w:val="24"/>
                <w:szCs w:val="20"/>
                <w:highlight w:val="none"/>
                <w:u w:val="none"/>
                <w:lang w:val="en-US" w:eastAsia="zh-CN" w:bidi="zh-CN"/>
              </w:rPr>
              <w:t>本项目危险物质数量与临界量比值一览表</w:t>
            </w:r>
          </w:p>
          <w:tbl>
            <w:tblPr>
              <w:tblStyle w:val="33"/>
              <w:tblW w:w="8417" w:type="dxa"/>
              <w:jc w:val="center"/>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735"/>
              <w:gridCol w:w="1156"/>
              <w:gridCol w:w="1936"/>
              <w:gridCol w:w="982"/>
              <w:gridCol w:w="1298"/>
              <w:gridCol w:w="1223"/>
              <w:gridCol w:w="1087"/>
            </w:tblGrid>
            <w:tr w14:paraId="7B758F0E">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735" w:type="dxa"/>
                  <w:tcBorders>
                    <w:tl2br w:val="nil"/>
                    <w:tr2bl w:val="nil"/>
                  </w:tcBorders>
                  <w:noWrap w:val="0"/>
                  <w:vAlign w:val="center"/>
                </w:tcPr>
                <w:p w14:paraId="35836B29">
                  <w:pPr>
                    <w:pStyle w:val="102"/>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Times New Roman"/>
                      <w:b/>
                      <w:bCs/>
                      <w:color w:val="auto"/>
                      <w:kern w:val="2"/>
                      <w:sz w:val="21"/>
                      <w:szCs w:val="21"/>
                      <w:u w:val="none"/>
                      <w:lang w:val="en-US" w:eastAsia="zh-CN" w:bidi="ar-SA"/>
                    </w:rPr>
                  </w:pPr>
                  <w:r>
                    <w:rPr>
                      <w:rFonts w:hint="eastAsia" w:ascii="Times New Roman" w:hAnsi="Times New Roman" w:eastAsia="宋体" w:cs="Times New Roman"/>
                      <w:b/>
                      <w:bCs/>
                      <w:color w:val="auto"/>
                      <w:kern w:val="2"/>
                      <w:sz w:val="21"/>
                      <w:szCs w:val="21"/>
                      <w:u w:val="none"/>
                      <w:lang w:val="en-US" w:eastAsia="zh-CN" w:bidi="ar-SA"/>
                    </w:rPr>
                    <w:t>序号</w:t>
                  </w:r>
                </w:p>
              </w:tc>
              <w:tc>
                <w:tcPr>
                  <w:tcW w:w="1156" w:type="dxa"/>
                  <w:tcBorders>
                    <w:tl2br w:val="nil"/>
                    <w:tr2bl w:val="nil"/>
                  </w:tcBorders>
                  <w:noWrap w:val="0"/>
                  <w:vAlign w:val="center"/>
                </w:tcPr>
                <w:p w14:paraId="6F385EDE">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s="Times New Roman"/>
                      <w:b/>
                      <w:bCs/>
                      <w:color w:val="auto"/>
                      <w:kern w:val="2"/>
                      <w:sz w:val="21"/>
                      <w:szCs w:val="21"/>
                      <w:u w:val="none"/>
                      <w:lang w:val="en-US" w:eastAsia="zh-CN" w:bidi="ar-SA"/>
                    </w:rPr>
                  </w:pPr>
                  <w:r>
                    <w:rPr>
                      <w:rFonts w:hint="eastAsia" w:ascii="Times New Roman" w:hAnsi="Times New Roman" w:eastAsia="宋体" w:cs="Times New Roman"/>
                      <w:b/>
                      <w:bCs/>
                      <w:color w:val="auto"/>
                      <w:kern w:val="2"/>
                      <w:sz w:val="21"/>
                      <w:szCs w:val="21"/>
                      <w:u w:val="none"/>
                      <w:lang w:val="en-US" w:eastAsia="zh-CN" w:bidi="ar-SA"/>
                    </w:rPr>
                    <w:t>类别</w:t>
                  </w:r>
                </w:p>
              </w:tc>
              <w:tc>
                <w:tcPr>
                  <w:tcW w:w="1936" w:type="dxa"/>
                  <w:tcBorders>
                    <w:tl2br w:val="nil"/>
                    <w:tr2bl w:val="nil"/>
                  </w:tcBorders>
                  <w:noWrap w:val="0"/>
                  <w:vAlign w:val="center"/>
                </w:tcPr>
                <w:p w14:paraId="4152610B">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s="Times New Roman"/>
                      <w:b/>
                      <w:bCs/>
                      <w:color w:val="auto"/>
                      <w:kern w:val="2"/>
                      <w:sz w:val="21"/>
                      <w:szCs w:val="21"/>
                      <w:u w:val="none"/>
                      <w:lang w:val="en-US" w:eastAsia="zh-CN" w:bidi="ar-SA"/>
                    </w:rPr>
                  </w:pPr>
                  <w:r>
                    <w:rPr>
                      <w:rFonts w:hint="eastAsia" w:ascii="Times New Roman" w:hAnsi="Times New Roman" w:eastAsia="宋体" w:cs="Times New Roman"/>
                      <w:b/>
                      <w:bCs/>
                      <w:color w:val="auto"/>
                      <w:kern w:val="2"/>
                      <w:sz w:val="21"/>
                      <w:szCs w:val="21"/>
                      <w:u w:val="none"/>
                      <w:lang w:val="en-US" w:eastAsia="zh-CN" w:bidi="ar-SA"/>
                    </w:rPr>
                    <w:t>风险物质名称</w:t>
                  </w:r>
                </w:p>
              </w:tc>
              <w:tc>
                <w:tcPr>
                  <w:tcW w:w="982" w:type="dxa"/>
                  <w:tcBorders>
                    <w:tl2br w:val="nil"/>
                    <w:tr2bl w:val="nil"/>
                  </w:tcBorders>
                  <w:noWrap w:val="0"/>
                  <w:vAlign w:val="center"/>
                </w:tcPr>
                <w:p w14:paraId="29C8939D">
                  <w:pPr>
                    <w:pStyle w:val="102"/>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Times New Roman"/>
                      <w:b/>
                      <w:bCs/>
                      <w:color w:val="auto"/>
                      <w:kern w:val="2"/>
                      <w:sz w:val="21"/>
                      <w:szCs w:val="21"/>
                      <w:u w:val="none"/>
                      <w:lang w:val="en-US" w:eastAsia="zh-CN" w:bidi="ar-SA"/>
                    </w:rPr>
                  </w:pPr>
                  <w:r>
                    <w:rPr>
                      <w:rFonts w:hint="eastAsia" w:ascii="Times New Roman" w:hAnsi="Times New Roman" w:eastAsia="宋体" w:cs="Times New Roman"/>
                      <w:b/>
                      <w:bCs/>
                      <w:color w:val="auto"/>
                      <w:kern w:val="2"/>
                      <w:sz w:val="21"/>
                      <w:szCs w:val="21"/>
                      <w:u w:val="none"/>
                      <w:lang w:val="en-US" w:eastAsia="zh-CN" w:bidi="ar-SA"/>
                    </w:rPr>
                    <w:t>最大存储量(t)</w:t>
                  </w:r>
                </w:p>
              </w:tc>
              <w:tc>
                <w:tcPr>
                  <w:tcW w:w="1298" w:type="dxa"/>
                  <w:tcBorders>
                    <w:tl2br w:val="nil"/>
                    <w:tr2bl w:val="nil"/>
                  </w:tcBorders>
                  <w:noWrap w:val="0"/>
                  <w:vAlign w:val="center"/>
                </w:tcPr>
                <w:p w14:paraId="5958EAC0">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eastAsia="仿宋" w:cs="仿宋"/>
                      <w:b/>
                      <w:bCs/>
                      <w:color w:val="auto"/>
                      <w:sz w:val="24"/>
                      <w:szCs w:val="24"/>
                      <w:u w:val="none"/>
                      <w:lang w:val="en-US" w:eastAsia="zh-CN"/>
                    </w:rPr>
                  </w:pPr>
                  <w:r>
                    <w:rPr>
                      <w:rFonts w:hint="eastAsia" w:ascii="Times New Roman" w:hAnsi="Times New Roman" w:eastAsia="宋体" w:cs="Times New Roman"/>
                      <w:b/>
                      <w:bCs/>
                      <w:color w:val="auto"/>
                      <w:kern w:val="2"/>
                      <w:sz w:val="21"/>
                      <w:szCs w:val="21"/>
                      <w:u w:val="none"/>
                      <w:lang w:val="en-US" w:eastAsia="zh-CN" w:bidi="ar-SA"/>
                    </w:rPr>
                    <w:t>CAS号</w:t>
                  </w:r>
                </w:p>
              </w:tc>
              <w:tc>
                <w:tcPr>
                  <w:tcW w:w="1223" w:type="dxa"/>
                  <w:tcBorders>
                    <w:tl2br w:val="nil"/>
                    <w:tr2bl w:val="nil"/>
                  </w:tcBorders>
                  <w:noWrap w:val="0"/>
                  <w:vAlign w:val="center"/>
                </w:tcPr>
                <w:p w14:paraId="74D44176">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s="Times New Roman"/>
                      <w:b/>
                      <w:bCs/>
                      <w:color w:val="auto"/>
                      <w:kern w:val="2"/>
                      <w:sz w:val="21"/>
                      <w:szCs w:val="21"/>
                      <w:u w:val="none"/>
                      <w:lang w:val="en-US" w:eastAsia="zh-CN" w:bidi="ar-SA"/>
                    </w:rPr>
                  </w:pPr>
                  <w:r>
                    <w:rPr>
                      <w:rFonts w:hint="eastAsia" w:ascii="Times New Roman" w:hAnsi="Times New Roman" w:eastAsia="宋体" w:cs="Times New Roman"/>
                      <w:b/>
                      <w:bCs/>
                      <w:color w:val="auto"/>
                      <w:kern w:val="2"/>
                      <w:sz w:val="21"/>
                      <w:szCs w:val="21"/>
                      <w:u w:val="none"/>
                      <w:lang w:val="en-US" w:eastAsia="zh-CN" w:bidi="ar-SA"/>
                    </w:rPr>
                    <w:t>临界量(t)</w:t>
                  </w:r>
                </w:p>
              </w:tc>
              <w:tc>
                <w:tcPr>
                  <w:tcW w:w="1087" w:type="dxa"/>
                  <w:tcBorders>
                    <w:tl2br w:val="nil"/>
                    <w:tr2bl w:val="nil"/>
                  </w:tcBorders>
                  <w:noWrap w:val="0"/>
                  <w:vAlign w:val="center"/>
                </w:tcPr>
                <w:p w14:paraId="6DC18056">
                  <w:pPr>
                    <w:pStyle w:val="102"/>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Times New Roman"/>
                      <w:b/>
                      <w:bCs/>
                      <w:color w:val="auto"/>
                      <w:kern w:val="2"/>
                      <w:sz w:val="21"/>
                      <w:szCs w:val="21"/>
                      <w:u w:val="none"/>
                      <w:lang w:val="en-US" w:eastAsia="zh-CN" w:bidi="ar-SA"/>
                    </w:rPr>
                  </w:pPr>
                  <w:r>
                    <w:rPr>
                      <w:rFonts w:hint="eastAsia" w:ascii="Times New Roman" w:hAnsi="Times New Roman" w:eastAsia="宋体" w:cs="Times New Roman"/>
                      <w:b/>
                      <w:bCs/>
                      <w:color w:val="auto"/>
                      <w:kern w:val="2"/>
                      <w:sz w:val="21"/>
                      <w:szCs w:val="21"/>
                      <w:u w:val="none"/>
                      <w:lang w:val="en-US" w:eastAsia="zh-CN" w:bidi="ar-SA"/>
                    </w:rPr>
                    <w:t>比值Q</w:t>
                  </w:r>
                </w:p>
              </w:tc>
            </w:tr>
            <w:tr w14:paraId="1ED80C36">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735" w:type="dxa"/>
                  <w:tcBorders>
                    <w:tl2br w:val="nil"/>
                    <w:tr2bl w:val="nil"/>
                  </w:tcBorders>
                  <w:noWrap w:val="0"/>
                  <w:vAlign w:val="center"/>
                </w:tcPr>
                <w:p w14:paraId="121D2F15">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color w:val="auto"/>
                      <w:kern w:val="2"/>
                      <w:sz w:val="21"/>
                      <w:szCs w:val="21"/>
                      <w:u w:val="none"/>
                      <w:lang w:val="en-US" w:eastAsia="zh-CN" w:bidi="ar-SA"/>
                    </w:rPr>
                  </w:pPr>
                  <w:r>
                    <w:rPr>
                      <w:rFonts w:hint="eastAsia" w:ascii="Times New Roman" w:hAnsi="Times New Roman" w:eastAsia="宋体" w:cs="Times New Roman"/>
                      <w:b w:val="0"/>
                      <w:color w:val="auto"/>
                      <w:kern w:val="2"/>
                      <w:sz w:val="21"/>
                      <w:szCs w:val="21"/>
                      <w:u w:val="none"/>
                      <w:lang w:val="en-US" w:eastAsia="zh-CN" w:bidi="ar-SA"/>
                    </w:rPr>
                    <w:t>1</w:t>
                  </w:r>
                </w:p>
              </w:tc>
              <w:tc>
                <w:tcPr>
                  <w:tcW w:w="1156" w:type="dxa"/>
                  <w:vMerge w:val="restart"/>
                  <w:tcBorders>
                    <w:tl2br w:val="nil"/>
                    <w:tr2bl w:val="nil"/>
                  </w:tcBorders>
                  <w:noWrap w:val="0"/>
                  <w:vAlign w:val="center"/>
                </w:tcPr>
                <w:p w14:paraId="2147F933">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s="Times New Roman"/>
                      <w:b w:val="0"/>
                      <w:color w:val="auto"/>
                      <w:kern w:val="2"/>
                      <w:sz w:val="21"/>
                      <w:szCs w:val="21"/>
                      <w:u w:val="none"/>
                      <w:lang w:val="en-US" w:eastAsia="zh-CN" w:bidi="ar-SA"/>
                    </w:rPr>
                  </w:pPr>
                  <w:r>
                    <w:rPr>
                      <w:rFonts w:hint="eastAsia" w:ascii="Times New Roman" w:hAnsi="Times New Roman" w:eastAsia="宋体" w:cs="Times New Roman"/>
                      <w:b w:val="0"/>
                      <w:color w:val="auto"/>
                      <w:kern w:val="2"/>
                      <w:sz w:val="21"/>
                      <w:szCs w:val="21"/>
                      <w:u w:val="none"/>
                      <w:lang w:val="en-US" w:eastAsia="zh-CN" w:bidi="ar-SA"/>
                    </w:rPr>
                    <w:t>原辅材料</w:t>
                  </w:r>
                </w:p>
              </w:tc>
              <w:tc>
                <w:tcPr>
                  <w:tcW w:w="1936" w:type="dxa"/>
                  <w:tcBorders>
                    <w:tl2br w:val="nil"/>
                    <w:tr2bl w:val="nil"/>
                  </w:tcBorders>
                  <w:noWrap w:val="0"/>
                  <w:vAlign w:val="center"/>
                </w:tcPr>
                <w:p w14:paraId="62E3EAB3">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color w:val="auto"/>
                      <w:kern w:val="2"/>
                      <w:sz w:val="21"/>
                      <w:szCs w:val="21"/>
                      <w:highlight w:val="none"/>
                      <w:u w:val="none"/>
                      <w:lang w:val="en-US" w:eastAsia="zh-CN" w:bidi="ar-SA"/>
                    </w:rPr>
                  </w:pPr>
                  <w:r>
                    <w:rPr>
                      <w:rFonts w:hint="eastAsia" w:ascii="Times New Roman" w:hAnsi="Times New Roman" w:eastAsia="宋体" w:cs="Times New Roman"/>
                      <w:b w:val="0"/>
                      <w:color w:val="auto"/>
                      <w:kern w:val="2"/>
                      <w:sz w:val="21"/>
                      <w:szCs w:val="21"/>
                      <w:highlight w:val="none"/>
                      <w:u w:val="none"/>
                      <w:lang w:val="en-US" w:eastAsia="zh-CN" w:bidi="ar-SA"/>
                    </w:rPr>
                    <w:t>甲烷</w:t>
                  </w:r>
                </w:p>
              </w:tc>
              <w:tc>
                <w:tcPr>
                  <w:tcW w:w="982" w:type="dxa"/>
                  <w:tcBorders>
                    <w:tl2br w:val="nil"/>
                    <w:tr2bl w:val="nil"/>
                  </w:tcBorders>
                  <w:noWrap w:val="0"/>
                  <w:vAlign w:val="center"/>
                </w:tcPr>
                <w:p w14:paraId="61418A97">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color w:val="auto"/>
                      <w:kern w:val="2"/>
                      <w:sz w:val="21"/>
                      <w:szCs w:val="21"/>
                      <w:highlight w:val="none"/>
                      <w:u w:val="none"/>
                      <w:lang w:val="en-US" w:eastAsia="zh-CN" w:bidi="ar-SA"/>
                    </w:rPr>
                  </w:pPr>
                  <w:r>
                    <w:rPr>
                      <w:rFonts w:hint="eastAsia" w:ascii="Times New Roman" w:hAnsi="Times New Roman" w:eastAsia="宋体" w:cs="Times New Roman"/>
                      <w:b w:val="0"/>
                      <w:color w:val="auto"/>
                      <w:kern w:val="2"/>
                      <w:sz w:val="21"/>
                      <w:szCs w:val="21"/>
                      <w:highlight w:val="none"/>
                      <w:u w:val="none"/>
                      <w:lang w:val="en-US" w:eastAsia="zh-CN" w:bidi="ar-SA"/>
                    </w:rPr>
                    <w:t>0.0009</w:t>
                  </w:r>
                </w:p>
              </w:tc>
              <w:tc>
                <w:tcPr>
                  <w:tcW w:w="1298" w:type="dxa"/>
                  <w:tcBorders>
                    <w:tl2br w:val="nil"/>
                    <w:tr2bl w:val="nil"/>
                  </w:tcBorders>
                  <w:noWrap w:val="0"/>
                  <w:vAlign w:val="center"/>
                </w:tcPr>
                <w:p w14:paraId="18C36EE1">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s="Times New Roman"/>
                      <w:b w:val="0"/>
                      <w:color w:val="auto"/>
                      <w:kern w:val="2"/>
                      <w:sz w:val="21"/>
                      <w:szCs w:val="21"/>
                      <w:highlight w:val="none"/>
                      <w:u w:val="none"/>
                      <w:lang w:val="en-US" w:eastAsia="zh-CN" w:bidi="ar-SA"/>
                    </w:rPr>
                  </w:pPr>
                  <w:r>
                    <w:rPr>
                      <w:rFonts w:hint="eastAsia" w:ascii="Times New Roman" w:hAnsi="Times New Roman" w:eastAsia="宋体" w:cs="Times New Roman"/>
                      <w:b w:val="0"/>
                      <w:color w:val="auto"/>
                      <w:kern w:val="2"/>
                      <w:sz w:val="21"/>
                      <w:szCs w:val="21"/>
                      <w:highlight w:val="none"/>
                      <w:u w:val="none"/>
                      <w:lang w:val="en-US" w:eastAsia="zh-CN" w:bidi="ar-SA"/>
                    </w:rPr>
                    <w:t>74-82-8</w:t>
                  </w:r>
                </w:p>
              </w:tc>
              <w:tc>
                <w:tcPr>
                  <w:tcW w:w="1223" w:type="dxa"/>
                  <w:tcBorders>
                    <w:tl2br w:val="nil"/>
                    <w:tr2bl w:val="nil"/>
                  </w:tcBorders>
                  <w:noWrap w:val="0"/>
                  <w:vAlign w:val="center"/>
                </w:tcPr>
                <w:p w14:paraId="16695053">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color w:val="auto"/>
                      <w:kern w:val="2"/>
                      <w:sz w:val="21"/>
                      <w:szCs w:val="21"/>
                      <w:highlight w:val="none"/>
                      <w:u w:val="none"/>
                      <w:lang w:val="en-US" w:eastAsia="zh-CN" w:bidi="ar-SA"/>
                    </w:rPr>
                  </w:pPr>
                  <w:r>
                    <w:rPr>
                      <w:rFonts w:hint="eastAsia" w:ascii="Times New Roman" w:hAnsi="Times New Roman" w:eastAsia="宋体" w:cs="Times New Roman"/>
                      <w:b w:val="0"/>
                      <w:color w:val="auto"/>
                      <w:kern w:val="2"/>
                      <w:sz w:val="21"/>
                      <w:szCs w:val="21"/>
                      <w:highlight w:val="none"/>
                      <w:u w:val="none"/>
                      <w:lang w:val="en-US" w:eastAsia="zh-CN" w:bidi="ar-SA"/>
                    </w:rPr>
                    <w:t>10</w:t>
                  </w:r>
                </w:p>
              </w:tc>
              <w:tc>
                <w:tcPr>
                  <w:tcW w:w="1087" w:type="dxa"/>
                  <w:tcBorders>
                    <w:tl2br w:val="nil"/>
                    <w:tr2bl w:val="nil"/>
                  </w:tcBorders>
                  <w:noWrap w:val="0"/>
                  <w:vAlign w:val="center"/>
                </w:tcPr>
                <w:p w14:paraId="75F09052">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color w:val="auto"/>
                      <w:kern w:val="2"/>
                      <w:sz w:val="21"/>
                      <w:szCs w:val="21"/>
                      <w:highlight w:val="none"/>
                      <w:u w:val="none"/>
                      <w:lang w:val="en-US" w:eastAsia="zh-CN" w:bidi="ar-SA"/>
                    </w:rPr>
                  </w:pPr>
                  <w:r>
                    <w:rPr>
                      <w:rFonts w:hint="eastAsia" w:ascii="Times New Roman" w:hAnsi="Times New Roman" w:eastAsia="宋体" w:cs="Times New Roman"/>
                      <w:b w:val="0"/>
                      <w:color w:val="auto"/>
                      <w:kern w:val="2"/>
                      <w:sz w:val="21"/>
                      <w:szCs w:val="21"/>
                      <w:highlight w:val="none"/>
                      <w:u w:val="none"/>
                      <w:lang w:val="en-US" w:eastAsia="zh-CN" w:bidi="ar-SA"/>
                    </w:rPr>
                    <w:t>0.00009</w:t>
                  </w:r>
                </w:p>
              </w:tc>
            </w:tr>
            <w:tr w14:paraId="29583EE9">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735" w:type="dxa"/>
                  <w:tcBorders>
                    <w:tl2br w:val="nil"/>
                    <w:tr2bl w:val="nil"/>
                  </w:tcBorders>
                  <w:noWrap w:val="0"/>
                  <w:vAlign w:val="center"/>
                </w:tcPr>
                <w:p w14:paraId="51922E0E">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s="Times New Roman"/>
                      <w:b w:val="0"/>
                      <w:color w:val="auto"/>
                      <w:kern w:val="2"/>
                      <w:sz w:val="21"/>
                      <w:szCs w:val="21"/>
                      <w:u w:val="none"/>
                      <w:lang w:val="en-US" w:eastAsia="zh-CN" w:bidi="ar-SA"/>
                    </w:rPr>
                  </w:pPr>
                  <w:r>
                    <w:rPr>
                      <w:rFonts w:hint="eastAsia" w:ascii="Times New Roman" w:hAnsi="Times New Roman" w:eastAsia="宋体" w:cs="Times New Roman"/>
                      <w:b w:val="0"/>
                      <w:color w:val="auto"/>
                      <w:kern w:val="2"/>
                      <w:sz w:val="21"/>
                      <w:szCs w:val="21"/>
                      <w:u w:val="none"/>
                      <w:lang w:val="en-US" w:eastAsia="zh-CN" w:bidi="ar-SA"/>
                    </w:rPr>
                    <w:t>2</w:t>
                  </w:r>
                </w:p>
              </w:tc>
              <w:tc>
                <w:tcPr>
                  <w:tcW w:w="1156" w:type="dxa"/>
                  <w:vMerge w:val="continue"/>
                  <w:tcBorders>
                    <w:tl2br w:val="nil"/>
                    <w:tr2bl w:val="nil"/>
                  </w:tcBorders>
                  <w:noWrap w:val="0"/>
                  <w:vAlign w:val="center"/>
                </w:tcPr>
                <w:p w14:paraId="5CA45B03">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s="Times New Roman"/>
                      <w:b w:val="0"/>
                      <w:color w:val="auto"/>
                      <w:kern w:val="2"/>
                      <w:sz w:val="21"/>
                      <w:szCs w:val="21"/>
                      <w:u w:val="none"/>
                      <w:lang w:val="en-US" w:eastAsia="zh-CN" w:bidi="ar-SA"/>
                    </w:rPr>
                  </w:pPr>
                </w:p>
              </w:tc>
              <w:tc>
                <w:tcPr>
                  <w:tcW w:w="1936" w:type="dxa"/>
                  <w:tcBorders>
                    <w:tl2br w:val="nil"/>
                    <w:tr2bl w:val="nil"/>
                  </w:tcBorders>
                  <w:noWrap w:val="0"/>
                  <w:vAlign w:val="center"/>
                </w:tcPr>
                <w:p w14:paraId="3AB43C00">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color w:val="auto"/>
                      <w:kern w:val="2"/>
                      <w:sz w:val="21"/>
                      <w:szCs w:val="21"/>
                      <w:highlight w:val="none"/>
                      <w:u w:val="none"/>
                      <w:lang w:val="en-US" w:eastAsia="zh-CN" w:bidi="ar-SA"/>
                    </w:rPr>
                  </w:pPr>
                  <w:r>
                    <w:rPr>
                      <w:rFonts w:hint="eastAsia" w:ascii="Times New Roman" w:hAnsi="Times New Roman" w:eastAsia="宋体" w:cs="Times New Roman"/>
                      <w:b w:val="0"/>
                      <w:color w:val="auto"/>
                      <w:kern w:val="2"/>
                      <w:sz w:val="21"/>
                      <w:szCs w:val="21"/>
                      <w:highlight w:val="none"/>
                      <w:u w:val="none"/>
                      <w:lang w:val="en-US" w:eastAsia="zh-CN" w:bidi="ar-SA"/>
                    </w:rPr>
                    <w:t>机油</w:t>
                  </w:r>
                </w:p>
              </w:tc>
              <w:tc>
                <w:tcPr>
                  <w:tcW w:w="982" w:type="dxa"/>
                  <w:tcBorders>
                    <w:tl2br w:val="nil"/>
                    <w:tr2bl w:val="nil"/>
                  </w:tcBorders>
                  <w:noWrap w:val="0"/>
                  <w:vAlign w:val="center"/>
                </w:tcPr>
                <w:p w14:paraId="0518B7F6">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color w:val="auto"/>
                      <w:kern w:val="2"/>
                      <w:sz w:val="21"/>
                      <w:szCs w:val="21"/>
                      <w:highlight w:val="none"/>
                      <w:u w:val="none"/>
                      <w:lang w:val="en-US" w:eastAsia="zh-CN" w:bidi="ar-SA"/>
                    </w:rPr>
                  </w:pPr>
                  <w:r>
                    <w:rPr>
                      <w:rFonts w:hint="eastAsia" w:cs="Times New Roman"/>
                      <w:b w:val="0"/>
                      <w:color w:val="auto"/>
                      <w:kern w:val="2"/>
                      <w:sz w:val="21"/>
                      <w:szCs w:val="21"/>
                      <w:highlight w:val="none"/>
                      <w:u w:val="none"/>
                      <w:lang w:val="en-US" w:eastAsia="zh-CN" w:bidi="ar-SA"/>
                    </w:rPr>
                    <w:t>1.7</w:t>
                  </w:r>
                </w:p>
              </w:tc>
              <w:tc>
                <w:tcPr>
                  <w:tcW w:w="1298" w:type="dxa"/>
                  <w:tcBorders>
                    <w:tl2br w:val="nil"/>
                    <w:tr2bl w:val="nil"/>
                  </w:tcBorders>
                  <w:noWrap w:val="0"/>
                  <w:vAlign w:val="center"/>
                </w:tcPr>
                <w:p w14:paraId="6D3986AC">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color w:val="auto"/>
                      <w:kern w:val="2"/>
                      <w:sz w:val="21"/>
                      <w:szCs w:val="21"/>
                      <w:highlight w:val="none"/>
                      <w:u w:val="none"/>
                      <w:lang w:val="en-US" w:eastAsia="zh-CN" w:bidi="ar-SA"/>
                    </w:rPr>
                  </w:pPr>
                  <w:r>
                    <w:rPr>
                      <w:rFonts w:hint="eastAsia" w:ascii="Times New Roman" w:hAnsi="Times New Roman" w:eastAsia="宋体" w:cs="Times New Roman"/>
                      <w:b w:val="0"/>
                      <w:color w:val="auto"/>
                      <w:kern w:val="2"/>
                      <w:sz w:val="21"/>
                      <w:szCs w:val="21"/>
                      <w:highlight w:val="none"/>
                      <w:u w:val="none"/>
                      <w:lang w:val="en-US" w:eastAsia="zh-CN" w:bidi="ar-SA"/>
                    </w:rPr>
                    <w:t>/</w:t>
                  </w:r>
                </w:p>
              </w:tc>
              <w:tc>
                <w:tcPr>
                  <w:tcW w:w="1223" w:type="dxa"/>
                  <w:tcBorders>
                    <w:tl2br w:val="nil"/>
                    <w:tr2bl w:val="nil"/>
                  </w:tcBorders>
                  <w:noWrap w:val="0"/>
                  <w:vAlign w:val="center"/>
                </w:tcPr>
                <w:p w14:paraId="0FAD38EA">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color w:val="auto"/>
                      <w:kern w:val="2"/>
                      <w:sz w:val="21"/>
                      <w:szCs w:val="21"/>
                      <w:highlight w:val="none"/>
                      <w:u w:val="none"/>
                      <w:lang w:val="en-US" w:eastAsia="zh-CN" w:bidi="ar-SA"/>
                    </w:rPr>
                  </w:pPr>
                  <w:r>
                    <w:rPr>
                      <w:rFonts w:hint="eastAsia" w:ascii="Times New Roman" w:hAnsi="Times New Roman" w:eastAsia="宋体" w:cs="Times New Roman"/>
                      <w:b w:val="0"/>
                      <w:color w:val="auto"/>
                      <w:kern w:val="2"/>
                      <w:sz w:val="21"/>
                      <w:szCs w:val="21"/>
                      <w:highlight w:val="none"/>
                      <w:u w:val="none"/>
                      <w:lang w:val="en-US" w:eastAsia="zh-CN" w:bidi="ar-SA"/>
                    </w:rPr>
                    <w:t>2500</w:t>
                  </w:r>
                </w:p>
              </w:tc>
              <w:tc>
                <w:tcPr>
                  <w:tcW w:w="1087" w:type="dxa"/>
                  <w:tcBorders>
                    <w:tl2br w:val="nil"/>
                    <w:tr2bl w:val="nil"/>
                  </w:tcBorders>
                  <w:noWrap w:val="0"/>
                  <w:vAlign w:val="center"/>
                </w:tcPr>
                <w:p w14:paraId="42618412">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color w:val="auto"/>
                      <w:kern w:val="2"/>
                      <w:sz w:val="21"/>
                      <w:szCs w:val="21"/>
                      <w:highlight w:val="none"/>
                      <w:u w:val="none"/>
                      <w:lang w:val="en-US" w:eastAsia="zh-CN" w:bidi="ar-SA"/>
                    </w:rPr>
                  </w:pPr>
                  <w:r>
                    <w:rPr>
                      <w:rFonts w:hint="eastAsia" w:ascii="Times New Roman" w:hAnsi="Times New Roman" w:eastAsia="宋体" w:cs="Times New Roman"/>
                      <w:b w:val="0"/>
                      <w:color w:val="auto"/>
                      <w:kern w:val="2"/>
                      <w:sz w:val="21"/>
                      <w:szCs w:val="21"/>
                      <w:highlight w:val="none"/>
                      <w:u w:val="none"/>
                      <w:lang w:val="en-US" w:eastAsia="zh-CN" w:bidi="ar-SA"/>
                    </w:rPr>
                    <w:t>0.000</w:t>
                  </w:r>
                  <w:r>
                    <w:rPr>
                      <w:rFonts w:hint="eastAsia" w:cs="Times New Roman"/>
                      <w:b w:val="0"/>
                      <w:color w:val="auto"/>
                      <w:kern w:val="2"/>
                      <w:sz w:val="21"/>
                      <w:szCs w:val="21"/>
                      <w:highlight w:val="none"/>
                      <w:u w:val="none"/>
                      <w:lang w:val="en-US" w:eastAsia="zh-CN" w:bidi="ar-SA"/>
                    </w:rPr>
                    <w:t>68</w:t>
                  </w:r>
                </w:p>
              </w:tc>
            </w:tr>
            <w:tr w14:paraId="5A15A801">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735" w:type="dxa"/>
                  <w:tcBorders>
                    <w:tl2br w:val="nil"/>
                    <w:tr2bl w:val="nil"/>
                  </w:tcBorders>
                  <w:noWrap w:val="0"/>
                  <w:vAlign w:val="center"/>
                </w:tcPr>
                <w:p w14:paraId="3383FD04">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color w:val="auto"/>
                      <w:kern w:val="2"/>
                      <w:sz w:val="21"/>
                      <w:szCs w:val="21"/>
                      <w:u w:val="none"/>
                      <w:lang w:val="en-US" w:eastAsia="zh-CN" w:bidi="ar-SA"/>
                    </w:rPr>
                  </w:pPr>
                  <w:r>
                    <w:rPr>
                      <w:rFonts w:hint="eastAsia" w:ascii="Times New Roman" w:hAnsi="Times New Roman" w:eastAsia="宋体" w:cs="Times New Roman"/>
                      <w:b w:val="0"/>
                      <w:color w:val="auto"/>
                      <w:kern w:val="2"/>
                      <w:sz w:val="21"/>
                      <w:szCs w:val="21"/>
                      <w:u w:val="none"/>
                      <w:lang w:val="en-US" w:eastAsia="zh-CN" w:bidi="ar-SA"/>
                    </w:rPr>
                    <w:t>3</w:t>
                  </w:r>
                </w:p>
              </w:tc>
              <w:tc>
                <w:tcPr>
                  <w:tcW w:w="1156" w:type="dxa"/>
                  <w:vMerge w:val="continue"/>
                  <w:tcBorders>
                    <w:tl2br w:val="nil"/>
                    <w:tr2bl w:val="nil"/>
                  </w:tcBorders>
                  <w:noWrap w:val="0"/>
                  <w:vAlign w:val="center"/>
                </w:tcPr>
                <w:p w14:paraId="0A657ACB">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s="Times New Roman"/>
                      <w:b w:val="0"/>
                      <w:color w:val="auto"/>
                      <w:kern w:val="2"/>
                      <w:sz w:val="21"/>
                      <w:szCs w:val="21"/>
                      <w:u w:val="none"/>
                      <w:lang w:val="en-US" w:eastAsia="zh-CN" w:bidi="ar-SA"/>
                    </w:rPr>
                  </w:pPr>
                </w:p>
              </w:tc>
              <w:tc>
                <w:tcPr>
                  <w:tcW w:w="1936" w:type="dxa"/>
                  <w:tcBorders>
                    <w:tl2br w:val="nil"/>
                    <w:tr2bl w:val="nil"/>
                  </w:tcBorders>
                  <w:noWrap w:val="0"/>
                  <w:vAlign w:val="center"/>
                </w:tcPr>
                <w:p w14:paraId="03A44B21">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color w:val="auto"/>
                      <w:kern w:val="2"/>
                      <w:sz w:val="21"/>
                      <w:szCs w:val="21"/>
                      <w:highlight w:val="none"/>
                      <w:u w:val="none"/>
                      <w:lang w:val="en-US" w:eastAsia="zh-CN" w:bidi="ar-SA"/>
                    </w:rPr>
                  </w:pPr>
                  <w:r>
                    <w:rPr>
                      <w:rFonts w:hint="eastAsia" w:ascii="Times New Roman" w:hAnsi="Times New Roman" w:eastAsia="宋体" w:cs="Times New Roman"/>
                      <w:b w:val="0"/>
                      <w:color w:val="auto"/>
                      <w:kern w:val="2"/>
                      <w:sz w:val="21"/>
                      <w:szCs w:val="21"/>
                      <w:highlight w:val="none"/>
                      <w:u w:val="none"/>
                      <w:lang w:val="en-US" w:eastAsia="zh-CN" w:bidi="ar-SA"/>
                    </w:rPr>
                    <w:t>润滑油</w:t>
                  </w:r>
                </w:p>
              </w:tc>
              <w:tc>
                <w:tcPr>
                  <w:tcW w:w="982" w:type="dxa"/>
                  <w:tcBorders>
                    <w:tl2br w:val="nil"/>
                    <w:tr2bl w:val="nil"/>
                  </w:tcBorders>
                  <w:noWrap w:val="0"/>
                  <w:vAlign w:val="center"/>
                </w:tcPr>
                <w:p w14:paraId="549BDB3E">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color w:val="auto"/>
                      <w:kern w:val="2"/>
                      <w:sz w:val="21"/>
                      <w:szCs w:val="21"/>
                      <w:highlight w:val="none"/>
                      <w:u w:val="none"/>
                      <w:lang w:val="en-US" w:eastAsia="zh-CN" w:bidi="ar-SA"/>
                    </w:rPr>
                  </w:pPr>
                  <w:r>
                    <w:rPr>
                      <w:rFonts w:hint="eastAsia" w:ascii="Times New Roman" w:hAnsi="Times New Roman" w:eastAsia="宋体" w:cs="Times New Roman"/>
                      <w:b w:val="0"/>
                      <w:color w:val="auto"/>
                      <w:kern w:val="2"/>
                      <w:sz w:val="21"/>
                      <w:szCs w:val="21"/>
                      <w:highlight w:val="none"/>
                      <w:u w:val="none"/>
                      <w:lang w:val="en-US" w:eastAsia="zh-CN" w:bidi="ar-SA"/>
                    </w:rPr>
                    <w:t>0.015</w:t>
                  </w:r>
                </w:p>
              </w:tc>
              <w:tc>
                <w:tcPr>
                  <w:tcW w:w="1298" w:type="dxa"/>
                  <w:tcBorders>
                    <w:tl2br w:val="nil"/>
                    <w:tr2bl w:val="nil"/>
                  </w:tcBorders>
                  <w:noWrap w:val="0"/>
                  <w:vAlign w:val="center"/>
                </w:tcPr>
                <w:p w14:paraId="66D619FB">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color w:val="auto"/>
                      <w:kern w:val="2"/>
                      <w:sz w:val="21"/>
                      <w:szCs w:val="21"/>
                      <w:highlight w:val="none"/>
                      <w:u w:val="none"/>
                      <w:lang w:val="en-US" w:eastAsia="zh-CN" w:bidi="ar-SA"/>
                    </w:rPr>
                  </w:pPr>
                  <w:r>
                    <w:rPr>
                      <w:rFonts w:hint="eastAsia" w:ascii="Times New Roman" w:hAnsi="Times New Roman" w:eastAsia="宋体" w:cs="Times New Roman"/>
                      <w:b w:val="0"/>
                      <w:color w:val="auto"/>
                      <w:kern w:val="2"/>
                      <w:sz w:val="21"/>
                      <w:szCs w:val="21"/>
                      <w:highlight w:val="none"/>
                      <w:u w:val="none"/>
                      <w:lang w:val="en-US" w:eastAsia="zh-CN" w:bidi="ar-SA"/>
                    </w:rPr>
                    <w:t>/</w:t>
                  </w:r>
                </w:p>
              </w:tc>
              <w:tc>
                <w:tcPr>
                  <w:tcW w:w="1223" w:type="dxa"/>
                  <w:tcBorders>
                    <w:tl2br w:val="nil"/>
                    <w:tr2bl w:val="nil"/>
                  </w:tcBorders>
                  <w:noWrap w:val="0"/>
                  <w:vAlign w:val="center"/>
                </w:tcPr>
                <w:p w14:paraId="1A9136B8">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color w:val="auto"/>
                      <w:kern w:val="2"/>
                      <w:sz w:val="21"/>
                      <w:szCs w:val="21"/>
                      <w:highlight w:val="none"/>
                      <w:u w:val="none"/>
                      <w:lang w:val="en-US" w:eastAsia="zh-CN" w:bidi="ar-SA"/>
                    </w:rPr>
                  </w:pPr>
                  <w:r>
                    <w:rPr>
                      <w:rFonts w:hint="eastAsia" w:ascii="Times New Roman" w:hAnsi="Times New Roman" w:eastAsia="宋体" w:cs="Times New Roman"/>
                      <w:b w:val="0"/>
                      <w:color w:val="auto"/>
                      <w:kern w:val="2"/>
                      <w:sz w:val="21"/>
                      <w:szCs w:val="21"/>
                      <w:highlight w:val="none"/>
                      <w:u w:val="none"/>
                      <w:lang w:val="en-US" w:eastAsia="zh-CN" w:bidi="ar-SA"/>
                    </w:rPr>
                    <w:t>2500</w:t>
                  </w:r>
                </w:p>
              </w:tc>
              <w:tc>
                <w:tcPr>
                  <w:tcW w:w="1087" w:type="dxa"/>
                  <w:tcBorders>
                    <w:tl2br w:val="nil"/>
                    <w:tr2bl w:val="nil"/>
                  </w:tcBorders>
                  <w:noWrap w:val="0"/>
                  <w:vAlign w:val="center"/>
                </w:tcPr>
                <w:p w14:paraId="43ED95FD">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color w:val="auto"/>
                      <w:kern w:val="2"/>
                      <w:sz w:val="21"/>
                      <w:szCs w:val="21"/>
                      <w:highlight w:val="none"/>
                      <w:u w:val="none"/>
                      <w:lang w:val="en-US" w:eastAsia="zh-CN" w:bidi="ar-SA"/>
                    </w:rPr>
                  </w:pPr>
                  <w:r>
                    <w:rPr>
                      <w:rFonts w:hint="eastAsia" w:ascii="Times New Roman" w:hAnsi="Times New Roman" w:eastAsia="宋体" w:cs="Times New Roman"/>
                      <w:b w:val="0"/>
                      <w:color w:val="auto"/>
                      <w:kern w:val="2"/>
                      <w:sz w:val="21"/>
                      <w:szCs w:val="21"/>
                      <w:highlight w:val="none"/>
                      <w:u w:val="none"/>
                      <w:lang w:val="en-US" w:eastAsia="zh-CN" w:bidi="ar-SA"/>
                    </w:rPr>
                    <w:t>0.000006</w:t>
                  </w:r>
                </w:p>
              </w:tc>
            </w:tr>
            <w:tr w14:paraId="0D33DE89">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735" w:type="dxa"/>
                  <w:tcBorders>
                    <w:tl2br w:val="nil"/>
                    <w:tr2bl w:val="nil"/>
                  </w:tcBorders>
                  <w:noWrap w:val="0"/>
                  <w:vAlign w:val="center"/>
                </w:tcPr>
                <w:p w14:paraId="0190A6DF">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s="Times New Roman"/>
                      <w:b w:val="0"/>
                      <w:color w:val="auto"/>
                      <w:kern w:val="2"/>
                      <w:sz w:val="21"/>
                      <w:szCs w:val="21"/>
                      <w:u w:val="none"/>
                      <w:lang w:val="en-US" w:eastAsia="zh-CN" w:bidi="ar-SA"/>
                    </w:rPr>
                  </w:pPr>
                  <w:r>
                    <w:rPr>
                      <w:rFonts w:hint="eastAsia" w:cs="Times New Roman"/>
                      <w:b w:val="0"/>
                      <w:color w:val="auto"/>
                      <w:kern w:val="2"/>
                      <w:sz w:val="21"/>
                      <w:szCs w:val="21"/>
                      <w:u w:val="none"/>
                      <w:lang w:val="en-US" w:eastAsia="zh-CN" w:bidi="ar-SA"/>
                    </w:rPr>
                    <w:t>4</w:t>
                  </w:r>
                </w:p>
              </w:tc>
              <w:tc>
                <w:tcPr>
                  <w:tcW w:w="1156" w:type="dxa"/>
                  <w:tcBorders>
                    <w:tl2br w:val="nil"/>
                    <w:tr2bl w:val="nil"/>
                  </w:tcBorders>
                  <w:noWrap w:val="0"/>
                  <w:vAlign w:val="center"/>
                </w:tcPr>
                <w:p w14:paraId="46D3F01F">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s="Times New Roman"/>
                      <w:b w:val="0"/>
                      <w:color w:val="auto"/>
                      <w:kern w:val="2"/>
                      <w:sz w:val="21"/>
                      <w:szCs w:val="21"/>
                      <w:u w:val="none"/>
                      <w:lang w:val="en-US" w:eastAsia="zh-CN" w:bidi="ar-SA"/>
                    </w:rPr>
                  </w:pPr>
                  <w:r>
                    <w:rPr>
                      <w:rFonts w:hint="eastAsia" w:ascii="Times New Roman" w:hAnsi="Times New Roman" w:eastAsia="宋体" w:cs="Times New Roman"/>
                      <w:b w:val="0"/>
                      <w:color w:val="auto"/>
                      <w:kern w:val="2"/>
                      <w:sz w:val="21"/>
                      <w:szCs w:val="21"/>
                      <w:u w:val="none"/>
                      <w:lang w:val="en-US" w:eastAsia="zh-CN" w:bidi="ar-SA"/>
                    </w:rPr>
                    <w:t>危险废物</w:t>
                  </w:r>
                </w:p>
              </w:tc>
              <w:tc>
                <w:tcPr>
                  <w:tcW w:w="1936" w:type="dxa"/>
                  <w:tcBorders>
                    <w:tl2br w:val="nil"/>
                    <w:tr2bl w:val="nil"/>
                  </w:tcBorders>
                  <w:noWrap w:val="0"/>
                  <w:vAlign w:val="center"/>
                </w:tcPr>
                <w:p w14:paraId="045FA523">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s="Times New Roman"/>
                      <w:b w:val="0"/>
                      <w:color w:val="auto"/>
                      <w:kern w:val="2"/>
                      <w:sz w:val="21"/>
                      <w:szCs w:val="21"/>
                      <w:highlight w:val="none"/>
                      <w:u w:val="none"/>
                      <w:lang w:val="en-US" w:eastAsia="zh-CN" w:bidi="ar-SA"/>
                    </w:rPr>
                  </w:pPr>
                  <w:r>
                    <w:rPr>
                      <w:rFonts w:hint="eastAsia" w:ascii="Times New Roman" w:hAnsi="Times New Roman" w:eastAsia="宋体" w:cs="Times New Roman"/>
                      <w:b w:val="0"/>
                      <w:color w:val="auto"/>
                      <w:kern w:val="2"/>
                      <w:sz w:val="21"/>
                      <w:szCs w:val="21"/>
                      <w:highlight w:val="none"/>
                      <w:u w:val="none"/>
                      <w:lang w:val="en-US" w:eastAsia="zh-CN" w:bidi="ar-SA"/>
                    </w:rPr>
                    <w:t>废机油</w:t>
                  </w:r>
                </w:p>
              </w:tc>
              <w:tc>
                <w:tcPr>
                  <w:tcW w:w="982" w:type="dxa"/>
                  <w:tcBorders>
                    <w:tl2br w:val="nil"/>
                    <w:tr2bl w:val="nil"/>
                  </w:tcBorders>
                  <w:noWrap w:val="0"/>
                  <w:vAlign w:val="center"/>
                </w:tcPr>
                <w:p w14:paraId="23C97833">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color w:val="auto"/>
                      <w:kern w:val="2"/>
                      <w:sz w:val="21"/>
                      <w:szCs w:val="21"/>
                      <w:highlight w:val="none"/>
                      <w:u w:val="none"/>
                      <w:lang w:val="en-US" w:eastAsia="zh-CN" w:bidi="ar-SA"/>
                    </w:rPr>
                  </w:pPr>
                  <w:r>
                    <w:rPr>
                      <w:rFonts w:hint="eastAsia" w:ascii="Times New Roman" w:hAnsi="Times New Roman" w:eastAsia="宋体" w:cs="Times New Roman"/>
                      <w:b w:val="0"/>
                      <w:color w:val="auto"/>
                      <w:kern w:val="2"/>
                      <w:sz w:val="21"/>
                      <w:szCs w:val="21"/>
                      <w:highlight w:val="none"/>
                      <w:u w:val="none"/>
                      <w:lang w:val="en-US" w:eastAsia="zh-CN" w:bidi="ar-SA"/>
                    </w:rPr>
                    <w:t>0.4</w:t>
                  </w:r>
                </w:p>
              </w:tc>
              <w:tc>
                <w:tcPr>
                  <w:tcW w:w="1298" w:type="dxa"/>
                  <w:tcBorders>
                    <w:tl2br w:val="nil"/>
                    <w:tr2bl w:val="nil"/>
                  </w:tcBorders>
                  <w:noWrap w:val="0"/>
                  <w:vAlign w:val="center"/>
                </w:tcPr>
                <w:p w14:paraId="0A787C9D">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s="Times New Roman"/>
                      <w:b w:val="0"/>
                      <w:color w:val="auto"/>
                      <w:kern w:val="2"/>
                      <w:sz w:val="21"/>
                      <w:szCs w:val="21"/>
                      <w:highlight w:val="none"/>
                      <w:u w:val="none"/>
                      <w:lang w:val="en-US" w:eastAsia="zh-CN" w:bidi="ar-SA"/>
                    </w:rPr>
                  </w:pPr>
                  <w:r>
                    <w:rPr>
                      <w:rFonts w:hint="eastAsia" w:ascii="Times New Roman" w:hAnsi="Times New Roman" w:eastAsia="宋体" w:cs="Times New Roman"/>
                      <w:b w:val="0"/>
                      <w:color w:val="auto"/>
                      <w:kern w:val="2"/>
                      <w:sz w:val="21"/>
                      <w:szCs w:val="21"/>
                      <w:highlight w:val="none"/>
                      <w:u w:val="none"/>
                      <w:lang w:val="en-US" w:eastAsia="zh-CN" w:bidi="ar-SA"/>
                    </w:rPr>
                    <w:t>/</w:t>
                  </w:r>
                </w:p>
              </w:tc>
              <w:tc>
                <w:tcPr>
                  <w:tcW w:w="1223" w:type="dxa"/>
                  <w:tcBorders>
                    <w:tl2br w:val="nil"/>
                    <w:tr2bl w:val="nil"/>
                  </w:tcBorders>
                  <w:noWrap w:val="0"/>
                  <w:vAlign w:val="center"/>
                </w:tcPr>
                <w:p w14:paraId="56AE5DC6">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color w:val="auto"/>
                      <w:kern w:val="2"/>
                      <w:sz w:val="21"/>
                      <w:szCs w:val="21"/>
                      <w:highlight w:val="none"/>
                      <w:u w:val="none"/>
                      <w:lang w:val="en-US" w:eastAsia="zh-CN" w:bidi="ar-SA"/>
                    </w:rPr>
                  </w:pPr>
                  <w:r>
                    <w:rPr>
                      <w:rFonts w:hint="eastAsia" w:ascii="Times New Roman" w:hAnsi="Times New Roman" w:eastAsia="宋体" w:cs="Times New Roman"/>
                      <w:b w:val="0"/>
                      <w:color w:val="auto"/>
                      <w:kern w:val="2"/>
                      <w:sz w:val="21"/>
                      <w:szCs w:val="21"/>
                      <w:highlight w:val="none"/>
                      <w:u w:val="none"/>
                      <w:lang w:val="en-US" w:eastAsia="zh-CN" w:bidi="ar-SA"/>
                    </w:rPr>
                    <w:t>2500</w:t>
                  </w:r>
                </w:p>
              </w:tc>
              <w:tc>
                <w:tcPr>
                  <w:tcW w:w="1087" w:type="dxa"/>
                  <w:tcBorders>
                    <w:tl2br w:val="nil"/>
                    <w:tr2bl w:val="nil"/>
                  </w:tcBorders>
                  <w:noWrap w:val="0"/>
                  <w:vAlign w:val="center"/>
                </w:tcPr>
                <w:p w14:paraId="66276560">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color w:val="auto"/>
                      <w:kern w:val="2"/>
                      <w:sz w:val="21"/>
                      <w:szCs w:val="21"/>
                      <w:highlight w:val="none"/>
                      <w:u w:val="none"/>
                      <w:lang w:val="en-US" w:eastAsia="zh-CN" w:bidi="ar-SA"/>
                    </w:rPr>
                  </w:pPr>
                  <w:r>
                    <w:rPr>
                      <w:rFonts w:hint="eastAsia" w:ascii="Times New Roman" w:hAnsi="Times New Roman" w:eastAsia="宋体" w:cs="Times New Roman"/>
                      <w:b w:val="0"/>
                      <w:color w:val="auto"/>
                      <w:kern w:val="2"/>
                      <w:sz w:val="21"/>
                      <w:szCs w:val="21"/>
                      <w:highlight w:val="none"/>
                      <w:u w:val="none"/>
                      <w:lang w:val="en-US" w:eastAsia="zh-CN" w:bidi="ar-SA"/>
                    </w:rPr>
                    <w:t>0.00016</w:t>
                  </w:r>
                </w:p>
              </w:tc>
            </w:tr>
            <w:tr w14:paraId="56AE7889">
              <w:tblPrEx>
                <w:tblBorders>
                  <w:top w:val="single" w:color="auto" w:sz="4" w:space="0"/>
                  <w:left w:val="single" w:color="auto" w:sz="6" w:space="0"/>
                  <w:bottom w:val="single" w:color="auto" w:sz="4"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7330" w:type="dxa"/>
                  <w:gridSpan w:val="6"/>
                  <w:tcBorders>
                    <w:tl2br w:val="nil"/>
                    <w:tr2bl w:val="nil"/>
                  </w:tcBorders>
                  <w:noWrap w:val="0"/>
                  <w:vAlign w:val="center"/>
                </w:tcPr>
                <w:p w14:paraId="4711E06A">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s="Times New Roman"/>
                      <w:b w:val="0"/>
                      <w:color w:val="auto"/>
                      <w:kern w:val="2"/>
                      <w:sz w:val="21"/>
                      <w:szCs w:val="21"/>
                      <w:u w:val="none"/>
                      <w:lang w:val="en-US" w:eastAsia="zh-CN" w:bidi="ar-SA"/>
                    </w:rPr>
                  </w:pPr>
                  <w:r>
                    <w:rPr>
                      <w:rFonts w:hint="eastAsia" w:ascii="Times New Roman" w:hAnsi="Times New Roman" w:eastAsia="宋体" w:cs="Times New Roman"/>
                      <w:b w:val="0"/>
                      <w:color w:val="auto"/>
                      <w:kern w:val="2"/>
                      <w:sz w:val="21"/>
                      <w:szCs w:val="21"/>
                      <w:u w:val="none"/>
                      <w:lang w:val="en-US" w:eastAsia="zh-CN" w:bidi="ar-SA"/>
                    </w:rPr>
                    <w:t>合计</w:t>
                  </w:r>
                </w:p>
              </w:tc>
              <w:tc>
                <w:tcPr>
                  <w:tcW w:w="1087" w:type="dxa"/>
                  <w:tcBorders>
                    <w:tl2br w:val="nil"/>
                    <w:tr2bl w:val="nil"/>
                  </w:tcBorders>
                  <w:noWrap w:val="0"/>
                  <w:vAlign w:val="center"/>
                </w:tcPr>
                <w:p w14:paraId="30FEDC39">
                  <w:pPr>
                    <w:pStyle w:val="102"/>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val="0"/>
                      <w:color w:val="auto"/>
                      <w:kern w:val="2"/>
                      <w:sz w:val="21"/>
                      <w:szCs w:val="21"/>
                      <w:u w:val="none"/>
                      <w:lang w:val="en-US" w:eastAsia="zh-CN" w:bidi="ar-SA"/>
                    </w:rPr>
                  </w:pPr>
                  <w:r>
                    <w:rPr>
                      <w:rFonts w:hint="eastAsia" w:ascii="Times New Roman" w:hAnsi="Times New Roman" w:eastAsia="宋体" w:cs="Times New Roman"/>
                      <w:b w:val="0"/>
                      <w:color w:val="auto"/>
                      <w:kern w:val="2"/>
                      <w:sz w:val="21"/>
                      <w:szCs w:val="21"/>
                      <w:u w:val="none"/>
                      <w:lang w:val="en-US" w:eastAsia="zh-CN" w:bidi="ar-SA"/>
                    </w:rPr>
                    <w:t>0.000</w:t>
                  </w:r>
                  <w:r>
                    <w:rPr>
                      <w:rFonts w:hint="eastAsia" w:cs="Times New Roman"/>
                      <w:b w:val="0"/>
                      <w:color w:val="auto"/>
                      <w:kern w:val="2"/>
                      <w:sz w:val="21"/>
                      <w:szCs w:val="21"/>
                      <w:u w:val="none"/>
                      <w:lang w:val="en-US" w:eastAsia="zh-CN" w:bidi="ar-SA"/>
                    </w:rPr>
                    <w:t>93</w:t>
                  </w:r>
                  <w:r>
                    <w:rPr>
                      <w:rFonts w:hint="eastAsia" w:ascii="Times New Roman" w:hAnsi="Times New Roman" w:eastAsia="宋体" w:cs="Times New Roman"/>
                      <w:b w:val="0"/>
                      <w:color w:val="auto"/>
                      <w:kern w:val="2"/>
                      <w:sz w:val="21"/>
                      <w:szCs w:val="21"/>
                      <w:u w:val="none"/>
                      <w:lang w:val="en-US" w:eastAsia="zh-CN" w:bidi="ar-SA"/>
                    </w:rPr>
                    <w:t>6</w:t>
                  </w:r>
                </w:p>
              </w:tc>
            </w:tr>
          </w:tbl>
          <w:p w14:paraId="04B66D73">
            <w:pPr>
              <w:pStyle w:val="12"/>
              <w:keepNext w:val="0"/>
              <w:keepLines w:val="0"/>
              <w:pageBreakBefore w:val="0"/>
              <w:kinsoku/>
              <w:wordWrap/>
              <w:overflowPunct/>
              <w:topLinePunct w:val="0"/>
              <w:autoSpaceDE/>
              <w:autoSpaceDN/>
              <w:bidi w:val="0"/>
              <w:adjustRightInd/>
              <w:spacing w:before="0" w:after="0" w:line="500" w:lineRule="exact"/>
              <w:ind w:left="0" w:leftChars="0" w:right="0" w:firstLine="480" w:firstLineChars="200"/>
              <w:jc w:val="both"/>
              <w:textAlignment w:val="auto"/>
              <w:rPr>
                <w:rFonts w:hint="default" w:ascii="Times New Roman" w:hAnsi="Times New Roman" w:eastAsia="宋体" w:cs="Times New Roman"/>
                <w:b w:val="0"/>
                <w:color w:val="auto"/>
                <w:kern w:val="2"/>
                <w:sz w:val="24"/>
                <w:szCs w:val="32"/>
                <w:u w:val="none"/>
                <w:lang w:val="en-US" w:eastAsia="zh-CN" w:bidi="ar-SA"/>
              </w:rPr>
            </w:pPr>
            <w:r>
              <w:rPr>
                <w:rFonts w:hint="eastAsia" w:ascii="Times New Roman" w:hAnsi="Times New Roman" w:eastAsia="宋体" w:cs="Times New Roman"/>
                <w:b w:val="0"/>
                <w:color w:val="auto"/>
                <w:kern w:val="2"/>
                <w:sz w:val="24"/>
                <w:szCs w:val="32"/>
                <w:u w:val="none"/>
                <w:lang w:val="en-US" w:eastAsia="zh-CN" w:bidi="ar-SA"/>
              </w:rPr>
              <w:t>甲烷折纯量计算过程为：输送管道直径0.5m，长度为60米，则管道内瓦斯存量为11.775m</w:t>
            </w:r>
            <w:r>
              <w:rPr>
                <w:rFonts w:hint="eastAsia" w:ascii="Times New Roman" w:hAnsi="Times New Roman" w:eastAsia="宋体" w:cs="Times New Roman"/>
                <w:b w:val="0"/>
                <w:color w:val="auto"/>
                <w:kern w:val="2"/>
                <w:sz w:val="24"/>
                <w:szCs w:val="32"/>
                <w:u w:val="none"/>
                <w:vertAlign w:val="superscript"/>
                <w:lang w:val="en-US" w:eastAsia="zh-CN" w:bidi="ar-SA"/>
              </w:rPr>
              <w:t>3</w:t>
            </w:r>
            <w:r>
              <w:rPr>
                <w:rFonts w:hint="eastAsia" w:ascii="Times New Roman" w:hAnsi="Times New Roman" w:eastAsia="宋体" w:cs="Times New Roman"/>
                <w:b w:val="0"/>
                <w:color w:val="auto"/>
                <w:kern w:val="2"/>
                <w:sz w:val="24"/>
                <w:szCs w:val="32"/>
                <w:u w:val="none"/>
                <w:lang w:val="en-US" w:eastAsia="zh-CN" w:bidi="ar-SA"/>
              </w:rPr>
              <w:t>，折纯甲烷量为11</w:t>
            </w:r>
            <w:r>
              <w:rPr>
                <w:rFonts w:hint="eastAsia" w:ascii="宋体" w:hAnsi="宋体" w:eastAsia="宋体" w:cs="宋体"/>
                <w:b w:val="0"/>
                <w:color w:val="auto"/>
                <w:kern w:val="2"/>
                <w:sz w:val="24"/>
                <w:szCs w:val="32"/>
                <w:u w:val="none"/>
                <w:lang w:val="en-US" w:eastAsia="zh-CN" w:bidi="ar-SA"/>
              </w:rPr>
              <w:t>％*</w:t>
            </w:r>
            <w:r>
              <w:rPr>
                <w:rFonts w:hint="eastAsia" w:ascii="Times New Roman" w:hAnsi="Times New Roman" w:eastAsia="宋体" w:cs="Times New Roman"/>
                <w:b w:val="0"/>
                <w:color w:val="auto"/>
                <w:kern w:val="2"/>
                <w:sz w:val="24"/>
                <w:szCs w:val="32"/>
                <w:u w:val="none"/>
                <w:lang w:val="en-US" w:eastAsia="zh-CN" w:bidi="ar-SA"/>
              </w:rPr>
              <w:t>11.775m</w:t>
            </w:r>
            <w:r>
              <w:rPr>
                <w:rFonts w:hint="eastAsia" w:ascii="Times New Roman" w:hAnsi="Times New Roman" w:eastAsia="宋体" w:cs="Times New Roman"/>
                <w:b w:val="0"/>
                <w:color w:val="auto"/>
                <w:kern w:val="2"/>
                <w:sz w:val="24"/>
                <w:szCs w:val="32"/>
                <w:u w:val="none"/>
                <w:vertAlign w:val="superscript"/>
                <w:lang w:val="en-US" w:eastAsia="zh-CN" w:bidi="ar-SA"/>
              </w:rPr>
              <w:t>3</w:t>
            </w:r>
            <w:r>
              <w:rPr>
                <w:rFonts w:hint="eastAsia" w:ascii="Times New Roman" w:hAnsi="Times New Roman" w:eastAsia="宋体" w:cs="Times New Roman"/>
                <w:b w:val="0"/>
                <w:color w:val="auto"/>
                <w:kern w:val="2"/>
                <w:sz w:val="24"/>
                <w:szCs w:val="32"/>
                <w:u w:val="none"/>
                <w:lang w:val="en-US" w:eastAsia="zh-CN" w:bidi="ar-SA"/>
              </w:rPr>
              <w:t>=1.295m</w:t>
            </w:r>
            <w:r>
              <w:rPr>
                <w:rFonts w:hint="eastAsia" w:ascii="Times New Roman" w:hAnsi="Times New Roman" w:eastAsia="宋体" w:cs="Times New Roman"/>
                <w:b w:val="0"/>
                <w:color w:val="auto"/>
                <w:kern w:val="2"/>
                <w:sz w:val="24"/>
                <w:szCs w:val="32"/>
                <w:u w:val="none"/>
                <w:vertAlign w:val="superscript"/>
                <w:lang w:val="en-US" w:eastAsia="zh-CN" w:bidi="ar-SA"/>
              </w:rPr>
              <w:t>3</w:t>
            </w:r>
            <w:r>
              <w:rPr>
                <w:rFonts w:hint="eastAsia" w:ascii="宋体" w:hAnsi="宋体" w:eastAsia="宋体" w:cs="宋体"/>
                <w:b w:val="0"/>
                <w:color w:val="auto"/>
                <w:kern w:val="2"/>
                <w:sz w:val="24"/>
                <w:szCs w:val="32"/>
                <w:u w:val="none"/>
                <w:lang w:val="en-US" w:eastAsia="zh-CN" w:bidi="ar-SA"/>
              </w:rPr>
              <w:t>，</w:t>
            </w:r>
            <w:r>
              <w:rPr>
                <w:rFonts w:hint="eastAsia" w:ascii="Times New Roman" w:hAnsi="Times New Roman" w:eastAsia="宋体" w:cs="Times New Roman"/>
                <w:b w:val="0"/>
                <w:color w:val="auto"/>
                <w:kern w:val="2"/>
                <w:sz w:val="24"/>
                <w:szCs w:val="32"/>
                <w:u w:val="none"/>
                <w:lang w:val="en-US" w:eastAsia="zh-CN" w:bidi="ar-SA"/>
              </w:rPr>
              <w:t>1m</w:t>
            </w:r>
            <w:r>
              <w:rPr>
                <w:rFonts w:hint="eastAsia" w:ascii="Times New Roman" w:hAnsi="Times New Roman" w:eastAsia="宋体" w:cs="Times New Roman"/>
                <w:b w:val="0"/>
                <w:color w:val="auto"/>
                <w:kern w:val="2"/>
                <w:sz w:val="24"/>
                <w:szCs w:val="32"/>
                <w:u w:val="none"/>
                <w:vertAlign w:val="superscript"/>
                <w:lang w:val="en-US" w:eastAsia="zh-CN" w:bidi="ar-SA"/>
              </w:rPr>
              <w:t>3</w:t>
            </w:r>
            <w:r>
              <w:rPr>
                <w:rFonts w:hint="eastAsia" w:ascii="Times New Roman" w:hAnsi="Times New Roman" w:eastAsia="宋体" w:cs="Times New Roman"/>
                <w:b w:val="0"/>
                <w:color w:val="auto"/>
                <w:kern w:val="2"/>
                <w:sz w:val="24"/>
                <w:szCs w:val="32"/>
                <w:u w:val="none"/>
                <w:lang w:val="en-US" w:eastAsia="zh-CN" w:bidi="ar-SA"/>
              </w:rPr>
              <w:t>甲烷约为0.7kg，则折纯甲烷量为0.0009t。</w:t>
            </w:r>
          </w:p>
          <w:p w14:paraId="47ECE7BF">
            <w:pPr>
              <w:pStyle w:val="12"/>
              <w:keepNext w:val="0"/>
              <w:keepLines w:val="0"/>
              <w:pageBreakBefore w:val="0"/>
              <w:kinsoku/>
              <w:wordWrap/>
              <w:overflowPunct/>
              <w:topLinePunct w:val="0"/>
              <w:autoSpaceDE/>
              <w:autoSpaceDN/>
              <w:bidi w:val="0"/>
              <w:adjustRightInd/>
              <w:spacing w:before="0" w:after="0" w:line="500" w:lineRule="exact"/>
              <w:ind w:left="0" w:leftChars="0" w:right="0" w:firstLine="480" w:firstLineChars="200"/>
              <w:jc w:val="both"/>
              <w:textAlignment w:val="auto"/>
              <w:rPr>
                <w:rFonts w:hint="eastAsia" w:ascii="Times New Roman" w:hAnsi="Times New Roman" w:eastAsia="宋体" w:cs="Times New Roman"/>
                <w:b w:val="0"/>
                <w:color w:val="auto"/>
                <w:kern w:val="2"/>
                <w:sz w:val="24"/>
                <w:szCs w:val="32"/>
                <w:u w:val="none"/>
                <w:lang w:val="en-US" w:eastAsia="zh-CN" w:bidi="ar-SA"/>
              </w:rPr>
            </w:pPr>
            <w:r>
              <w:rPr>
                <w:rFonts w:hint="eastAsia" w:ascii="Times New Roman" w:hAnsi="Times New Roman" w:eastAsia="宋体" w:cs="Times New Roman"/>
                <w:b w:val="0"/>
                <w:color w:val="auto"/>
                <w:kern w:val="2"/>
                <w:sz w:val="24"/>
                <w:szCs w:val="32"/>
                <w:u w:val="none"/>
                <w:lang w:val="en-US" w:eastAsia="zh-CN" w:bidi="ar-SA"/>
              </w:rPr>
              <w:t>①单元内存在的危险物质为单一危险物质时，计算该物质的总量和其临界量比值，即为 Q。</w:t>
            </w:r>
          </w:p>
          <w:p w14:paraId="3816356E">
            <w:pPr>
              <w:pStyle w:val="12"/>
              <w:keepNext w:val="0"/>
              <w:keepLines w:val="0"/>
              <w:pageBreakBefore w:val="0"/>
              <w:kinsoku/>
              <w:wordWrap/>
              <w:overflowPunct/>
              <w:topLinePunct w:val="0"/>
              <w:autoSpaceDE/>
              <w:autoSpaceDN/>
              <w:bidi w:val="0"/>
              <w:adjustRightInd/>
              <w:spacing w:before="0" w:after="0" w:line="500" w:lineRule="exact"/>
              <w:ind w:left="0" w:leftChars="0" w:right="0" w:firstLine="480" w:firstLineChars="200"/>
              <w:jc w:val="both"/>
              <w:textAlignment w:val="auto"/>
              <w:rPr>
                <w:rFonts w:hint="eastAsia" w:ascii="Times New Roman" w:hAnsi="Times New Roman" w:eastAsia="宋体" w:cs="Times New Roman"/>
                <w:b w:val="0"/>
                <w:color w:val="auto"/>
                <w:kern w:val="2"/>
                <w:sz w:val="24"/>
                <w:szCs w:val="32"/>
                <w:u w:val="none"/>
                <w:lang w:val="en-US" w:eastAsia="zh-CN" w:bidi="ar-SA"/>
              </w:rPr>
            </w:pPr>
            <w:r>
              <w:rPr>
                <w:rFonts w:hint="eastAsia" w:ascii="Times New Roman" w:hAnsi="Times New Roman" w:eastAsia="宋体" w:cs="Times New Roman"/>
                <w:b w:val="0"/>
                <w:color w:val="auto"/>
                <w:kern w:val="2"/>
                <w:sz w:val="24"/>
                <w:szCs w:val="32"/>
                <w:u w:val="none"/>
                <w:lang w:val="en-US" w:eastAsia="zh-CN" w:bidi="ar-SA"/>
              </w:rPr>
              <w:t>②单元内存在的危险化学品为多品种时，则按下式计算，若满足下面公式，则定为重大危险源：</w:t>
            </w:r>
          </w:p>
          <w:p w14:paraId="415C3ADD">
            <w:pPr>
              <w:pStyle w:val="12"/>
              <w:keepNext w:val="0"/>
              <w:keepLines w:val="0"/>
              <w:pageBreakBefore w:val="0"/>
              <w:kinsoku/>
              <w:wordWrap/>
              <w:overflowPunct/>
              <w:topLinePunct w:val="0"/>
              <w:autoSpaceDE/>
              <w:autoSpaceDN/>
              <w:bidi w:val="0"/>
              <w:adjustRightInd/>
              <w:spacing w:before="0" w:after="0" w:line="500" w:lineRule="exact"/>
              <w:ind w:left="0" w:leftChars="0" w:right="0" w:firstLine="480" w:firstLineChars="200"/>
              <w:jc w:val="both"/>
              <w:textAlignment w:val="auto"/>
              <w:rPr>
                <w:rFonts w:hint="eastAsia" w:ascii="Times New Roman" w:hAnsi="Times New Roman" w:eastAsia="宋体" w:cs="Times New Roman"/>
                <w:b w:val="0"/>
                <w:color w:val="auto"/>
                <w:kern w:val="2"/>
                <w:sz w:val="24"/>
                <w:szCs w:val="32"/>
                <w:u w:val="none"/>
                <w:lang w:val="en-US" w:eastAsia="zh-CN" w:bidi="ar-SA"/>
              </w:rPr>
            </w:pPr>
            <w:r>
              <w:rPr>
                <w:rFonts w:hint="eastAsia" w:ascii="Times New Roman" w:hAnsi="Times New Roman" w:eastAsia="宋体" w:cs="Times New Roman"/>
                <w:b w:val="0"/>
                <w:color w:val="auto"/>
                <w:kern w:val="2"/>
                <w:sz w:val="24"/>
                <w:szCs w:val="32"/>
                <w:u w:val="none"/>
                <w:lang w:val="en-US" w:eastAsia="zh-CN" w:bidi="ar-SA"/>
              </w:rPr>
              <w:t>q1/Q1+q2/Q2+ … qn/Qn≥1</w:t>
            </w:r>
          </w:p>
          <w:p w14:paraId="6B41F654">
            <w:pPr>
              <w:pStyle w:val="12"/>
              <w:keepNext w:val="0"/>
              <w:keepLines w:val="0"/>
              <w:pageBreakBefore w:val="0"/>
              <w:kinsoku/>
              <w:wordWrap/>
              <w:overflowPunct/>
              <w:topLinePunct w:val="0"/>
              <w:autoSpaceDE/>
              <w:autoSpaceDN/>
              <w:bidi w:val="0"/>
              <w:adjustRightInd/>
              <w:spacing w:before="0" w:after="0" w:line="500" w:lineRule="exact"/>
              <w:ind w:left="0" w:leftChars="0" w:right="0" w:firstLine="480" w:firstLineChars="200"/>
              <w:jc w:val="both"/>
              <w:textAlignment w:val="auto"/>
              <w:rPr>
                <w:rFonts w:hint="eastAsia" w:ascii="Times New Roman" w:hAnsi="Times New Roman" w:eastAsia="宋体" w:cs="Times New Roman"/>
                <w:b w:val="0"/>
                <w:color w:val="auto"/>
                <w:kern w:val="2"/>
                <w:sz w:val="24"/>
                <w:szCs w:val="32"/>
                <w:u w:val="none"/>
                <w:lang w:val="en-US" w:eastAsia="zh-CN" w:bidi="ar-SA"/>
              </w:rPr>
            </w:pPr>
            <w:r>
              <w:rPr>
                <w:rFonts w:hint="eastAsia" w:ascii="Times New Roman" w:hAnsi="Times New Roman" w:eastAsia="宋体" w:cs="Times New Roman"/>
                <w:b w:val="0"/>
                <w:color w:val="auto"/>
                <w:kern w:val="2"/>
                <w:sz w:val="24"/>
                <w:szCs w:val="32"/>
                <w:u w:val="none"/>
                <w:lang w:val="en-US" w:eastAsia="zh-CN" w:bidi="ar-SA"/>
              </w:rPr>
              <w:t>式中：q1、q2…、qn——每种危险化学品最大存储量，t。</w:t>
            </w:r>
          </w:p>
          <w:p w14:paraId="0C36FA80">
            <w:pPr>
              <w:pStyle w:val="12"/>
              <w:keepNext w:val="0"/>
              <w:keepLines w:val="0"/>
              <w:pageBreakBefore w:val="0"/>
              <w:kinsoku/>
              <w:wordWrap/>
              <w:overflowPunct/>
              <w:topLinePunct w:val="0"/>
              <w:autoSpaceDE/>
              <w:autoSpaceDN/>
              <w:bidi w:val="0"/>
              <w:adjustRightInd/>
              <w:spacing w:before="0" w:after="0" w:line="500" w:lineRule="exact"/>
              <w:ind w:left="0" w:leftChars="0" w:right="0" w:firstLine="480" w:firstLineChars="200"/>
              <w:jc w:val="both"/>
              <w:textAlignment w:val="auto"/>
              <w:rPr>
                <w:rFonts w:hint="eastAsia" w:ascii="Times New Roman" w:hAnsi="Times New Roman" w:eastAsia="宋体" w:cs="Times New Roman"/>
                <w:b w:val="0"/>
                <w:color w:val="auto"/>
                <w:kern w:val="2"/>
                <w:sz w:val="24"/>
                <w:szCs w:val="32"/>
                <w:u w:val="none"/>
                <w:lang w:val="en-US" w:eastAsia="zh-CN" w:bidi="ar-SA"/>
              </w:rPr>
            </w:pPr>
            <w:r>
              <w:rPr>
                <w:rFonts w:hint="eastAsia" w:ascii="Times New Roman" w:hAnsi="Times New Roman" w:eastAsia="宋体" w:cs="Times New Roman"/>
                <w:b w:val="0"/>
                <w:color w:val="auto"/>
                <w:kern w:val="2"/>
                <w:sz w:val="24"/>
                <w:szCs w:val="32"/>
                <w:u w:val="none"/>
                <w:lang w:val="en-US" w:eastAsia="zh-CN" w:bidi="ar-SA"/>
              </w:rPr>
              <w:t>Q1、Q2…、Qn——每种物质的临界量，t。Q=0.0009</w:t>
            </w:r>
            <w:r>
              <w:rPr>
                <w:rFonts w:hint="eastAsia" w:cs="Times New Roman"/>
                <w:b w:val="0"/>
                <w:color w:val="auto"/>
                <w:kern w:val="2"/>
                <w:sz w:val="24"/>
                <w:szCs w:val="32"/>
                <w:u w:val="none"/>
                <w:lang w:val="en-US" w:eastAsia="zh-CN" w:bidi="ar-SA"/>
              </w:rPr>
              <w:t>3</w:t>
            </w:r>
            <w:r>
              <w:rPr>
                <w:rFonts w:hint="eastAsia" w:ascii="Times New Roman" w:hAnsi="Times New Roman" w:eastAsia="宋体" w:cs="Times New Roman"/>
                <w:b w:val="0"/>
                <w:color w:val="auto"/>
                <w:kern w:val="2"/>
                <w:sz w:val="24"/>
                <w:szCs w:val="32"/>
                <w:u w:val="none"/>
                <w:lang w:val="en-US" w:eastAsia="zh-CN" w:bidi="ar-SA"/>
              </w:rPr>
              <w:t>6＜1，由此可知，本项目的 Q 值为：Q＜1。</w:t>
            </w:r>
          </w:p>
          <w:p w14:paraId="4CC5D9AD">
            <w:pPr>
              <w:pStyle w:val="12"/>
              <w:keepNext w:val="0"/>
              <w:keepLines w:val="0"/>
              <w:pageBreakBefore w:val="0"/>
              <w:kinsoku/>
              <w:wordWrap/>
              <w:overflowPunct/>
              <w:topLinePunct w:val="0"/>
              <w:autoSpaceDE/>
              <w:autoSpaceDN/>
              <w:bidi w:val="0"/>
              <w:adjustRightInd/>
              <w:spacing w:before="0" w:after="0" w:line="500" w:lineRule="exact"/>
              <w:ind w:left="0" w:leftChars="0" w:right="0" w:firstLine="480" w:firstLineChars="200"/>
              <w:jc w:val="both"/>
              <w:textAlignment w:val="auto"/>
              <w:rPr>
                <w:rFonts w:hint="eastAsia" w:ascii="Times New Roman" w:hAnsi="Times New Roman" w:eastAsia="宋体" w:cs="Times New Roman"/>
                <w:b w:val="0"/>
                <w:color w:val="auto"/>
                <w:kern w:val="2"/>
                <w:sz w:val="24"/>
                <w:szCs w:val="32"/>
                <w:u w:val="none"/>
                <w:lang w:val="en-US" w:eastAsia="zh-CN" w:bidi="ar-SA"/>
              </w:rPr>
            </w:pPr>
            <w:r>
              <w:rPr>
                <w:rFonts w:hint="eastAsia" w:ascii="Times New Roman" w:hAnsi="Times New Roman" w:eastAsia="宋体" w:cs="Times New Roman"/>
                <w:b w:val="0"/>
                <w:color w:val="auto"/>
                <w:kern w:val="2"/>
                <w:sz w:val="24"/>
                <w:szCs w:val="32"/>
                <w:u w:val="none"/>
                <w:lang w:val="en-US" w:eastAsia="zh-CN" w:bidi="ar-SA"/>
              </w:rPr>
              <w:t>根据风险导则附录C要求，当Q＜1时，项目环境风险潜势为Ⅰ。</w:t>
            </w:r>
          </w:p>
          <w:p w14:paraId="418F717D">
            <w:pPr>
              <w:pStyle w:val="28"/>
              <w:keepNext w:val="0"/>
              <w:keepLines w:val="0"/>
              <w:pageBreakBefore w:val="0"/>
              <w:widowControl/>
              <w:suppressLineNumbers w:val="0"/>
              <w:kinsoku/>
              <w:wordWrap/>
              <w:overflowPunct/>
              <w:topLinePunct w:val="0"/>
              <w:autoSpaceDE/>
              <w:autoSpaceDN/>
              <w:bidi w:val="0"/>
              <w:adjustRightInd/>
              <w:spacing w:before="0" w:beforeAutospacing="0" w:after="0" w:afterAutospacing="0" w:line="500" w:lineRule="exact"/>
              <w:ind w:left="0" w:leftChars="0" w:right="0" w:firstLine="240" w:firstLineChars="100"/>
              <w:textAlignment w:val="auto"/>
              <w:rPr>
                <w:rFonts w:hint="default" w:ascii="Times New Roman" w:hAnsi="Times New Roman" w:cs="Times New Roman"/>
                <w:bCs/>
                <w:color w:val="auto"/>
                <w:kern w:val="0"/>
                <w:sz w:val="24"/>
                <w:u w:val="none"/>
                <w:lang w:val="en-US" w:eastAsia="zh-CN" w:bidi="ar-SA"/>
              </w:rPr>
            </w:pPr>
            <w:r>
              <w:rPr>
                <w:rFonts w:hint="eastAsia" w:ascii="Times New Roman" w:hAnsi="Times New Roman" w:eastAsia="宋体" w:cs="Times New Roman"/>
                <w:b w:val="0"/>
                <w:color w:val="auto"/>
                <w:kern w:val="2"/>
                <w:sz w:val="24"/>
                <w:szCs w:val="32"/>
                <w:u w:val="none"/>
                <w:lang w:val="en-US" w:eastAsia="zh-CN" w:bidi="ar-SA"/>
              </w:rPr>
              <w:t>由上表可知，本项目厂区危险物质数量与临界量比值 Q=0.0009</w:t>
            </w:r>
            <w:r>
              <w:rPr>
                <w:rFonts w:hint="eastAsia" w:ascii="Times New Roman" w:hAnsi="Times New Roman" w:cs="Times New Roman"/>
                <w:b w:val="0"/>
                <w:color w:val="auto"/>
                <w:kern w:val="2"/>
                <w:sz w:val="24"/>
                <w:szCs w:val="32"/>
                <w:u w:val="none"/>
                <w:lang w:val="en-US" w:eastAsia="zh-CN" w:bidi="ar-SA"/>
              </w:rPr>
              <w:t>3</w:t>
            </w:r>
            <w:r>
              <w:rPr>
                <w:rFonts w:hint="eastAsia" w:ascii="Times New Roman" w:hAnsi="Times New Roman" w:eastAsia="宋体" w:cs="Times New Roman"/>
                <w:b w:val="0"/>
                <w:color w:val="auto"/>
                <w:kern w:val="2"/>
                <w:sz w:val="24"/>
                <w:szCs w:val="32"/>
                <w:u w:val="none"/>
                <w:lang w:val="en-US" w:eastAsia="zh-CN" w:bidi="ar-SA"/>
              </w:rPr>
              <w:t>6＜1，根据风险导则附录C要求，当Q＜1时，项目环境风险潜势为Ⅰ级时</w:t>
            </w:r>
            <w:r>
              <w:rPr>
                <w:rFonts w:ascii="Times New Roman" w:hAnsi="Times New Roman" w:eastAsia="宋体" w:cs="Times New Roman"/>
                <w:color w:val="auto"/>
                <w:kern w:val="2"/>
                <w:sz w:val="24"/>
                <w:szCs w:val="32"/>
                <w:u w:val="none"/>
                <w:lang w:val="en-US" w:eastAsia="zh-CN" w:bidi="ar-SA"/>
              </w:rPr>
              <w:t>进行简单分析</w:t>
            </w:r>
            <w:r>
              <w:rPr>
                <w:rFonts w:hint="eastAsia" w:ascii="Times New Roman" w:hAnsi="Times New Roman" w:eastAsia="宋体" w:cs="Times New Roman"/>
                <w:color w:val="auto"/>
                <w:kern w:val="2"/>
                <w:sz w:val="24"/>
                <w:szCs w:val="32"/>
                <w:u w:val="none"/>
                <w:lang w:val="en-US" w:eastAsia="zh-CN" w:bidi="ar-SA"/>
              </w:rPr>
              <w:t>。</w:t>
            </w:r>
          </w:p>
          <w:p w14:paraId="07689A73">
            <w:pPr>
              <w:pStyle w:val="28"/>
              <w:keepNext w:val="0"/>
              <w:keepLines w:val="0"/>
              <w:pageBreakBefore w:val="0"/>
              <w:widowControl/>
              <w:suppressLineNumbers w:val="0"/>
              <w:kinsoku/>
              <w:wordWrap/>
              <w:overflowPunct/>
              <w:topLinePunct w:val="0"/>
              <w:autoSpaceDE/>
              <w:autoSpaceDN/>
              <w:bidi w:val="0"/>
              <w:adjustRightIn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0"/>
                <w:sz w:val="24"/>
                <w:u w:val="none"/>
                <w:lang w:val="en-US" w:eastAsia="zh-CN" w:bidi="ar-SA"/>
              </w:rPr>
            </w:pPr>
            <w:r>
              <w:rPr>
                <w:rFonts w:hint="eastAsia" w:ascii="Times New Roman" w:hAnsi="Times New Roman" w:cs="Times New Roman"/>
                <w:bCs/>
                <w:color w:val="auto"/>
                <w:kern w:val="0"/>
                <w:sz w:val="24"/>
                <w:u w:val="none"/>
                <w:lang w:val="en-US" w:eastAsia="zh-CN" w:bidi="ar-SA"/>
              </w:rPr>
              <w:t>（2）</w:t>
            </w:r>
            <w:r>
              <w:rPr>
                <w:rFonts w:hint="eastAsia" w:ascii="Times New Roman" w:hAnsi="Times New Roman" w:eastAsia="宋体" w:cs="Times New Roman"/>
                <w:bCs/>
                <w:color w:val="auto"/>
                <w:kern w:val="0"/>
                <w:sz w:val="24"/>
                <w:u w:val="none"/>
                <w:lang w:val="en-US" w:eastAsia="zh-CN" w:bidi="ar-SA"/>
              </w:rPr>
              <w:t>生产设施风险识别</w:t>
            </w:r>
          </w:p>
          <w:p w14:paraId="60AB62FD">
            <w:pPr>
              <w:pStyle w:val="28"/>
              <w:keepNext w:val="0"/>
              <w:keepLines w:val="0"/>
              <w:pageBreakBefore w:val="0"/>
              <w:widowControl/>
              <w:suppressLineNumbers w:val="0"/>
              <w:kinsoku/>
              <w:wordWrap/>
              <w:overflowPunct/>
              <w:topLinePunct w:val="0"/>
              <w:autoSpaceDE/>
              <w:autoSpaceDN/>
              <w:bidi w:val="0"/>
              <w:adjustRightIn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0"/>
                <w:sz w:val="24"/>
                <w:u w:val="none"/>
                <w:lang w:val="en-US" w:eastAsia="zh-CN" w:bidi="ar-SA"/>
              </w:rPr>
            </w:pPr>
            <w:r>
              <w:rPr>
                <w:rFonts w:hint="eastAsia" w:ascii="Times New Roman" w:hAnsi="Times New Roman" w:eastAsia="宋体" w:cs="Times New Roman"/>
                <w:bCs/>
                <w:color w:val="auto"/>
                <w:kern w:val="0"/>
                <w:sz w:val="24"/>
                <w:u w:val="none"/>
                <w:lang w:val="en-US" w:eastAsia="zh-CN" w:bidi="ar-SA"/>
              </w:rPr>
              <w:t>瓦斯经混合器后进入燃烧室，通过经过压缩的空气混合燃烧，产生的烟气温度高（满负荷状态下约500℃），加热生成高温饱和蒸汽。若在此过程中任一环节密封不严，导致高温烟气溢出，接触到操作或巡检人员，则会造成灼烫或烧伤、窒息等。若燃料未完全燃烧，形成CO，人员吸入后，可能造成人员中毒或死亡事故。</w:t>
            </w:r>
          </w:p>
          <w:p w14:paraId="3EE687D0">
            <w:pPr>
              <w:pStyle w:val="28"/>
              <w:keepNext w:val="0"/>
              <w:keepLines w:val="0"/>
              <w:pageBreakBefore w:val="0"/>
              <w:widowControl/>
              <w:suppressLineNumbers w:val="0"/>
              <w:kinsoku/>
              <w:wordWrap/>
              <w:overflowPunct/>
              <w:topLinePunct w:val="0"/>
              <w:autoSpaceDE/>
              <w:autoSpaceDN/>
              <w:bidi w:val="0"/>
              <w:adjustRightInd/>
              <w:spacing w:before="0" w:beforeAutospacing="0" w:after="0" w:afterAutospacing="0" w:line="500" w:lineRule="exact"/>
              <w:ind w:left="0" w:leftChars="0" w:right="0" w:firstLine="480" w:firstLineChars="200"/>
              <w:textAlignment w:val="auto"/>
              <w:rPr>
                <w:rFonts w:hint="eastAsia" w:ascii="Times New Roman" w:hAnsi="Times New Roman" w:cs="Times New Roman"/>
                <w:bCs/>
                <w:color w:val="auto"/>
                <w:kern w:val="0"/>
                <w:sz w:val="24"/>
                <w:u w:val="none"/>
                <w:lang w:val="en-US" w:eastAsia="zh-CN" w:bidi="ar-SA"/>
              </w:rPr>
            </w:pPr>
            <w:r>
              <w:rPr>
                <w:rFonts w:hint="eastAsia" w:ascii="Times New Roman" w:hAnsi="Times New Roman" w:eastAsia="宋体" w:cs="Times New Roman"/>
                <w:bCs/>
                <w:color w:val="auto"/>
                <w:kern w:val="0"/>
                <w:sz w:val="24"/>
                <w:u w:val="none"/>
                <w:lang w:val="en-US" w:eastAsia="zh-CN" w:bidi="ar-SA"/>
              </w:rPr>
              <w:t>消防废水污染因子较为复杂，主要为各种火灾后污染物、包括燃烧物和未燃烧物的污染物、灭火水中的灭火剂污染物。</w:t>
            </w:r>
          </w:p>
          <w:p w14:paraId="11512886">
            <w:pPr>
              <w:pStyle w:val="28"/>
              <w:keepNext w:val="0"/>
              <w:keepLines w:val="0"/>
              <w:pageBreakBefore w:val="0"/>
              <w:widowControl/>
              <w:suppressLineNumbers w:val="0"/>
              <w:kinsoku/>
              <w:wordWrap/>
              <w:overflowPunct/>
              <w:topLinePunct w:val="0"/>
              <w:autoSpaceDE/>
              <w:autoSpaceDN/>
              <w:bidi w:val="0"/>
              <w:adjustRightIn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0"/>
                <w:sz w:val="24"/>
                <w:u w:val="none"/>
                <w:lang w:val="en-US" w:eastAsia="zh-CN" w:bidi="ar-SA"/>
              </w:rPr>
            </w:pPr>
            <w:r>
              <w:rPr>
                <w:rFonts w:hint="eastAsia" w:ascii="Times New Roman" w:hAnsi="Times New Roman" w:cs="Times New Roman"/>
                <w:bCs/>
                <w:color w:val="auto"/>
                <w:kern w:val="0"/>
                <w:sz w:val="24"/>
                <w:u w:val="none"/>
                <w:lang w:val="en-US" w:eastAsia="zh-CN" w:bidi="ar-SA"/>
              </w:rPr>
              <w:t>（3）</w:t>
            </w:r>
            <w:r>
              <w:rPr>
                <w:rFonts w:hint="eastAsia" w:ascii="Times New Roman" w:hAnsi="Times New Roman" w:eastAsia="宋体" w:cs="Times New Roman"/>
                <w:bCs/>
                <w:color w:val="auto"/>
                <w:kern w:val="0"/>
                <w:sz w:val="24"/>
                <w:u w:val="none"/>
                <w:lang w:val="en-US" w:eastAsia="zh-CN" w:bidi="ar-SA"/>
              </w:rPr>
              <w:t>重大危险源识别</w:t>
            </w:r>
          </w:p>
          <w:p w14:paraId="288E710E">
            <w:pPr>
              <w:pStyle w:val="28"/>
              <w:keepNext w:val="0"/>
              <w:keepLines w:val="0"/>
              <w:pageBreakBefore w:val="0"/>
              <w:widowControl/>
              <w:suppressLineNumbers w:val="0"/>
              <w:kinsoku/>
              <w:wordWrap/>
              <w:overflowPunct/>
              <w:topLinePunct w:val="0"/>
              <w:autoSpaceDE/>
              <w:autoSpaceDN/>
              <w:bidi w:val="0"/>
              <w:adjustRightInd/>
              <w:spacing w:before="0" w:beforeAutospacing="0" w:after="0" w:afterAutospacing="0" w:line="500" w:lineRule="exact"/>
              <w:ind w:left="0" w:leftChars="0" w:right="0" w:firstLine="480" w:firstLineChars="200"/>
              <w:jc w:val="both"/>
              <w:textAlignment w:val="auto"/>
              <w:rPr>
                <w:rFonts w:hint="eastAsia" w:ascii="Times New Roman" w:hAnsi="Times New Roman" w:eastAsia="宋体" w:cs="Times New Roman"/>
                <w:bCs/>
                <w:color w:val="auto"/>
                <w:kern w:val="0"/>
                <w:sz w:val="24"/>
                <w:u w:val="none"/>
                <w:lang w:val="en-US" w:eastAsia="zh-CN" w:bidi="ar-SA"/>
              </w:rPr>
            </w:pPr>
            <w:r>
              <w:rPr>
                <w:rFonts w:hint="eastAsia" w:ascii="Times New Roman" w:hAnsi="Times New Roman" w:eastAsia="宋体" w:cs="Times New Roman"/>
                <w:bCs/>
                <w:color w:val="auto"/>
                <w:kern w:val="0"/>
                <w:sz w:val="24"/>
                <w:u w:val="none"/>
                <w:lang w:val="en-US" w:eastAsia="zh-CN" w:bidi="ar-SA"/>
              </w:rPr>
              <w:t>按照《建设项目环境风险评价技术导则》以及《危险化学品重大危险源辨识》（GB18218-20</w:t>
            </w:r>
            <w:r>
              <w:rPr>
                <w:rFonts w:hint="eastAsia" w:ascii="Times New Roman" w:hAnsi="Times New Roman" w:cs="Times New Roman"/>
                <w:bCs/>
                <w:color w:val="auto"/>
                <w:kern w:val="0"/>
                <w:sz w:val="24"/>
                <w:u w:val="none"/>
                <w:lang w:val="en-US" w:eastAsia="zh-CN" w:bidi="ar-SA"/>
              </w:rPr>
              <w:t>18</w:t>
            </w:r>
            <w:r>
              <w:rPr>
                <w:rFonts w:hint="eastAsia" w:ascii="Times New Roman" w:hAnsi="Times New Roman" w:eastAsia="宋体" w:cs="Times New Roman"/>
                <w:bCs/>
                <w:color w:val="auto"/>
                <w:kern w:val="0"/>
                <w:sz w:val="24"/>
                <w:u w:val="none"/>
                <w:lang w:val="en-US" w:eastAsia="zh-CN" w:bidi="ar-SA"/>
              </w:rPr>
              <w:t>），本项目不设置储气罐，不构成重大危险源。</w:t>
            </w:r>
          </w:p>
          <w:p w14:paraId="4AF9EBF5">
            <w:pPr>
              <w:pStyle w:val="28"/>
              <w:keepNext w:val="0"/>
              <w:keepLines w:val="0"/>
              <w:pageBreakBefore w:val="0"/>
              <w:widowControl/>
              <w:suppressLineNumbers w:val="0"/>
              <w:kinsoku/>
              <w:wordWrap/>
              <w:overflowPunct/>
              <w:topLinePunct w:val="0"/>
              <w:autoSpaceDE/>
              <w:autoSpaceDN/>
              <w:bidi w:val="0"/>
              <w:adjustRightIn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0"/>
                <w:sz w:val="24"/>
                <w:u w:val="none"/>
                <w:lang w:val="en-US" w:eastAsia="zh-CN" w:bidi="ar-SA"/>
              </w:rPr>
            </w:pPr>
            <w:r>
              <w:rPr>
                <w:rFonts w:hint="eastAsia" w:ascii="Times New Roman" w:hAnsi="Times New Roman" w:cs="Times New Roman"/>
                <w:bCs/>
                <w:color w:val="auto"/>
                <w:kern w:val="0"/>
                <w:sz w:val="24"/>
                <w:u w:val="none"/>
                <w:lang w:val="en-US" w:eastAsia="zh-CN" w:bidi="ar-SA"/>
              </w:rPr>
              <w:t>（4）</w:t>
            </w:r>
            <w:r>
              <w:rPr>
                <w:rFonts w:hint="eastAsia" w:ascii="Times New Roman" w:hAnsi="Times New Roman" w:eastAsia="宋体" w:cs="Times New Roman"/>
                <w:bCs/>
                <w:color w:val="auto"/>
                <w:kern w:val="0"/>
                <w:sz w:val="24"/>
                <w:u w:val="none"/>
                <w:lang w:val="en-US" w:eastAsia="zh-CN" w:bidi="ar-SA"/>
              </w:rPr>
              <w:t>最大可信事故的确定</w:t>
            </w:r>
          </w:p>
          <w:p w14:paraId="121A1740">
            <w:pPr>
              <w:pStyle w:val="28"/>
              <w:keepNext w:val="0"/>
              <w:keepLines w:val="0"/>
              <w:pageBreakBefore w:val="0"/>
              <w:widowControl/>
              <w:suppressLineNumbers w:val="0"/>
              <w:kinsoku/>
              <w:wordWrap/>
              <w:overflowPunct/>
              <w:topLinePunct w:val="0"/>
              <w:autoSpaceDE/>
              <w:autoSpaceDN/>
              <w:bidi w:val="0"/>
              <w:adjustRightIn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0"/>
                <w:sz w:val="24"/>
                <w:u w:val="none"/>
                <w:lang w:val="en-US" w:eastAsia="zh-CN" w:bidi="ar-SA"/>
              </w:rPr>
            </w:pPr>
            <w:r>
              <w:rPr>
                <w:rFonts w:hint="eastAsia" w:ascii="Times New Roman" w:hAnsi="Times New Roman" w:eastAsia="宋体" w:cs="Times New Roman"/>
                <w:bCs/>
                <w:color w:val="auto"/>
                <w:kern w:val="0"/>
                <w:sz w:val="24"/>
                <w:u w:val="none"/>
                <w:lang w:val="en-US" w:eastAsia="zh-CN" w:bidi="ar-SA"/>
              </w:rPr>
              <w:t>按照《建设项目环境风险评价技术导则》中的定义，最大可信事故指∶在所有预测的概率不为零的事故中，对环境（或健康）危害最严重的重大事故。结合本工程生产工艺、设备和相关项目在生产过程中可能发生的意外事故，以及项目区环境的特点，筛选本项目环境风险的最大可信事故为厂区管道破裂或误操作造成瓦斯的泄漏。</w:t>
            </w:r>
          </w:p>
          <w:p w14:paraId="5E9C1F56">
            <w:pPr>
              <w:pStyle w:val="28"/>
              <w:keepNext w:val="0"/>
              <w:keepLines w:val="0"/>
              <w:pageBreakBefore w:val="0"/>
              <w:widowControl/>
              <w:numPr>
                <w:ilvl w:val="0"/>
                <w:numId w:val="0"/>
              </w:numPr>
              <w:suppressLineNumbers w:val="0"/>
              <w:kinsoku/>
              <w:wordWrap/>
              <w:overflowPunct/>
              <w:topLinePunct w:val="0"/>
              <w:autoSpaceDE/>
              <w:autoSpaceDN/>
              <w:bidi w:val="0"/>
              <w:adjustRightInd/>
              <w:spacing w:before="0" w:beforeAutospacing="0" w:after="0" w:afterAutospacing="0" w:line="500" w:lineRule="exact"/>
              <w:ind w:left="0" w:leftChars="0" w:right="0" w:rightChars="0" w:firstLine="480" w:firstLineChars="200"/>
              <w:textAlignment w:val="auto"/>
              <w:rPr>
                <w:rFonts w:hint="eastAsia" w:ascii="Times New Roman" w:hAnsi="Times New Roman" w:eastAsia="宋体" w:cs="Times New Roman"/>
                <w:bCs/>
                <w:color w:val="auto"/>
                <w:kern w:val="0"/>
                <w:sz w:val="24"/>
                <w:u w:val="none"/>
                <w:lang w:val="en-US" w:eastAsia="zh-CN" w:bidi="ar-SA"/>
              </w:rPr>
            </w:pPr>
            <w:r>
              <w:rPr>
                <w:rFonts w:hint="eastAsia" w:ascii="Times New Roman" w:hAnsi="Times New Roman" w:cs="Times New Roman"/>
                <w:bCs/>
                <w:color w:val="auto"/>
                <w:kern w:val="0"/>
                <w:sz w:val="24"/>
                <w:u w:val="none"/>
                <w:lang w:val="en-US" w:eastAsia="zh-CN" w:bidi="ar-SA"/>
              </w:rPr>
              <w:t>（5）</w:t>
            </w:r>
            <w:r>
              <w:rPr>
                <w:rFonts w:hint="eastAsia" w:ascii="Times New Roman" w:hAnsi="Times New Roman" w:eastAsia="宋体" w:cs="Times New Roman"/>
                <w:bCs/>
                <w:color w:val="auto"/>
                <w:kern w:val="0"/>
                <w:sz w:val="24"/>
                <w:u w:val="none"/>
                <w:lang w:val="en-US" w:eastAsia="zh-CN" w:bidi="ar-SA"/>
              </w:rPr>
              <w:t>最大可信事故概率分析</w:t>
            </w:r>
          </w:p>
          <w:p w14:paraId="0AFDDBF9">
            <w:pPr>
              <w:pStyle w:val="28"/>
              <w:keepNext w:val="0"/>
              <w:keepLines w:val="0"/>
              <w:pageBreakBefore w:val="0"/>
              <w:widowControl/>
              <w:numPr>
                <w:ilvl w:val="0"/>
                <w:numId w:val="0"/>
              </w:numPr>
              <w:suppressLineNumbers w:val="0"/>
              <w:kinsoku/>
              <w:wordWrap/>
              <w:overflowPunct/>
              <w:topLinePunct w:val="0"/>
              <w:autoSpaceDE/>
              <w:autoSpaceDN/>
              <w:bidi w:val="0"/>
              <w:adjustRightInd/>
              <w:spacing w:before="0" w:beforeAutospacing="0" w:after="0" w:afterAutospacing="0" w:line="500" w:lineRule="exact"/>
              <w:ind w:left="0" w:leftChars="0" w:right="0" w:rightChars="0" w:firstLine="480" w:firstLineChars="200"/>
              <w:textAlignment w:val="auto"/>
              <w:rPr>
                <w:rFonts w:hint="eastAsia" w:ascii="Times New Roman" w:hAnsi="Times New Roman" w:eastAsia="宋体" w:cs="Times New Roman"/>
                <w:bCs/>
                <w:color w:val="auto"/>
                <w:kern w:val="0"/>
                <w:sz w:val="24"/>
                <w:u w:val="none"/>
                <w:lang w:val="en-US" w:eastAsia="zh-CN" w:bidi="ar-SA"/>
              </w:rPr>
            </w:pPr>
            <w:r>
              <w:rPr>
                <w:rFonts w:hint="eastAsia" w:ascii="Times New Roman" w:hAnsi="Times New Roman" w:eastAsia="宋体" w:cs="Times New Roman"/>
                <w:bCs/>
                <w:color w:val="auto"/>
                <w:kern w:val="0"/>
                <w:sz w:val="24"/>
                <w:u w:val="none"/>
                <w:lang w:val="en-US" w:eastAsia="zh-CN" w:bidi="ar-SA"/>
              </w:rPr>
              <w:t>①风险类型分析</w:t>
            </w:r>
          </w:p>
          <w:p w14:paraId="3975FE56">
            <w:pPr>
              <w:pStyle w:val="28"/>
              <w:keepNext w:val="0"/>
              <w:keepLines w:val="0"/>
              <w:pageBreakBefore w:val="0"/>
              <w:widowControl/>
              <w:suppressLineNumbers w:val="0"/>
              <w:kinsoku/>
              <w:wordWrap/>
              <w:overflowPunct/>
              <w:topLinePunct w:val="0"/>
              <w:autoSpaceDE/>
              <w:autoSpaceDN/>
              <w:bidi w:val="0"/>
              <w:adjustRightIn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0"/>
                <w:sz w:val="24"/>
                <w:u w:val="none"/>
                <w:lang w:val="en-US" w:eastAsia="zh-CN" w:bidi="ar-SA"/>
              </w:rPr>
            </w:pPr>
            <w:r>
              <w:rPr>
                <w:rFonts w:hint="eastAsia" w:ascii="Times New Roman" w:hAnsi="Times New Roman" w:eastAsia="宋体" w:cs="Times New Roman"/>
                <w:bCs/>
                <w:color w:val="auto"/>
                <w:kern w:val="0"/>
                <w:sz w:val="24"/>
                <w:u w:val="none"/>
                <w:lang w:val="en-US" w:eastAsia="zh-CN" w:bidi="ar-SA"/>
              </w:rPr>
              <w:t>当储气泄漏瓦斯气与空气混合达到爆炸极限时，遇明火或受热会发生爆炸。引起瓦斯气泄漏的主要因素</w:t>
            </w:r>
            <w:r>
              <w:rPr>
                <w:rFonts w:hint="eastAsia" w:ascii="Times New Roman" w:hAnsi="Times New Roman" w:cs="Times New Roman"/>
                <w:bCs/>
                <w:color w:val="auto"/>
                <w:kern w:val="0"/>
                <w:sz w:val="24"/>
                <w:u w:val="none"/>
                <w:lang w:val="en-US" w:eastAsia="zh-CN" w:bidi="ar-SA"/>
              </w:rPr>
              <w:t>：</w:t>
            </w:r>
            <w:r>
              <w:rPr>
                <w:rFonts w:hint="eastAsia" w:ascii="Times New Roman" w:hAnsi="Times New Roman" w:eastAsia="宋体" w:cs="Times New Roman"/>
                <w:bCs/>
                <w:color w:val="auto"/>
                <w:kern w:val="0"/>
                <w:sz w:val="24"/>
                <w:u w:val="none"/>
                <w:lang w:val="en-US" w:eastAsia="zh-CN" w:bidi="ar-SA"/>
              </w:rPr>
              <w:t>管道、加压机、阀门的法兰连接处密封失效；放空阀失灵管道系统破裂等。瓦斯气泄漏后引起爆炸的因素</w:t>
            </w:r>
            <w:r>
              <w:rPr>
                <w:rFonts w:hint="eastAsia" w:ascii="Times New Roman" w:hAnsi="Times New Roman" w:cs="Times New Roman"/>
                <w:bCs/>
                <w:color w:val="auto"/>
                <w:kern w:val="0"/>
                <w:sz w:val="24"/>
                <w:u w:val="none"/>
                <w:lang w:val="en-US" w:eastAsia="zh-CN" w:bidi="ar-SA"/>
              </w:rPr>
              <w:t>：</w:t>
            </w:r>
            <w:r>
              <w:rPr>
                <w:rFonts w:hint="eastAsia" w:ascii="Times New Roman" w:hAnsi="Times New Roman" w:eastAsia="宋体" w:cs="Times New Roman"/>
                <w:bCs/>
                <w:color w:val="auto"/>
                <w:kern w:val="0"/>
                <w:sz w:val="24"/>
                <w:u w:val="none"/>
                <w:lang w:val="en-US" w:eastAsia="zh-CN" w:bidi="ar-SA"/>
              </w:rPr>
              <w:t>明火、静电火花、电火花、撞击火花、雷击等。</w:t>
            </w:r>
          </w:p>
          <w:p w14:paraId="6E11FE97">
            <w:pPr>
              <w:pStyle w:val="28"/>
              <w:keepNext w:val="0"/>
              <w:keepLines w:val="0"/>
              <w:pageBreakBefore w:val="0"/>
              <w:widowControl/>
              <w:suppressLineNumbers w:val="0"/>
              <w:kinsoku/>
              <w:wordWrap/>
              <w:overflowPunct/>
              <w:topLinePunct w:val="0"/>
              <w:autoSpaceDE/>
              <w:autoSpaceDN/>
              <w:bidi w:val="0"/>
              <w:adjustRightIn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②最大可信事故及其概率分析</w:t>
            </w:r>
          </w:p>
          <w:p w14:paraId="10C359E0">
            <w:pPr>
              <w:pStyle w:val="28"/>
              <w:keepNext w:val="0"/>
              <w:keepLines w:val="0"/>
              <w:pageBreakBefore w:val="0"/>
              <w:widowControl/>
              <w:suppressLineNumbers w:val="0"/>
              <w:kinsoku/>
              <w:wordWrap/>
              <w:overflowPunct/>
              <w:topLinePunct w:val="0"/>
              <w:autoSpaceDE/>
              <w:autoSpaceDN/>
              <w:bidi w:val="0"/>
              <w:adjustRightIn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最大可信事故</w:t>
            </w:r>
            <w:r>
              <w:rPr>
                <w:rFonts w:hint="eastAsia" w:ascii="Times New Roman" w:hAnsi="Times New Roman" w:cs="Times New Roman"/>
                <w:bCs/>
                <w:color w:val="auto"/>
                <w:kern w:val="2"/>
                <w:sz w:val="24"/>
                <w:u w:val="none"/>
                <w:lang w:val="zh-CN" w:eastAsia="zh-CN" w:bidi="ar-SA"/>
              </w:rPr>
              <w:t>：</w:t>
            </w:r>
            <w:r>
              <w:rPr>
                <w:rFonts w:hint="eastAsia" w:ascii="Times New Roman" w:hAnsi="Times New Roman" w:eastAsia="宋体" w:cs="Times New Roman"/>
                <w:bCs/>
                <w:color w:val="auto"/>
                <w:kern w:val="2"/>
                <w:sz w:val="24"/>
                <w:u w:val="none"/>
                <w:lang w:val="zh-CN" w:eastAsia="zh-CN" w:bidi="ar-SA"/>
              </w:rPr>
              <w:t>根据已有瓦斯气事故调查案例分析，本工程最大可信事故为输送管道爆泄引发的火灾和爆炸事故。最大可信事故概率∶根据类比调查结果，加压管道爆泄引发火灾和爆炸事故的概率为3×10</w:t>
            </w:r>
            <w:r>
              <w:rPr>
                <w:rFonts w:hint="eastAsia" w:ascii="Times New Roman" w:hAnsi="Times New Roman" w:eastAsia="宋体" w:cs="Times New Roman"/>
                <w:bCs/>
                <w:color w:val="auto"/>
                <w:kern w:val="2"/>
                <w:sz w:val="24"/>
                <w:u w:val="none"/>
                <w:vertAlign w:val="superscript"/>
                <w:lang w:val="en-US" w:eastAsia="zh-CN" w:bidi="ar-SA"/>
              </w:rPr>
              <w:t>-6</w:t>
            </w:r>
            <w:r>
              <w:rPr>
                <w:rFonts w:hint="eastAsia" w:ascii="Times New Roman" w:hAnsi="Times New Roman" w:eastAsia="宋体" w:cs="Times New Roman"/>
                <w:bCs/>
                <w:color w:val="auto"/>
                <w:kern w:val="2"/>
                <w:sz w:val="24"/>
                <w:u w:val="none"/>
                <w:lang w:val="zh-CN" w:eastAsia="zh-CN" w:bidi="ar-SA"/>
              </w:rPr>
              <w:t>次/年，在可接受范围之内。</w:t>
            </w:r>
          </w:p>
          <w:p w14:paraId="41C53021">
            <w:pPr>
              <w:pStyle w:val="28"/>
              <w:keepNext w:val="0"/>
              <w:keepLines w:val="0"/>
              <w:pageBreakBefore w:val="0"/>
              <w:widowControl/>
              <w:suppressLineNumbers w:val="0"/>
              <w:kinsoku/>
              <w:wordWrap/>
              <w:overflowPunct/>
              <w:topLinePunct w:val="0"/>
              <w:autoSpaceDE/>
              <w:autoSpaceDN/>
              <w:bidi w:val="0"/>
              <w:adjustRightIn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w:t>
            </w:r>
            <w:r>
              <w:rPr>
                <w:rFonts w:hint="eastAsia" w:ascii="Times New Roman" w:hAnsi="Times New Roman" w:cs="Times New Roman"/>
                <w:bCs/>
                <w:color w:val="auto"/>
                <w:kern w:val="2"/>
                <w:sz w:val="24"/>
                <w:u w:val="none"/>
                <w:lang w:val="en-US" w:eastAsia="zh-CN" w:bidi="ar-SA"/>
              </w:rPr>
              <w:t>6</w:t>
            </w:r>
            <w:r>
              <w:rPr>
                <w:rFonts w:hint="eastAsia" w:ascii="Times New Roman" w:hAnsi="Times New Roman" w:eastAsia="宋体" w:cs="Times New Roman"/>
                <w:bCs/>
                <w:color w:val="auto"/>
                <w:kern w:val="2"/>
                <w:sz w:val="24"/>
                <w:u w:val="none"/>
                <w:lang w:val="zh-CN" w:eastAsia="zh-CN" w:bidi="ar-SA"/>
              </w:rPr>
              <w:t>）风险防范措施</w:t>
            </w:r>
          </w:p>
          <w:p w14:paraId="37F590C1">
            <w:pPr>
              <w:keepNext w:val="0"/>
              <w:keepLines w:val="0"/>
              <w:pageBreakBefore w:val="0"/>
              <w:widowControl w:val="0"/>
              <w:kinsoku/>
              <w:wordWrap/>
              <w:overflowPunct/>
              <w:topLinePunct w:val="0"/>
              <w:autoSpaceDE/>
              <w:autoSpaceDN/>
              <w:bidi w:val="0"/>
              <w:adjustRightInd/>
              <w:snapToGrid/>
              <w:spacing w:line="500" w:lineRule="exact"/>
              <w:ind w:firstLine="482" w:firstLineChars="200"/>
              <w:jc w:val="both"/>
              <w:textAlignment w:val="auto"/>
              <w:rPr>
                <w:rFonts w:hint="default" w:ascii="Times New Roman" w:hAnsi="Times New Roman" w:eastAsia="宋体" w:cs="Times New Roman"/>
                <w:b/>
                <w:bCs/>
                <w:color w:val="auto"/>
                <w:kern w:val="0"/>
                <w:sz w:val="24"/>
                <w:szCs w:val="20"/>
                <w:highlight w:val="none"/>
                <w:u w:val="none"/>
                <w:lang w:val="en-US" w:eastAsia="zh-CN" w:bidi="zh-CN"/>
              </w:rPr>
            </w:pPr>
            <w:r>
              <w:rPr>
                <w:rFonts w:hint="default" w:ascii="Times New Roman" w:hAnsi="Times New Roman" w:eastAsia="宋体" w:cs="Times New Roman"/>
                <w:b/>
                <w:bCs/>
                <w:color w:val="auto"/>
                <w:kern w:val="0"/>
                <w:sz w:val="24"/>
                <w:szCs w:val="20"/>
                <w:highlight w:val="none"/>
                <w:u w:val="none"/>
                <w:lang w:val="en-US" w:eastAsia="zh-CN" w:bidi="zh-CN"/>
              </w:rPr>
              <w:t>①瓦斯异常情况汇报处理程序</w:t>
            </w:r>
          </w:p>
          <w:p w14:paraId="46E2AF41">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b w:val="0"/>
                <w:color w:val="auto"/>
                <w:kern w:val="0"/>
                <w:sz w:val="24"/>
                <w:szCs w:val="20"/>
                <w:u w:val="none"/>
                <w:lang w:val="en-US" w:eastAsia="zh-CN" w:bidi="zh-CN"/>
              </w:rPr>
            </w:pPr>
            <w:r>
              <w:rPr>
                <w:rFonts w:hint="eastAsia" w:cs="Times New Roman"/>
                <w:b w:val="0"/>
                <w:color w:val="auto"/>
                <w:kern w:val="0"/>
                <w:sz w:val="24"/>
                <w:szCs w:val="20"/>
                <w:u w:val="none"/>
                <w:lang w:val="en-US" w:eastAsia="zh-CN" w:bidi="zh-CN"/>
              </w:rPr>
              <w:t>a、</w:t>
            </w:r>
            <w:r>
              <w:rPr>
                <w:rFonts w:hint="default" w:ascii="Times New Roman" w:hAnsi="Times New Roman" w:eastAsia="宋体" w:cs="Times New Roman"/>
                <w:b w:val="0"/>
                <w:color w:val="auto"/>
                <w:kern w:val="0"/>
                <w:sz w:val="24"/>
                <w:szCs w:val="20"/>
                <w:u w:val="none"/>
                <w:lang w:val="en-US" w:eastAsia="zh-CN" w:bidi="zh-CN"/>
              </w:rPr>
              <w:t>瓦检员、安全员、现场施工人员及其他人员，发现施工地点瓦斯异常时，立即停止该区域内内一切作业，撤离人员，及时查明原因，并向</w:t>
            </w:r>
            <w:r>
              <w:rPr>
                <w:rFonts w:hint="eastAsia" w:cs="Times New Roman"/>
                <w:b w:val="0"/>
                <w:color w:val="auto"/>
                <w:kern w:val="0"/>
                <w:sz w:val="24"/>
                <w:szCs w:val="20"/>
                <w:u w:val="none"/>
                <w:lang w:val="en-US" w:eastAsia="zh-CN" w:bidi="zh-CN"/>
              </w:rPr>
              <w:t>值班</w:t>
            </w:r>
            <w:r>
              <w:rPr>
                <w:rFonts w:hint="default" w:ascii="Times New Roman" w:hAnsi="Times New Roman" w:eastAsia="宋体" w:cs="Times New Roman"/>
                <w:b w:val="0"/>
                <w:color w:val="auto"/>
                <w:kern w:val="0"/>
                <w:sz w:val="24"/>
                <w:szCs w:val="20"/>
                <w:u w:val="none"/>
                <w:lang w:val="en-US" w:eastAsia="zh-CN" w:bidi="zh-CN"/>
              </w:rPr>
              <w:t>室汇报。</w:t>
            </w:r>
          </w:p>
          <w:p w14:paraId="20172E9A">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b w:val="0"/>
                <w:color w:val="auto"/>
                <w:kern w:val="0"/>
                <w:sz w:val="24"/>
                <w:szCs w:val="20"/>
                <w:u w:val="none"/>
                <w:lang w:val="en-US" w:eastAsia="zh-CN" w:bidi="zh-CN"/>
              </w:rPr>
            </w:pPr>
            <w:r>
              <w:rPr>
                <w:rFonts w:hint="eastAsia" w:cs="Times New Roman"/>
                <w:b w:val="0"/>
                <w:color w:val="auto"/>
                <w:kern w:val="0"/>
                <w:sz w:val="24"/>
                <w:szCs w:val="20"/>
                <w:u w:val="none"/>
                <w:lang w:val="en-US" w:eastAsia="zh-CN" w:bidi="zh-CN"/>
              </w:rPr>
              <w:t>b、</w:t>
            </w:r>
            <w:r>
              <w:rPr>
                <w:rFonts w:hint="default" w:ascii="Times New Roman" w:hAnsi="Times New Roman" w:eastAsia="宋体" w:cs="Times New Roman"/>
                <w:b w:val="0"/>
                <w:color w:val="auto"/>
                <w:kern w:val="0"/>
                <w:sz w:val="24"/>
                <w:szCs w:val="20"/>
                <w:u w:val="none"/>
                <w:lang w:val="en-US" w:eastAsia="zh-CN" w:bidi="zh-CN"/>
              </w:rPr>
              <w:t>监控系统地面中心站值班室必须24小时有监控员值班，发现瓦斯传感器显示值出现大增幅、瓦斯曲线不正常及临近报警值时，及时向</w:t>
            </w:r>
            <w:r>
              <w:rPr>
                <w:rFonts w:hint="eastAsia" w:cs="Times New Roman"/>
                <w:b w:val="0"/>
                <w:color w:val="auto"/>
                <w:kern w:val="0"/>
                <w:sz w:val="24"/>
                <w:szCs w:val="20"/>
                <w:u w:val="none"/>
                <w:lang w:val="en-US" w:eastAsia="zh-CN" w:bidi="zh-CN"/>
              </w:rPr>
              <w:t>办公</w:t>
            </w:r>
            <w:r>
              <w:rPr>
                <w:rFonts w:hint="default" w:ascii="Times New Roman" w:hAnsi="Times New Roman" w:eastAsia="宋体" w:cs="Times New Roman"/>
                <w:b w:val="0"/>
                <w:color w:val="auto"/>
                <w:kern w:val="0"/>
                <w:sz w:val="24"/>
                <w:szCs w:val="20"/>
                <w:u w:val="none"/>
                <w:lang w:val="en-US" w:eastAsia="zh-CN" w:bidi="zh-CN"/>
              </w:rPr>
              <w:t>室汇报，</w:t>
            </w:r>
            <w:r>
              <w:rPr>
                <w:rFonts w:hint="eastAsia" w:cs="Times New Roman"/>
                <w:b w:val="0"/>
                <w:color w:val="auto"/>
                <w:kern w:val="0"/>
                <w:sz w:val="24"/>
                <w:szCs w:val="20"/>
                <w:u w:val="none"/>
                <w:lang w:val="en-US" w:eastAsia="zh-CN" w:bidi="zh-CN"/>
              </w:rPr>
              <w:t>值班人</w:t>
            </w:r>
            <w:r>
              <w:rPr>
                <w:rFonts w:hint="default" w:ascii="Times New Roman" w:hAnsi="Times New Roman" w:eastAsia="宋体" w:cs="Times New Roman"/>
                <w:b w:val="0"/>
                <w:color w:val="auto"/>
                <w:kern w:val="0"/>
                <w:sz w:val="24"/>
                <w:szCs w:val="20"/>
                <w:u w:val="none"/>
                <w:lang w:val="en-US" w:eastAsia="zh-CN" w:bidi="zh-CN"/>
              </w:rPr>
              <w:t>员立即电话通知该工作面瓦检员，查明原因，采取措施，进行处理，并将瓦斯异常原因、处理措施及处理结果汇报</w:t>
            </w:r>
            <w:r>
              <w:rPr>
                <w:rFonts w:hint="eastAsia" w:cs="Times New Roman"/>
                <w:b w:val="0"/>
                <w:color w:val="auto"/>
                <w:kern w:val="0"/>
                <w:sz w:val="24"/>
                <w:szCs w:val="20"/>
                <w:u w:val="none"/>
                <w:lang w:val="en-US" w:eastAsia="zh-CN" w:bidi="zh-CN"/>
              </w:rPr>
              <w:t>办公</w:t>
            </w:r>
            <w:r>
              <w:rPr>
                <w:rFonts w:hint="default" w:ascii="Times New Roman" w:hAnsi="Times New Roman" w:eastAsia="宋体" w:cs="Times New Roman"/>
                <w:b w:val="0"/>
                <w:color w:val="auto"/>
                <w:kern w:val="0"/>
                <w:sz w:val="24"/>
                <w:szCs w:val="20"/>
                <w:u w:val="none"/>
                <w:lang w:val="en-US" w:eastAsia="zh-CN" w:bidi="zh-CN"/>
              </w:rPr>
              <w:t>室，并做好记录。</w:t>
            </w:r>
          </w:p>
          <w:p w14:paraId="27D20DF0">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b w:val="0"/>
                <w:color w:val="auto"/>
                <w:kern w:val="0"/>
                <w:sz w:val="24"/>
                <w:szCs w:val="20"/>
                <w:u w:val="none"/>
                <w:lang w:val="en-US" w:eastAsia="zh-CN" w:bidi="zh-CN"/>
              </w:rPr>
            </w:pPr>
            <w:r>
              <w:rPr>
                <w:rFonts w:hint="eastAsia" w:cs="Times New Roman"/>
                <w:b w:val="0"/>
                <w:color w:val="auto"/>
                <w:kern w:val="0"/>
                <w:sz w:val="24"/>
                <w:szCs w:val="20"/>
                <w:u w:val="none"/>
                <w:lang w:val="en-US" w:eastAsia="zh-CN" w:bidi="zh-CN"/>
              </w:rPr>
              <w:t>c、</w:t>
            </w:r>
            <w:r>
              <w:rPr>
                <w:rFonts w:hint="default" w:ascii="Times New Roman" w:hAnsi="Times New Roman" w:eastAsia="宋体" w:cs="Times New Roman"/>
                <w:b w:val="0"/>
                <w:color w:val="auto"/>
                <w:kern w:val="0"/>
                <w:sz w:val="24"/>
                <w:szCs w:val="20"/>
                <w:u w:val="none"/>
                <w:lang w:val="en-US" w:eastAsia="zh-CN" w:bidi="zh-CN"/>
              </w:rPr>
              <w:t>监控员做好报</w:t>
            </w:r>
            <w:r>
              <w:rPr>
                <w:rFonts w:hint="eastAsia" w:cs="Times New Roman"/>
                <w:b w:val="0"/>
                <w:color w:val="auto"/>
                <w:kern w:val="0"/>
                <w:sz w:val="24"/>
                <w:szCs w:val="20"/>
                <w:u w:val="none"/>
                <w:lang w:val="en-US" w:eastAsia="zh-CN" w:bidi="zh-CN"/>
              </w:rPr>
              <w:t>告</w:t>
            </w:r>
            <w:r>
              <w:rPr>
                <w:rFonts w:hint="default" w:ascii="Times New Roman" w:hAnsi="Times New Roman" w:eastAsia="宋体" w:cs="Times New Roman"/>
                <w:b w:val="0"/>
                <w:color w:val="auto"/>
                <w:kern w:val="0"/>
                <w:sz w:val="24"/>
                <w:szCs w:val="20"/>
                <w:u w:val="none"/>
                <w:lang w:val="en-US" w:eastAsia="zh-CN" w:bidi="zh-CN"/>
              </w:rPr>
              <w:t>记录的同时，应立即汇报</w:t>
            </w:r>
            <w:r>
              <w:rPr>
                <w:rFonts w:hint="eastAsia" w:cs="Times New Roman"/>
                <w:b w:val="0"/>
                <w:color w:val="auto"/>
                <w:kern w:val="0"/>
                <w:sz w:val="24"/>
                <w:szCs w:val="20"/>
                <w:u w:val="none"/>
                <w:lang w:val="en-US" w:eastAsia="zh-CN" w:bidi="zh-CN"/>
              </w:rPr>
              <w:t>值班</w:t>
            </w:r>
            <w:r>
              <w:rPr>
                <w:rFonts w:hint="default" w:ascii="Times New Roman" w:hAnsi="Times New Roman" w:eastAsia="宋体" w:cs="Times New Roman"/>
                <w:b w:val="0"/>
                <w:color w:val="auto"/>
                <w:kern w:val="0"/>
                <w:sz w:val="24"/>
                <w:szCs w:val="20"/>
                <w:u w:val="none"/>
                <w:lang w:val="en-US" w:eastAsia="zh-CN" w:bidi="zh-CN"/>
              </w:rPr>
              <w:t>室，</w:t>
            </w:r>
            <w:r>
              <w:rPr>
                <w:rFonts w:hint="eastAsia" w:cs="Times New Roman"/>
                <w:b w:val="0"/>
                <w:color w:val="auto"/>
                <w:kern w:val="0"/>
                <w:sz w:val="24"/>
                <w:szCs w:val="20"/>
                <w:u w:val="none"/>
                <w:lang w:val="en-US" w:eastAsia="zh-CN" w:bidi="zh-CN"/>
              </w:rPr>
              <w:t>值班</w:t>
            </w:r>
            <w:r>
              <w:rPr>
                <w:rFonts w:hint="default" w:ascii="Times New Roman" w:hAnsi="Times New Roman" w:eastAsia="宋体" w:cs="Times New Roman"/>
                <w:b w:val="0"/>
                <w:color w:val="auto"/>
                <w:kern w:val="0"/>
                <w:sz w:val="24"/>
                <w:szCs w:val="20"/>
                <w:u w:val="none"/>
                <w:lang w:val="en-US" w:eastAsia="zh-CN" w:bidi="zh-CN"/>
              </w:rPr>
              <w:t>室在接到通知后，立即通知该工作面瓦检员、安全员对停工及处理全过程进行监督检查。</w:t>
            </w:r>
          </w:p>
          <w:p w14:paraId="708D594C">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b w:val="0"/>
                <w:color w:val="auto"/>
                <w:kern w:val="0"/>
                <w:sz w:val="24"/>
                <w:szCs w:val="20"/>
                <w:u w:val="none"/>
                <w:lang w:val="en-US" w:eastAsia="zh-CN" w:bidi="zh-CN"/>
              </w:rPr>
            </w:pPr>
            <w:r>
              <w:rPr>
                <w:rFonts w:hint="eastAsia" w:cs="Times New Roman"/>
                <w:b w:val="0"/>
                <w:color w:val="auto"/>
                <w:kern w:val="0"/>
                <w:sz w:val="24"/>
                <w:szCs w:val="20"/>
                <w:u w:val="none"/>
                <w:lang w:val="en-US" w:eastAsia="zh-CN" w:bidi="zh-CN"/>
              </w:rPr>
              <w:t>d、</w:t>
            </w:r>
            <w:r>
              <w:rPr>
                <w:rFonts w:hint="default" w:ascii="Times New Roman" w:hAnsi="Times New Roman" w:eastAsia="宋体" w:cs="Times New Roman"/>
                <w:b w:val="0"/>
                <w:color w:val="auto"/>
                <w:kern w:val="0"/>
                <w:sz w:val="24"/>
                <w:szCs w:val="20"/>
                <w:u w:val="none"/>
                <w:lang w:val="en-US" w:eastAsia="zh-CN" w:bidi="zh-CN"/>
              </w:rPr>
              <w:t>瓦检员在停工处理完毕，检查工作面等地点瓦斯浓度降到《煤矿安全规程》规定范围内，汇报</w:t>
            </w:r>
            <w:r>
              <w:rPr>
                <w:rFonts w:hint="eastAsia" w:cs="Times New Roman"/>
                <w:b w:val="0"/>
                <w:color w:val="auto"/>
                <w:kern w:val="0"/>
                <w:sz w:val="24"/>
                <w:szCs w:val="20"/>
                <w:u w:val="none"/>
                <w:lang w:val="en-US" w:eastAsia="zh-CN" w:bidi="zh-CN"/>
              </w:rPr>
              <w:t>值班</w:t>
            </w:r>
            <w:r>
              <w:rPr>
                <w:rFonts w:hint="default" w:ascii="Times New Roman" w:hAnsi="Times New Roman" w:eastAsia="宋体" w:cs="Times New Roman"/>
                <w:b w:val="0"/>
                <w:color w:val="auto"/>
                <w:kern w:val="0"/>
                <w:sz w:val="24"/>
                <w:szCs w:val="20"/>
                <w:u w:val="none"/>
                <w:lang w:val="en-US" w:eastAsia="zh-CN" w:bidi="zh-CN"/>
              </w:rPr>
              <w:t>室，由</w:t>
            </w:r>
            <w:r>
              <w:rPr>
                <w:rFonts w:hint="eastAsia" w:cs="Times New Roman"/>
                <w:b w:val="0"/>
                <w:color w:val="auto"/>
                <w:kern w:val="0"/>
                <w:sz w:val="24"/>
                <w:szCs w:val="20"/>
                <w:u w:val="none"/>
                <w:lang w:val="en-US" w:eastAsia="zh-CN" w:bidi="zh-CN"/>
              </w:rPr>
              <w:t>值班</w:t>
            </w:r>
            <w:r>
              <w:rPr>
                <w:rFonts w:hint="default" w:ascii="Times New Roman" w:hAnsi="Times New Roman" w:eastAsia="宋体" w:cs="Times New Roman"/>
                <w:b w:val="0"/>
                <w:color w:val="auto"/>
                <w:kern w:val="0"/>
                <w:sz w:val="24"/>
                <w:szCs w:val="20"/>
                <w:u w:val="none"/>
                <w:lang w:val="en-US" w:eastAsia="zh-CN" w:bidi="zh-CN"/>
              </w:rPr>
              <w:t>室下达恢复生产命令。</w:t>
            </w:r>
          </w:p>
          <w:p w14:paraId="1B0FCBE3">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b w:val="0"/>
                <w:color w:val="auto"/>
                <w:kern w:val="0"/>
                <w:sz w:val="24"/>
                <w:szCs w:val="20"/>
                <w:u w:val="none"/>
                <w:lang w:val="en-US" w:eastAsia="zh-CN" w:bidi="zh-CN"/>
              </w:rPr>
            </w:pPr>
            <w:r>
              <w:rPr>
                <w:rFonts w:hint="eastAsia" w:cs="Times New Roman"/>
                <w:b w:val="0"/>
                <w:color w:val="auto"/>
                <w:kern w:val="0"/>
                <w:sz w:val="24"/>
                <w:szCs w:val="20"/>
                <w:u w:val="none"/>
                <w:lang w:val="en-US" w:eastAsia="zh-CN" w:bidi="zh-CN"/>
              </w:rPr>
              <w:t>e、</w:t>
            </w:r>
            <w:r>
              <w:rPr>
                <w:rFonts w:hint="default" w:ascii="Times New Roman" w:hAnsi="Times New Roman" w:eastAsia="宋体" w:cs="Times New Roman"/>
                <w:b w:val="0"/>
                <w:color w:val="auto"/>
                <w:kern w:val="0"/>
                <w:sz w:val="24"/>
                <w:szCs w:val="20"/>
                <w:u w:val="none"/>
                <w:lang w:val="en-US" w:eastAsia="zh-CN" w:bidi="zh-CN"/>
              </w:rPr>
              <w:t>瓦检员处理过程中，发现瓦斯浓度未被有效控制，持续升高，达到超限浓度时，应立即停止该工作面一切作业，切断电源，汇报值班矿领导。安全员与瓦检员一起组织将工作面人员在工作面巷道口设置栅栏，揭示警标。</w:t>
            </w:r>
          </w:p>
          <w:p w14:paraId="60EF39CC">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b w:val="0"/>
                <w:color w:val="auto"/>
                <w:kern w:val="0"/>
                <w:sz w:val="24"/>
                <w:szCs w:val="20"/>
                <w:u w:val="none"/>
                <w:lang w:val="en-US" w:eastAsia="zh-CN" w:bidi="zh-CN"/>
              </w:rPr>
            </w:pPr>
            <w:r>
              <w:rPr>
                <w:rFonts w:hint="eastAsia" w:cs="Times New Roman"/>
                <w:b w:val="0"/>
                <w:color w:val="auto"/>
                <w:kern w:val="0"/>
                <w:sz w:val="24"/>
                <w:szCs w:val="20"/>
                <w:u w:val="none"/>
                <w:lang w:val="en-US" w:eastAsia="zh-CN" w:bidi="zh-CN"/>
              </w:rPr>
              <w:t>f、</w:t>
            </w:r>
            <w:r>
              <w:rPr>
                <w:rFonts w:hint="default" w:ascii="Times New Roman" w:hAnsi="Times New Roman" w:eastAsia="宋体" w:cs="Times New Roman"/>
                <w:b w:val="0"/>
                <w:color w:val="auto"/>
                <w:kern w:val="0"/>
                <w:sz w:val="24"/>
                <w:szCs w:val="20"/>
                <w:u w:val="none"/>
                <w:lang w:val="en-US" w:eastAsia="zh-CN" w:bidi="zh-CN"/>
              </w:rPr>
              <w:t>矿值班领导立即制定措施，并电话通知</w:t>
            </w:r>
            <w:r>
              <w:rPr>
                <w:rFonts w:hint="eastAsia" w:cs="Times New Roman"/>
                <w:b w:val="0"/>
                <w:color w:val="auto"/>
                <w:kern w:val="0"/>
                <w:sz w:val="24"/>
                <w:szCs w:val="20"/>
                <w:u w:val="none"/>
                <w:lang w:val="en-US" w:eastAsia="zh-CN" w:bidi="zh-CN"/>
              </w:rPr>
              <w:t>其他部门</w:t>
            </w:r>
            <w:r>
              <w:rPr>
                <w:rFonts w:hint="eastAsia" w:ascii="Times New Roman" w:hAnsi="Times New Roman" w:eastAsia="宋体" w:cs="Times New Roman"/>
                <w:b w:val="0"/>
                <w:color w:val="auto"/>
                <w:kern w:val="0"/>
                <w:sz w:val="24"/>
                <w:szCs w:val="20"/>
                <w:u w:val="none"/>
                <w:lang w:val="en-US" w:eastAsia="zh-CN" w:bidi="zh-CN"/>
              </w:rPr>
              <w:t>人员</w:t>
            </w:r>
            <w:r>
              <w:rPr>
                <w:rFonts w:hint="default" w:ascii="Times New Roman" w:hAnsi="Times New Roman" w:eastAsia="宋体" w:cs="Times New Roman"/>
                <w:b w:val="0"/>
                <w:color w:val="auto"/>
                <w:kern w:val="0"/>
                <w:sz w:val="24"/>
                <w:szCs w:val="20"/>
                <w:u w:val="none"/>
                <w:lang w:val="en-US" w:eastAsia="zh-CN" w:bidi="zh-CN"/>
              </w:rPr>
              <w:t>，在半小时内赶到现场，指挥处理，处理完毕</w:t>
            </w:r>
            <w:r>
              <w:rPr>
                <w:rFonts w:hint="eastAsia" w:cs="Times New Roman"/>
                <w:b w:val="0"/>
                <w:color w:val="auto"/>
                <w:kern w:val="0"/>
                <w:sz w:val="24"/>
                <w:szCs w:val="20"/>
                <w:u w:val="none"/>
                <w:lang w:val="en-US" w:eastAsia="zh-CN" w:bidi="zh-CN"/>
              </w:rPr>
              <w:t>后整理</w:t>
            </w:r>
            <w:r>
              <w:rPr>
                <w:rFonts w:hint="default" w:ascii="Times New Roman" w:hAnsi="Times New Roman" w:eastAsia="宋体" w:cs="Times New Roman"/>
                <w:b w:val="0"/>
                <w:color w:val="auto"/>
                <w:kern w:val="0"/>
                <w:sz w:val="24"/>
                <w:szCs w:val="20"/>
                <w:u w:val="none"/>
                <w:lang w:val="en-US" w:eastAsia="zh-CN" w:bidi="zh-CN"/>
              </w:rPr>
              <w:t>汇报，并做好记录。</w:t>
            </w:r>
            <w:r>
              <w:rPr>
                <w:rFonts w:hint="eastAsia" w:cs="Times New Roman"/>
                <w:b w:val="0"/>
                <w:color w:val="auto"/>
                <w:kern w:val="0"/>
                <w:sz w:val="24"/>
                <w:szCs w:val="20"/>
                <w:u w:val="none"/>
                <w:lang w:val="en-US" w:eastAsia="zh-CN" w:bidi="zh-CN"/>
              </w:rPr>
              <w:t>值班</w:t>
            </w:r>
            <w:r>
              <w:rPr>
                <w:rFonts w:hint="default" w:ascii="Times New Roman" w:hAnsi="Times New Roman" w:eastAsia="宋体" w:cs="Times New Roman"/>
                <w:b w:val="0"/>
                <w:color w:val="auto"/>
                <w:kern w:val="0"/>
                <w:sz w:val="24"/>
                <w:szCs w:val="20"/>
                <w:u w:val="none"/>
                <w:lang w:val="en-US" w:eastAsia="zh-CN" w:bidi="zh-CN"/>
              </w:rPr>
              <w:t>领导确认隐患排除后，方准下达撤除警戒、恢复送电、人员进入工作面生产的命令。</w:t>
            </w:r>
          </w:p>
          <w:p w14:paraId="03AEB67E">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2"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cs="Times New Roman"/>
                <w:b/>
                <w:bCs w:val="0"/>
                <w:color w:val="auto"/>
                <w:kern w:val="2"/>
                <w:sz w:val="24"/>
                <w:u w:val="none"/>
                <w:lang w:val="en-US" w:eastAsia="zh-CN" w:bidi="ar-SA"/>
              </w:rPr>
              <w:t>②</w:t>
            </w:r>
            <w:r>
              <w:rPr>
                <w:rFonts w:hint="eastAsia" w:ascii="Times New Roman" w:hAnsi="Times New Roman" w:eastAsia="宋体" w:cs="Times New Roman"/>
                <w:b/>
                <w:bCs w:val="0"/>
                <w:color w:val="auto"/>
                <w:kern w:val="2"/>
                <w:sz w:val="24"/>
                <w:u w:val="none"/>
                <w:lang w:val="zh-CN" w:eastAsia="zh-CN" w:bidi="ar-SA"/>
              </w:rPr>
              <w:t>防止瓦斯气泄漏的对策措施</w:t>
            </w:r>
          </w:p>
          <w:p w14:paraId="448A5DB8">
            <w:pPr>
              <w:pStyle w:val="28"/>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500" w:lineRule="exact"/>
              <w:ind w:right="0" w:rightChars="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szCs w:val="20"/>
                <w:u w:val="none"/>
                <w:lang w:val="zh-CN" w:eastAsia="zh-CN" w:bidi="ar-SA"/>
              </w:rPr>
              <w:t>a、</w:t>
            </w:r>
            <w:r>
              <w:rPr>
                <w:rFonts w:hint="eastAsia" w:ascii="Times New Roman" w:hAnsi="Times New Roman" w:eastAsia="宋体" w:cs="Times New Roman"/>
                <w:bCs/>
                <w:color w:val="auto"/>
                <w:kern w:val="2"/>
                <w:sz w:val="24"/>
                <w:u w:val="none"/>
                <w:lang w:val="zh-CN" w:eastAsia="zh-CN" w:bidi="ar-SA"/>
              </w:rPr>
              <w:t>设备的选材、设计、制造、安装、试压等符合国家现行标准和规范要求。</w:t>
            </w:r>
          </w:p>
          <w:p w14:paraId="162F4431">
            <w:pPr>
              <w:pStyle w:val="28"/>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b、管道、阀门、垫片应选用耐腐蚀的的材质。</w:t>
            </w:r>
          </w:p>
          <w:p w14:paraId="30AB902D">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c、安全阀、液位计、阻火器等安全附件必须经常检查、维护，定期检测，不能故障使用，发现故障及时处理。</w:t>
            </w:r>
          </w:p>
          <w:p w14:paraId="29EBF908">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d、对设备管道定期做防腐处理，防止大气和化学腐蚀造成砂眼泄漏，对各种管道要按要求涂刷成不同颜色，瓦斯气管道要有流向标志。</w:t>
            </w:r>
          </w:p>
          <w:p w14:paraId="07C22EB6">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e、本项目采用PLC控制系统，在选用仪表时，应选用动作灵敏、质量可靠的仪表。</w:t>
            </w:r>
          </w:p>
          <w:p w14:paraId="6D5ED2B8">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f、对各种泵，实行定期计划检修制度，定期更换。</w:t>
            </w:r>
          </w:p>
          <w:p w14:paraId="3AC1EEE3">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g、在容器泄漏瓦斯气的地方设置固定式可燃气体报警器，并配置移动式可燃气体检测仪，以便及时发现和处理瓦斯气泄漏事故。</w:t>
            </w:r>
          </w:p>
          <w:p w14:paraId="6F06BF8C">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2" w:firstLineChars="200"/>
              <w:textAlignment w:val="auto"/>
              <w:rPr>
                <w:rFonts w:hint="eastAsia" w:ascii="Times New Roman" w:hAnsi="Times New Roman" w:eastAsia="宋体" w:cs="Times New Roman"/>
                <w:b/>
                <w:bCs w:val="0"/>
                <w:color w:val="auto"/>
                <w:kern w:val="2"/>
                <w:sz w:val="24"/>
                <w:u w:val="none"/>
                <w:lang w:val="zh-CN" w:eastAsia="zh-CN" w:bidi="ar-SA"/>
              </w:rPr>
            </w:pPr>
            <w:r>
              <w:rPr>
                <w:rFonts w:hint="eastAsia" w:ascii="Times New Roman" w:hAnsi="Times New Roman" w:cs="Times New Roman"/>
                <w:b/>
                <w:bCs w:val="0"/>
                <w:color w:val="auto"/>
                <w:kern w:val="2"/>
                <w:sz w:val="24"/>
                <w:u w:val="none"/>
                <w:lang w:val="en-US" w:eastAsia="zh-CN" w:bidi="ar-SA"/>
              </w:rPr>
              <w:t>③</w:t>
            </w:r>
            <w:r>
              <w:rPr>
                <w:rFonts w:hint="eastAsia" w:ascii="Times New Roman" w:hAnsi="Times New Roman" w:eastAsia="宋体" w:cs="Times New Roman"/>
                <w:b/>
                <w:bCs w:val="0"/>
                <w:color w:val="auto"/>
                <w:kern w:val="2"/>
                <w:sz w:val="24"/>
                <w:u w:val="none"/>
                <w:lang w:val="zh-CN" w:eastAsia="zh-CN" w:bidi="ar-SA"/>
              </w:rPr>
              <w:t>防止瓦斯气火灾、爆炸的对策措施</w:t>
            </w:r>
          </w:p>
          <w:p w14:paraId="34CC9B9F">
            <w:pPr>
              <w:pStyle w:val="28"/>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textAlignment w:val="auto"/>
              <w:rPr>
                <w:rFonts w:hint="eastAsia" w:ascii="Times New Roman" w:hAnsi="Times New Roman" w:eastAsia="宋体" w:cs="Times New Roman"/>
                <w:bCs/>
                <w:color w:val="auto"/>
                <w:kern w:val="2"/>
                <w:sz w:val="24"/>
                <w:u w:val="none"/>
                <w:lang w:val="en-US" w:eastAsia="zh-CN" w:bidi="ar-SA"/>
              </w:rPr>
            </w:pPr>
            <w:r>
              <w:rPr>
                <w:rFonts w:hint="eastAsia" w:ascii="Times New Roman" w:hAnsi="Times New Roman" w:cs="Times New Roman"/>
                <w:bCs/>
                <w:color w:val="auto"/>
                <w:kern w:val="2"/>
                <w:sz w:val="24"/>
                <w:u w:val="none"/>
                <w:lang w:val="en-US" w:eastAsia="zh-CN" w:bidi="ar-SA"/>
              </w:rPr>
              <w:t>a、</w:t>
            </w:r>
            <w:r>
              <w:rPr>
                <w:rFonts w:hint="eastAsia" w:ascii="Times New Roman" w:hAnsi="Times New Roman" w:eastAsia="宋体" w:cs="Times New Roman"/>
                <w:bCs/>
                <w:color w:val="auto"/>
                <w:kern w:val="2"/>
                <w:sz w:val="24"/>
                <w:u w:val="none"/>
                <w:lang w:val="zh-CN" w:eastAsia="zh-CN" w:bidi="ar-SA"/>
              </w:rPr>
              <w:t>本站总图设计中严格执行GB50016-2014《建筑设计防火规范》的有关规定。</w:t>
            </w:r>
          </w:p>
          <w:p w14:paraId="3CD10A07">
            <w:pPr>
              <w:pStyle w:val="28"/>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b、瓦斯管道在安装时要严格做强度和严密性试验，并在管道上装设快速关断阀、安全阀和放散装置，防止系统串火、超压∶放散管与排烟管水平距离不小于15米，高于排烟管出口2m以上，并离开地面高度不小于</w:t>
            </w:r>
            <w:r>
              <w:rPr>
                <w:rFonts w:hint="eastAsia" w:ascii="Times New Roman" w:hAnsi="Times New Roman" w:cs="Times New Roman"/>
                <w:bCs/>
                <w:color w:val="auto"/>
                <w:kern w:val="2"/>
                <w:sz w:val="24"/>
                <w:u w:val="none"/>
                <w:lang w:val="zh-CN" w:eastAsia="zh-CN" w:bidi="ar-SA"/>
              </w:rPr>
              <w:t>15m</w:t>
            </w:r>
            <w:r>
              <w:rPr>
                <w:rFonts w:hint="eastAsia" w:ascii="Times New Roman" w:hAnsi="Times New Roman" w:eastAsia="宋体" w:cs="Times New Roman"/>
                <w:bCs/>
                <w:color w:val="auto"/>
                <w:kern w:val="2"/>
                <w:sz w:val="24"/>
                <w:u w:val="none"/>
                <w:lang w:val="zh-CN" w:eastAsia="zh-CN" w:bidi="ar-SA"/>
              </w:rPr>
              <w:t>。为防止瓦斯系统静电引起的火灾，在其设备及管道上设有接地措施。</w:t>
            </w:r>
            <w:r>
              <w:rPr>
                <w:rFonts w:hint="eastAsia" w:ascii="Times New Roman" w:hAnsi="Times New Roman" w:cs="Times New Roman"/>
                <w:bCs/>
                <w:color w:val="auto"/>
                <w:kern w:val="2"/>
                <w:sz w:val="24"/>
                <w:u w:val="none"/>
                <w:lang w:val="zh-CN" w:eastAsia="zh-CN" w:bidi="ar-SA"/>
              </w:rPr>
              <w:t>发电机组所在区</w:t>
            </w:r>
            <w:r>
              <w:rPr>
                <w:rFonts w:hint="eastAsia" w:ascii="Times New Roman" w:hAnsi="Times New Roman" w:eastAsia="宋体" w:cs="Times New Roman"/>
                <w:bCs/>
                <w:color w:val="auto"/>
                <w:kern w:val="2"/>
                <w:sz w:val="24"/>
                <w:u w:val="none"/>
                <w:lang w:val="zh-CN" w:eastAsia="zh-CN" w:bidi="ar-SA"/>
              </w:rPr>
              <w:t>内可燃气体报警分为两级报警一级报警（高限）设定值为0.5%二级报警设定值为1%，当达到一级报警条件时，除了报警外并开启全部通风机进行通风∶当达到二级报警条件时，除了报警、开启风机通风外同时关闭瓦斯支管上的快速切断阀和干管上的关断阀，快速切断气源∶停燃气内燃发电机组及预处理系统，同时打开所有电动放散阀.</w:t>
            </w:r>
          </w:p>
          <w:p w14:paraId="56832D4A">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c、工艺装置区内严禁携带烟火、火种、打火机、火柴等易燃品。照明设施全部采用防爆照明灯，非生产人员不得进入工艺装置区。</w:t>
            </w:r>
          </w:p>
          <w:p w14:paraId="1DFF1A1F">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d、所有防爆区控制设备采用防爆产品。在电缆集中和容易起火的区域加强防火封堵措施。电缆的敷设设计及防火要求按火力发电厂、变电所电缆选择与敷设设计规程及电缆工程设计规范要求执行。并准备推车式或手提式灭火器具。</w:t>
            </w:r>
          </w:p>
          <w:p w14:paraId="58DB96E7">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e、瓦斯水雾输送及发电技术是利用水位自控式水封阻火器，金属波纹带干式瓦斯专用阻火器及瓦斯与细水雾混合输送技术，实现瓦斯的安全输送供给瓦斯发电机组发电。</w:t>
            </w:r>
          </w:p>
          <w:p w14:paraId="0688808D">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f、在放散管处设置阻火器，防止瓦斯气回燃；放散管应采取静电接地，并在避雷保护范围之内；放散管应有防止雨水侵入和外来异物堵塞的措施。</w:t>
            </w:r>
          </w:p>
          <w:p w14:paraId="1C5D9C29">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g.为了防止撞击火花，在防爆区域内操作或维修时应使用防爆工具，例如选用铜质工具；为了防止静电火花，工作人员应穿防静电工作服和防静电鞋。</w:t>
            </w:r>
          </w:p>
          <w:p w14:paraId="7229C0B2">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h、本项目站区主要建（构）筑物按《建筑设计防火规范》（GB50016-2014）的要求进行设计，满足火灾危险性及耐火等级的要求。配电室均设有两个或两个以上的安全出口。房间内墙上的门均采用甲级防火门。所有安全出入口、楼梯及各层联系平台步道处均设置通行疏散和导向标志，色彩醒目、突出。各建（构）筑物应配置灭火器，灭火器的类型、规格、数量以及设置位置应符合《建筑灭火器配置设计规范》，并在施工图阶段设计。</w:t>
            </w:r>
          </w:p>
          <w:p w14:paraId="6BA85B4D">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j、在装置区内应配置手提式灭火器，类型有干粉、泡沫和二氧化碳。</w:t>
            </w:r>
          </w:p>
          <w:p w14:paraId="724E30AF">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k、对重要的过程参数（温度、压力、液位）测量仪表，包括有毒可燃气体探测仪，应经标定或校验后投入使用，并在使用中进行定期检验或标定。</w:t>
            </w:r>
          </w:p>
          <w:p w14:paraId="010FC7F1">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2" w:firstLineChars="200"/>
              <w:textAlignment w:val="auto"/>
              <w:rPr>
                <w:rFonts w:hint="eastAsia" w:ascii="Times New Roman" w:hAnsi="Times New Roman" w:eastAsia="宋体" w:cs="Times New Roman"/>
                <w:b/>
                <w:bCs w:val="0"/>
                <w:color w:val="auto"/>
                <w:kern w:val="2"/>
                <w:sz w:val="24"/>
                <w:u w:val="none"/>
                <w:lang w:val="zh-CN" w:eastAsia="zh-CN" w:bidi="ar-SA"/>
              </w:rPr>
            </w:pPr>
            <w:r>
              <w:rPr>
                <w:rFonts w:hint="eastAsia" w:ascii="Times New Roman" w:hAnsi="Times New Roman" w:cs="Times New Roman"/>
                <w:b/>
                <w:bCs w:val="0"/>
                <w:color w:val="auto"/>
                <w:kern w:val="2"/>
                <w:sz w:val="24"/>
                <w:u w:val="none"/>
                <w:lang w:val="en-US" w:eastAsia="zh-CN" w:bidi="ar-SA"/>
              </w:rPr>
              <w:t>④</w:t>
            </w:r>
            <w:r>
              <w:rPr>
                <w:rFonts w:hint="eastAsia" w:ascii="Times New Roman" w:hAnsi="Times New Roman" w:eastAsia="宋体" w:cs="Times New Roman"/>
                <w:b/>
                <w:bCs w:val="0"/>
                <w:color w:val="auto"/>
                <w:kern w:val="2"/>
                <w:sz w:val="24"/>
                <w:u w:val="none"/>
                <w:lang w:val="zh-CN" w:eastAsia="zh-CN" w:bidi="ar-SA"/>
              </w:rPr>
              <w:t>防止机油</w:t>
            </w:r>
            <w:r>
              <w:rPr>
                <w:rFonts w:hint="eastAsia" w:ascii="Times New Roman" w:hAnsi="Times New Roman" w:cs="Times New Roman"/>
                <w:b/>
                <w:bCs w:val="0"/>
                <w:color w:val="auto"/>
                <w:kern w:val="2"/>
                <w:sz w:val="24"/>
                <w:u w:val="none"/>
                <w:lang w:val="zh-CN" w:eastAsia="zh-CN" w:bidi="ar-SA"/>
              </w:rPr>
              <w:t>、</w:t>
            </w:r>
            <w:r>
              <w:rPr>
                <w:rFonts w:hint="eastAsia" w:ascii="Times New Roman" w:hAnsi="Times New Roman" w:cs="Times New Roman"/>
                <w:b/>
                <w:bCs w:val="0"/>
                <w:color w:val="auto"/>
                <w:kern w:val="2"/>
                <w:sz w:val="24"/>
                <w:u w:val="none"/>
                <w:lang w:val="en-US" w:eastAsia="zh-CN" w:bidi="ar-SA"/>
              </w:rPr>
              <w:t>润滑油</w:t>
            </w:r>
            <w:r>
              <w:rPr>
                <w:rFonts w:hint="eastAsia" w:ascii="Times New Roman" w:hAnsi="Times New Roman" w:eastAsia="宋体" w:cs="Times New Roman"/>
                <w:b/>
                <w:bCs w:val="0"/>
                <w:color w:val="auto"/>
                <w:kern w:val="2"/>
                <w:sz w:val="24"/>
                <w:u w:val="none"/>
                <w:lang w:val="zh-CN" w:eastAsia="zh-CN" w:bidi="ar-SA"/>
              </w:rPr>
              <w:t>泄漏措施</w:t>
            </w:r>
          </w:p>
          <w:p w14:paraId="56EF94CB">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a、为防止油类物质泄漏，对外环境造成影响，储油区域应设置</w:t>
            </w:r>
            <w:r>
              <w:rPr>
                <w:rFonts w:hint="eastAsia" w:ascii="Times New Roman" w:hAnsi="Times New Roman" w:cs="Times New Roman"/>
                <w:bCs/>
                <w:color w:val="auto"/>
                <w:kern w:val="2"/>
                <w:sz w:val="24"/>
                <w:u w:val="none"/>
                <w:lang w:val="en-US" w:eastAsia="zh-CN" w:bidi="ar-SA"/>
              </w:rPr>
              <w:t>导流沟</w:t>
            </w:r>
            <w:r>
              <w:rPr>
                <w:rFonts w:hint="eastAsia" w:ascii="Times New Roman" w:hAnsi="Times New Roman" w:eastAsia="宋体" w:cs="Times New Roman"/>
                <w:bCs/>
                <w:color w:val="auto"/>
                <w:kern w:val="2"/>
                <w:sz w:val="24"/>
                <w:u w:val="none"/>
                <w:lang w:val="zh-CN" w:eastAsia="zh-CN" w:bidi="ar-SA"/>
              </w:rPr>
              <w:t>；同时储油罐区域地面需进行防渗处理。</w:t>
            </w:r>
          </w:p>
          <w:p w14:paraId="7A0A7F7C">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b、储油间</w:t>
            </w:r>
            <w:r>
              <w:rPr>
                <w:rFonts w:hint="eastAsia" w:ascii="Times New Roman" w:hAnsi="Times New Roman" w:eastAsia="宋体" w:cs="Times New Roman"/>
                <w:bCs/>
                <w:color w:val="auto"/>
                <w:kern w:val="2"/>
                <w:sz w:val="24"/>
                <w:u w:val="none"/>
                <w:lang w:val="en-US" w:eastAsia="zh-CN" w:bidi="ar-SA"/>
              </w:rPr>
              <w:t>机</w:t>
            </w:r>
            <w:r>
              <w:rPr>
                <w:rFonts w:hint="eastAsia" w:ascii="Times New Roman" w:hAnsi="Times New Roman" w:eastAsia="宋体" w:cs="Times New Roman"/>
                <w:bCs/>
                <w:color w:val="auto"/>
                <w:kern w:val="2"/>
                <w:sz w:val="24"/>
                <w:u w:val="none"/>
                <w:lang w:val="zh-CN" w:eastAsia="zh-CN" w:bidi="ar-SA"/>
              </w:rPr>
              <w:t>油存储区应设置接油盘池，铺设吸油细沙、锯木面等，用于吸附泄</w:t>
            </w:r>
            <w:r>
              <w:rPr>
                <w:rFonts w:hint="eastAsia" w:ascii="Times New Roman" w:hAnsi="Times New Roman" w:cs="Times New Roman"/>
                <w:bCs/>
                <w:color w:val="auto"/>
                <w:kern w:val="2"/>
                <w:sz w:val="24"/>
                <w:u w:val="none"/>
                <w:lang w:val="en-US" w:eastAsia="zh-CN" w:bidi="ar-SA"/>
              </w:rPr>
              <w:t>漏</w:t>
            </w:r>
            <w:r>
              <w:rPr>
                <w:rFonts w:hint="eastAsia" w:ascii="Times New Roman" w:hAnsi="Times New Roman" w:eastAsia="宋体" w:cs="Times New Roman"/>
                <w:bCs/>
                <w:color w:val="auto"/>
                <w:kern w:val="2"/>
                <w:sz w:val="24"/>
                <w:u w:val="none"/>
                <w:lang w:val="zh-CN" w:eastAsia="zh-CN" w:bidi="ar-SA"/>
              </w:rPr>
              <w:t>的油类物质。</w:t>
            </w:r>
          </w:p>
          <w:p w14:paraId="72D8F8A1">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2" w:firstLineChars="200"/>
              <w:textAlignment w:val="auto"/>
              <w:rPr>
                <w:rFonts w:hint="eastAsia" w:ascii="Times New Roman" w:hAnsi="Times New Roman" w:eastAsia="宋体" w:cs="Times New Roman"/>
                <w:b/>
                <w:bCs w:val="0"/>
                <w:color w:val="auto"/>
                <w:kern w:val="2"/>
                <w:sz w:val="24"/>
                <w:highlight w:val="none"/>
                <w:u w:val="none"/>
                <w:lang w:val="zh-CN" w:eastAsia="zh-CN" w:bidi="ar-SA"/>
              </w:rPr>
            </w:pPr>
            <w:r>
              <w:rPr>
                <w:rFonts w:hint="eastAsia" w:ascii="Times New Roman" w:hAnsi="Times New Roman" w:cs="Times New Roman"/>
                <w:b/>
                <w:bCs w:val="0"/>
                <w:color w:val="auto"/>
                <w:kern w:val="2"/>
                <w:sz w:val="24"/>
                <w:highlight w:val="none"/>
                <w:u w:val="none"/>
                <w:lang w:val="en-US" w:eastAsia="zh-CN" w:bidi="ar-SA"/>
              </w:rPr>
              <w:t>⑤变压器</w:t>
            </w:r>
            <w:r>
              <w:rPr>
                <w:rFonts w:hint="eastAsia" w:ascii="Times New Roman" w:hAnsi="Times New Roman" w:eastAsia="宋体" w:cs="Times New Roman"/>
                <w:b/>
                <w:bCs w:val="0"/>
                <w:color w:val="auto"/>
                <w:kern w:val="2"/>
                <w:sz w:val="24"/>
                <w:highlight w:val="none"/>
                <w:u w:val="none"/>
                <w:lang w:val="zh-CN" w:eastAsia="zh-CN" w:bidi="ar-SA"/>
              </w:rPr>
              <w:t>管理方面的措施</w:t>
            </w:r>
          </w:p>
          <w:p w14:paraId="4A8921E3">
            <w:pPr>
              <w:pStyle w:val="2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default" w:ascii="Times New Roman" w:hAnsi="Times New Roman" w:eastAsia="宋体" w:cs="Times New Roman"/>
                <w:b w:val="0"/>
                <w:bCs/>
                <w:sz w:val="24"/>
                <w:szCs w:val="24"/>
              </w:rPr>
            </w:pPr>
            <w:r>
              <w:rPr>
                <w:rStyle w:val="35"/>
                <w:rFonts w:hint="eastAsia" w:ascii="Times New Roman" w:hAnsi="Times New Roman" w:eastAsia="宋体" w:cs="Times New Roman"/>
                <w:b w:val="0"/>
                <w:bCs/>
                <w:i w:val="0"/>
                <w:iCs w:val="0"/>
                <w:color w:val="333333"/>
                <w:spacing w:val="0"/>
                <w:sz w:val="24"/>
                <w:szCs w:val="24"/>
                <w:shd w:val="clear" w:fill="FFFFFF"/>
                <w:lang w:val="en-US" w:eastAsia="zh-CN"/>
              </w:rPr>
              <w:t>a、</w:t>
            </w:r>
            <w:r>
              <w:rPr>
                <w:rFonts w:hint="default" w:ascii="Times New Roman" w:hAnsi="Times New Roman" w:eastAsia="宋体" w:cs="Times New Roman"/>
                <w:b w:val="0"/>
                <w:bCs/>
                <w:i w:val="0"/>
                <w:iCs w:val="0"/>
                <w:caps w:val="0"/>
                <w:color w:val="333333"/>
                <w:spacing w:val="0"/>
                <w:sz w:val="24"/>
                <w:szCs w:val="24"/>
                <w:shd w:val="clear" w:fill="FFFFFF"/>
              </w:rPr>
              <w:t>‌</w:t>
            </w:r>
            <w:r>
              <w:rPr>
                <w:rStyle w:val="35"/>
                <w:rFonts w:hint="default" w:ascii="Times New Roman" w:hAnsi="Times New Roman" w:eastAsia="宋体" w:cs="Times New Roman"/>
                <w:b w:val="0"/>
                <w:bCs/>
                <w:i w:val="0"/>
                <w:iCs w:val="0"/>
                <w:caps w:val="0"/>
                <w:color w:val="333333"/>
                <w:spacing w:val="0"/>
                <w:sz w:val="24"/>
                <w:szCs w:val="24"/>
                <w:shd w:val="clear" w:fill="FFFFFF"/>
              </w:rPr>
              <w:t>使用环保型绝缘油</w:t>
            </w:r>
            <w:r>
              <w:rPr>
                <w:rFonts w:hint="default" w:ascii="Times New Roman" w:hAnsi="Times New Roman" w:eastAsia="宋体" w:cs="Times New Roman"/>
                <w:b w:val="0"/>
                <w:bCs/>
                <w:i w:val="0"/>
                <w:iCs w:val="0"/>
                <w:caps w:val="0"/>
                <w:color w:val="333333"/>
                <w:spacing w:val="0"/>
                <w:sz w:val="24"/>
                <w:szCs w:val="24"/>
                <w:shd w:val="clear" w:fill="FFFFFF"/>
              </w:rPr>
              <w:t>‌</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选择生物降解的绝缘油等环保材料，减少对环境的影响‌</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w:t>
            </w:r>
            <w:r>
              <w:rPr>
                <w:rStyle w:val="35"/>
                <w:rFonts w:hint="default" w:ascii="Times New Roman" w:hAnsi="Times New Roman" w:eastAsia="宋体" w:cs="Times New Roman"/>
                <w:b w:val="0"/>
                <w:bCs/>
                <w:i w:val="0"/>
                <w:iCs w:val="0"/>
                <w:caps w:val="0"/>
                <w:color w:val="333333"/>
                <w:spacing w:val="0"/>
                <w:sz w:val="24"/>
                <w:szCs w:val="24"/>
                <w:shd w:val="clear" w:fill="FFFFFF"/>
              </w:rPr>
              <w:t>调整变压器的运行模式</w:t>
            </w:r>
            <w:r>
              <w:rPr>
                <w:rFonts w:hint="default" w:ascii="Times New Roman" w:hAnsi="Times New Roman" w:eastAsia="宋体" w:cs="Times New Roman"/>
                <w:b w:val="0"/>
                <w:bCs/>
                <w:i w:val="0"/>
                <w:iCs w:val="0"/>
                <w:caps w:val="0"/>
                <w:color w:val="333333"/>
                <w:spacing w:val="0"/>
                <w:sz w:val="24"/>
                <w:szCs w:val="24"/>
                <w:shd w:val="clear" w:fill="FFFFFF"/>
              </w:rPr>
              <w:t>‌</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合理调整变压器的运行模式，减少能源浪费‌</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w:t>
            </w:r>
            <w:r>
              <w:rPr>
                <w:rStyle w:val="35"/>
                <w:rFonts w:hint="default" w:ascii="Times New Roman" w:hAnsi="Times New Roman" w:eastAsia="宋体" w:cs="Times New Roman"/>
                <w:b w:val="0"/>
                <w:bCs/>
                <w:i w:val="0"/>
                <w:iCs w:val="0"/>
                <w:caps w:val="0"/>
                <w:color w:val="333333"/>
                <w:spacing w:val="0"/>
                <w:sz w:val="24"/>
                <w:szCs w:val="24"/>
                <w:shd w:val="clear" w:fill="FFFFFF"/>
              </w:rPr>
              <w:t>添加吸声材料</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在变压器的外部或内部添加吸声材料，降低噪音对附近居民的影响‌</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w:t>
            </w:r>
            <w:r>
              <w:rPr>
                <w:rStyle w:val="35"/>
                <w:rFonts w:hint="default" w:ascii="Times New Roman" w:hAnsi="Times New Roman" w:eastAsia="宋体" w:cs="Times New Roman"/>
                <w:b w:val="0"/>
                <w:bCs/>
                <w:i w:val="0"/>
                <w:iCs w:val="0"/>
                <w:caps w:val="0"/>
                <w:color w:val="333333"/>
                <w:spacing w:val="0"/>
                <w:sz w:val="24"/>
                <w:szCs w:val="24"/>
                <w:shd w:val="clear" w:fill="FFFFFF"/>
              </w:rPr>
              <w:t>加强废物处理</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使用环保型材料，完善废弃物的处理，减少对环境的影响‌</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w:t>
            </w:r>
            <w:r>
              <w:rPr>
                <w:rStyle w:val="35"/>
                <w:rFonts w:hint="default" w:ascii="Times New Roman" w:hAnsi="Times New Roman" w:eastAsia="宋体" w:cs="Times New Roman"/>
                <w:b w:val="0"/>
                <w:bCs/>
                <w:i w:val="0"/>
                <w:iCs w:val="0"/>
                <w:caps w:val="0"/>
                <w:color w:val="333333"/>
                <w:spacing w:val="0"/>
                <w:sz w:val="24"/>
                <w:szCs w:val="24"/>
                <w:shd w:val="clear" w:fill="FFFFFF"/>
              </w:rPr>
              <w:t>加强监测与维护</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加强对变压器的检测与维护，及时排查故障，避免能源浪费</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w:t>
            </w:r>
          </w:p>
          <w:p w14:paraId="158F9730">
            <w:pPr>
              <w:pStyle w:val="2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default" w:ascii="Times New Roman" w:hAnsi="Times New Roman" w:eastAsia="宋体" w:cs="Times New Roman"/>
                <w:b w:val="0"/>
                <w:bCs/>
                <w:sz w:val="24"/>
                <w:szCs w:val="24"/>
              </w:rPr>
            </w:pPr>
            <w:r>
              <w:rPr>
                <w:rFonts w:hint="eastAsia" w:ascii="Times New Roman" w:hAnsi="Times New Roman" w:eastAsia="宋体" w:cs="Times New Roman"/>
                <w:b w:val="0"/>
                <w:bCs/>
                <w:i w:val="0"/>
                <w:iCs w:val="0"/>
                <w:color w:val="333333"/>
                <w:spacing w:val="0"/>
                <w:sz w:val="24"/>
                <w:szCs w:val="24"/>
                <w:shd w:val="clear" w:fill="FFFFFF"/>
                <w:lang w:val="en-US" w:eastAsia="zh-CN"/>
              </w:rPr>
              <w:t>b</w:t>
            </w:r>
            <w:r>
              <w:rPr>
                <w:rFonts w:hint="eastAsia" w:ascii="Times New Roman" w:hAnsi="Times New Roman" w:eastAsia="宋体" w:cs="Times New Roman"/>
                <w:b w:val="0"/>
                <w:bCs/>
                <w:i w:val="0"/>
                <w:iCs w:val="0"/>
                <w:caps w:val="0"/>
                <w:color w:val="333333"/>
                <w:spacing w:val="0"/>
                <w:sz w:val="24"/>
                <w:szCs w:val="24"/>
                <w:shd w:val="clear" w:fill="FFFFFF"/>
                <w:lang w:val="en-US" w:eastAsia="zh-CN"/>
              </w:rPr>
              <w:t>、</w:t>
            </w:r>
            <w:r>
              <w:rPr>
                <w:rFonts w:hint="default" w:ascii="Times New Roman" w:hAnsi="Times New Roman" w:eastAsia="宋体" w:cs="Times New Roman"/>
                <w:b w:val="0"/>
                <w:bCs/>
                <w:i w:val="0"/>
                <w:iCs w:val="0"/>
                <w:caps w:val="0"/>
                <w:color w:val="333333"/>
                <w:spacing w:val="0"/>
                <w:sz w:val="24"/>
                <w:szCs w:val="24"/>
                <w:shd w:val="clear" w:fill="FFFFFF"/>
              </w:rPr>
              <w:t>‌</w:t>
            </w:r>
            <w:r>
              <w:rPr>
                <w:rStyle w:val="35"/>
                <w:rFonts w:hint="default" w:ascii="Times New Roman" w:hAnsi="Times New Roman" w:eastAsia="宋体" w:cs="Times New Roman"/>
                <w:b w:val="0"/>
                <w:bCs/>
                <w:i w:val="0"/>
                <w:iCs w:val="0"/>
                <w:caps w:val="0"/>
                <w:color w:val="333333"/>
                <w:spacing w:val="0"/>
                <w:sz w:val="24"/>
                <w:szCs w:val="24"/>
                <w:shd w:val="clear" w:fill="FFFFFF"/>
              </w:rPr>
              <w:t>瓦斯保护</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通过瓦斯继电器检测变压器内部的故障，实现跳闸保护，防止故障扩大</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w:t>
            </w:r>
            <w:r>
              <w:rPr>
                <w:rStyle w:val="35"/>
                <w:rFonts w:hint="default" w:ascii="Times New Roman" w:hAnsi="Times New Roman" w:eastAsia="宋体" w:cs="Times New Roman"/>
                <w:b w:val="0"/>
                <w:bCs/>
                <w:i w:val="0"/>
                <w:iCs w:val="0"/>
                <w:caps w:val="0"/>
                <w:color w:val="333333"/>
                <w:spacing w:val="0"/>
                <w:sz w:val="24"/>
                <w:szCs w:val="24"/>
                <w:shd w:val="clear" w:fill="FFFFFF"/>
              </w:rPr>
              <w:t>温度保护</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通过温控仪测量绕组温度，设置低温报警和高温跳闸信号，确保变压器安全运行‌</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w:t>
            </w:r>
            <w:r>
              <w:rPr>
                <w:rStyle w:val="35"/>
                <w:rFonts w:hint="default" w:ascii="Times New Roman" w:hAnsi="Times New Roman" w:eastAsia="宋体" w:cs="Times New Roman"/>
                <w:b w:val="0"/>
                <w:bCs/>
                <w:i w:val="0"/>
                <w:iCs w:val="0"/>
                <w:caps w:val="0"/>
                <w:color w:val="333333"/>
                <w:spacing w:val="0"/>
                <w:sz w:val="24"/>
                <w:szCs w:val="24"/>
                <w:shd w:val="clear" w:fill="FFFFFF"/>
              </w:rPr>
              <w:t>室内保护</w:t>
            </w:r>
            <w:r>
              <w:rPr>
                <w:rFonts w:hint="default" w:ascii="Times New Roman" w:hAnsi="Times New Roman" w:eastAsia="宋体" w:cs="Times New Roman"/>
                <w:b w:val="0"/>
                <w:bCs/>
                <w:i w:val="0"/>
                <w:iCs w:val="0"/>
                <w:caps w:val="0"/>
                <w:color w:val="333333"/>
                <w:spacing w:val="0"/>
                <w:sz w:val="24"/>
                <w:szCs w:val="24"/>
                <w:shd w:val="clear" w:fill="FFFFFF"/>
              </w:rPr>
              <w:t>‌</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使用</w:t>
            </w:r>
            <w:r>
              <w:rPr>
                <w:rFonts w:hint="eastAsia" w:ascii="Times New Roman" w:hAnsi="Times New Roman" w:eastAsia="宋体" w:cs="Times New Roman"/>
                <w:b w:val="0"/>
                <w:bCs/>
                <w:i w:val="0"/>
                <w:iCs w:val="0"/>
                <w:caps w:val="0"/>
                <w:color w:val="333333"/>
                <w:spacing w:val="0"/>
                <w:sz w:val="24"/>
                <w:szCs w:val="24"/>
                <w:shd w:val="clear" w:fill="FFFFFF"/>
                <w:lang w:val="en-US" w:eastAsia="zh-CN"/>
              </w:rPr>
              <w:t>专业</w:t>
            </w:r>
            <w:r>
              <w:rPr>
                <w:rFonts w:hint="default" w:ascii="Times New Roman" w:hAnsi="Times New Roman" w:eastAsia="宋体" w:cs="Times New Roman"/>
                <w:b w:val="0"/>
                <w:bCs/>
                <w:i w:val="0"/>
                <w:iCs w:val="0"/>
                <w:caps w:val="0"/>
                <w:color w:val="333333"/>
                <w:spacing w:val="0"/>
                <w:sz w:val="24"/>
                <w:szCs w:val="24"/>
                <w:shd w:val="clear" w:fill="FFFFFF"/>
              </w:rPr>
              <w:t>防护外壳防止小动物进入，避免短路风险‌</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w:t>
            </w:r>
            <w:r>
              <w:rPr>
                <w:rStyle w:val="35"/>
                <w:rFonts w:hint="default" w:ascii="Times New Roman" w:hAnsi="Times New Roman" w:eastAsia="宋体" w:cs="Times New Roman"/>
                <w:b w:val="0"/>
                <w:bCs/>
                <w:i w:val="0"/>
                <w:iCs w:val="0"/>
                <w:caps w:val="0"/>
                <w:color w:val="333333"/>
                <w:spacing w:val="0"/>
                <w:sz w:val="24"/>
                <w:szCs w:val="24"/>
                <w:shd w:val="clear" w:fill="FFFFFF"/>
              </w:rPr>
              <w:t>室外保护</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采用专业的室外保护外壳，防止雨水进入，调整角度避免水滴进入变压器‌。</w:t>
            </w:r>
          </w:p>
          <w:p w14:paraId="650B3ED6">
            <w:pPr>
              <w:pStyle w:val="2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00" w:lineRule="exact"/>
              <w:ind w:left="0" w:right="0" w:firstLine="480" w:firstLineChars="200"/>
              <w:textAlignment w:val="auto"/>
              <w:rPr>
                <w:rFonts w:hint="eastAsia" w:ascii="Times New Roman" w:hAnsi="Times New Roman" w:eastAsia="宋体" w:cs="Times New Roman"/>
                <w:b w:val="0"/>
                <w:bCs/>
                <w:sz w:val="24"/>
                <w:szCs w:val="24"/>
                <w:highlight w:val="none"/>
                <w:lang w:eastAsia="zh-CN"/>
              </w:rPr>
            </w:pPr>
            <w:r>
              <w:rPr>
                <w:rFonts w:hint="eastAsia" w:ascii="Times New Roman" w:hAnsi="Times New Roman" w:eastAsia="宋体" w:cs="Times New Roman"/>
                <w:b w:val="0"/>
                <w:bCs/>
                <w:i w:val="0"/>
                <w:iCs w:val="0"/>
                <w:color w:val="333333"/>
                <w:spacing w:val="0"/>
                <w:sz w:val="24"/>
                <w:szCs w:val="24"/>
                <w:shd w:val="clear" w:fill="FFFFFF"/>
                <w:lang w:val="en-US" w:eastAsia="zh-CN"/>
              </w:rPr>
              <w:t>c</w:t>
            </w:r>
            <w:r>
              <w:rPr>
                <w:rFonts w:hint="eastAsia" w:ascii="Times New Roman" w:hAnsi="Times New Roman" w:eastAsia="宋体" w:cs="Times New Roman"/>
                <w:b w:val="0"/>
                <w:bCs/>
                <w:i w:val="0"/>
                <w:iCs w:val="0"/>
                <w:caps w:val="0"/>
                <w:color w:val="333333"/>
                <w:spacing w:val="0"/>
                <w:sz w:val="24"/>
                <w:szCs w:val="24"/>
                <w:shd w:val="clear" w:fill="FFFFFF"/>
                <w:lang w:val="en-US" w:eastAsia="zh-CN"/>
              </w:rPr>
              <w:t>、</w:t>
            </w:r>
            <w:r>
              <w:rPr>
                <w:rFonts w:hint="default" w:ascii="Times New Roman" w:hAnsi="Times New Roman" w:eastAsia="宋体" w:cs="Times New Roman"/>
                <w:b w:val="0"/>
                <w:bCs/>
                <w:i w:val="0"/>
                <w:iCs w:val="0"/>
                <w:caps w:val="0"/>
                <w:color w:val="333333"/>
                <w:spacing w:val="0"/>
                <w:sz w:val="24"/>
                <w:szCs w:val="24"/>
                <w:shd w:val="clear" w:fill="FFFFFF"/>
              </w:rPr>
              <w:t>变压器周围严禁有灰尘、腐蚀性气体‌</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变压器室必须使用砖墙，屋顶不准用木质类、油毡类建筑材料‌</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变压器室门要用金属制成并向外开，门外写有</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高压危险</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字样</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变压器下边应有储油坑，坑内铺上卵石，地面向坑边稍有倾斜‌</w:t>
            </w:r>
            <w:r>
              <w:rPr>
                <w:rFonts w:hint="eastAsia" w:ascii="Times New Roman" w:hAnsi="Times New Roman" w:eastAsia="宋体" w:cs="Times New Roman"/>
                <w:b w:val="0"/>
                <w:bCs/>
                <w:i w:val="0"/>
                <w:iCs w:val="0"/>
                <w:caps w:val="0"/>
                <w:color w:val="333333"/>
                <w:spacing w:val="0"/>
                <w:sz w:val="24"/>
                <w:szCs w:val="24"/>
                <w:shd w:val="clear" w:fill="FFFFFF"/>
                <w:lang w:eastAsia="zh-CN"/>
              </w:rPr>
              <w:t>；</w:t>
            </w:r>
            <w:r>
              <w:rPr>
                <w:rFonts w:hint="default" w:ascii="Times New Roman" w:hAnsi="Times New Roman" w:eastAsia="宋体" w:cs="Times New Roman"/>
                <w:b w:val="0"/>
                <w:bCs/>
                <w:i w:val="0"/>
                <w:iCs w:val="0"/>
                <w:caps w:val="0"/>
                <w:color w:val="333333"/>
                <w:spacing w:val="0"/>
                <w:sz w:val="24"/>
                <w:szCs w:val="24"/>
                <w:shd w:val="clear" w:fill="FFFFFF"/>
              </w:rPr>
              <w:t>变压器室</w:t>
            </w:r>
            <w:r>
              <w:rPr>
                <w:rFonts w:hint="default" w:ascii="Times New Roman" w:hAnsi="Times New Roman" w:eastAsia="宋体" w:cs="Times New Roman"/>
                <w:b w:val="0"/>
                <w:bCs/>
                <w:i w:val="0"/>
                <w:iCs w:val="0"/>
                <w:caps w:val="0"/>
                <w:color w:val="333333"/>
                <w:spacing w:val="0"/>
                <w:sz w:val="24"/>
                <w:szCs w:val="24"/>
                <w:highlight w:val="none"/>
                <w:shd w:val="clear" w:fill="FFFFFF"/>
              </w:rPr>
              <w:t>门侧下方应有通风道，墙上高处应装有通风孔</w:t>
            </w:r>
            <w:r>
              <w:rPr>
                <w:rFonts w:hint="eastAsia" w:ascii="Times New Roman" w:hAnsi="Times New Roman" w:eastAsia="宋体" w:cs="Times New Roman"/>
                <w:b w:val="0"/>
                <w:bCs/>
                <w:i w:val="0"/>
                <w:iCs w:val="0"/>
                <w:caps w:val="0"/>
                <w:color w:val="333333"/>
                <w:spacing w:val="0"/>
                <w:sz w:val="24"/>
                <w:szCs w:val="24"/>
                <w:highlight w:val="none"/>
                <w:shd w:val="clear" w:fill="FFFFFF"/>
                <w:lang w:eastAsia="zh-CN"/>
              </w:rPr>
              <w:t>。</w:t>
            </w:r>
          </w:p>
          <w:p w14:paraId="44B67CAB">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2" w:firstLineChars="200"/>
              <w:textAlignment w:val="auto"/>
              <w:rPr>
                <w:rFonts w:hint="eastAsia" w:ascii="Times New Roman" w:hAnsi="Times New Roman" w:eastAsia="宋体" w:cs="Times New Roman"/>
                <w:b/>
                <w:bCs w:val="0"/>
                <w:color w:val="auto"/>
                <w:kern w:val="2"/>
                <w:sz w:val="24"/>
                <w:u w:val="none"/>
                <w:lang w:val="zh-CN" w:eastAsia="zh-CN" w:bidi="ar-SA"/>
              </w:rPr>
            </w:pPr>
            <w:r>
              <w:rPr>
                <w:rFonts w:hint="eastAsia" w:ascii="Times New Roman" w:hAnsi="Times New Roman" w:cs="Times New Roman"/>
                <w:b/>
                <w:bCs w:val="0"/>
                <w:color w:val="auto"/>
                <w:kern w:val="2"/>
                <w:sz w:val="24"/>
                <w:u w:val="none"/>
                <w:lang w:val="en-US" w:eastAsia="zh-CN" w:bidi="ar-SA"/>
              </w:rPr>
              <w:t>⑥</w:t>
            </w:r>
            <w:r>
              <w:rPr>
                <w:rFonts w:hint="eastAsia" w:ascii="Times New Roman" w:hAnsi="Times New Roman" w:eastAsia="宋体" w:cs="Times New Roman"/>
                <w:b/>
                <w:bCs w:val="0"/>
                <w:color w:val="auto"/>
                <w:kern w:val="2"/>
                <w:sz w:val="24"/>
                <w:u w:val="none"/>
                <w:lang w:val="zh-CN" w:eastAsia="zh-CN" w:bidi="ar-SA"/>
              </w:rPr>
              <w:t>安全管理方面的措施</w:t>
            </w:r>
          </w:p>
          <w:p w14:paraId="34224591">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a、应按照《企业事业单位突发环境事件应急预案编制备案管理办法（试行）》编制风险应急预案并在相关部门进行备案。</w:t>
            </w:r>
          </w:p>
          <w:p w14:paraId="04357733">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b、制定安全生产规章制度和操作规程，其中安全生产规章制度包括安全检查制度、巡检制度、交接班制度、从业人员培训制度（含新进人员）、奖惩制度等；操作规程应包括正常操作条件、检修操作、设备和管道的更换、检修程序和发生故障时的应急方案等。</w:t>
            </w:r>
          </w:p>
          <w:p w14:paraId="18F3051C">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c、对从业人员（含新进人员）进行安全生产教育和培训。内容包括易燃易爆物料的特性（物理、化学性质），中毒危害及防护、自然措施∶岗位操作规程、设备使用操作规程，做到考核合格持证上岗。</w:t>
            </w:r>
          </w:p>
          <w:p w14:paraId="6F935C3B">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d、重要岗位要编制安全检查表和事故应急预案，经常进行检查和事故救援演习，采取重点监控的措施。</w:t>
            </w:r>
          </w:p>
          <w:p w14:paraId="40112026">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cs="Times New Roman"/>
                <w:bCs/>
                <w:color w:val="auto"/>
                <w:kern w:val="2"/>
                <w:sz w:val="24"/>
                <w:u w:val="none"/>
                <w:lang w:val="en-US" w:eastAsia="zh-CN" w:bidi="ar-SA"/>
              </w:rPr>
              <w:t>e</w:t>
            </w:r>
            <w:r>
              <w:rPr>
                <w:rFonts w:hint="eastAsia" w:ascii="Times New Roman" w:hAnsi="Times New Roman" w:eastAsia="宋体" w:cs="Times New Roman"/>
                <w:bCs/>
                <w:color w:val="auto"/>
                <w:kern w:val="2"/>
                <w:sz w:val="24"/>
                <w:u w:val="none"/>
                <w:lang w:val="zh-CN" w:eastAsia="zh-CN" w:bidi="ar-SA"/>
              </w:rPr>
              <w:t>、对安全系统、安全设施及防护用具要指定专人负责，经常进行维护和保养，使之随时处于完好备用状态。</w:t>
            </w:r>
          </w:p>
          <w:p w14:paraId="2B52A770">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cs="Times New Roman"/>
                <w:bCs/>
                <w:color w:val="auto"/>
                <w:kern w:val="2"/>
                <w:sz w:val="24"/>
                <w:u w:val="none"/>
                <w:lang w:val="en-US" w:eastAsia="zh-CN" w:bidi="ar-SA"/>
              </w:rPr>
              <w:t>f</w:t>
            </w:r>
            <w:r>
              <w:rPr>
                <w:rFonts w:hint="eastAsia" w:ascii="Times New Roman" w:hAnsi="Times New Roman" w:eastAsia="宋体" w:cs="Times New Roman"/>
                <w:bCs/>
                <w:color w:val="auto"/>
                <w:kern w:val="2"/>
                <w:sz w:val="24"/>
                <w:u w:val="none"/>
                <w:lang w:val="zh-CN" w:eastAsia="zh-CN" w:bidi="ar-SA"/>
              </w:rPr>
              <w:t>、消防器材要设置在明显、取用方便的地方，要经常检查，做到“三定”（定点、定型号和用量、定专人维护管理），不准挪作他用，还应按规定定期检测，保持完好。</w:t>
            </w:r>
          </w:p>
          <w:p w14:paraId="28301026">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cs="Times New Roman"/>
                <w:bCs/>
                <w:color w:val="auto"/>
                <w:kern w:val="2"/>
                <w:sz w:val="24"/>
                <w:u w:val="none"/>
                <w:lang w:val="en-US" w:eastAsia="zh-CN" w:bidi="ar-SA"/>
              </w:rPr>
              <w:t>g</w:t>
            </w:r>
            <w:r>
              <w:rPr>
                <w:rFonts w:hint="eastAsia" w:ascii="Times New Roman" w:hAnsi="Times New Roman" w:eastAsia="宋体" w:cs="Times New Roman"/>
                <w:bCs/>
                <w:color w:val="auto"/>
                <w:kern w:val="2"/>
                <w:sz w:val="24"/>
                <w:u w:val="none"/>
                <w:lang w:val="zh-CN" w:eastAsia="zh-CN" w:bidi="ar-SA"/>
              </w:rPr>
              <w:t>、在进行维护、检修存在有瓦斯气的生产装置时，必须事先制定维护、检修方案，明确职业中毒危害防护措施，确保维护、检修人员的生命安全和身体健康。进入柜体检修，必须严格执行进入设备和入柜的“八个必须”；动火作业</w:t>
            </w:r>
          </w:p>
          <w:p w14:paraId="34A0A462">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eastAsia="宋体" w:cs="Times New Roman"/>
                <w:bCs/>
                <w:color w:val="auto"/>
                <w:kern w:val="2"/>
                <w:sz w:val="24"/>
                <w:u w:val="none"/>
                <w:lang w:val="zh-CN" w:eastAsia="zh-CN" w:bidi="ar-SA"/>
              </w:rPr>
              <w:t>必须严格执行动火作业的"六大禁令"。</w:t>
            </w:r>
          </w:p>
          <w:p w14:paraId="034A6556">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u w:val="none"/>
                <w:lang w:val="zh-CN" w:eastAsia="zh-CN" w:bidi="ar-SA"/>
              </w:rPr>
            </w:pPr>
            <w:r>
              <w:rPr>
                <w:rFonts w:hint="eastAsia" w:ascii="Times New Roman" w:hAnsi="Times New Roman" w:cs="Times New Roman"/>
                <w:bCs/>
                <w:color w:val="auto"/>
                <w:kern w:val="2"/>
                <w:sz w:val="24"/>
                <w:u w:val="none"/>
                <w:lang w:val="en-US" w:eastAsia="zh-CN" w:bidi="ar-SA"/>
              </w:rPr>
              <w:t>h</w:t>
            </w:r>
            <w:r>
              <w:rPr>
                <w:rFonts w:hint="eastAsia" w:ascii="Times New Roman" w:hAnsi="Times New Roman" w:eastAsia="宋体" w:cs="Times New Roman"/>
                <w:bCs/>
                <w:color w:val="auto"/>
                <w:kern w:val="2"/>
                <w:sz w:val="24"/>
                <w:u w:val="none"/>
                <w:lang w:val="zh-CN" w:eastAsia="zh-CN" w:bidi="ar-SA"/>
              </w:rPr>
              <w:t>、为防止事故查锁，恶性扩大，确保瓦斯气设施的安全运行和生产，建设单位应制定相应的详细事故应急救援预案.</w:t>
            </w:r>
          </w:p>
          <w:p w14:paraId="14A9A7E4">
            <w:pPr>
              <w:keepNext w:val="0"/>
              <w:keepLines w:val="0"/>
              <w:pageBreakBefore w:val="0"/>
              <w:suppressLineNumbers w:val="0"/>
              <w:kinsoku/>
              <w:wordWrap/>
              <w:overflowPunct/>
              <w:topLinePunct w:val="0"/>
              <w:autoSpaceDE/>
              <w:autoSpaceDN/>
              <w:bidi w:val="0"/>
              <w:adjustRightInd/>
              <w:snapToGrid/>
              <w:spacing w:beforeAutospacing="0" w:afterAutospacing="0" w:line="500" w:lineRule="exact"/>
              <w:ind w:left="0" w:leftChars="0" w:right="0" w:firstLine="480" w:firstLineChars="200"/>
              <w:textAlignment w:val="auto"/>
              <w:rPr>
                <w:rFonts w:hint="eastAsia" w:ascii="Times New Roman" w:hAnsi="Times New Roman" w:eastAsia="宋体" w:cs="Times New Roman"/>
                <w:bCs/>
                <w:color w:val="auto"/>
                <w:kern w:val="2"/>
                <w:sz w:val="24"/>
                <w:szCs w:val="20"/>
                <w:u w:val="none"/>
                <w:lang w:val="zh-CN" w:eastAsia="zh-CN" w:bidi="ar-SA"/>
              </w:rPr>
            </w:pPr>
            <w:r>
              <w:rPr>
                <w:rFonts w:hint="eastAsia" w:ascii="Times New Roman" w:hAnsi="Times New Roman" w:eastAsia="宋体" w:cs="Times New Roman"/>
                <w:bCs/>
                <w:color w:val="auto"/>
                <w:kern w:val="2"/>
                <w:sz w:val="24"/>
                <w:szCs w:val="20"/>
                <w:u w:val="none"/>
                <w:lang w:val="zh-CN" w:eastAsia="zh-CN" w:bidi="ar-SA"/>
              </w:rPr>
              <w:t>（</w:t>
            </w:r>
            <w:r>
              <w:rPr>
                <w:rFonts w:hint="eastAsia" w:cs="Times New Roman"/>
                <w:bCs/>
                <w:color w:val="auto"/>
                <w:kern w:val="2"/>
                <w:sz w:val="24"/>
                <w:szCs w:val="20"/>
                <w:u w:val="none"/>
                <w:lang w:val="en-US" w:eastAsia="zh-CN" w:bidi="ar-SA"/>
              </w:rPr>
              <w:t>7</w:t>
            </w:r>
            <w:r>
              <w:rPr>
                <w:rFonts w:hint="eastAsia" w:ascii="Times New Roman" w:hAnsi="Times New Roman" w:eastAsia="宋体" w:cs="Times New Roman"/>
                <w:bCs/>
                <w:color w:val="auto"/>
                <w:kern w:val="2"/>
                <w:sz w:val="24"/>
                <w:szCs w:val="20"/>
                <w:u w:val="none"/>
                <w:lang w:val="zh-CN" w:eastAsia="zh-CN" w:bidi="ar-SA"/>
              </w:rPr>
              <w:t>）</w:t>
            </w:r>
            <w:r>
              <w:rPr>
                <w:rFonts w:hint="default" w:ascii="Times New Roman" w:hAnsi="Times New Roman" w:eastAsia="宋体" w:cs="Times New Roman"/>
                <w:bCs/>
                <w:color w:val="auto"/>
                <w:kern w:val="2"/>
                <w:sz w:val="24"/>
                <w:szCs w:val="20"/>
                <w:u w:val="none"/>
                <w:lang w:val="zh-CN" w:eastAsia="zh-CN" w:bidi="ar-SA"/>
              </w:rPr>
              <w:t>环境风险评价结论</w:t>
            </w:r>
          </w:p>
          <w:p w14:paraId="674C81BB">
            <w:pPr>
              <w:keepNext w:val="0"/>
              <w:keepLines w:val="0"/>
              <w:pageBreakBefore w:val="0"/>
              <w:suppressLineNumbers w:val="0"/>
              <w:kinsoku/>
              <w:wordWrap/>
              <w:overflowPunct/>
              <w:topLinePunct w:val="0"/>
              <w:autoSpaceDE/>
              <w:autoSpaceDN/>
              <w:bidi w:val="0"/>
              <w:adjustRightInd/>
              <w:snapToGrid/>
              <w:spacing w:beforeAutospacing="0" w:afterAutospacing="0" w:line="500" w:lineRule="exact"/>
              <w:ind w:left="0" w:leftChars="0" w:right="0" w:firstLine="480" w:firstLineChars="200"/>
              <w:textAlignment w:val="auto"/>
              <w:rPr>
                <w:rFonts w:hint="default" w:ascii="Times New Roman" w:hAnsi="Times New Roman" w:cs="Times New Roman"/>
                <w:bCs/>
                <w:color w:val="auto"/>
                <w:sz w:val="24"/>
                <w:szCs w:val="20"/>
              </w:rPr>
            </w:pPr>
            <w:r>
              <w:rPr>
                <w:rFonts w:hint="eastAsia" w:ascii="Times New Roman" w:hAnsi="宋体" w:cs="Times New Roman"/>
                <w:color w:val="auto"/>
                <w:sz w:val="24"/>
              </w:rPr>
              <w:t>综上，项目可能的风险事故主要是</w:t>
            </w:r>
            <w:r>
              <w:rPr>
                <w:rFonts w:hint="eastAsia" w:hAnsi="宋体" w:cs="Times New Roman"/>
                <w:color w:val="auto"/>
                <w:sz w:val="24"/>
                <w:lang w:val="en-US" w:eastAsia="zh-CN"/>
              </w:rPr>
              <w:t>瓦斯泄漏和油类物质</w:t>
            </w:r>
            <w:r>
              <w:rPr>
                <w:rFonts w:hint="eastAsia" w:ascii="Times New Roman" w:hAnsi="宋体" w:cs="Times New Roman"/>
                <w:color w:val="auto"/>
                <w:sz w:val="24"/>
              </w:rPr>
              <w:t>泄漏导致环境污染事故。项目可能的风险事故主要为存放物料的单元发生泄漏事故，导致地下水、土壤环境污染风险，建设方运营中应落实工程和环评的相关要求和建议，建立安全生产规章制度，配备相关应急设备，认真实施，减小风险事故对环境的影响。</w:t>
            </w:r>
            <w:r>
              <w:rPr>
                <w:rFonts w:hint="default" w:ascii="Times New Roman" w:hAnsi="宋体" w:cs="Times New Roman"/>
                <w:bCs/>
                <w:color w:val="auto"/>
                <w:sz w:val="24"/>
                <w:szCs w:val="20"/>
              </w:rPr>
              <w:t>通过上述分析，建设项目环境风险分析内容见表</w:t>
            </w:r>
            <w:r>
              <w:rPr>
                <w:rFonts w:hint="eastAsia" w:hAnsi="宋体" w:cs="Times New Roman"/>
                <w:bCs/>
                <w:color w:val="auto"/>
                <w:sz w:val="24"/>
                <w:szCs w:val="20"/>
                <w:lang w:val="en-US" w:eastAsia="zh-CN"/>
              </w:rPr>
              <w:t>4-20</w:t>
            </w:r>
            <w:r>
              <w:rPr>
                <w:rFonts w:hint="default" w:ascii="Times New Roman" w:hAnsi="宋体" w:cs="Times New Roman"/>
                <w:bCs/>
                <w:color w:val="auto"/>
                <w:sz w:val="24"/>
                <w:szCs w:val="20"/>
              </w:rPr>
              <w:t>。</w:t>
            </w:r>
          </w:p>
          <w:p w14:paraId="2C1E70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黑体" w:cs="Times New Roman"/>
                <w:color w:val="auto"/>
                <w:sz w:val="24"/>
                <w:u w:val="none"/>
                <w:lang w:val="en-US" w:eastAsia="zh-CN"/>
              </w:rPr>
            </w:pPr>
            <w:r>
              <w:rPr>
                <w:rFonts w:hint="eastAsia" w:ascii="Times New Roman" w:hAnsi="Times New Roman" w:eastAsia="黑体" w:cs="Times New Roman"/>
                <w:color w:val="auto"/>
                <w:sz w:val="24"/>
                <w:u w:val="none"/>
                <w:lang w:val="en-US" w:eastAsia="zh-CN"/>
              </w:rPr>
              <w:t>表</w:t>
            </w:r>
            <w:r>
              <w:rPr>
                <w:rFonts w:hint="eastAsia" w:eastAsia="黑体" w:cs="Times New Roman"/>
                <w:color w:val="auto"/>
                <w:sz w:val="24"/>
                <w:u w:val="none"/>
                <w:lang w:val="en-US" w:eastAsia="zh-CN"/>
              </w:rPr>
              <w:t>4-20</w:t>
            </w:r>
            <w:r>
              <w:rPr>
                <w:rFonts w:hint="eastAsia" w:ascii="Times New Roman" w:hAnsi="Times New Roman" w:eastAsia="黑体" w:cs="Times New Roman"/>
                <w:color w:val="auto"/>
                <w:sz w:val="24"/>
                <w:u w:val="none"/>
                <w:lang w:val="en-US" w:eastAsia="zh-CN"/>
              </w:rPr>
              <w:t xml:space="preserve"> 建设项目环境风险简单分析内容表</w:t>
            </w:r>
          </w:p>
          <w:tbl>
            <w:tblPr>
              <w:tblStyle w:val="32"/>
              <w:tblW w:w="8659" w:type="dxa"/>
              <w:tblInd w:w="-7" w:type="dxa"/>
              <w:tblBorders>
                <w:top w:val="single" w:color="auto" w:sz="4" w:space="0"/>
                <w:left w:val="single" w:color="auto" w:sz="6" w:space="0"/>
                <w:bottom w:val="single" w:color="auto" w:sz="4"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22"/>
              <w:gridCol w:w="980"/>
              <w:gridCol w:w="1066"/>
              <w:gridCol w:w="1830"/>
              <w:gridCol w:w="981"/>
              <w:gridCol w:w="2980"/>
            </w:tblGrid>
            <w:tr w14:paraId="281D54B4">
              <w:tblPrEx>
                <w:tblBorders>
                  <w:top w:val="single" w:color="auto" w:sz="4" w:space="0"/>
                  <w:left w:val="single" w:color="auto" w:sz="6" w:space="0"/>
                  <w:bottom w:val="single" w:color="auto"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35" w:hRule="atLeast"/>
              </w:trPr>
              <w:tc>
                <w:tcPr>
                  <w:tcW w:w="1802" w:type="dxa"/>
                  <w:gridSpan w:val="2"/>
                  <w:tcBorders>
                    <w:tl2br w:val="nil"/>
                    <w:tr2bl w:val="nil"/>
                  </w:tcBorders>
                  <w:vAlign w:val="center"/>
                </w:tcPr>
                <w:p w14:paraId="16A7D39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color w:val="auto"/>
                      <w:szCs w:val="21"/>
                      <w:u w:val="none"/>
                    </w:rPr>
                  </w:pPr>
                  <w:r>
                    <w:rPr>
                      <w:rFonts w:hint="default" w:ascii="Times New Roman" w:hAnsi="宋体" w:cs="Times New Roman"/>
                      <w:b w:val="0"/>
                      <w:bCs w:val="0"/>
                      <w:color w:val="auto"/>
                      <w:szCs w:val="21"/>
                      <w:u w:val="none"/>
                    </w:rPr>
                    <w:t>建设项目名称</w:t>
                  </w:r>
                </w:p>
              </w:tc>
              <w:tc>
                <w:tcPr>
                  <w:tcW w:w="6857" w:type="dxa"/>
                  <w:gridSpan w:val="4"/>
                  <w:tcBorders>
                    <w:tl2br w:val="nil"/>
                    <w:tr2bl w:val="nil"/>
                  </w:tcBorders>
                  <w:vAlign w:val="center"/>
                </w:tcPr>
                <w:p w14:paraId="3C9A9C9B">
                  <w:pPr>
                    <w:keepNext w:val="0"/>
                    <w:keepLines w:val="0"/>
                    <w:suppressLineNumbers w:val="0"/>
                    <w:spacing w:before="0" w:beforeAutospacing="0" w:after="0" w:afterAutospacing="0" w:line="240" w:lineRule="auto"/>
                    <w:ind w:left="0" w:right="0"/>
                    <w:jc w:val="center"/>
                    <w:rPr>
                      <w:rFonts w:hint="default" w:ascii="Times New Roman" w:hAnsi="宋体" w:cs="Times New Roman"/>
                      <w:b w:val="0"/>
                      <w:bCs w:val="0"/>
                      <w:color w:val="auto"/>
                      <w:szCs w:val="21"/>
                      <w:u w:val="none"/>
                    </w:rPr>
                  </w:pPr>
                  <w:r>
                    <w:rPr>
                      <w:rFonts w:hint="eastAsia" w:ascii="Times New Roman" w:hAnsi="宋体" w:eastAsia="宋体" w:cs="Times New Roman"/>
                      <w:b w:val="0"/>
                      <w:bCs w:val="0"/>
                      <w:color w:val="auto"/>
                      <w:szCs w:val="21"/>
                      <w:u w:val="none"/>
                      <w:lang w:eastAsia="zh-CN"/>
                    </w:rPr>
                    <w:t>平煤煌龙新能源有限公司八矿二井瓦斯发电站新建项目</w:t>
                  </w:r>
                </w:p>
              </w:tc>
            </w:tr>
            <w:tr w14:paraId="4D37D2A0">
              <w:tblPrEx>
                <w:tblBorders>
                  <w:top w:val="single" w:color="auto" w:sz="4" w:space="0"/>
                  <w:left w:val="single" w:color="auto" w:sz="6" w:space="0"/>
                  <w:bottom w:val="single" w:color="auto"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59" w:hRule="atLeast"/>
              </w:trPr>
              <w:tc>
                <w:tcPr>
                  <w:tcW w:w="1802" w:type="dxa"/>
                  <w:gridSpan w:val="2"/>
                  <w:tcBorders>
                    <w:tl2br w:val="nil"/>
                    <w:tr2bl w:val="nil"/>
                  </w:tcBorders>
                  <w:vAlign w:val="center"/>
                </w:tcPr>
                <w:p w14:paraId="6FAEED6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u w:val="none"/>
                    </w:rPr>
                  </w:pPr>
                  <w:r>
                    <w:rPr>
                      <w:rFonts w:hint="default" w:ascii="Times New Roman" w:hAnsi="宋体" w:cs="Times New Roman"/>
                      <w:color w:val="auto"/>
                      <w:szCs w:val="21"/>
                      <w:u w:val="none"/>
                    </w:rPr>
                    <w:t>建设地点</w:t>
                  </w:r>
                </w:p>
              </w:tc>
              <w:tc>
                <w:tcPr>
                  <w:tcW w:w="1066" w:type="dxa"/>
                  <w:tcBorders>
                    <w:tl2br w:val="nil"/>
                    <w:tr2bl w:val="nil"/>
                  </w:tcBorders>
                  <w:vAlign w:val="center"/>
                </w:tcPr>
                <w:p w14:paraId="65AA602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u w:val="none"/>
                    </w:rPr>
                  </w:pPr>
                  <w:r>
                    <w:rPr>
                      <w:rFonts w:hint="default" w:ascii="Times New Roman" w:hAnsi="宋体" w:cs="Times New Roman"/>
                      <w:color w:val="auto"/>
                      <w:szCs w:val="21"/>
                      <w:u w:val="none"/>
                    </w:rPr>
                    <w:t>河南省</w:t>
                  </w:r>
                </w:p>
              </w:tc>
              <w:tc>
                <w:tcPr>
                  <w:tcW w:w="1830" w:type="dxa"/>
                  <w:tcBorders>
                    <w:tl2br w:val="nil"/>
                    <w:tr2bl w:val="nil"/>
                  </w:tcBorders>
                  <w:vAlign w:val="center"/>
                </w:tcPr>
                <w:p w14:paraId="35532D3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u w:val="none"/>
                    </w:rPr>
                  </w:pPr>
                  <w:r>
                    <w:rPr>
                      <w:rFonts w:hint="default" w:ascii="Times New Roman" w:hAnsi="宋体" w:cs="Times New Roman"/>
                      <w:color w:val="auto"/>
                      <w:szCs w:val="21"/>
                      <w:u w:val="none"/>
                    </w:rPr>
                    <w:t>平顶山市</w:t>
                  </w:r>
                </w:p>
              </w:tc>
              <w:tc>
                <w:tcPr>
                  <w:tcW w:w="981" w:type="dxa"/>
                  <w:tcBorders>
                    <w:tl2br w:val="nil"/>
                    <w:tr2bl w:val="nil"/>
                  </w:tcBorders>
                  <w:vAlign w:val="center"/>
                </w:tcPr>
                <w:p w14:paraId="5E46CF3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u w:val="none"/>
                    </w:rPr>
                  </w:pPr>
                  <w:r>
                    <w:rPr>
                      <w:rFonts w:hint="eastAsia" w:hAnsi="宋体" w:cs="Times New Roman"/>
                      <w:color w:val="auto"/>
                      <w:szCs w:val="21"/>
                      <w:u w:val="none"/>
                      <w:lang w:val="en-US" w:eastAsia="zh-CN"/>
                    </w:rPr>
                    <w:t>叶县</w:t>
                  </w:r>
                </w:p>
              </w:tc>
              <w:tc>
                <w:tcPr>
                  <w:tcW w:w="2980" w:type="dxa"/>
                  <w:tcBorders>
                    <w:tl2br w:val="nil"/>
                    <w:tr2bl w:val="nil"/>
                  </w:tcBorders>
                  <w:vAlign w:val="center"/>
                </w:tcPr>
                <w:p w14:paraId="472B259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0"/>
                      <w:szCs w:val="21"/>
                      <w:u w:val="none"/>
                    </w:rPr>
                  </w:pPr>
                  <w:r>
                    <w:rPr>
                      <w:rFonts w:hint="eastAsia" w:ascii="Times New Roman" w:hAnsi="宋体" w:eastAsia="宋体" w:cs="Times New Roman"/>
                      <w:color w:val="auto"/>
                      <w:szCs w:val="21"/>
                      <w:u w:val="none"/>
                      <w:lang w:val="en-US" w:eastAsia="zh-CN"/>
                    </w:rPr>
                    <w:t>叶</w:t>
                  </w:r>
                  <w:r>
                    <w:rPr>
                      <w:rFonts w:hint="eastAsia" w:ascii="Times New Roman" w:hAnsi="宋体" w:eastAsia="宋体" w:cs="Times New Roman"/>
                      <w:color w:val="auto"/>
                      <w:szCs w:val="21"/>
                      <w:u w:val="none"/>
                      <w:lang w:eastAsia="zh-CN"/>
                    </w:rPr>
                    <w:t>县洪庄杨乡张集村、贾庄村</w:t>
                  </w:r>
                </w:p>
              </w:tc>
            </w:tr>
            <w:tr w14:paraId="5AFA2973">
              <w:tblPrEx>
                <w:tblBorders>
                  <w:top w:val="single" w:color="auto" w:sz="4" w:space="0"/>
                  <w:left w:val="single" w:color="auto" w:sz="6" w:space="0"/>
                  <w:bottom w:val="single" w:color="auto"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1802" w:type="dxa"/>
                  <w:gridSpan w:val="2"/>
                  <w:tcBorders>
                    <w:tl2br w:val="nil"/>
                    <w:tr2bl w:val="nil"/>
                  </w:tcBorders>
                  <w:vAlign w:val="center"/>
                </w:tcPr>
                <w:p w14:paraId="50E306C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u w:val="none"/>
                    </w:rPr>
                  </w:pPr>
                  <w:r>
                    <w:rPr>
                      <w:rFonts w:hint="default" w:ascii="Times New Roman" w:hAnsi="宋体" w:cs="Times New Roman"/>
                      <w:color w:val="auto"/>
                      <w:szCs w:val="21"/>
                      <w:u w:val="none"/>
                    </w:rPr>
                    <w:t>地理坐标</w:t>
                  </w:r>
                </w:p>
              </w:tc>
              <w:tc>
                <w:tcPr>
                  <w:tcW w:w="1066" w:type="dxa"/>
                  <w:tcBorders>
                    <w:tl2br w:val="nil"/>
                    <w:tr2bl w:val="nil"/>
                  </w:tcBorders>
                  <w:vAlign w:val="center"/>
                </w:tcPr>
                <w:p w14:paraId="2D8144D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u w:val="none"/>
                    </w:rPr>
                  </w:pPr>
                  <w:r>
                    <w:rPr>
                      <w:rFonts w:hint="default" w:ascii="Times New Roman" w:hAnsi="宋体" w:cs="Times New Roman"/>
                      <w:color w:val="auto"/>
                      <w:szCs w:val="21"/>
                      <w:u w:val="none"/>
                    </w:rPr>
                    <w:t>经度</w:t>
                  </w:r>
                </w:p>
              </w:tc>
              <w:tc>
                <w:tcPr>
                  <w:tcW w:w="1830" w:type="dxa"/>
                  <w:tcBorders>
                    <w:tl2br w:val="nil"/>
                    <w:tr2bl w:val="nil"/>
                  </w:tcBorders>
                  <w:vAlign w:val="center"/>
                </w:tcPr>
                <w:p w14:paraId="2664C1F2">
                  <w:pPr>
                    <w:keepNext w:val="0"/>
                    <w:keepLines w:val="0"/>
                    <w:suppressLineNumbers w:val="0"/>
                    <w:spacing w:before="0" w:beforeAutospacing="0" w:after="0" w:afterAutospacing="0" w:line="240" w:lineRule="auto"/>
                    <w:ind w:left="0" w:right="0"/>
                    <w:jc w:val="center"/>
                    <w:rPr>
                      <w:rFonts w:hint="eastAsia" w:ascii="Times New Roman" w:hAnsi="宋体" w:eastAsia="宋体" w:cs="Times New Roman"/>
                      <w:color w:val="auto"/>
                      <w:szCs w:val="21"/>
                      <w:u w:val="none"/>
                      <w:lang w:val="en-US" w:eastAsia="zh-CN"/>
                    </w:rPr>
                  </w:pPr>
                  <w:r>
                    <w:rPr>
                      <w:rFonts w:hint="default" w:ascii="Times New Roman" w:hAnsi="宋体" w:eastAsia="宋体" w:cs="Times New Roman"/>
                      <w:color w:val="auto"/>
                      <w:szCs w:val="21"/>
                      <w:u w:val="none"/>
                    </w:rPr>
                    <w:t>11</w:t>
                  </w:r>
                  <w:r>
                    <w:rPr>
                      <w:rFonts w:hint="eastAsia" w:ascii="Times New Roman" w:hAnsi="宋体" w:eastAsia="宋体" w:cs="Times New Roman"/>
                      <w:color w:val="auto"/>
                      <w:szCs w:val="21"/>
                      <w:u w:val="none"/>
                      <w:lang w:val="en-US" w:eastAsia="zh-CN"/>
                    </w:rPr>
                    <w:t>3</w:t>
                  </w:r>
                  <w:r>
                    <w:rPr>
                      <w:rFonts w:hint="default" w:ascii="Times New Roman" w:hAnsi="宋体" w:eastAsia="宋体" w:cs="Times New Roman"/>
                      <w:color w:val="auto"/>
                      <w:szCs w:val="21"/>
                      <w:u w:val="none"/>
                    </w:rPr>
                    <w:t>度</w:t>
                  </w:r>
                  <w:r>
                    <w:rPr>
                      <w:rFonts w:hint="eastAsia" w:ascii="Times New Roman" w:hAnsi="宋体" w:eastAsia="宋体" w:cs="Times New Roman"/>
                      <w:color w:val="auto"/>
                      <w:szCs w:val="21"/>
                      <w:u w:val="none"/>
                      <w:lang w:val="en-US" w:eastAsia="zh-CN"/>
                    </w:rPr>
                    <w:t>47</w:t>
                  </w:r>
                  <w:r>
                    <w:rPr>
                      <w:rFonts w:hint="default" w:ascii="Times New Roman" w:hAnsi="宋体" w:eastAsia="宋体" w:cs="Times New Roman"/>
                      <w:color w:val="auto"/>
                      <w:szCs w:val="21"/>
                      <w:u w:val="none"/>
                    </w:rPr>
                    <w:t>分</w:t>
                  </w:r>
                  <w:r>
                    <w:rPr>
                      <w:rFonts w:hint="eastAsia" w:ascii="Times New Roman" w:hAnsi="宋体" w:eastAsia="宋体" w:cs="Times New Roman"/>
                      <w:color w:val="auto"/>
                      <w:szCs w:val="21"/>
                      <w:u w:val="none"/>
                      <w:lang w:val="en-US" w:eastAsia="zh-CN"/>
                    </w:rPr>
                    <w:t>92.961</w:t>
                  </w:r>
                  <w:r>
                    <w:rPr>
                      <w:rFonts w:hint="default" w:ascii="Times New Roman" w:hAnsi="宋体" w:eastAsia="宋体" w:cs="Times New Roman"/>
                      <w:color w:val="auto"/>
                      <w:szCs w:val="21"/>
                      <w:u w:val="none"/>
                    </w:rPr>
                    <w:t>秒</w:t>
                  </w:r>
                </w:p>
              </w:tc>
              <w:tc>
                <w:tcPr>
                  <w:tcW w:w="981" w:type="dxa"/>
                  <w:tcBorders>
                    <w:tl2br w:val="nil"/>
                    <w:tr2bl w:val="nil"/>
                  </w:tcBorders>
                  <w:vAlign w:val="center"/>
                </w:tcPr>
                <w:p w14:paraId="6D37324F">
                  <w:pPr>
                    <w:keepNext w:val="0"/>
                    <w:keepLines w:val="0"/>
                    <w:suppressLineNumbers w:val="0"/>
                    <w:spacing w:before="0" w:beforeAutospacing="0" w:after="0" w:afterAutospacing="0" w:line="240" w:lineRule="auto"/>
                    <w:ind w:left="0" w:right="0"/>
                    <w:jc w:val="center"/>
                    <w:rPr>
                      <w:rFonts w:hint="eastAsia" w:ascii="Times New Roman" w:hAnsi="宋体" w:eastAsia="宋体" w:cs="Times New Roman"/>
                      <w:color w:val="auto"/>
                      <w:szCs w:val="21"/>
                      <w:u w:val="none"/>
                      <w:lang w:val="en-US" w:eastAsia="zh-CN"/>
                    </w:rPr>
                  </w:pPr>
                  <w:r>
                    <w:rPr>
                      <w:rFonts w:hint="eastAsia" w:ascii="Times New Roman" w:hAnsi="宋体" w:eastAsia="宋体" w:cs="Times New Roman"/>
                      <w:color w:val="auto"/>
                      <w:szCs w:val="21"/>
                      <w:u w:val="none"/>
                      <w:lang w:val="en-US" w:eastAsia="zh-CN"/>
                    </w:rPr>
                    <w:t>纬度</w:t>
                  </w:r>
                </w:p>
              </w:tc>
              <w:tc>
                <w:tcPr>
                  <w:tcW w:w="2980" w:type="dxa"/>
                  <w:tcBorders>
                    <w:tl2br w:val="nil"/>
                    <w:tr2bl w:val="nil"/>
                  </w:tcBorders>
                  <w:vAlign w:val="center"/>
                </w:tcPr>
                <w:p w14:paraId="2F3C3275">
                  <w:pPr>
                    <w:keepNext w:val="0"/>
                    <w:keepLines w:val="0"/>
                    <w:suppressLineNumbers w:val="0"/>
                    <w:spacing w:before="0" w:beforeAutospacing="0" w:after="0" w:afterAutospacing="0" w:line="240" w:lineRule="auto"/>
                    <w:ind w:left="0" w:right="0"/>
                    <w:jc w:val="center"/>
                    <w:rPr>
                      <w:rFonts w:hint="eastAsia" w:ascii="Times New Roman" w:hAnsi="宋体" w:eastAsia="宋体" w:cs="Times New Roman"/>
                      <w:color w:val="auto"/>
                      <w:szCs w:val="21"/>
                      <w:u w:val="none"/>
                      <w:lang w:val="en-US" w:eastAsia="zh-CN"/>
                    </w:rPr>
                  </w:pPr>
                  <w:r>
                    <w:rPr>
                      <w:rFonts w:hint="default" w:ascii="Times New Roman" w:hAnsi="宋体" w:eastAsia="宋体" w:cs="Times New Roman"/>
                      <w:color w:val="auto"/>
                      <w:szCs w:val="21"/>
                      <w:u w:val="none"/>
                    </w:rPr>
                    <w:t>3</w:t>
                  </w:r>
                  <w:r>
                    <w:rPr>
                      <w:rFonts w:hint="eastAsia" w:ascii="Times New Roman" w:hAnsi="宋体" w:eastAsia="宋体" w:cs="Times New Roman"/>
                      <w:color w:val="auto"/>
                      <w:szCs w:val="21"/>
                      <w:u w:val="none"/>
                      <w:lang w:val="en-US" w:eastAsia="zh-CN"/>
                    </w:rPr>
                    <w:t>3</w:t>
                  </w:r>
                  <w:r>
                    <w:rPr>
                      <w:rFonts w:hint="default" w:ascii="Times New Roman" w:hAnsi="宋体" w:eastAsia="宋体" w:cs="Times New Roman"/>
                      <w:color w:val="auto"/>
                      <w:szCs w:val="21"/>
                      <w:u w:val="none"/>
                    </w:rPr>
                    <w:t>度</w:t>
                  </w:r>
                  <w:r>
                    <w:rPr>
                      <w:rFonts w:hint="eastAsia" w:ascii="Times New Roman" w:hAnsi="宋体" w:eastAsia="宋体" w:cs="Times New Roman"/>
                      <w:color w:val="auto"/>
                      <w:szCs w:val="21"/>
                      <w:u w:val="none"/>
                      <w:lang w:val="en-US" w:eastAsia="zh-CN"/>
                    </w:rPr>
                    <w:t>73</w:t>
                  </w:r>
                  <w:r>
                    <w:rPr>
                      <w:rFonts w:hint="default" w:ascii="Times New Roman" w:hAnsi="宋体" w:eastAsia="宋体" w:cs="Times New Roman"/>
                      <w:color w:val="auto"/>
                      <w:szCs w:val="21"/>
                      <w:u w:val="none"/>
                    </w:rPr>
                    <w:t>分</w:t>
                  </w:r>
                  <w:r>
                    <w:rPr>
                      <w:rFonts w:hint="eastAsia" w:ascii="Times New Roman" w:hAnsi="宋体" w:eastAsia="宋体" w:cs="Times New Roman"/>
                      <w:color w:val="auto"/>
                      <w:szCs w:val="21"/>
                      <w:u w:val="none"/>
                      <w:lang w:val="en-US" w:eastAsia="zh-CN"/>
                    </w:rPr>
                    <w:t>40.223</w:t>
                  </w:r>
                  <w:r>
                    <w:rPr>
                      <w:rFonts w:hint="default" w:ascii="Times New Roman" w:hAnsi="宋体" w:eastAsia="宋体" w:cs="Times New Roman"/>
                      <w:color w:val="auto"/>
                      <w:szCs w:val="21"/>
                      <w:u w:val="none"/>
                    </w:rPr>
                    <w:t>秒</w:t>
                  </w:r>
                </w:p>
              </w:tc>
            </w:tr>
            <w:tr w14:paraId="0E6C8C95">
              <w:tblPrEx>
                <w:tblBorders>
                  <w:top w:val="single" w:color="auto" w:sz="4" w:space="0"/>
                  <w:left w:val="single" w:color="auto" w:sz="6" w:space="0"/>
                  <w:bottom w:val="single" w:color="auto"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802" w:type="dxa"/>
                  <w:gridSpan w:val="2"/>
                  <w:tcBorders>
                    <w:tl2br w:val="nil"/>
                    <w:tr2bl w:val="nil"/>
                  </w:tcBorders>
                  <w:vAlign w:val="center"/>
                </w:tcPr>
                <w:p w14:paraId="6D50A8E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u w:val="none"/>
                    </w:rPr>
                  </w:pPr>
                  <w:r>
                    <w:rPr>
                      <w:rFonts w:hint="default" w:ascii="Times New Roman" w:hAnsi="宋体" w:cs="Times New Roman"/>
                      <w:color w:val="auto"/>
                      <w:szCs w:val="21"/>
                      <w:u w:val="none"/>
                    </w:rPr>
                    <w:t>主要物质及分布</w:t>
                  </w:r>
                </w:p>
              </w:tc>
              <w:tc>
                <w:tcPr>
                  <w:tcW w:w="6857" w:type="dxa"/>
                  <w:gridSpan w:val="4"/>
                  <w:tcBorders>
                    <w:tl2br w:val="nil"/>
                    <w:tr2bl w:val="nil"/>
                  </w:tcBorders>
                  <w:vAlign w:val="center"/>
                </w:tcPr>
                <w:p w14:paraId="38184B4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Cs w:val="21"/>
                      <w:u w:val="none"/>
                      <w:lang w:val="en-US" w:eastAsia="zh-CN"/>
                    </w:rPr>
                  </w:pPr>
                  <w:r>
                    <w:rPr>
                      <w:rFonts w:hint="eastAsia" w:hAnsi="宋体" w:cs="Times New Roman"/>
                      <w:color w:val="auto"/>
                      <w:szCs w:val="21"/>
                      <w:u w:val="none"/>
                      <w:lang w:val="en-US" w:eastAsia="zh-CN"/>
                    </w:rPr>
                    <w:t>瓦斯输送管道内甲烷，辅助材料储存库内机油、润滑油，危废间内废机油、油桶</w:t>
                  </w:r>
                </w:p>
              </w:tc>
            </w:tr>
            <w:tr w14:paraId="2919E821">
              <w:tblPrEx>
                <w:tblBorders>
                  <w:top w:val="single" w:color="auto" w:sz="4" w:space="0"/>
                  <w:left w:val="single" w:color="auto" w:sz="6" w:space="0"/>
                  <w:bottom w:val="single" w:color="auto"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18" w:hRule="atLeast"/>
              </w:trPr>
              <w:tc>
                <w:tcPr>
                  <w:tcW w:w="822" w:type="dxa"/>
                  <w:vMerge w:val="restart"/>
                  <w:tcBorders>
                    <w:tl2br w:val="nil"/>
                    <w:tr2bl w:val="nil"/>
                  </w:tcBorders>
                  <w:vAlign w:val="center"/>
                </w:tcPr>
                <w:p w14:paraId="093195A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u w:val="none"/>
                    </w:rPr>
                  </w:pPr>
                  <w:r>
                    <w:rPr>
                      <w:rFonts w:hint="default" w:ascii="Times New Roman" w:hAnsi="宋体" w:cs="Times New Roman"/>
                      <w:color w:val="auto"/>
                      <w:szCs w:val="21"/>
                      <w:u w:val="none"/>
                    </w:rPr>
                    <w:t>环境影响途径及后果</w:t>
                  </w:r>
                </w:p>
              </w:tc>
              <w:tc>
                <w:tcPr>
                  <w:tcW w:w="980" w:type="dxa"/>
                  <w:tcBorders>
                    <w:tl2br w:val="nil"/>
                    <w:tr2bl w:val="nil"/>
                  </w:tcBorders>
                  <w:vAlign w:val="center"/>
                </w:tcPr>
                <w:p w14:paraId="25CDB9D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u w:val="none"/>
                    </w:rPr>
                  </w:pPr>
                  <w:r>
                    <w:rPr>
                      <w:rFonts w:hint="default" w:ascii="Times New Roman" w:hAnsi="宋体" w:cs="Times New Roman"/>
                      <w:color w:val="auto"/>
                      <w:szCs w:val="21"/>
                      <w:u w:val="none"/>
                    </w:rPr>
                    <w:t>大气</w:t>
                  </w:r>
                </w:p>
              </w:tc>
              <w:tc>
                <w:tcPr>
                  <w:tcW w:w="6857" w:type="dxa"/>
                  <w:gridSpan w:val="4"/>
                  <w:vMerge w:val="restart"/>
                  <w:tcBorders>
                    <w:tl2br w:val="nil"/>
                    <w:tr2bl w:val="nil"/>
                  </w:tcBorders>
                  <w:vAlign w:val="center"/>
                </w:tcPr>
                <w:p w14:paraId="157918C9">
                  <w:pPr>
                    <w:keepNext w:val="0"/>
                    <w:keepLines w:val="0"/>
                    <w:suppressLineNumbers w:val="0"/>
                    <w:spacing w:before="0" w:beforeAutospacing="0" w:after="0" w:afterAutospacing="0" w:line="240" w:lineRule="auto"/>
                    <w:ind w:left="0" w:right="0"/>
                    <w:jc w:val="left"/>
                    <w:rPr>
                      <w:rFonts w:hint="eastAsia" w:ascii="Times New Roman" w:hAnsi="宋体" w:eastAsia="宋体" w:cs="Times New Roman"/>
                      <w:bCs/>
                      <w:color w:val="auto"/>
                      <w:szCs w:val="21"/>
                      <w:u w:val="none"/>
                      <w:lang w:val="en-US" w:eastAsia="zh-CN"/>
                    </w:rPr>
                  </w:pPr>
                  <w:r>
                    <w:rPr>
                      <w:rFonts w:hint="eastAsia" w:hAnsi="宋体" w:cs="Times New Roman"/>
                      <w:bCs/>
                      <w:color w:val="auto"/>
                      <w:szCs w:val="21"/>
                      <w:u w:val="none"/>
                      <w:lang w:val="en-US" w:eastAsia="zh-CN"/>
                    </w:rPr>
                    <w:t>①</w:t>
                  </w:r>
                  <w:r>
                    <w:rPr>
                      <w:rFonts w:hint="eastAsia" w:ascii="Times New Roman" w:hAnsi="宋体" w:eastAsia="宋体" w:cs="Times New Roman"/>
                      <w:bCs/>
                      <w:color w:val="auto"/>
                      <w:szCs w:val="21"/>
                      <w:u w:val="none"/>
                      <w:lang w:val="en-US" w:eastAsia="zh-CN"/>
                    </w:rPr>
                    <w:t>瓦斯泄漏污染环境，可能导致火灾爆炸事故；</w:t>
                  </w:r>
                </w:p>
                <w:p w14:paraId="5E1AF1E2">
                  <w:pPr>
                    <w:keepNext w:val="0"/>
                    <w:keepLines w:val="0"/>
                    <w:suppressLineNumbers w:val="0"/>
                    <w:spacing w:before="0" w:beforeAutospacing="0" w:after="0" w:afterAutospacing="0" w:line="240" w:lineRule="auto"/>
                    <w:ind w:left="0" w:right="0"/>
                    <w:jc w:val="left"/>
                    <w:rPr>
                      <w:rFonts w:hint="eastAsia" w:hAnsi="宋体" w:cs="Times New Roman"/>
                      <w:bCs/>
                      <w:color w:val="auto"/>
                      <w:szCs w:val="21"/>
                      <w:u w:val="none"/>
                      <w:lang w:val="en-US" w:eastAsia="zh-CN"/>
                    </w:rPr>
                  </w:pPr>
                  <w:r>
                    <w:rPr>
                      <w:rFonts w:hint="eastAsia" w:hAnsi="宋体" w:cs="Times New Roman"/>
                      <w:bCs/>
                      <w:color w:val="auto"/>
                      <w:szCs w:val="21"/>
                      <w:u w:val="none"/>
                      <w:lang w:val="en-US" w:eastAsia="zh-CN"/>
                    </w:rPr>
                    <w:t>②油类物质泄漏引起地下水、土壤事故，危害周边环境及人员生命财产安全；</w:t>
                  </w:r>
                </w:p>
                <w:p w14:paraId="1C10AEA9">
                  <w:pPr>
                    <w:keepNext w:val="0"/>
                    <w:keepLines w:val="0"/>
                    <w:suppressLineNumbers w:val="0"/>
                    <w:spacing w:before="0" w:beforeAutospacing="0" w:after="0" w:afterAutospacing="0" w:line="240" w:lineRule="auto"/>
                    <w:ind w:left="0" w:right="0"/>
                    <w:jc w:val="left"/>
                    <w:rPr>
                      <w:rFonts w:hint="eastAsia" w:hAnsi="宋体" w:cs="Times New Roman"/>
                      <w:bCs/>
                      <w:color w:val="auto"/>
                      <w:szCs w:val="21"/>
                      <w:u w:val="none"/>
                      <w:lang w:val="en-US" w:eastAsia="zh-CN"/>
                    </w:rPr>
                  </w:pPr>
                  <w:r>
                    <w:rPr>
                      <w:rFonts w:hint="eastAsia" w:hAnsi="宋体" w:cs="Times New Roman"/>
                      <w:bCs/>
                      <w:color w:val="auto"/>
                      <w:szCs w:val="21"/>
                      <w:u w:val="none"/>
                      <w:lang w:val="en-US" w:eastAsia="zh-CN"/>
                    </w:rPr>
                    <w:t>③危险废物转运过程中发生撒漏导致环境污染事故；</w:t>
                  </w:r>
                </w:p>
                <w:p w14:paraId="3609F759">
                  <w:pPr>
                    <w:keepNext w:val="0"/>
                    <w:keepLines w:val="0"/>
                    <w:suppressLineNumbers w:val="0"/>
                    <w:spacing w:before="0" w:beforeAutospacing="0" w:after="0" w:afterAutospacing="0" w:line="240" w:lineRule="auto"/>
                    <w:ind w:left="0" w:right="0"/>
                    <w:jc w:val="both"/>
                    <w:rPr>
                      <w:rFonts w:hint="default" w:ascii="Times New Roman" w:hAnsi="Times New Roman" w:cs="Times New Roman"/>
                      <w:bCs/>
                      <w:color w:val="auto"/>
                      <w:szCs w:val="21"/>
                      <w:u w:val="none"/>
                    </w:rPr>
                  </w:pPr>
                  <w:r>
                    <w:rPr>
                      <w:rFonts w:hint="eastAsia" w:hAnsi="宋体" w:cs="Times New Roman"/>
                      <w:bCs/>
                      <w:color w:val="auto"/>
                      <w:szCs w:val="21"/>
                      <w:u w:val="none"/>
                      <w:lang w:val="en-US" w:eastAsia="zh-CN"/>
                    </w:rPr>
                    <w:t>④暴雨情况时一旦雨水进入厂区内危废间，将对周边环境将造成影响。</w:t>
                  </w:r>
                </w:p>
              </w:tc>
            </w:tr>
            <w:tr w14:paraId="41BBF745">
              <w:tblPrEx>
                <w:tblBorders>
                  <w:top w:val="single" w:color="auto" w:sz="4" w:space="0"/>
                  <w:left w:val="single" w:color="auto" w:sz="6" w:space="0"/>
                  <w:bottom w:val="single" w:color="auto"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6" w:hRule="atLeast"/>
              </w:trPr>
              <w:tc>
                <w:tcPr>
                  <w:tcW w:w="822" w:type="dxa"/>
                  <w:vMerge w:val="continue"/>
                  <w:tcBorders>
                    <w:tl2br w:val="nil"/>
                    <w:tr2bl w:val="nil"/>
                  </w:tcBorders>
                  <w:vAlign w:val="center"/>
                </w:tcPr>
                <w:p w14:paraId="59E6930F">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Cs w:val="21"/>
                      <w:u w:val="none"/>
                    </w:rPr>
                  </w:pPr>
                </w:p>
              </w:tc>
              <w:tc>
                <w:tcPr>
                  <w:tcW w:w="980" w:type="dxa"/>
                  <w:tcBorders>
                    <w:tl2br w:val="nil"/>
                    <w:tr2bl w:val="nil"/>
                  </w:tcBorders>
                  <w:vAlign w:val="center"/>
                </w:tcPr>
                <w:p w14:paraId="2AF3BEC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u w:val="none"/>
                    </w:rPr>
                  </w:pPr>
                  <w:r>
                    <w:rPr>
                      <w:rFonts w:hint="default" w:ascii="Times New Roman" w:hAnsi="宋体" w:cs="Times New Roman"/>
                      <w:color w:val="auto"/>
                      <w:szCs w:val="21"/>
                      <w:u w:val="none"/>
                    </w:rPr>
                    <w:t>地表水</w:t>
                  </w:r>
                </w:p>
              </w:tc>
              <w:tc>
                <w:tcPr>
                  <w:tcW w:w="6857" w:type="dxa"/>
                  <w:gridSpan w:val="4"/>
                  <w:vMerge w:val="continue"/>
                  <w:tcBorders>
                    <w:tl2br w:val="nil"/>
                    <w:tr2bl w:val="nil"/>
                  </w:tcBorders>
                  <w:vAlign w:val="center"/>
                </w:tcPr>
                <w:p w14:paraId="7295F29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Cs w:val="21"/>
                      <w:u w:val="none"/>
                    </w:rPr>
                  </w:pPr>
                </w:p>
              </w:tc>
            </w:tr>
            <w:tr w14:paraId="33D5D197">
              <w:tblPrEx>
                <w:tblBorders>
                  <w:top w:val="single" w:color="auto" w:sz="4" w:space="0"/>
                  <w:left w:val="single" w:color="auto" w:sz="6" w:space="0"/>
                  <w:bottom w:val="single" w:color="auto"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39" w:hRule="atLeast"/>
              </w:trPr>
              <w:tc>
                <w:tcPr>
                  <w:tcW w:w="822" w:type="dxa"/>
                  <w:vMerge w:val="continue"/>
                  <w:tcBorders>
                    <w:tl2br w:val="nil"/>
                    <w:tr2bl w:val="nil"/>
                  </w:tcBorders>
                  <w:vAlign w:val="center"/>
                </w:tcPr>
                <w:p w14:paraId="2B9203E0">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Cs w:val="21"/>
                      <w:u w:val="none"/>
                    </w:rPr>
                  </w:pPr>
                </w:p>
              </w:tc>
              <w:tc>
                <w:tcPr>
                  <w:tcW w:w="980" w:type="dxa"/>
                  <w:tcBorders>
                    <w:tl2br w:val="nil"/>
                    <w:tr2bl w:val="nil"/>
                  </w:tcBorders>
                  <w:vAlign w:val="center"/>
                </w:tcPr>
                <w:p w14:paraId="3DDD44A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u w:val="none"/>
                    </w:rPr>
                  </w:pPr>
                  <w:r>
                    <w:rPr>
                      <w:rFonts w:hint="default" w:ascii="Times New Roman" w:hAnsi="宋体" w:cs="Times New Roman"/>
                      <w:color w:val="auto"/>
                      <w:szCs w:val="21"/>
                      <w:u w:val="none"/>
                    </w:rPr>
                    <w:t>地下水</w:t>
                  </w:r>
                </w:p>
              </w:tc>
              <w:tc>
                <w:tcPr>
                  <w:tcW w:w="6857" w:type="dxa"/>
                  <w:gridSpan w:val="4"/>
                  <w:vMerge w:val="continue"/>
                  <w:tcBorders>
                    <w:tl2br w:val="nil"/>
                    <w:tr2bl w:val="nil"/>
                  </w:tcBorders>
                  <w:vAlign w:val="center"/>
                </w:tcPr>
                <w:p w14:paraId="4F100BB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Cs w:val="21"/>
                      <w:u w:val="none"/>
                    </w:rPr>
                  </w:pPr>
                </w:p>
              </w:tc>
            </w:tr>
            <w:tr w14:paraId="28B1906E">
              <w:tblPrEx>
                <w:tblBorders>
                  <w:top w:val="single" w:color="auto" w:sz="4" w:space="0"/>
                  <w:left w:val="single" w:color="auto" w:sz="6" w:space="0"/>
                  <w:bottom w:val="single" w:color="auto"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3" w:hRule="atLeast"/>
              </w:trPr>
              <w:tc>
                <w:tcPr>
                  <w:tcW w:w="822" w:type="dxa"/>
                  <w:vMerge w:val="restart"/>
                  <w:tcBorders>
                    <w:tl2br w:val="nil"/>
                    <w:tr2bl w:val="nil"/>
                  </w:tcBorders>
                  <w:vAlign w:val="center"/>
                </w:tcPr>
                <w:p w14:paraId="6E5A359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u w:val="none"/>
                    </w:rPr>
                  </w:pPr>
                  <w:r>
                    <w:rPr>
                      <w:rFonts w:hint="default" w:ascii="Times New Roman" w:hAnsi="宋体" w:cs="Times New Roman"/>
                      <w:color w:val="auto"/>
                      <w:szCs w:val="21"/>
                      <w:u w:val="none"/>
                    </w:rPr>
                    <w:t>风险防范措施要求</w:t>
                  </w:r>
                </w:p>
              </w:tc>
              <w:tc>
                <w:tcPr>
                  <w:tcW w:w="980" w:type="dxa"/>
                  <w:tcBorders>
                    <w:tl2br w:val="nil"/>
                    <w:tr2bl w:val="nil"/>
                  </w:tcBorders>
                  <w:vAlign w:val="center"/>
                </w:tcPr>
                <w:p w14:paraId="41D694F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u w:val="none"/>
                    </w:rPr>
                  </w:pPr>
                  <w:r>
                    <w:rPr>
                      <w:rFonts w:hint="default" w:ascii="Times New Roman" w:hAnsi="宋体" w:cs="Times New Roman"/>
                      <w:color w:val="auto"/>
                      <w:szCs w:val="21"/>
                      <w:u w:val="none"/>
                    </w:rPr>
                    <w:t>大气</w:t>
                  </w:r>
                </w:p>
              </w:tc>
              <w:tc>
                <w:tcPr>
                  <w:tcW w:w="6857" w:type="dxa"/>
                  <w:gridSpan w:val="4"/>
                  <w:vMerge w:val="restart"/>
                  <w:tcBorders>
                    <w:tl2br w:val="nil"/>
                    <w:tr2bl w:val="nil"/>
                  </w:tcBorders>
                  <w:vAlign w:val="center"/>
                </w:tcPr>
                <w:p w14:paraId="39E3076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Cs w:val="21"/>
                      <w:u w:val="none"/>
                      <w:lang w:val="en-US" w:eastAsia="zh-CN"/>
                    </w:rPr>
                  </w:pPr>
                  <w:r>
                    <w:rPr>
                      <w:rFonts w:hint="eastAsia" w:ascii="Times New Roman" w:hAnsi="宋体" w:eastAsia="宋体" w:cs="Times New Roman"/>
                      <w:bCs/>
                      <w:color w:val="auto"/>
                      <w:szCs w:val="21"/>
                      <w:u w:val="none"/>
                      <w:lang w:val="en-US" w:eastAsia="zh-CN"/>
                    </w:rPr>
                    <w:t>见上文</w:t>
                  </w:r>
                  <w:r>
                    <w:rPr>
                      <w:rFonts w:hint="eastAsia" w:ascii="Times New Roman" w:hAnsi="宋体" w:eastAsia="宋体" w:cs="Times New Roman"/>
                      <w:bCs/>
                      <w:color w:val="auto"/>
                      <w:szCs w:val="21"/>
                      <w:u w:val="none"/>
                      <w:lang w:val="zh-CN" w:eastAsia="zh-CN"/>
                    </w:rPr>
                    <w:t>（</w:t>
                  </w:r>
                  <w:r>
                    <w:rPr>
                      <w:rFonts w:hint="eastAsia" w:ascii="Times New Roman" w:hAnsi="宋体" w:eastAsia="宋体" w:cs="Times New Roman"/>
                      <w:bCs/>
                      <w:color w:val="auto"/>
                      <w:szCs w:val="21"/>
                      <w:u w:val="none"/>
                      <w:lang w:val="en-US" w:eastAsia="zh-CN"/>
                    </w:rPr>
                    <w:t>6</w:t>
                  </w:r>
                  <w:r>
                    <w:rPr>
                      <w:rFonts w:hint="eastAsia" w:ascii="Times New Roman" w:hAnsi="宋体" w:eastAsia="宋体" w:cs="Times New Roman"/>
                      <w:bCs/>
                      <w:color w:val="auto"/>
                      <w:szCs w:val="21"/>
                      <w:u w:val="none"/>
                      <w:lang w:val="zh-CN" w:eastAsia="zh-CN"/>
                    </w:rPr>
                    <w:t>）风险防范措施</w:t>
                  </w:r>
                  <w:r>
                    <w:rPr>
                      <w:rFonts w:hint="eastAsia" w:ascii="Times New Roman" w:hAnsi="宋体" w:eastAsia="宋体" w:cs="Times New Roman"/>
                      <w:bCs/>
                      <w:color w:val="auto"/>
                      <w:szCs w:val="21"/>
                      <w:u w:val="none"/>
                      <w:lang w:val="en-US" w:eastAsia="zh-CN"/>
                    </w:rPr>
                    <w:t>中具体内容</w:t>
                  </w:r>
                </w:p>
              </w:tc>
            </w:tr>
            <w:tr w14:paraId="7E3CED3D">
              <w:tblPrEx>
                <w:tblBorders>
                  <w:top w:val="single" w:color="auto" w:sz="4" w:space="0"/>
                  <w:left w:val="single" w:color="auto" w:sz="6" w:space="0"/>
                  <w:bottom w:val="single" w:color="auto"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822" w:type="dxa"/>
                  <w:vMerge w:val="continue"/>
                  <w:tcBorders>
                    <w:tl2br w:val="nil"/>
                    <w:tr2bl w:val="nil"/>
                  </w:tcBorders>
                  <w:vAlign w:val="center"/>
                </w:tcPr>
                <w:p w14:paraId="46DD452A">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Cs w:val="21"/>
                      <w:u w:val="none"/>
                    </w:rPr>
                  </w:pPr>
                </w:p>
              </w:tc>
              <w:tc>
                <w:tcPr>
                  <w:tcW w:w="980" w:type="dxa"/>
                  <w:tcBorders>
                    <w:tl2br w:val="nil"/>
                    <w:tr2bl w:val="nil"/>
                  </w:tcBorders>
                  <w:vAlign w:val="center"/>
                </w:tcPr>
                <w:p w14:paraId="035C76E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u w:val="none"/>
                    </w:rPr>
                  </w:pPr>
                  <w:r>
                    <w:rPr>
                      <w:rFonts w:hint="default" w:ascii="Times New Roman" w:hAnsi="宋体" w:cs="Times New Roman"/>
                      <w:color w:val="auto"/>
                      <w:szCs w:val="21"/>
                      <w:u w:val="none"/>
                    </w:rPr>
                    <w:t>地表水</w:t>
                  </w:r>
                </w:p>
              </w:tc>
              <w:tc>
                <w:tcPr>
                  <w:tcW w:w="6857" w:type="dxa"/>
                  <w:gridSpan w:val="4"/>
                  <w:vMerge w:val="continue"/>
                  <w:tcBorders>
                    <w:tl2br w:val="nil"/>
                    <w:tr2bl w:val="nil"/>
                  </w:tcBorders>
                  <w:vAlign w:val="center"/>
                </w:tcPr>
                <w:p w14:paraId="2206F15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u w:val="none"/>
                    </w:rPr>
                  </w:pPr>
                </w:p>
              </w:tc>
            </w:tr>
            <w:tr w14:paraId="43112CCC">
              <w:tblPrEx>
                <w:tblBorders>
                  <w:top w:val="single" w:color="auto" w:sz="4" w:space="0"/>
                  <w:left w:val="single" w:color="auto" w:sz="6" w:space="0"/>
                  <w:bottom w:val="single" w:color="auto" w:sz="4"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4" w:hRule="atLeast"/>
              </w:trPr>
              <w:tc>
                <w:tcPr>
                  <w:tcW w:w="822" w:type="dxa"/>
                  <w:vMerge w:val="continue"/>
                  <w:tcBorders>
                    <w:tl2br w:val="nil"/>
                    <w:tr2bl w:val="nil"/>
                  </w:tcBorders>
                  <w:vAlign w:val="center"/>
                </w:tcPr>
                <w:p w14:paraId="1ACA1A76">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Cs w:val="21"/>
                      <w:u w:val="none"/>
                    </w:rPr>
                  </w:pPr>
                </w:p>
              </w:tc>
              <w:tc>
                <w:tcPr>
                  <w:tcW w:w="980" w:type="dxa"/>
                  <w:tcBorders>
                    <w:tl2br w:val="nil"/>
                    <w:tr2bl w:val="nil"/>
                  </w:tcBorders>
                  <w:vAlign w:val="center"/>
                </w:tcPr>
                <w:p w14:paraId="7D48C60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u w:val="none"/>
                    </w:rPr>
                  </w:pPr>
                  <w:r>
                    <w:rPr>
                      <w:rFonts w:hint="default" w:ascii="Times New Roman" w:hAnsi="宋体" w:cs="Times New Roman"/>
                      <w:color w:val="auto"/>
                      <w:szCs w:val="21"/>
                      <w:u w:val="none"/>
                    </w:rPr>
                    <w:t>地下水</w:t>
                  </w:r>
                </w:p>
              </w:tc>
              <w:tc>
                <w:tcPr>
                  <w:tcW w:w="6857" w:type="dxa"/>
                  <w:gridSpan w:val="4"/>
                  <w:vMerge w:val="continue"/>
                  <w:tcBorders>
                    <w:tl2br w:val="nil"/>
                    <w:tr2bl w:val="nil"/>
                  </w:tcBorders>
                  <w:vAlign w:val="center"/>
                </w:tcPr>
                <w:p w14:paraId="1F26EA7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u w:val="none"/>
                    </w:rPr>
                  </w:pPr>
                </w:p>
              </w:tc>
            </w:tr>
          </w:tbl>
          <w:p w14:paraId="3307BD28">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jc w:val="left"/>
              <w:rPr>
                <w:rFonts w:hint="default" w:ascii="Times New Roman" w:hAnsi="Times New Roman" w:eastAsia="宋体" w:cs="Times New Roman"/>
                <w:b/>
                <w:bCs/>
                <w:color w:val="auto"/>
                <w:sz w:val="24"/>
                <w:szCs w:val="24"/>
                <w:highlight w:val="none"/>
                <w:u w:val="none"/>
              </w:rPr>
            </w:pPr>
            <w:r>
              <w:rPr>
                <w:rFonts w:hint="eastAsia" w:cs="Times New Roman"/>
                <w:b/>
                <w:bCs/>
                <w:color w:val="auto"/>
                <w:sz w:val="24"/>
                <w:szCs w:val="24"/>
                <w:highlight w:val="none"/>
                <w:u w:val="none"/>
                <w:lang w:val="en-US" w:eastAsia="zh-CN"/>
              </w:rPr>
              <w:t>12、</w:t>
            </w:r>
            <w:r>
              <w:rPr>
                <w:rFonts w:hint="default" w:ascii="Times New Roman" w:hAnsi="Times New Roman" w:eastAsia="宋体" w:cs="Times New Roman"/>
                <w:b/>
                <w:bCs/>
                <w:color w:val="auto"/>
                <w:sz w:val="24"/>
                <w:szCs w:val="24"/>
                <w:highlight w:val="none"/>
                <w:u w:val="none"/>
              </w:rPr>
              <w:t>环保投资及环保验收</w:t>
            </w:r>
          </w:p>
          <w:p w14:paraId="67B4F185">
            <w:pPr>
              <w:keepNext w:val="0"/>
              <w:keepLines w:val="0"/>
              <w:pageBreakBefore w:val="0"/>
              <w:widowControl w:val="0"/>
              <w:kinsoku/>
              <w:wordWrap/>
              <w:overflowPunct/>
              <w:topLinePunct w:val="0"/>
              <w:autoSpaceDE/>
              <w:autoSpaceDN/>
              <w:bidi w:val="0"/>
              <w:spacing w:line="500" w:lineRule="exact"/>
              <w:ind w:firstLine="480" w:firstLineChars="200"/>
              <w:textAlignment w:val="baseline"/>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项目建设总投资</w:t>
            </w:r>
            <w:r>
              <w:rPr>
                <w:rFonts w:hint="eastAsia" w:cs="Times New Roman"/>
                <w:color w:val="auto"/>
                <w:sz w:val="24"/>
                <w:szCs w:val="24"/>
                <w:u w:val="none"/>
                <w:lang w:val="en-US" w:eastAsia="zh-CN"/>
              </w:rPr>
              <w:t>20</w:t>
            </w:r>
            <w:r>
              <w:rPr>
                <w:rFonts w:hint="eastAsia" w:ascii="Times New Roman" w:hAnsi="Times New Roman" w:cs="Times New Roman"/>
                <w:color w:val="auto"/>
                <w:sz w:val="24"/>
                <w:szCs w:val="24"/>
                <w:u w:val="none"/>
                <w:lang w:val="en-US" w:eastAsia="zh-CN"/>
              </w:rPr>
              <w:t>00</w:t>
            </w:r>
            <w:r>
              <w:rPr>
                <w:rFonts w:hint="default" w:ascii="Times New Roman" w:hAnsi="Times New Roman" w:eastAsia="宋体" w:cs="Times New Roman"/>
                <w:color w:val="auto"/>
                <w:sz w:val="24"/>
                <w:szCs w:val="24"/>
                <w:u w:val="none"/>
              </w:rPr>
              <w:t>万元，其中环保投资为</w:t>
            </w:r>
            <w:r>
              <w:rPr>
                <w:rFonts w:hint="eastAsia" w:cs="Times New Roman"/>
                <w:color w:val="auto"/>
                <w:sz w:val="24"/>
                <w:szCs w:val="24"/>
                <w:u w:val="none"/>
                <w:lang w:val="en-US" w:eastAsia="zh-CN"/>
              </w:rPr>
              <w:t>40</w:t>
            </w:r>
            <w:r>
              <w:rPr>
                <w:rFonts w:hint="default" w:ascii="Times New Roman" w:hAnsi="Times New Roman" w:eastAsia="宋体" w:cs="Times New Roman"/>
                <w:color w:val="auto"/>
                <w:sz w:val="24"/>
                <w:szCs w:val="24"/>
                <w:u w:val="none"/>
              </w:rPr>
              <w:t>万元，约占总投资的</w:t>
            </w:r>
            <w:r>
              <w:rPr>
                <w:rFonts w:hint="eastAsia" w:cs="Times New Roman"/>
                <w:color w:val="auto"/>
                <w:sz w:val="24"/>
                <w:szCs w:val="24"/>
                <w:highlight w:val="none"/>
                <w:u w:val="none"/>
                <w:lang w:val="en-US" w:eastAsia="zh-CN"/>
              </w:rPr>
              <w:t>2.0</w:t>
            </w:r>
            <w:r>
              <w:rPr>
                <w:rFonts w:hint="default" w:ascii="Times New Roman" w:hAnsi="Times New Roman" w:eastAsia="宋体" w:cs="Times New Roman"/>
                <w:color w:val="auto"/>
                <w:sz w:val="24"/>
                <w:szCs w:val="24"/>
                <w:u w:val="none"/>
              </w:rPr>
              <w:t>%，具体内容见下表。</w:t>
            </w:r>
          </w:p>
          <w:p w14:paraId="656572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黑体" w:cs="Times New Roman"/>
                <w:color w:val="auto"/>
                <w:sz w:val="24"/>
                <w:u w:val="none"/>
                <w:lang w:val="zh-CN"/>
              </w:rPr>
            </w:pPr>
            <w:r>
              <w:rPr>
                <w:rFonts w:hint="default" w:ascii="Times New Roman" w:hAnsi="Times New Roman" w:eastAsia="黑体" w:cs="Times New Roman"/>
                <w:b w:val="0"/>
                <w:bCs w:val="0"/>
                <w:color w:val="auto"/>
                <w:sz w:val="24"/>
                <w:szCs w:val="24"/>
                <w:u w:val="none"/>
                <w:lang w:val="en-US" w:eastAsia="zh-CN"/>
              </w:rPr>
              <w:t>表</w:t>
            </w:r>
            <w:r>
              <w:rPr>
                <w:rFonts w:hint="eastAsia" w:eastAsia="黑体" w:cs="Times New Roman"/>
                <w:b w:val="0"/>
                <w:bCs w:val="0"/>
                <w:color w:val="auto"/>
                <w:sz w:val="24"/>
                <w:szCs w:val="24"/>
                <w:u w:val="none"/>
                <w:lang w:val="en-US" w:eastAsia="zh-CN"/>
              </w:rPr>
              <w:t>4-21</w:t>
            </w:r>
            <w:r>
              <w:rPr>
                <w:rFonts w:hint="default" w:ascii="Times New Roman" w:hAnsi="Times New Roman" w:eastAsia="黑体" w:cs="Times New Roman"/>
                <w:b w:val="0"/>
                <w:bCs w:val="0"/>
                <w:color w:val="auto"/>
                <w:sz w:val="24"/>
                <w:szCs w:val="24"/>
                <w:u w:val="none"/>
                <w:lang w:val="en-US" w:eastAsia="zh-CN"/>
              </w:rPr>
              <w:t xml:space="preserve"> </w:t>
            </w:r>
            <w:r>
              <w:rPr>
                <w:rFonts w:ascii="Times New Roman" w:hAnsi="Times New Roman" w:eastAsia="黑体" w:cs="Times New Roman"/>
                <w:color w:val="auto"/>
                <w:sz w:val="24"/>
                <w:u w:val="none"/>
                <w:lang w:val="zh-CN"/>
              </w:rPr>
              <w:t>环保投资</w:t>
            </w:r>
            <w:r>
              <w:rPr>
                <w:rFonts w:hint="eastAsia" w:ascii="Times New Roman" w:hAnsi="Times New Roman" w:eastAsia="黑体" w:cs="Times New Roman"/>
                <w:color w:val="auto"/>
                <w:sz w:val="24"/>
                <w:u w:val="none"/>
                <w:lang w:val="zh-CN"/>
              </w:rPr>
              <w:t>及三同时设施验收一览表</w:t>
            </w:r>
          </w:p>
          <w:tbl>
            <w:tblPr>
              <w:tblStyle w:val="32"/>
              <w:tblW w:w="8570"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869"/>
              <w:gridCol w:w="1395"/>
              <w:gridCol w:w="2841"/>
              <w:gridCol w:w="1170"/>
              <w:gridCol w:w="2295"/>
            </w:tblGrid>
            <w:tr w14:paraId="0C2C50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2264" w:type="dxa"/>
                  <w:gridSpan w:val="2"/>
                  <w:tcBorders>
                    <w:tl2br w:val="nil"/>
                    <w:tr2bl w:val="nil"/>
                  </w:tcBorders>
                  <w:vAlign w:val="center"/>
                </w:tcPr>
                <w:p w14:paraId="50618C03">
                  <w:pPr>
                    <w:spacing w:line="240" w:lineRule="auto"/>
                    <w:jc w:val="center"/>
                    <w:textAlignment w:val="baseline"/>
                    <w:rPr>
                      <w:rFonts w:ascii="Times New Roman" w:hAnsi="Times New Roman" w:cs="Times New Roman"/>
                      <w:b/>
                      <w:bCs/>
                      <w:color w:val="auto"/>
                      <w:szCs w:val="21"/>
                      <w:u w:val="none"/>
                    </w:rPr>
                  </w:pPr>
                  <w:r>
                    <w:rPr>
                      <w:rFonts w:ascii="Times New Roman" w:hAnsi="Times New Roman" w:cs="Times New Roman"/>
                      <w:b/>
                      <w:bCs/>
                      <w:color w:val="auto"/>
                      <w:szCs w:val="21"/>
                      <w:u w:val="none"/>
                    </w:rPr>
                    <w:t>污染因子</w:t>
                  </w:r>
                </w:p>
              </w:tc>
              <w:tc>
                <w:tcPr>
                  <w:tcW w:w="2841" w:type="dxa"/>
                  <w:tcBorders>
                    <w:tl2br w:val="nil"/>
                    <w:tr2bl w:val="nil"/>
                  </w:tcBorders>
                  <w:vAlign w:val="center"/>
                </w:tcPr>
                <w:p w14:paraId="34D6441B">
                  <w:pPr>
                    <w:spacing w:line="240" w:lineRule="auto"/>
                    <w:jc w:val="center"/>
                    <w:textAlignment w:val="baseline"/>
                    <w:rPr>
                      <w:rFonts w:ascii="Times New Roman" w:hAnsi="Times New Roman" w:cs="Times New Roman"/>
                      <w:b/>
                      <w:bCs/>
                      <w:color w:val="auto"/>
                      <w:szCs w:val="21"/>
                      <w:u w:val="none"/>
                    </w:rPr>
                  </w:pPr>
                  <w:r>
                    <w:rPr>
                      <w:rFonts w:ascii="Times New Roman" w:hAnsi="Times New Roman" w:cs="Times New Roman"/>
                      <w:b/>
                      <w:bCs/>
                      <w:color w:val="auto"/>
                      <w:szCs w:val="21"/>
                      <w:u w:val="none"/>
                    </w:rPr>
                    <w:t>环保措施</w:t>
                  </w:r>
                </w:p>
              </w:tc>
              <w:tc>
                <w:tcPr>
                  <w:tcW w:w="1170" w:type="dxa"/>
                  <w:tcBorders>
                    <w:tl2br w:val="nil"/>
                    <w:tr2bl w:val="nil"/>
                  </w:tcBorders>
                  <w:vAlign w:val="center"/>
                </w:tcPr>
                <w:p w14:paraId="2C257F63">
                  <w:pPr>
                    <w:spacing w:line="240" w:lineRule="auto"/>
                    <w:jc w:val="center"/>
                    <w:textAlignment w:val="baseline"/>
                    <w:rPr>
                      <w:rFonts w:ascii="Times New Roman" w:hAnsi="Times New Roman" w:cs="Times New Roman"/>
                      <w:b/>
                      <w:bCs/>
                      <w:color w:val="auto"/>
                      <w:szCs w:val="21"/>
                      <w:u w:val="none"/>
                    </w:rPr>
                  </w:pPr>
                  <w:r>
                    <w:rPr>
                      <w:rFonts w:ascii="Times New Roman" w:hAnsi="Times New Roman" w:cs="Times New Roman"/>
                      <w:b/>
                      <w:bCs/>
                      <w:color w:val="auto"/>
                      <w:szCs w:val="21"/>
                      <w:u w:val="none"/>
                    </w:rPr>
                    <w:t>投资/万元</w:t>
                  </w:r>
                </w:p>
              </w:tc>
              <w:tc>
                <w:tcPr>
                  <w:tcW w:w="2295" w:type="dxa"/>
                  <w:tcBorders>
                    <w:tl2br w:val="nil"/>
                    <w:tr2bl w:val="nil"/>
                  </w:tcBorders>
                  <w:vAlign w:val="center"/>
                </w:tcPr>
                <w:p w14:paraId="2339BFC8">
                  <w:pPr>
                    <w:spacing w:line="240" w:lineRule="auto"/>
                    <w:jc w:val="center"/>
                    <w:textAlignment w:val="baseline"/>
                    <w:rPr>
                      <w:rFonts w:ascii="Times New Roman" w:hAnsi="Times New Roman" w:cs="Times New Roman"/>
                      <w:b/>
                      <w:bCs/>
                      <w:color w:val="auto"/>
                      <w:szCs w:val="21"/>
                      <w:u w:val="none"/>
                    </w:rPr>
                  </w:pPr>
                  <w:r>
                    <w:rPr>
                      <w:rFonts w:hint="eastAsia" w:ascii="Times New Roman" w:hAnsi="Times New Roman" w:cs="Times New Roman"/>
                      <w:b/>
                      <w:bCs/>
                      <w:color w:val="auto"/>
                      <w:szCs w:val="21"/>
                      <w:u w:val="none"/>
                    </w:rPr>
                    <w:t>验收标准</w:t>
                  </w:r>
                </w:p>
              </w:tc>
            </w:tr>
            <w:tr w14:paraId="5086AB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3" w:hRule="atLeast"/>
              </w:trPr>
              <w:tc>
                <w:tcPr>
                  <w:tcW w:w="869" w:type="dxa"/>
                  <w:vMerge w:val="restart"/>
                  <w:tcBorders>
                    <w:tl2br w:val="nil"/>
                    <w:tr2bl w:val="nil"/>
                  </w:tcBorders>
                  <w:vAlign w:val="center"/>
                </w:tcPr>
                <w:p w14:paraId="0BA9EF38">
                  <w:pPr>
                    <w:spacing w:line="240" w:lineRule="auto"/>
                    <w:jc w:val="center"/>
                    <w:textAlignment w:val="baseline"/>
                    <w:rPr>
                      <w:rFonts w:ascii="Times New Roman" w:hAnsi="Times New Roman" w:cs="Times New Roman"/>
                      <w:color w:val="auto"/>
                      <w:szCs w:val="21"/>
                      <w:u w:val="none"/>
                    </w:rPr>
                  </w:pPr>
                  <w:r>
                    <w:rPr>
                      <w:rFonts w:hint="eastAsia" w:ascii="Times New Roman" w:hAnsi="Times New Roman" w:cs="Times New Roman"/>
                      <w:color w:val="auto"/>
                      <w:szCs w:val="21"/>
                      <w:u w:val="none"/>
                    </w:rPr>
                    <w:t>废气</w:t>
                  </w:r>
                </w:p>
              </w:tc>
              <w:tc>
                <w:tcPr>
                  <w:tcW w:w="1395" w:type="dxa"/>
                  <w:tcBorders>
                    <w:tl2br w:val="nil"/>
                    <w:tr2bl w:val="nil"/>
                  </w:tcBorders>
                  <w:vAlign w:val="center"/>
                </w:tcPr>
                <w:p w14:paraId="46B517C5">
                  <w:pPr>
                    <w:spacing w:line="240" w:lineRule="auto"/>
                    <w:jc w:val="center"/>
                    <w:textAlignment w:val="baseline"/>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烟尘</w:t>
                  </w:r>
                </w:p>
              </w:tc>
              <w:tc>
                <w:tcPr>
                  <w:tcW w:w="2841" w:type="dxa"/>
                  <w:vMerge w:val="restart"/>
                  <w:tcBorders>
                    <w:tl2br w:val="nil"/>
                    <w:tr2bl w:val="nil"/>
                  </w:tcBorders>
                  <w:vAlign w:val="center"/>
                </w:tcPr>
                <w:p w14:paraId="5DBD80CA">
                  <w:pPr>
                    <w:spacing w:line="240" w:lineRule="auto"/>
                    <w:jc w:val="center"/>
                    <w:textAlignment w:val="baseline"/>
                    <w:rPr>
                      <w:rFonts w:hint="eastAsia" w:cs="Times New Roman"/>
                      <w:color w:val="auto"/>
                      <w:sz w:val="21"/>
                      <w:szCs w:val="21"/>
                      <w:u w:val="none"/>
                      <w:lang w:val="en-US" w:eastAsia="zh-CN"/>
                    </w:rPr>
                  </w:pPr>
                  <w:r>
                    <w:rPr>
                      <w:rFonts w:hint="eastAsia"/>
                      <w:lang w:val="en-US" w:eastAsia="zh-CN"/>
                    </w:rPr>
                    <w:t>4套</w:t>
                  </w:r>
                  <w:r>
                    <w:rPr>
                      <w:rFonts w:hint="eastAsia" w:cs="Times New Roman"/>
                      <w:color w:val="auto"/>
                      <w:sz w:val="21"/>
                      <w:szCs w:val="21"/>
                      <w:u w:val="none"/>
                      <w:lang w:val="en-US" w:eastAsia="zh-CN"/>
                    </w:rPr>
                    <w:t>稀薄燃烧控制技术+</w:t>
                  </w:r>
                </w:p>
                <w:p w14:paraId="42967BF7">
                  <w:pPr>
                    <w:spacing w:line="240" w:lineRule="auto"/>
                    <w:jc w:val="center"/>
                    <w:textAlignment w:val="baseline"/>
                    <w:rPr>
                      <w:rFonts w:hint="eastAsia" w:ascii="Times New Roman" w:hAnsi="Times New Roman" w:eastAsia="宋体" w:cs="Times New Roman"/>
                      <w:color w:val="auto"/>
                      <w:szCs w:val="21"/>
                      <w:u w:val="none"/>
                      <w:lang w:val="en-US" w:eastAsia="zh-CN"/>
                    </w:rPr>
                  </w:pPr>
                  <w:r>
                    <w:rPr>
                      <w:rFonts w:hint="eastAsia" w:cs="Times New Roman"/>
                      <w:color w:val="auto"/>
                      <w:sz w:val="21"/>
                      <w:szCs w:val="21"/>
                      <w:u w:val="none"/>
                      <w:lang w:val="en-US" w:eastAsia="zh-CN"/>
                    </w:rPr>
                    <w:t>15m高排气筒</w:t>
                  </w:r>
                </w:p>
              </w:tc>
              <w:tc>
                <w:tcPr>
                  <w:tcW w:w="1170" w:type="dxa"/>
                  <w:vMerge w:val="restart"/>
                  <w:tcBorders>
                    <w:tl2br w:val="nil"/>
                    <w:tr2bl w:val="nil"/>
                  </w:tcBorders>
                  <w:vAlign w:val="center"/>
                </w:tcPr>
                <w:p w14:paraId="3639EBC0">
                  <w:pPr>
                    <w:spacing w:line="240" w:lineRule="auto"/>
                    <w:jc w:val="center"/>
                    <w:textAlignment w:val="baseline"/>
                    <w:rPr>
                      <w:rFonts w:hint="default" w:ascii="Times New Roman" w:hAnsi="Times New Roman" w:eastAsia="宋体" w:cs="Times New Roman"/>
                      <w:color w:val="auto"/>
                      <w:szCs w:val="21"/>
                      <w:u w:val="none"/>
                      <w:lang w:val="en-US" w:eastAsia="zh-CN"/>
                    </w:rPr>
                  </w:pPr>
                  <w:r>
                    <w:rPr>
                      <w:rFonts w:hint="eastAsia" w:cs="Times New Roman"/>
                      <w:color w:val="auto"/>
                      <w:szCs w:val="21"/>
                      <w:u w:val="none"/>
                      <w:lang w:val="en-US" w:eastAsia="zh-CN"/>
                    </w:rPr>
                    <w:t>20</w:t>
                  </w:r>
                </w:p>
              </w:tc>
              <w:tc>
                <w:tcPr>
                  <w:tcW w:w="2295" w:type="dxa"/>
                  <w:vMerge w:val="restart"/>
                  <w:tcBorders>
                    <w:tl2br w:val="nil"/>
                    <w:tr2bl w:val="nil"/>
                  </w:tcBorders>
                  <w:vAlign w:val="center"/>
                </w:tcPr>
                <w:p w14:paraId="04BF6B4D">
                  <w:pPr>
                    <w:spacing w:line="240" w:lineRule="auto"/>
                    <w:jc w:val="center"/>
                    <w:textAlignment w:val="baseline"/>
                    <w:rPr>
                      <w:rFonts w:hint="eastAsia" w:ascii="Times New Roman" w:hAnsi="Times New Roman" w:eastAsia="宋体" w:cs="Times New Roman"/>
                      <w:color w:val="auto"/>
                      <w:szCs w:val="21"/>
                      <w:u w:val="none"/>
                    </w:rPr>
                  </w:pPr>
                  <w:r>
                    <w:rPr>
                      <w:rFonts w:hint="eastAsia" w:ascii="Times New Roman" w:hAnsi="Times New Roman" w:eastAsia="宋体" w:cs="Times New Roman"/>
                      <w:color w:val="auto"/>
                      <w:szCs w:val="21"/>
                      <w:u w:val="none"/>
                      <w:lang w:val="en-US" w:eastAsia="zh-CN"/>
                    </w:rPr>
                    <w:t>《重型柴油车污染物排放限值及测量方法（中国第六阶段）》GB 17691-2018</w:t>
                  </w:r>
                </w:p>
              </w:tc>
            </w:tr>
            <w:tr w14:paraId="5876D6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01" w:hRule="atLeast"/>
              </w:trPr>
              <w:tc>
                <w:tcPr>
                  <w:tcW w:w="869" w:type="dxa"/>
                  <w:vMerge w:val="continue"/>
                  <w:tcBorders>
                    <w:tl2br w:val="nil"/>
                    <w:tr2bl w:val="nil"/>
                  </w:tcBorders>
                  <w:vAlign w:val="center"/>
                </w:tcPr>
                <w:p w14:paraId="20C95CF7">
                  <w:pPr>
                    <w:spacing w:line="240" w:lineRule="auto"/>
                    <w:jc w:val="center"/>
                    <w:textAlignment w:val="baseline"/>
                    <w:rPr>
                      <w:rFonts w:hint="eastAsia" w:ascii="Times New Roman" w:hAnsi="Times New Roman" w:cs="Times New Roman"/>
                      <w:color w:val="auto"/>
                      <w:szCs w:val="21"/>
                      <w:u w:val="none"/>
                    </w:rPr>
                  </w:pPr>
                </w:p>
              </w:tc>
              <w:tc>
                <w:tcPr>
                  <w:tcW w:w="1395" w:type="dxa"/>
                  <w:tcBorders>
                    <w:tl2br w:val="nil"/>
                    <w:tr2bl w:val="nil"/>
                  </w:tcBorders>
                  <w:vAlign w:val="center"/>
                </w:tcPr>
                <w:p w14:paraId="5D6A52E0">
                  <w:pPr>
                    <w:spacing w:line="240" w:lineRule="auto"/>
                    <w:jc w:val="center"/>
                    <w:textAlignment w:val="baseline"/>
                    <w:rPr>
                      <w:rFonts w:hint="default"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NOx</w:t>
                  </w:r>
                </w:p>
              </w:tc>
              <w:tc>
                <w:tcPr>
                  <w:tcW w:w="2841" w:type="dxa"/>
                  <w:vMerge w:val="continue"/>
                  <w:tcBorders>
                    <w:tl2br w:val="nil"/>
                    <w:tr2bl w:val="nil"/>
                  </w:tcBorders>
                  <w:vAlign w:val="center"/>
                </w:tcPr>
                <w:p w14:paraId="775D767E">
                  <w:pPr>
                    <w:spacing w:line="240" w:lineRule="auto"/>
                    <w:jc w:val="center"/>
                    <w:textAlignment w:val="baseline"/>
                    <w:rPr>
                      <w:rFonts w:hint="default" w:ascii="Times New Roman" w:hAnsi="Times New Roman" w:eastAsia="宋体" w:cs="Times New Roman"/>
                      <w:color w:val="auto"/>
                      <w:szCs w:val="21"/>
                      <w:u w:val="none"/>
                      <w:lang w:val="en-US" w:eastAsia="zh-CN"/>
                    </w:rPr>
                  </w:pPr>
                </w:p>
              </w:tc>
              <w:tc>
                <w:tcPr>
                  <w:tcW w:w="1170" w:type="dxa"/>
                  <w:vMerge w:val="continue"/>
                  <w:tcBorders>
                    <w:tl2br w:val="nil"/>
                    <w:tr2bl w:val="nil"/>
                  </w:tcBorders>
                  <w:vAlign w:val="center"/>
                </w:tcPr>
                <w:p w14:paraId="783DF1AB">
                  <w:pPr>
                    <w:spacing w:line="240" w:lineRule="auto"/>
                    <w:jc w:val="center"/>
                    <w:textAlignment w:val="baseline"/>
                    <w:rPr>
                      <w:rFonts w:hint="default" w:ascii="Times New Roman" w:hAnsi="Times New Roman" w:eastAsia="宋体" w:cs="Times New Roman"/>
                      <w:color w:val="auto"/>
                      <w:szCs w:val="21"/>
                      <w:u w:val="none"/>
                      <w:lang w:val="en-US" w:eastAsia="zh-CN"/>
                    </w:rPr>
                  </w:pPr>
                </w:p>
              </w:tc>
              <w:tc>
                <w:tcPr>
                  <w:tcW w:w="2295" w:type="dxa"/>
                  <w:vMerge w:val="continue"/>
                  <w:tcBorders>
                    <w:tl2br w:val="nil"/>
                    <w:tr2bl w:val="nil"/>
                  </w:tcBorders>
                  <w:vAlign w:val="center"/>
                </w:tcPr>
                <w:p w14:paraId="7B744CEF">
                  <w:pPr>
                    <w:spacing w:line="240" w:lineRule="auto"/>
                    <w:jc w:val="center"/>
                    <w:textAlignment w:val="baseline"/>
                    <w:rPr>
                      <w:rFonts w:hint="eastAsia" w:ascii="Times New Roman" w:hAnsi="Times New Roman" w:eastAsia="宋体" w:cs="Times New Roman"/>
                      <w:color w:val="auto"/>
                      <w:szCs w:val="21"/>
                      <w:u w:val="none"/>
                    </w:rPr>
                  </w:pPr>
                </w:p>
              </w:tc>
            </w:tr>
            <w:tr w14:paraId="3B50F0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85" w:hRule="atLeast"/>
              </w:trPr>
              <w:tc>
                <w:tcPr>
                  <w:tcW w:w="869" w:type="dxa"/>
                  <w:vMerge w:val="continue"/>
                  <w:tcBorders>
                    <w:tl2br w:val="nil"/>
                    <w:tr2bl w:val="nil"/>
                  </w:tcBorders>
                  <w:vAlign w:val="center"/>
                </w:tcPr>
                <w:p w14:paraId="2D60A0B2">
                  <w:pPr>
                    <w:spacing w:line="240" w:lineRule="auto"/>
                    <w:jc w:val="center"/>
                    <w:textAlignment w:val="baseline"/>
                    <w:rPr>
                      <w:rFonts w:hint="eastAsia" w:ascii="Times New Roman" w:hAnsi="Times New Roman" w:cs="Times New Roman"/>
                      <w:color w:val="auto"/>
                      <w:szCs w:val="21"/>
                      <w:u w:val="none"/>
                    </w:rPr>
                  </w:pPr>
                </w:p>
              </w:tc>
              <w:tc>
                <w:tcPr>
                  <w:tcW w:w="1395" w:type="dxa"/>
                  <w:tcBorders>
                    <w:tl2br w:val="nil"/>
                    <w:tr2bl w:val="nil"/>
                  </w:tcBorders>
                  <w:vAlign w:val="center"/>
                </w:tcPr>
                <w:p w14:paraId="331C87CA">
                  <w:pPr>
                    <w:spacing w:line="240" w:lineRule="auto"/>
                    <w:jc w:val="center"/>
                    <w:textAlignment w:val="baseline"/>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非甲烷总烃</w:t>
                  </w:r>
                </w:p>
              </w:tc>
              <w:tc>
                <w:tcPr>
                  <w:tcW w:w="2841" w:type="dxa"/>
                  <w:vMerge w:val="continue"/>
                  <w:tcBorders>
                    <w:tl2br w:val="nil"/>
                    <w:tr2bl w:val="nil"/>
                  </w:tcBorders>
                  <w:vAlign w:val="center"/>
                </w:tcPr>
                <w:p w14:paraId="49B619E4">
                  <w:pPr>
                    <w:spacing w:line="240" w:lineRule="auto"/>
                    <w:jc w:val="center"/>
                    <w:textAlignment w:val="baseline"/>
                    <w:rPr>
                      <w:rFonts w:hint="default" w:ascii="Times New Roman" w:hAnsi="Times New Roman" w:eastAsia="宋体" w:cs="Times New Roman"/>
                      <w:color w:val="auto"/>
                      <w:szCs w:val="21"/>
                      <w:u w:val="none"/>
                      <w:lang w:val="en-US" w:eastAsia="zh-CN"/>
                    </w:rPr>
                  </w:pPr>
                </w:p>
              </w:tc>
              <w:tc>
                <w:tcPr>
                  <w:tcW w:w="1170" w:type="dxa"/>
                  <w:vMerge w:val="continue"/>
                  <w:tcBorders>
                    <w:tl2br w:val="nil"/>
                    <w:tr2bl w:val="nil"/>
                  </w:tcBorders>
                  <w:vAlign w:val="center"/>
                </w:tcPr>
                <w:p w14:paraId="5536438D">
                  <w:pPr>
                    <w:spacing w:line="240" w:lineRule="auto"/>
                    <w:jc w:val="center"/>
                    <w:textAlignment w:val="baseline"/>
                    <w:rPr>
                      <w:rFonts w:hint="default" w:ascii="Times New Roman" w:hAnsi="Times New Roman" w:eastAsia="宋体" w:cs="Times New Roman"/>
                      <w:color w:val="auto"/>
                      <w:szCs w:val="21"/>
                      <w:u w:val="none"/>
                      <w:lang w:val="en-US" w:eastAsia="zh-CN"/>
                    </w:rPr>
                  </w:pPr>
                </w:p>
              </w:tc>
              <w:tc>
                <w:tcPr>
                  <w:tcW w:w="2295" w:type="dxa"/>
                  <w:vMerge w:val="continue"/>
                  <w:tcBorders>
                    <w:tl2br w:val="nil"/>
                    <w:tr2bl w:val="nil"/>
                  </w:tcBorders>
                  <w:vAlign w:val="center"/>
                </w:tcPr>
                <w:p w14:paraId="67CDC488">
                  <w:pPr>
                    <w:spacing w:line="240" w:lineRule="auto"/>
                    <w:jc w:val="center"/>
                    <w:textAlignment w:val="baseline"/>
                    <w:rPr>
                      <w:rFonts w:hint="eastAsia" w:ascii="Times New Roman" w:hAnsi="Times New Roman" w:eastAsia="宋体" w:cs="Times New Roman"/>
                      <w:color w:val="auto"/>
                      <w:szCs w:val="21"/>
                      <w:u w:val="none"/>
                    </w:rPr>
                  </w:pPr>
                </w:p>
              </w:tc>
            </w:tr>
            <w:tr w14:paraId="73A496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35" w:hRule="atLeast"/>
              </w:trPr>
              <w:tc>
                <w:tcPr>
                  <w:tcW w:w="869" w:type="dxa"/>
                  <w:vMerge w:val="continue"/>
                  <w:tcBorders>
                    <w:tl2br w:val="nil"/>
                    <w:tr2bl w:val="nil"/>
                  </w:tcBorders>
                  <w:vAlign w:val="center"/>
                </w:tcPr>
                <w:p w14:paraId="3A813DC2">
                  <w:pPr>
                    <w:spacing w:line="240" w:lineRule="auto"/>
                    <w:jc w:val="center"/>
                    <w:textAlignment w:val="baseline"/>
                    <w:rPr>
                      <w:rFonts w:hint="eastAsia" w:ascii="Times New Roman" w:hAnsi="Times New Roman" w:cs="Times New Roman"/>
                      <w:color w:val="auto"/>
                      <w:szCs w:val="21"/>
                      <w:u w:val="none"/>
                    </w:rPr>
                  </w:pPr>
                </w:p>
              </w:tc>
              <w:tc>
                <w:tcPr>
                  <w:tcW w:w="1395" w:type="dxa"/>
                  <w:tcBorders>
                    <w:tl2br w:val="nil"/>
                    <w:tr2bl w:val="nil"/>
                  </w:tcBorders>
                  <w:vAlign w:val="center"/>
                </w:tcPr>
                <w:p w14:paraId="5FBF69C4">
                  <w:pPr>
                    <w:spacing w:line="240" w:lineRule="auto"/>
                    <w:jc w:val="center"/>
                    <w:textAlignment w:val="baseline"/>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CO</w:t>
                  </w:r>
                </w:p>
              </w:tc>
              <w:tc>
                <w:tcPr>
                  <w:tcW w:w="2841" w:type="dxa"/>
                  <w:vMerge w:val="continue"/>
                  <w:tcBorders>
                    <w:tl2br w:val="nil"/>
                    <w:tr2bl w:val="nil"/>
                  </w:tcBorders>
                  <w:vAlign w:val="center"/>
                </w:tcPr>
                <w:p w14:paraId="3CD17266">
                  <w:pPr>
                    <w:spacing w:line="240" w:lineRule="auto"/>
                    <w:jc w:val="center"/>
                    <w:textAlignment w:val="baseline"/>
                    <w:rPr>
                      <w:rFonts w:hint="default" w:ascii="Times New Roman" w:hAnsi="Times New Roman" w:eastAsia="宋体" w:cs="Times New Roman"/>
                      <w:color w:val="auto"/>
                      <w:szCs w:val="21"/>
                      <w:u w:val="none"/>
                      <w:lang w:val="en-US" w:eastAsia="zh-CN"/>
                    </w:rPr>
                  </w:pPr>
                </w:p>
              </w:tc>
              <w:tc>
                <w:tcPr>
                  <w:tcW w:w="1170" w:type="dxa"/>
                  <w:vMerge w:val="continue"/>
                  <w:tcBorders>
                    <w:tl2br w:val="nil"/>
                    <w:tr2bl w:val="nil"/>
                  </w:tcBorders>
                  <w:vAlign w:val="center"/>
                </w:tcPr>
                <w:p w14:paraId="01F131CB">
                  <w:pPr>
                    <w:spacing w:line="240" w:lineRule="auto"/>
                    <w:jc w:val="center"/>
                    <w:textAlignment w:val="baseline"/>
                    <w:rPr>
                      <w:rFonts w:hint="default" w:ascii="Times New Roman" w:hAnsi="Times New Roman" w:eastAsia="宋体" w:cs="Times New Roman"/>
                      <w:color w:val="auto"/>
                      <w:szCs w:val="21"/>
                      <w:u w:val="none"/>
                      <w:lang w:val="en-US" w:eastAsia="zh-CN"/>
                    </w:rPr>
                  </w:pPr>
                </w:p>
              </w:tc>
              <w:tc>
                <w:tcPr>
                  <w:tcW w:w="2295" w:type="dxa"/>
                  <w:vMerge w:val="continue"/>
                  <w:tcBorders>
                    <w:tl2br w:val="nil"/>
                    <w:tr2bl w:val="nil"/>
                  </w:tcBorders>
                  <w:vAlign w:val="center"/>
                </w:tcPr>
                <w:p w14:paraId="55DED24D">
                  <w:pPr>
                    <w:spacing w:line="240" w:lineRule="auto"/>
                    <w:jc w:val="center"/>
                    <w:textAlignment w:val="baseline"/>
                    <w:rPr>
                      <w:rFonts w:hint="eastAsia" w:ascii="Times New Roman" w:hAnsi="Times New Roman" w:eastAsia="宋体" w:cs="Times New Roman"/>
                      <w:color w:val="auto"/>
                      <w:szCs w:val="21"/>
                      <w:u w:val="none"/>
                    </w:rPr>
                  </w:pPr>
                </w:p>
              </w:tc>
            </w:tr>
            <w:tr w14:paraId="6B83364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3" w:hRule="atLeast"/>
              </w:trPr>
              <w:tc>
                <w:tcPr>
                  <w:tcW w:w="869" w:type="dxa"/>
                  <w:vMerge w:val="restart"/>
                  <w:tcBorders>
                    <w:tl2br w:val="nil"/>
                    <w:tr2bl w:val="nil"/>
                  </w:tcBorders>
                  <w:vAlign w:val="center"/>
                </w:tcPr>
                <w:p w14:paraId="6DC2AB5E">
                  <w:pPr>
                    <w:spacing w:line="240" w:lineRule="auto"/>
                    <w:jc w:val="center"/>
                    <w:rPr>
                      <w:rFonts w:hint="eastAsia" w:ascii="Times New Roman" w:hAnsi="Times New Roman" w:cs="Times New Roman"/>
                      <w:color w:val="auto"/>
                      <w:szCs w:val="21"/>
                      <w:u w:val="none"/>
                    </w:rPr>
                  </w:pPr>
                  <w:r>
                    <w:rPr>
                      <w:rFonts w:hint="eastAsia" w:ascii="Times New Roman" w:hAnsi="Times New Roman" w:cs="Times New Roman"/>
                      <w:color w:val="auto"/>
                      <w:szCs w:val="21"/>
                      <w:u w:val="none"/>
                    </w:rPr>
                    <w:t>废水</w:t>
                  </w:r>
                </w:p>
              </w:tc>
              <w:tc>
                <w:tcPr>
                  <w:tcW w:w="1395" w:type="dxa"/>
                  <w:tcBorders>
                    <w:tl2br w:val="nil"/>
                    <w:tr2bl w:val="nil"/>
                  </w:tcBorders>
                  <w:vAlign w:val="center"/>
                </w:tcPr>
                <w:p w14:paraId="7D76886A">
                  <w:pPr>
                    <w:spacing w:line="240" w:lineRule="auto"/>
                    <w:jc w:val="center"/>
                    <w:rPr>
                      <w:rFonts w:hint="eastAsia" w:ascii="Times New Roman" w:hAnsi="Times New Roman" w:eastAsia="宋体" w:cs="Times New Roman"/>
                      <w:color w:val="auto"/>
                      <w:szCs w:val="21"/>
                      <w:u w:val="none"/>
                    </w:rPr>
                  </w:pPr>
                  <w:r>
                    <w:rPr>
                      <w:rFonts w:hint="eastAsia" w:ascii="Times New Roman" w:hAnsi="Times New Roman" w:eastAsia="宋体" w:cs="Times New Roman"/>
                      <w:color w:val="auto"/>
                      <w:szCs w:val="21"/>
                      <w:u w:val="none"/>
                      <w:lang w:val="en-US" w:eastAsia="zh-CN"/>
                    </w:rPr>
                    <w:t>生活污水</w:t>
                  </w:r>
                </w:p>
              </w:tc>
              <w:tc>
                <w:tcPr>
                  <w:tcW w:w="2841" w:type="dxa"/>
                  <w:tcBorders>
                    <w:tl2br w:val="nil"/>
                    <w:tr2bl w:val="nil"/>
                  </w:tcBorders>
                  <w:vAlign w:val="center"/>
                </w:tcPr>
                <w:p w14:paraId="4A3E5AA7">
                  <w:pPr>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防渗化粪池</w:t>
                  </w:r>
                  <w:r>
                    <w:rPr>
                      <w:rFonts w:hint="eastAsia"/>
                      <w:lang w:eastAsia="zh-CN"/>
                    </w:rPr>
                    <w:t>（</w:t>
                  </w:r>
                  <w:r>
                    <w:rPr>
                      <w:rFonts w:hint="eastAsia"/>
                      <w:lang w:val="en-US" w:eastAsia="zh-CN"/>
                    </w:rPr>
                    <w:t>约3m</w:t>
                  </w:r>
                  <w:r>
                    <w:rPr>
                      <w:rFonts w:hint="eastAsia"/>
                      <w:vertAlign w:val="superscript"/>
                      <w:lang w:val="en-US" w:eastAsia="zh-CN"/>
                    </w:rPr>
                    <w:t>3</w:t>
                  </w:r>
                  <w:r>
                    <w:rPr>
                      <w:rFonts w:hint="eastAsia"/>
                      <w:lang w:eastAsia="zh-CN"/>
                    </w:rPr>
                    <w:t>）</w:t>
                  </w:r>
                  <w:r>
                    <w:rPr>
                      <w:rFonts w:hint="eastAsia" w:ascii="Times New Roman" w:hAnsi="Times New Roman" w:eastAsia="宋体" w:cs="Times New Roman"/>
                      <w:color w:val="auto"/>
                      <w:szCs w:val="21"/>
                      <w:u w:val="none"/>
                      <w:lang w:val="en-US" w:eastAsia="zh-CN"/>
                    </w:rPr>
                    <w:t>处理</w:t>
                  </w:r>
                </w:p>
              </w:tc>
              <w:tc>
                <w:tcPr>
                  <w:tcW w:w="1170" w:type="dxa"/>
                  <w:vMerge w:val="restart"/>
                  <w:tcBorders>
                    <w:tl2br w:val="nil"/>
                    <w:tr2bl w:val="nil"/>
                  </w:tcBorders>
                  <w:vAlign w:val="center"/>
                </w:tcPr>
                <w:p w14:paraId="21A1D413">
                  <w:pPr>
                    <w:tabs>
                      <w:tab w:val="left" w:pos="5760"/>
                    </w:tabs>
                    <w:adjustRightInd w:val="0"/>
                    <w:snapToGrid w:val="0"/>
                    <w:spacing w:line="240" w:lineRule="auto"/>
                    <w:jc w:val="center"/>
                    <w:rPr>
                      <w:rFonts w:hint="default" w:ascii="Times New Roman" w:hAnsi="Times New Roman" w:eastAsia="宋体" w:cs="Times New Roman"/>
                      <w:bCs/>
                      <w:color w:val="auto"/>
                      <w:szCs w:val="21"/>
                      <w:u w:val="none"/>
                      <w:lang w:val="en-US" w:eastAsia="zh-CN"/>
                    </w:rPr>
                  </w:pPr>
                  <w:r>
                    <w:rPr>
                      <w:rFonts w:hint="eastAsia" w:cs="Times New Roman"/>
                      <w:bCs/>
                      <w:color w:val="auto"/>
                      <w:szCs w:val="21"/>
                      <w:u w:val="none"/>
                      <w:lang w:val="en-US" w:eastAsia="zh-CN"/>
                    </w:rPr>
                    <w:t>3</w:t>
                  </w:r>
                </w:p>
              </w:tc>
              <w:tc>
                <w:tcPr>
                  <w:tcW w:w="2295" w:type="dxa"/>
                  <w:tcBorders>
                    <w:tl2br w:val="nil"/>
                    <w:tr2bl w:val="nil"/>
                  </w:tcBorders>
                  <w:vAlign w:val="center"/>
                </w:tcPr>
                <w:p w14:paraId="740F0830">
                  <w:pPr>
                    <w:spacing w:line="240" w:lineRule="auto"/>
                    <w:jc w:val="center"/>
                    <w:rPr>
                      <w:rFonts w:hint="default" w:ascii="Times New Roman" w:hAnsi="Times New Roman" w:eastAsia="宋体" w:cs="Times New Roman"/>
                      <w:bCs/>
                      <w:color w:val="auto"/>
                      <w:szCs w:val="21"/>
                      <w:u w:val="none"/>
                      <w:lang w:val="en-US" w:eastAsia="zh-CN"/>
                    </w:rPr>
                  </w:pPr>
                  <w:r>
                    <w:rPr>
                      <w:rFonts w:hint="eastAsia" w:ascii="Times New Roman" w:hAnsi="Times New Roman" w:eastAsia="宋体" w:cs="Times New Roman"/>
                      <w:color w:val="auto"/>
                      <w:szCs w:val="21"/>
                      <w:u w:val="none"/>
                      <w:lang w:val="en-US" w:eastAsia="zh-CN"/>
                    </w:rPr>
                    <w:t>不外排</w:t>
                  </w:r>
                </w:p>
              </w:tc>
            </w:tr>
            <w:tr w14:paraId="3E2DDD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3" w:hRule="atLeast"/>
              </w:trPr>
              <w:tc>
                <w:tcPr>
                  <w:tcW w:w="869" w:type="dxa"/>
                  <w:vMerge w:val="continue"/>
                  <w:tcBorders>
                    <w:tl2br w:val="nil"/>
                    <w:tr2bl w:val="nil"/>
                  </w:tcBorders>
                  <w:vAlign w:val="center"/>
                </w:tcPr>
                <w:p w14:paraId="1CAB19C1">
                  <w:pPr>
                    <w:spacing w:line="240" w:lineRule="auto"/>
                    <w:jc w:val="center"/>
                    <w:rPr>
                      <w:rFonts w:hint="eastAsia" w:ascii="Times New Roman" w:hAnsi="Times New Roman" w:cs="Times New Roman"/>
                      <w:color w:val="auto"/>
                      <w:szCs w:val="21"/>
                      <w:u w:val="none"/>
                    </w:rPr>
                  </w:pPr>
                </w:p>
              </w:tc>
              <w:tc>
                <w:tcPr>
                  <w:tcW w:w="1395" w:type="dxa"/>
                  <w:tcBorders>
                    <w:tl2br w:val="nil"/>
                    <w:tr2bl w:val="nil"/>
                  </w:tcBorders>
                  <w:shd w:val="clear" w:color="auto" w:fill="auto"/>
                  <w:vAlign w:val="center"/>
                </w:tcPr>
                <w:p w14:paraId="7D9F632D">
                  <w:pPr>
                    <w:spacing w:line="240" w:lineRule="auto"/>
                    <w:jc w:val="center"/>
                    <w:rPr>
                      <w:rFonts w:hint="eastAsia" w:ascii="Times New Roman" w:hAnsi="Times New Roman" w:eastAsia="宋体" w:cs="Times New Roman"/>
                      <w:color w:val="auto"/>
                      <w:kern w:val="2"/>
                      <w:sz w:val="21"/>
                      <w:szCs w:val="21"/>
                      <w:u w:val="none"/>
                      <w:lang w:val="en-US" w:eastAsia="zh-CN" w:bidi="ar-SA"/>
                    </w:rPr>
                  </w:pPr>
                  <w:r>
                    <w:rPr>
                      <w:rFonts w:hint="eastAsia" w:cs="Times New Roman"/>
                      <w:color w:val="auto"/>
                      <w:szCs w:val="21"/>
                      <w:u w:val="none"/>
                      <w:lang w:val="en-US" w:eastAsia="zh-CN"/>
                    </w:rPr>
                    <w:t>冷凝水</w:t>
                  </w:r>
                </w:p>
              </w:tc>
              <w:tc>
                <w:tcPr>
                  <w:tcW w:w="2841" w:type="dxa"/>
                  <w:tcBorders>
                    <w:tl2br w:val="nil"/>
                    <w:tr2bl w:val="nil"/>
                  </w:tcBorders>
                  <w:shd w:val="clear" w:color="auto" w:fill="auto"/>
                  <w:vAlign w:val="center"/>
                </w:tcPr>
                <w:p w14:paraId="2FB7041B">
                  <w:pPr>
                    <w:spacing w:line="240" w:lineRule="auto"/>
                    <w:jc w:val="center"/>
                    <w:rPr>
                      <w:rFonts w:hint="eastAsia" w:cs="Times New Roman"/>
                      <w:color w:val="auto"/>
                      <w:szCs w:val="21"/>
                      <w:u w:val="none"/>
                      <w:lang w:val="en-US" w:eastAsia="zh-CN"/>
                    </w:rPr>
                  </w:pPr>
                  <w:r>
                    <w:rPr>
                      <w:rFonts w:hint="eastAsia" w:cs="Times New Roman"/>
                      <w:color w:val="auto"/>
                      <w:szCs w:val="21"/>
                      <w:u w:val="none"/>
                      <w:lang w:val="en-US" w:eastAsia="zh-CN"/>
                    </w:rPr>
                    <w:t>收集贮存在贮水池</w:t>
                  </w:r>
                </w:p>
                <w:p w14:paraId="22F1F13E">
                  <w:pPr>
                    <w:spacing w:line="240" w:lineRule="auto"/>
                    <w:jc w:val="center"/>
                    <w:rPr>
                      <w:rFonts w:hint="eastAsia" w:ascii="Times New Roman" w:hAnsi="Times New Roman" w:eastAsia="宋体" w:cs="Times New Roman"/>
                      <w:color w:val="auto"/>
                      <w:kern w:val="2"/>
                      <w:sz w:val="21"/>
                      <w:szCs w:val="21"/>
                      <w:u w:val="none"/>
                      <w:lang w:val="en-US" w:eastAsia="zh-CN" w:bidi="ar-SA"/>
                    </w:rPr>
                  </w:pPr>
                  <w:r>
                    <w:rPr>
                      <w:rFonts w:hint="eastAsia"/>
                      <w:lang w:eastAsia="zh-CN"/>
                    </w:rPr>
                    <w:t>（</w:t>
                  </w:r>
                  <w:r>
                    <w:rPr>
                      <w:rFonts w:hint="eastAsia"/>
                      <w:lang w:val="en-US" w:eastAsia="zh-CN"/>
                    </w:rPr>
                    <w:t>约20m</w:t>
                  </w:r>
                  <w:r>
                    <w:rPr>
                      <w:rFonts w:hint="eastAsia"/>
                      <w:vertAlign w:val="superscript"/>
                      <w:lang w:val="en-US" w:eastAsia="zh-CN"/>
                    </w:rPr>
                    <w:t>3</w:t>
                  </w:r>
                  <w:r>
                    <w:rPr>
                      <w:rFonts w:hint="eastAsia"/>
                      <w:lang w:eastAsia="zh-CN"/>
                    </w:rPr>
                    <w:t>）</w:t>
                  </w:r>
                  <w:r>
                    <w:rPr>
                      <w:rFonts w:hint="eastAsia" w:cs="Times New Roman"/>
                      <w:color w:val="auto"/>
                      <w:szCs w:val="21"/>
                      <w:u w:val="none"/>
                      <w:lang w:val="en-US" w:eastAsia="zh-CN"/>
                    </w:rPr>
                    <w:t>内再利用</w:t>
                  </w:r>
                </w:p>
              </w:tc>
              <w:tc>
                <w:tcPr>
                  <w:tcW w:w="1170" w:type="dxa"/>
                  <w:vMerge w:val="continue"/>
                  <w:tcBorders>
                    <w:tl2br w:val="nil"/>
                    <w:tr2bl w:val="nil"/>
                  </w:tcBorders>
                  <w:vAlign w:val="center"/>
                </w:tcPr>
                <w:p w14:paraId="59476731">
                  <w:pPr>
                    <w:tabs>
                      <w:tab w:val="left" w:pos="5760"/>
                    </w:tabs>
                    <w:adjustRightInd w:val="0"/>
                    <w:snapToGrid w:val="0"/>
                    <w:spacing w:line="240" w:lineRule="auto"/>
                    <w:jc w:val="center"/>
                    <w:rPr>
                      <w:rFonts w:hint="eastAsia" w:ascii="Times New Roman" w:hAnsi="Times New Roman" w:eastAsia="宋体" w:cs="Times New Roman"/>
                      <w:bCs/>
                      <w:color w:val="auto"/>
                      <w:szCs w:val="21"/>
                      <w:u w:val="none"/>
                      <w:lang w:val="en-US" w:eastAsia="zh-CN"/>
                    </w:rPr>
                  </w:pPr>
                </w:p>
              </w:tc>
              <w:tc>
                <w:tcPr>
                  <w:tcW w:w="2295" w:type="dxa"/>
                  <w:tcBorders>
                    <w:tl2br w:val="nil"/>
                    <w:tr2bl w:val="nil"/>
                  </w:tcBorders>
                  <w:vAlign w:val="center"/>
                </w:tcPr>
                <w:p w14:paraId="5A8307C0">
                  <w:pPr>
                    <w:spacing w:line="240" w:lineRule="auto"/>
                    <w:jc w:val="center"/>
                    <w:rPr>
                      <w:rFonts w:hint="default" w:ascii="Times New Roman" w:hAnsi="Times New Roman" w:eastAsia="宋体" w:cs="Times New Roman"/>
                      <w:color w:val="auto"/>
                      <w:szCs w:val="21"/>
                      <w:u w:val="none"/>
                      <w:lang w:val="en-US" w:eastAsia="zh-CN"/>
                    </w:rPr>
                  </w:pPr>
                  <w:r>
                    <w:rPr>
                      <w:rFonts w:hint="eastAsia" w:cs="Times New Roman"/>
                      <w:color w:val="auto"/>
                      <w:szCs w:val="21"/>
                      <w:u w:val="none"/>
                      <w:lang w:val="en-US" w:eastAsia="zh-CN"/>
                    </w:rPr>
                    <w:t>不外排</w:t>
                  </w:r>
                </w:p>
              </w:tc>
            </w:tr>
            <w:tr w14:paraId="17BA90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092" w:hRule="atLeast"/>
              </w:trPr>
              <w:tc>
                <w:tcPr>
                  <w:tcW w:w="869" w:type="dxa"/>
                  <w:tcBorders>
                    <w:tl2br w:val="nil"/>
                    <w:tr2bl w:val="nil"/>
                  </w:tcBorders>
                  <w:vAlign w:val="center"/>
                </w:tcPr>
                <w:p w14:paraId="447255C1">
                  <w:pPr>
                    <w:spacing w:line="240" w:lineRule="auto"/>
                    <w:jc w:val="center"/>
                    <w:rPr>
                      <w:rFonts w:hint="eastAsia" w:ascii="Times New Roman" w:hAnsi="Times New Roman" w:cs="Times New Roman"/>
                      <w:color w:val="auto"/>
                      <w:szCs w:val="21"/>
                      <w:u w:val="none"/>
                    </w:rPr>
                  </w:pPr>
                  <w:r>
                    <w:rPr>
                      <w:rFonts w:hint="eastAsia" w:ascii="Times New Roman" w:hAnsi="Times New Roman" w:cs="Times New Roman"/>
                      <w:color w:val="auto"/>
                      <w:szCs w:val="21"/>
                      <w:u w:val="none"/>
                    </w:rPr>
                    <w:t>噪声</w:t>
                  </w:r>
                </w:p>
              </w:tc>
              <w:tc>
                <w:tcPr>
                  <w:tcW w:w="1395" w:type="dxa"/>
                  <w:tcBorders>
                    <w:tl2br w:val="nil"/>
                    <w:tr2bl w:val="nil"/>
                  </w:tcBorders>
                  <w:vAlign w:val="center"/>
                </w:tcPr>
                <w:p w14:paraId="6A9AD138">
                  <w:pPr>
                    <w:spacing w:line="240" w:lineRule="auto"/>
                    <w:jc w:val="center"/>
                    <w:rPr>
                      <w:rFonts w:hint="eastAsia" w:ascii="Times New Roman" w:hAnsi="Times New Roman" w:cs="Times New Roman"/>
                      <w:color w:val="auto"/>
                      <w:szCs w:val="21"/>
                      <w:u w:val="none"/>
                    </w:rPr>
                  </w:pPr>
                  <w:r>
                    <w:rPr>
                      <w:rFonts w:hint="eastAsia" w:ascii="Times New Roman" w:hAnsi="Times New Roman" w:cs="Times New Roman"/>
                      <w:color w:val="auto"/>
                      <w:szCs w:val="21"/>
                      <w:u w:val="none"/>
                    </w:rPr>
                    <w:t>设备运行噪声</w:t>
                  </w:r>
                </w:p>
              </w:tc>
              <w:tc>
                <w:tcPr>
                  <w:tcW w:w="2841" w:type="dxa"/>
                  <w:tcBorders>
                    <w:tl2br w:val="nil"/>
                    <w:tr2bl w:val="nil"/>
                  </w:tcBorders>
                  <w:vAlign w:val="center"/>
                </w:tcPr>
                <w:p w14:paraId="4D64AD16">
                  <w:pPr>
                    <w:spacing w:line="240" w:lineRule="auto"/>
                    <w:jc w:val="center"/>
                    <w:rPr>
                      <w:rFonts w:hint="eastAsia" w:ascii="Times New Roman" w:hAnsi="Times New Roman" w:cs="Times New Roman"/>
                      <w:color w:val="auto"/>
                      <w:szCs w:val="21"/>
                      <w:u w:val="none"/>
                    </w:rPr>
                  </w:pPr>
                  <w:r>
                    <w:rPr>
                      <w:rFonts w:hint="eastAsia" w:ascii="Times New Roman" w:hAnsi="Times New Roman" w:eastAsia="宋体" w:cs="Times New Roman"/>
                      <w:color w:val="auto"/>
                      <w:szCs w:val="21"/>
                      <w:u w:val="none"/>
                      <w:lang w:val="en-US" w:eastAsia="zh-CN"/>
                    </w:rPr>
                    <w:t>在发电机组燃料后出气口安装消声器，撬装式发电机组内壁设吸声材料及基础减震、距离衰减方式减弱</w:t>
                  </w:r>
                </w:p>
              </w:tc>
              <w:tc>
                <w:tcPr>
                  <w:tcW w:w="1170" w:type="dxa"/>
                  <w:tcBorders>
                    <w:tl2br w:val="nil"/>
                    <w:tr2bl w:val="nil"/>
                  </w:tcBorders>
                  <w:vAlign w:val="center"/>
                </w:tcPr>
                <w:p w14:paraId="4655334D">
                  <w:pPr>
                    <w:spacing w:line="240" w:lineRule="auto"/>
                    <w:jc w:val="center"/>
                    <w:rPr>
                      <w:rFonts w:hint="default" w:ascii="Times New Roman" w:hAnsi="Times New Roman" w:cs="Times New Roman"/>
                      <w:bCs/>
                      <w:color w:val="auto"/>
                      <w:szCs w:val="21"/>
                      <w:u w:val="none"/>
                      <w:lang w:val="en-US"/>
                    </w:rPr>
                  </w:pPr>
                  <w:r>
                    <w:rPr>
                      <w:rFonts w:hint="eastAsia" w:cs="Times New Roman"/>
                      <w:bCs/>
                      <w:color w:val="auto"/>
                      <w:szCs w:val="21"/>
                      <w:u w:val="none"/>
                      <w:lang w:val="en-US" w:eastAsia="zh-CN"/>
                    </w:rPr>
                    <w:t>10</w:t>
                  </w:r>
                </w:p>
              </w:tc>
              <w:tc>
                <w:tcPr>
                  <w:tcW w:w="2295" w:type="dxa"/>
                  <w:tcBorders>
                    <w:tl2br w:val="nil"/>
                    <w:tr2bl w:val="nil"/>
                  </w:tcBorders>
                  <w:vAlign w:val="center"/>
                </w:tcPr>
                <w:p w14:paraId="2126B72B">
                  <w:pPr>
                    <w:spacing w:line="240" w:lineRule="auto"/>
                    <w:jc w:val="center"/>
                    <w:rPr>
                      <w:rFonts w:hint="default" w:ascii="Times New Roman" w:hAnsi="Times New Roman" w:eastAsia="宋体" w:cs="Times New Roman"/>
                      <w:bCs/>
                      <w:color w:val="auto"/>
                      <w:szCs w:val="21"/>
                      <w:u w:val="none"/>
                      <w:lang w:val="en-US" w:eastAsia="zh-CN"/>
                    </w:rPr>
                  </w:pPr>
                  <w:r>
                    <w:rPr>
                      <w:rFonts w:ascii="Times New Roman" w:hAnsi="Times New Roman" w:cs="Times New Roman"/>
                      <w:color w:val="auto"/>
                      <w:szCs w:val="21"/>
                      <w:u w:val="none"/>
                    </w:rPr>
                    <w:t>《工业企业厂界环境噪声排放标准》（GB12348－2008）</w:t>
                  </w:r>
                  <w:r>
                    <w:rPr>
                      <w:rFonts w:hint="eastAsia" w:cs="Times New Roman"/>
                      <w:color w:val="auto"/>
                      <w:szCs w:val="21"/>
                      <w:u w:val="none"/>
                      <w:lang w:val="en-US" w:eastAsia="zh-CN"/>
                    </w:rPr>
                    <w:t>2</w:t>
                  </w:r>
                  <w:r>
                    <w:rPr>
                      <w:rFonts w:hint="eastAsia" w:ascii="Times New Roman" w:hAnsi="Times New Roman" w:cs="Times New Roman"/>
                      <w:color w:val="auto"/>
                      <w:szCs w:val="21"/>
                      <w:u w:val="none"/>
                      <w:lang w:val="en-US" w:eastAsia="zh-CN"/>
                    </w:rPr>
                    <w:t>类标准</w:t>
                  </w:r>
                </w:p>
              </w:tc>
            </w:tr>
            <w:tr w14:paraId="01D9D7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835" w:hRule="atLeast"/>
              </w:trPr>
              <w:tc>
                <w:tcPr>
                  <w:tcW w:w="869" w:type="dxa"/>
                  <w:vMerge w:val="restart"/>
                  <w:tcBorders>
                    <w:tl2br w:val="nil"/>
                    <w:tr2bl w:val="nil"/>
                  </w:tcBorders>
                  <w:vAlign w:val="center"/>
                </w:tcPr>
                <w:p w14:paraId="03D70401">
                  <w:pPr>
                    <w:spacing w:line="240" w:lineRule="auto"/>
                    <w:jc w:val="center"/>
                    <w:rPr>
                      <w:rFonts w:hint="eastAsia" w:ascii="Times New Roman" w:hAnsi="Times New Roman" w:cs="Times New Roman"/>
                      <w:color w:val="auto"/>
                      <w:szCs w:val="21"/>
                      <w:u w:val="none"/>
                    </w:rPr>
                  </w:pPr>
                  <w:r>
                    <w:rPr>
                      <w:rFonts w:hint="eastAsia" w:ascii="Times New Roman" w:hAnsi="Times New Roman" w:cs="Times New Roman"/>
                      <w:color w:val="auto"/>
                      <w:szCs w:val="21"/>
                      <w:u w:val="none"/>
                    </w:rPr>
                    <w:t>固废</w:t>
                  </w:r>
                </w:p>
              </w:tc>
              <w:tc>
                <w:tcPr>
                  <w:tcW w:w="1395" w:type="dxa"/>
                  <w:tcBorders>
                    <w:tl2br w:val="nil"/>
                    <w:tr2bl w:val="nil"/>
                  </w:tcBorders>
                  <w:vAlign w:val="center"/>
                </w:tcPr>
                <w:p w14:paraId="19EA7EB3">
                  <w:pPr>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cs="Times New Roman"/>
                      <w:color w:val="auto"/>
                      <w:szCs w:val="21"/>
                      <w:u w:val="none"/>
                      <w:lang w:val="en-US" w:eastAsia="zh-CN"/>
                    </w:rPr>
                    <w:t>生活垃圾</w:t>
                  </w:r>
                </w:p>
              </w:tc>
              <w:tc>
                <w:tcPr>
                  <w:tcW w:w="2841" w:type="dxa"/>
                  <w:tcBorders>
                    <w:tl2br w:val="nil"/>
                    <w:tr2bl w:val="nil"/>
                  </w:tcBorders>
                  <w:vAlign w:val="center"/>
                </w:tcPr>
                <w:p w14:paraId="38571DD4">
                  <w:pPr>
                    <w:spacing w:line="240" w:lineRule="auto"/>
                    <w:jc w:val="center"/>
                    <w:rPr>
                      <w:rFonts w:hint="eastAsia" w:cs="Times New Roman"/>
                      <w:color w:val="auto"/>
                      <w:szCs w:val="21"/>
                      <w:u w:val="none"/>
                      <w:lang w:val="en-US" w:eastAsia="zh-CN"/>
                    </w:rPr>
                  </w:pPr>
                  <w:r>
                    <w:rPr>
                      <w:rFonts w:hint="eastAsia" w:cs="Times New Roman"/>
                      <w:color w:val="auto"/>
                      <w:szCs w:val="21"/>
                      <w:u w:val="none"/>
                      <w:lang w:val="en-US" w:eastAsia="zh-CN"/>
                    </w:rPr>
                    <w:t>生活垃圾由垃圾桶收集后</w:t>
                  </w:r>
                </w:p>
                <w:p w14:paraId="03DB790F">
                  <w:pPr>
                    <w:spacing w:line="240" w:lineRule="auto"/>
                    <w:jc w:val="center"/>
                    <w:rPr>
                      <w:rFonts w:hint="eastAsia" w:ascii="Times New Roman" w:hAnsi="Times New Roman" w:cs="Times New Roman"/>
                      <w:color w:val="auto"/>
                      <w:szCs w:val="21"/>
                      <w:u w:val="none"/>
                    </w:rPr>
                  </w:pPr>
                  <w:r>
                    <w:rPr>
                      <w:rFonts w:hint="eastAsia" w:cs="Times New Roman"/>
                      <w:color w:val="auto"/>
                      <w:szCs w:val="21"/>
                      <w:u w:val="none"/>
                      <w:lang w:val="en-US" w:eastAsia="zh-CN"/>
                    </w:rPr>
                    <w:t>统一清运</w:t>
                  </w:r>
                </w:p>
              </w:tc>
              <w:tc>
                <w:tcPr>
                  <w:tcW w:w="1170" w:type="dxa"/>
                  <w:tcBorders>
                    <w:tl2br w:val="nil"/>
                    <w:tr2bl w:val="nil"/>
                  </w:tcBorders>
                  <w:vAlign w:val="center"/>
                </w:tcPr>
                <w:p w14:paraId="59EEEA24">
                  <w:pPr>
                    <w:spacing w:line="240" w:lineRule="auto"/>
                    <w:jc w:val="center"/>
                    <w:rPr>
                      <w:rFonts w:hint="eastAsia" w:ascii="Times New Roman" w:hAnsi="Times New Roman" w:eastAsia="宋体" w:cs="Times New Roman"/>
                      <w:bCs/>
                      <w:color w:val="auto"/>
                      <w:szCs w:val="21"/>
                      <w:u w:val="none"/>
                      <w:lang w:val="en-US" w:eastAsia="zh-CN"/>
                    </w:rPr>
                  </w:pPr>
                  <w:r>
                    <w:rPr>
                      <w:rFonts w:hint="eastAsia" w:cs="Times New Roman"/>
                      <w:bCs/>
                      <w:color w:val="auto"/>
                      <w:szCs w:val="21"/>
                      <w:u w:val="none"/>
                      <w:lang w:val="en-US" w:eastAsia="zh-CN"/>
                    </w:rPr>
                    <w:t>2</w:t>
                  </w:r>
                </w:p>
              </w:tc>
              <w:tc>
                <w:tcPr>
                  <w:tcW w:w="2295" w:type="dxa"/>
                  <w:tcBorders>
                    <w:tl2br w:val="nil"/>
                    <w:tr2bl w:val="nil"/>
                  </w:tcBorders>
                  <w:vAlign w:val="center"/>
                </w:tcPr>
                <w:p w14:paraId="38257FD0">
                  <w:pPr>
                    <w:spacing w:line="240" w:lineRule="auto"/>
                    <w:jc w:val="center"/>
                    <w:rPr>
                      <w:rFonts w:hint="default" w:ascii="Times New Roman" w:hAnsi="Times New Roman" w:eastAsia="宋体" w:cs="Times New Roman"/>
                      <w:bCs/>
                      <w:color w:val="auto"/>
                      <w:szCs w:val="21"/>
                      <w:u w:val="none"/>
                      <w:lang w:val="en-US" w:eastAsia="zh-CN"/>
                    </w:rPr>
                  </w:pPr>
                  <w:r>
                    <w:rPr>
                      <w:rFonts w:hint="default" w:ascii="Times New Roman" w:hAnsi="Calibri" w:eastAsia="宋体" w:cs="Times New Roman"/>
                      <w:color w:val="auto"/>
                      <w:szCs w:val="21"/>
                      <w:u w:val="none"/>
                    </w:rPr>
                    <w:t>《一般工业固体废物贮存</w:t>
                  </w:r>
                  <w:r>
                    <w:rPr>
                      <w:rFonts w:hint="eastAsia" w:ascii="Times New Roman" w:hAnsi="Calibri" w:eastAsia="宋体" w:cs="Times New Roman"/>
                      <w:color w:val="auto"/>
                      <w:szCs w:val="21"/>
                      <w:u w:val="none"/>
                      <w:lang w:val="en-US" w:eastAsia="zh-CN"/>
                    </w:rPr>
                    <w:t>和填埋</w:t>
                  </w:r>
                  <w:r>
                    <w:rPr>
                      <w:rFonts w:hint="default" w:ascii="Times New Roman" w:hAnsi="Calibri" w:eastAsia="宋体" w:cs="Times New Roman"/>
                      <w:color w:val="auto"/>
                      <w:szCs w:val="21"/>
                      <w:u w:val="none"/>
                    </w:rPr>
                    <w:t>污染控制标准》（GB18599-20</w:t>
                  </w:r>
                  <w:r>
                    <w:rPr>
                      <w:rFonts w:hint="eastAsia" w:ascii="Times New Roman" w:hAnsi="Calibri" w:eastAsia="宋体" w:cs="Times New Roman"/>
                      <w:color w:val="auto"/>
                      <w:szCs w:val="21"/>
                      <w:u w:val="none"/>
                      <w:lang w:val="en-US" w:eastAsia="zh-CN"/>
                    </w:rPr>
                    <w:t>20</w:t>
                  </w:r>
                  <w:r>
                    <w:rPr>
                      <w:rFonts w:hint="default" w:ascii="Times New Roman" w:hAnsi="Calibri" w:eastAsia="宋体" w:cs="Times New Roman"/>
                      <w:color w:val="auto"/>
                      <w:szCs w:val="21"/>
                      <w:u w:val="none"/>
                    </w:rPr>
                    <w:t>）</w:t>
                  </w:r>
                </w:p>
              </w:tc>
            </w:tr>
            <w:tr w14:paraId="79061F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18" w:hRule="atLeast"/>
              </w:trPr>
              <w:tc>
                <w:tcPr>
                  <w:tcW w:w="869" w:type="dxa"/>
                  <w:vMerge w:val="continue"/>
                  <w:tcBorders>
                    <w:tl2br w:val="nil"/>
                    <w:tr2bl w:val="nil"/>
                  </w:tcBorders>
                  <w:vAlign w:val="center"/>
                </w:tcPr>
                <w:p w14:paraId="5DB58D07">
                  <w:pPr>
                    <w:spacing w:line="240" w:lineRule="auto"/>
                    <w:jc w:val="center"/>
                    <w:rPr>
                      <w:rFonts w:hint="eastAsia" w:ascii="Times New Roman" w:hAnsi="Times New Roman" w:cs="Times New Roman"/>
                      <w:color w:val="auto"/>
                      <w:szCs w:val="21"/>
                      <w:u w:val="none"/>
                    </w:rPr>
                  </w:pPr>
                </w:p>
              </w:tc>
              <w:tc>
                <w:tcPr>
                  <w:tcW w:w="1395" w:type="dxa"/>
                  <w:tcBorders>
                    <w:tl2br w:val="nil"/>
                    <w:tr2bl w:val="nil"/>
                  </w:tcBorders>
                  <w:vAlign w:val="center"/>
                </w:tcPr>
                <w:p w14:paraId="02CCB9CA">
                  <w:pPr>
                    <w:spacing w:line="240" w:lineRule="auto"/>
                    <w:jc w:val="center"/>
                    <w:rPr>
                      <w:rFonts w:hint="eastAsia" w:ascii="Times New Roman" w:hAnsi="Times New Roman" w:cs="Times New Roman"/>
                      <w:color w:val="auto"/>
                      <w:szCs w:val="21"/>
                      <w:u w:val="none"/>
                      <w:lang w:val="en-US" w:eastAsia="zh-CN"/>
                    </w:rPr>
                  </w:pPr>
                  <w:r>
                    <w:rPr>
                      <w:rFonts w:hint="eastAsia" w:ascii="Times New Roman" w:hAnsi="Times New Roman" w:cs="Times New Roman"/>
                      <w:color w:val="auto"/>
                      <w:szCs w:val="21"/>
                      <w:u w:val="none"/>
                      <w:lang w:val="en-US" w:eastAsia="zh-CN"/>
                    </w:rPr>
                    <w:t>危险废物</w:t>
                  </w:r>
                </w:p>
              </w:tc>
              <w:tc>
                <w:tcPr>
                  <w:tcW w:w="2841" w:type="dxa"/>
                  <w:tcBorders>
                    <w:tl2br w:val="nil"/>
                    <w:tr2bl w:val="nil"/>
                  </w:tcBorders>
                  <w:vAlign w:val="center"/>
                </w:tcPr>
                <w:p w14:paraId="0C621A9A">
                  <w:pPr>
                    <w:spacing w:line="240" w:lineRule="auto"/>
                    <w:jc w:val="center"/>
                    <w:rPr>
                      <w:rFonts w:hint="eastAsia" w:ascii="Times New Roman" w:hAnsi="Times New Roman" w:eastAsia="宋体" w:cs="Times New Roman"/>
                      <w:color w:val="auto"/>
                      <w:szCs w:val="21"/>
                      <w:u w:val="none"/>
                      <w:lang w:val="en-US" w:eastAsia="zh-CN"/>
                    </w:rPr>
                  </w:pPr>
                  <w:r>
                    <w:rPr>
                      <w:rFonts w:hint="eastAsia" w:ascii="Times New Roman" w:hAnsi="Times New Roman" w:eastAsia="宋体" w:cs="Times New Roman"/>
                      <w:color w:val="auto"/>
                      <w:szCs w:val="21"/>
                      <w:u w:val="none"/>
                      <w:lang w:val="en-US" w:eastAsia="zh-CN"/>
                    </w:rPr>
                    <w:t>废机油</w:t>
                  </w:r>
                  <w:r>
                    <w:rPr>
                      <w:rFonts w:hint="eastAsia" w:cs="Times New Roman"/>
                      <w:color w:val="auto"/>
                      <w:szCs w:val="21"/>
                      <w:u w:val="none"/>
                      <w:lang w:val="en-US" w:eastAsia="zh-CN"/>
                    </w:rPr>
                    <w:t>及废包装桶</w:t>
                  </w:r>
                  <w:r>
                    <w:rPr>
                      <w:rFonts w:hint="eastAsia" w:ascii="Times New Roman" w:hAnsi="Times New Roman" w:eastAsia="宋体" w:cs="Times New Roman"/>
                      <w:color w:val="auto"/>
                      <w:szCs w:val="21"/>
                      <w:u w:val="none"/>
                      <w:lang w:val="en-US" w:eastAsia="zh-CN"/>
                    </w:rPr>
                    <w:t>在危废间</w:t>
                  </w:r>
                  <w:r>
                    <w:rPr>
                      <w:rFonts w:hint="eastAsia" w:ascii="Times New Roman" w:hAnsi="Times New Roman" w:cs="Times New Roman"/>
                      <w:color w:val="auto"/>
                      <w:szCs w:val="21"/>
                      <w:u w:val="none"/>
                      <w:lang w:eastAsia="zh-CN"/>
                    </w:rPr>
                    <w:t>（</w:t>
                  </w:r>
                  <w:r>
                    <w:rPr>
                      <w:rFonts w:hint="default" w:ascii="Times New Roman" w:hAnsi="Times New Roman" w:cs="Times New Roman"/>
                      <w:color w:val="auto"/>
                      <w:szCs w:val="21"/>
                      <w:u w:val="none"/>
                    </w:rPr>
                    <w:t>面积</w:t>
                  </w:r>
                  <w:r>
                    <w:rPr>
                      <w:rFonts w:hint="eastAsia" w:ascii="Times New Roman" w:hAnsi="Times New Roman" w:cs="Times New Roman"/>
                      <w:color w:val="auto"/>
                      <w:szCs w:val="21"/>
                      <w:u w:val="none"/>
                      <w:lang w:val="en-US" w:eastAsia="zh-CN"/>
                    </w:rPr>
                    <w:t>约15m</w:t>
                  </w:r>
                  <w:r>
                    <w:rPr>
                      <w:rFonts w:hint="default" w:ascii="Times New Roman" w:hAnsi="Times New Roman" w:cs="Times New Roman"/>
                      <w:color w:val="auto"/>
                      <w:szCs w:val="21"/>
                      <w:u w:val="none"/>
                      <w:vertAlign w:val="superscript"/>
                    </w:rPr>
                    <w:t>2</w:t>
                  </w:r>
                  <w:r>
                    <w:rPr>
                      <w:rFonts w:hint="eastAsia" w:ascii="Times New Roman" w:hAnsi="Times New Roman" w:cs="Times New Roman"/>
                      <w:color w:val="auto"/>
                      <w:szCs w:val="21"/>
                      <w:u w:val="none"/>
                      <w:lang w:eastAsia="zh-CN"/>
                    </w:rPr>
                    <w:t>）</w:t>
                  </w:r>
                  <w:r>
                    <w:rPr>
                      <w:rFonts w:hint="eastAsia" w:ascii="Times New Roman" w:hAnsi="Times New Roman" w:eastAsia="宋体" w:cs="Times New Roman"/>
                      <w:color w:val="auto"/>
                      <w:szCs w:val="21"/>
                      <w:u w:val="none"/>
                      <w:lang w:val="en-US" w:eastAsia="zh-CN"/>
                    </w:rPr>
                    <w:t>暂存后交由有资质单位回收处理</w:t>
                  </w:r>
                </w:p>
              </w:tc>
              <w:tc>
                <w:tcPr>
                  <w:tcW w:w="1170" w:type="dxa"/>
                  <w:tcBorders>
                    <w:tl2br w:val="nil"/>
                    <w:tr2bl w:val="nil"/>
                  </w:tcBorders>
                  <w:vAlign w:val="center"/>
                </w:tcPr>
                <w:p w14:paraId="4BF8C731">
                  <w:pPr>
                    <w:spacing w:line="240" w:lineRule="auto"/>
                    <w:jc w:val="center"/>
                    <w:rPr>
                      <w:rFonts w:hint="default" w:ascii="Times New Roman" w:hAnsi="Times New Roman" w:eastAsia="宋体" w:cs="Times New Roman"/>
                      <w:color w:val="auto"/>
                      <w:szCs w:val="21"/>
                      <w:u w:val="none"/>
                      <w:lang w:val="en-US" w:eastAsia="zh-CN"/>
                    </w:rPr>
                  </w:pPr>
                  <w:r>
                    <w:rPr>
                      <w:rFonts w:hint="eastAsia" w:cs="Times New Roman"/>
                      <w:color w:val="auto"/>
                      <w:szCs w:val="21"/>
                      <w:u w:val="none"/>
                      <w:lang w:val="en-US" w:eastAsia="zh-CN"/>
                    </w:rPr>
                    <w:t>5</w:t>
                  </w:r>
                </w:p>
              </w:tc>
              <w:tc>
                <w:tcPr>
                  <w:tcW w:w="2295" w:type="dxa"/>
                  <w:tcBorders>
                    <w:tl2br w:val="nil"/>
                    <w:tr2bl w:val="nil"/>
                  </w:tcBorders>
                  <w:vAlign w:val="center"/>
                </w:tcPr>
                <w:p w14:paraId="1464E9E2">
                  <w:pPr>
                    <w:spacing w:line="240" w:lineRule="auto"/>
                    <w:jc w:val="center"/>
                    <w:rPr>
                      <w:rFonts w:hint="eastAsia" w:ascii="Times New Roman" w:hAnsi="Times New Roman" w:eastAsia="宋体" w:cs="Times New Roman"/>
                      <w:color w:val="auto"/>
                      <w:szCs w:val="21"/>
                      <w:u w:val="none"/>
                      <w:lang w:eastAsia="zh-CN"/>
                    </w:rPr>
                  </w:pPr>
                  <w:r>
                    <w:rPr>
                      <w:rFonts w:hint="eastAsia" w:ascii="Times New Roman" w:hAnsi="Times New Roman" w:cs="Times New Roman"/>
                      <w:color w:val="auto"/>
                      <w:szCs w:val="21"/>
                      <w:u w:val="none"/>
                      <w:lang w:eastAsia="zh-CN"/>
                    </w:rPr>
                    <w:t>《危险废物贮存污染控制标准》（GB 18597-2023）</w:t>
                  </w:r>
                </w:p>
              </w:tc>
            </w:tr>
            <w:tr w14:paraId="728E79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63" w:hRule="atLeast"/>
              </w:trPr>
              <w:tc>
                <w:tcPr>
                  <w:tcW w:w="5105" w:type="dxa"/>
                  <w:gridSpan w:val="3"/>
                  <w:tcBorders>
                    <w:tl2br w:val="nil"/>
                    <w:tr2bl w:val="nil"/>
                  </w:tcBorders>
                  <w:vAlign w:val="center"/>
                </w:tcPr>
                <w:p w14:paraId="4BBCA2E4">
                  <w:pPr>
                    <w:spacing w:line="240" w:lineRule="auto"/>
                    <w:jc w:val="center"/>
                    <w:rPr>
                      <w:rFonts w:hint="eastAsia" w:cs="Times New Roman"/>
                      <w:bCs/>
                      <w:color w:val="auto"/>
                      <w:szCs w:val="21"/>
                      <w:u w:val="none"/>
                      <w:lang w:val="en-US" w:eastAsia="zh-CN"/>
                    </w:rPr>
                  </w:pPr>
                  <w:r>
                    <w:rPr>
                      <w:rFonts w:hint="eastAsia" w:ascii="Times New Roman" w:hAnsi="Times New Roman" w:cs="Times New Roman"/>
                      <w:color w:val="auto"/>
                      <w:szCs w:val="21"/>
                      <w:u w:val="none"/>
                    </w:rPr>
                    <w:t>合计</w:t>
                  </w:r>
                </w:p>
              </w:tc>
              <w:tc>
                <w:tcPr>
                  <w:tcW w:w="1170" w:type="dxa"/>
                  <w:tcBorders>
                    <w:tl2br w:val="nil"/>
                    <w:tr2bl w:val="nil"/>
                  </w:tcBorders>
                  <w:vAlign w:val="center"/>
                </w:tcPr>
                <w:p w14:paraId="57B2937A">
                  <w:pPr>
                    <w:spacing w:line="240" w:lineRule="auto"/>
                    <w:jc w:val="center"/>
                    <w:rPr>
                      <w:rFonts w:hint="default" w:cs="Times New Roman"/>
                      <w:bCs/>
                      <w:color w:val="auto"/>
                      <w:szCs w:val="21"/>
                      <w:u w:val="none"/>
                      <w:lang w:val="en-US" w:eastAsia="zh-CN"/>
                    </w:rPr>
                  </w:pPr>
                  <w:r>
                    <w:rPr>
                      <w:rFonts w:hint="eastAsia" w:cs="Times New Roman"/>
                      <w:bCs/>
                      <w:color w:val="auto"/>
                      <w:szCs w:val="21"/>
                      <w:u w:val="none"/>
                      <w:lang w:val="en-US" w:eastAsia="zh-CN"/>
                    </w:rPr>
                    <w:t>40</w:t>
                  </w:r>
                </w:p>
              </w:tc>
              <w:tc>
                <w:tcPr>
                  <w:tcW w:w="2295" w:type="dxa"/>
                  <w:tcBorders>
                    <w:tl2br w:val="nil"/>
                    <w:tr2bl w:val="nil"/>
                  </w:tcBorders>
                  <w:vAlign w:val="center"/>
                </w:tcPr>
                <w:p w14:paraId="6E211B42">
                  <w:pPr>
                    <w:spacing w:line="240" w:lineRule="auto"/>
                    <w:jc w:val="center"/>
                    <w:rPr>
                      <w:rFonts w:hint="default" w:cs="Times New Roman"/>
                      <w:bCs/>
                      <w:color w:val="auto"/>
                      <w:szCs w:val="21"/>
                      <w:u w:val="none"/>
                      <w:lang w:val="en-US" w:eastAsia="zh-CN"/>
                    </w:rPr>
                  </w:pPr>
                  <w:r>
                    <w:rPr>
                      <w:rFonts w:hint="eastAsia" w:cs="Times New Roman"/>
                      <w:bCs/>
                      <w:color w:val="auto"/>
                      <w:szCs w:val="21"/>
                      <w:u w:val="none"/>
                      <w:lang w:val="en-US" w:eastAsia="zh-CN"/>
                    </w:rPr>
                    <w:t>/</w:t>
                  </w:r>
                </w:p>
              </w:tc>
            </w:tr>
          </w:tbl>
          <w:p w14:paraId="0CCF48E3">
            <w:pPr>
              <w:spacing w:before="120" w:beforeLines="50" w:line="360" w:lineRule="auto"/>
              <w:rPr>
                <w:rFonts w:hint="default" w:ascii="Times New Roman" w:hAnsi="Times New Roman" w:cs="Times New Roman"/>
                <w:color w:val="auto"/>
                <w:u w:val="none"/>
              </w:rPr>
            </w:pPr>
          </w:p>
        </w:tc>
      </w:tr>
    </w:tbl>
    <w:p w14:paraId="5E5F8B83">
      <w:pPr>
        <w:rPr>
          <w:rFonts w:ascii="Times New Roman" w:hAnsi="Times New Roman" w:cs="Times New Roman"/>
          <w:color w:val="auto"/>
          <w:u w:val="none"/>
        </w:rPr>
        <w:sectPr>
          <w:pgSz w:w="11907" w:h="16840"/>
          <w:pgMar w:top="1134" w:right="1417" w:bottom="1134" w:left="1417" w:header="851" w:footer="851" w:gutter="0"/>
          <w:pgBorders>
            <w:top w:val="none" w:sz="0" w:space="0"/>
            <w:left w:val="none" w:sz="0" w:space="0"/>
            <w:bottom w:val="none" w:sz="0" w:space="0"/>
            <w:right w:val="none" w:sz="0" w:space="0"/>
          </w:pgBorders>
          <w:pgNumType w:fmt="decimal"/>
          <w:cols w:space="720" w:num="1"/>
          <w:docGrid w:linePitch="312" w:charSpace="0"/>
        </w:sectPr>
      </w:pPr>
    </w:p>
    <w:p w14:paraId="585D5EB0">
      <w:pPr>
        <w:spacing w:beforeLines="50" w:afterLines="50"/>
        <w:jc w:val="center"/>
        <w:outlineLvl w:val="0"/>
        <w:rPr>
          <w:rFonts w:ascii="Times New Roman" w:hAnsi="Times New Roman" w:eastAsia="黑体" w:cs="Times New Roman"/>
          <w:b/>
          <w:bCs/>
          <w:color w:val="auto"/>
          <w:sz w:val="30"/>
          <w:szCs w:val="30"/>
          <w:highlight w:val="yellow"/>
          <w:u w:val="none"/>
        </w:rPr>
      </w:pPr>
      <w:r>
        <w:rPr>
          <w:rFonts w:ascii="Times New Roman" w:hAnsi="Times New Roman" w:eastAsia="黑体" w:cs="Times New Roman"/>
          <w:b/>
          <w:bCs/>
          <w:color w:val="auto"/>
          <w:sz w:val="30"/>
          <w:szCs w:val="30"/>
          <w:u w:val="none"/>
        </w:rPr>
        <w:t>五、</w:t>
      </w:r>
      <w:bookmarkStart w:id="1" w:name="_Hlk54167917"/>
      <w:r>
        <w:rPr>
          <w:rFonts w:ascii="Times New Roman" w:hAnsi="Times New Roman" w:eastAsia="黑体" w:cs="Times New Roman"/>
          <w:b/>
          <w:bCs/>
          <w:color w:val="auto"/>
          <w:sz w:val="30"/>
          <w:szCs w:val="30"/>
          <w:u w:val="none"/>
        </w:rPr>
        <w:t>环境保护措施监督检查清单</w:t>
      </w:r>
      <w:bookmarkEnd w:id="1"/>
    </w:p>
    <w:tbl>
      <w:tblPr>
        <w:tblStyle w:val="32"/>
        <w:tblW w:w="92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91"/>
        <w:gridCol w:w="1320"/>
        <w:gridCol w:w="1478"/>
        <w:gridCol w:w="2504"/>
        <w:gridCol w:w="2688"/>
      </w:tblGrid>
      <w:tr w14:paraId="6A681B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91" w:type="dxa"/>
            <w:tcBorders>
              <w:tl2br w:val="single" w:color="auto" w:sz="4" w:space="0"/>
            </w:tcBorders>
            <w:vAlign w:val="center"/>
          </w:tcPr>
          <w:p w14:paraId="3EA6231C">
            <w:pPr>
              <w:adjustRightInd w:val="0"/>
              <w:snapToGrid w:val="0"/>
              <w:spacing w:line="240" w:lineRule="auto"/>
              <w:jc w:val="center"/>
              <w:rPr>
                <w:rFonts w:ascii="Times New Roman" w:hAnsi="Times New Roman" w:eastAsia="宋体" w:cs="Times New Roman"/>
                <w:b/>
                <w:bCs/>
                <w:color w:val="auto"/>
                <w:sz w:val="24"/>
                <w:u w:val="none"/>
              </w:rPr>
            </w:pPr>
            <w:r>
              <w:rPr>
                <w:rFonts w:hint="eastAsia" w:ascii="Times New Roman" w:hAnsi="Times New Roman" w:eastAsia="宋体" w:cs="Times New Roman"/>
                <w:b/>
                <w:bCs/>
                <w:color w:val="auto"/>
                <w:sz w:val="24"/>
                <w:u w:val="none"/>
                <w:lang w:val="en-US" w:eastAsia="zh-CN"/>
              </w:rPr>
              <w:t xml:space="preserve">    </w:t>
            </w:r>
            <w:r>
              <w:rPr>
                <w:rFonts w:ascii="Times New Roman" w:hAnsi="Times New Roman" w:eastAsia="宋体" w:cs="Times New Roman"/>
                <w:b/>
                <w:bCs/>
                <w:color w:val="auto"/>
                <w:sz w:val="24"/>
                <w:u w:val="none"/>
              </w:rPr>
              <w:t>内容</w:t>
            </w:r>
          </w:p>
          <w:p w14:paraId="618D6CF5">
            <w:pPr>
              <w:adjustRightInd w:val="0"/>
              <w:snapToGrid w:val="0"/>
              <w:spacing w:line="240" w:lineRule="auto"/>
              <w:jc w:val="both"/>
              <w:rPr>
                <w:rFonts w:ascii="Times New Roman" w:hAnsi="Times New Roman" w:eastAsia="宋体" w:cs="Times New Roman"/>
                <w:b/>
                <w:bCs/>
                <w:color w:val="auto"/>
                <w:sz w:val="24"/>
                <w:u w:val="none"/>
              </w:rPr>
            </w:pPr>
            <w:r>
              <w:rPr>
                <w:rFonts w:ascii="Times New Roman" w:hAnsi="Times New Roman" w:eastAsia="宋体" w:cs="Times New Roman"/>
                <w:b/>
                <w:bCs/>
                <w:color w:val="auto"/>
                <w:sz w:val="24"/>
                <w:u w:val="none"/>
              </w:rPr>
              <w:t>要素</w:t>
            </w:r>
          </w:p>
        </w:tc>
        <w:tc>
          <w:tcPr>
            <w:tcW w:w="1320" w:type="dxa"/>
            <w:vAlign w:val="center"/>
          </w:tcPr>
          <w:p w14:paraId="3A503B05">
            <w:pPr>
              <w:adjustRightInd w:val="0"/>
              <w:snapToGrid w:val="0"/>
              <w:spacing w:line="240" w:lineRule="auto"/>
              <w:jc w:val="center"/>
              <w:rPr>
                <w:rFonts w:ascii="Times New Roman" w:hAnsi="Times New Roman" w:eastAsia="宋体" w:cs="Times New Roman"/>
                <w:b/>
                <w:bCs/>
                <w:color w:val="auto"/>
                <w:sz w:val="24"/>
                <w:u w:val="none"/>
              </w:rPr>
            </w:pPr>
            <w:r>
              <w:rPr>
                <w:rFonts w:ascii="Times New Roman" w:hAnsi="Times New Roman" w:eastAsia="宋体" w:cs="Times New Roman"/>
                <w:b/>
                <w:bCs/>
                <w:color w:val="auto"/>
                <w:sz w:val="24"/>
                <w:u w:val="none"/>
              </w:rPr>
              <w:t>排放口</w:t>
            </w:r>
            <w:r>
              <w:rPr>
                <w:rFonts w:hint="eastAsia" w:ascii="Times New Roman" w:hAnsi="Times New Roman" w:eastAsia="宋体" w:cs="Times New Roman"/>
                <w:b/>
                <w:bCs/>
                <w:color w:val="auto"/>
                <w:sz w:val="24"/>
                <w:u w:val="none"/>
                <w:lang w:eastAsia="zh-CN"/>
              </w:rPr>
              <w:t>（</w:t>
            </w:r>
            <w:r>
              <w:rPr>
                <w:rFonts w:ascii="Times New Roman" w:hAnsi="Times New Roman" w:eastAsia="宋体" w:cs="Times New Roman"/>
                <w:b/>
                <w:bCs/>
                <w:color w:val="auto"/>
                <w:sz w:val="24"/>
                <w:u w:val="none"/>
              </w:rPr>
              <w:t>编号、名称</w:t>
            </w:r>
            <w:r>
              <w:rPr>
                <w:rFonts w:hint="eastAsia" w:ascii="Times New Roman" w:hAnsi="Times New Roman" w:eastAsia="宋体" w:cs="Times New Roman"/>
                <w:b/>
                <w:bCs/>
                <w:color w:val="auto"/>
                <w:sz w:val="24"/>
                <w:u w:val="none"/>
                <w:lang w:eastAsia="zh-CN"/>
              </w:rPr>
              <w:t>）</w:t>
            </w:r>
            <w:r>
              <w:rPr>
                <w:rFonts w:ascii="Times New Roman" w:hAnsi="Times New Roman" w:eastAsia="宋体" w:cs="Times New Roman"/>
                <w:b/>
                <w:bCs/>
                <w:color w:val="auto"/>
                <w:sz w:val="24"/>
                <w:u w:val="none"/>
              </w:rPr>
              <w:t>/污染源</w:t>
            </w:r>
          </w:p>
        </w:tc>
        <w:tc>
          <w:tcPr>
            <w:tcW w:w="1478" w:type="dxa"/>
            <w:vAlign w:val="center"/>
          </w:tcPr>
          <w:p w14:paraId="3EA1D11A">
            <w:pPr>
              <w:adjustRightInd w:val="0"/>
              <w:snapToGrid w:val="0"/>
              <w:spacing w:line="240" w:lineRule="auto"/>
              <w:jc w:val="center"/>
              <w:rPr>
                <w:rFonts w:ascii="Times New Roman" w:hAnsi="Times New Roman" w:eastAsia="宋体" w:cs="Times New Roman"/>
                <w:b/>
                <w:bCs/>
                <w:color w:val="auto"/>
                <w:sz w:val="24"/>
                <w:u w:val="none"/>
              </w:rPr>
            </w:pPr>
            <w:r>
              <w:rPr>
                <w:rFonts w:ascii="Times New Roman" w:hAnsi="Times New Roman" w:eastAsia="宋体" w:cs="Times New Roman"/>
                <w:b/>
                <w:bCs/>
                <w:color w:val="auto"/>
                <w:sz w:val="24"/>
                <w:u w:val="none"/>
              </w:rPr>
              <w:t>污染物项目</w:t>
            </w:r>
          </w:p>
        </w:tc>
        <w:tc>
          <w:tcPr>
            <w:tcW w:w="2504" w:type="dxa"/>
            <w:vAlign w:val="center"/>
          </w:tcPr>
          <w:p w14:paraId="40B1A9FF">
            <w:pPr>
              <w:adjustRightInd w:val="0"/>
              <w:snapToGrid w:val="0"/>
              <w:spacing w:line="240" w:lineRule="auto"/>
              <w:jc w:val="center"/>
              <w:rPr>
                <w:rFonts w:ascii="Times New Roman" w:hAnsi="Times New Roman" w:eastAsia="宋体" w:cs="Times New Roman"/>
                <w:b/>
                <w:bCs/>
                <w:color w:val="auto"/>
                <w:sz w:val="24"/>
                <w:u w:val="none"/>
              </w:rPr>
            </w:pPr>
            <w:r>
              <w:rPr>
                <w:rFonts w:ascii="Times New Roman" w:hAnsi="Times New Roman" w:eastAsia="宋体" w:cs="Times New Roman"/>
                <w:b/>
                <w:bCs/>
                <w:color w:val="auto"/>
                <w:sz w:val="24"/>
                <w:u w:val="none"/>
              </w:rPr>
              <w:t>环境保护措施</w:t>
            </w:r>
          </w:p>
        </w:tc>
        <w:tc>
          <w:tcPr>
            <w:tcW w:w="2688" w:type="dxa"/>
            <w:vAlign w:val="center"/>
          </w:tcPr>
          <w:p w14:paraId="63EC4ABC">
            <w:pPr>
              <w:adjustRightInd w:val="0"/>
              <w:snapToGrid w:val="0"/>
              <w:spacing w:line="240" w:lineRule="auto"/>
              <w:jc w:val="center"/>
              <w:rPr>
                <w:rFonts w:ascii="Times New Roman" w:hAnsi="Times New Roman" w:eastAsia="宋体" w:cs="Times New Roman"/>
                <w:b/>
                <w:bCs/>
                <w:color w:val="auto"/>
                <w:sz w:val="24"/>
                <w:u w:val="none"/>
              </w:rPr>
            </w:pPr>
            <w:r>
              <w:rPr>
                <w:rFonts w:ascii="Times New Roman" w:hAnsi="Times New Roman" w:eastAsia="宋体" w:cs="Times New Roman"/>
                <w:b/>
                <w:bCs/>
                <w:color w:val="auto"/>
                <w:sz w:val="24"/>
                <w:u w:val="none"/>
              </w:rPr>
              <w:t>执行标准</w:t>
            </w:r>
          </w:p>
        </w:tc>
      </w:tr>
      <w:tr w14:paraId="28E947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291" w:type="dxa"/>
            <w:vMerge w:val="restart"/>
            <w:vAlign w:val="center"/>
          </w:tcPr>
          <w:p w14:paraId="45A8459C">
            <w:pPr>
              <w:adjustRightInd w:val="0"/>
              <w:snapToGrid w:val="0"/>
              <w:spacing w:line="240" w:lineRule="auto"/>
              <w:jc w:val="center"/>
              <w:rPr>
                <w:rFonts w:ascii="Times New Roman" w:hAnsi="Times New Roman" w:eastAsia="宋体" w:cs="Times New Roman"/>
                <w:b/>
                <w:bCs/>
                <w:color w:val="auto"/>
                <w:sz w:val="24"/>
                <w:u w:val="none"/>
              </w:rPr>
            </w:pPr>
            <w:r>
              <w:rPr>
                <w:rFonts w:ascii="Times New Roman" w:hAnsi="Times New Roman" w:eastAsia="宋体" w:cs="Times New Roman"/>
                <w:b/>
                <w:bCs/>
                <w:color w:val="auto"/>
                <w:sz w:val="24"/>
                <w:u w:val="none"/>
              </w:rPr>
              <w:t>大气</w:t>
            </w:r>
          </w:p>
          <w:p w14:paraId="3F9B5359">
            <w:pPr>
              <w:adjustRightInd w:val="0"/>
              <w:snapToGrid w:val="0"/>
              <w:spacing w:line="240" w:lineRule="auto"/>
              <w:jc w:val="center"/>
              <w:rPr>
                <w:rFonts w:ascii="Times New Roman" w:hAnsi="Times New Roman" w:eastAsia="宋体" w:cs="Times New Roman"/>
                <w:b/>
                <w:bCs/>
                <w:color w:val="auto"/>
                <w:sz w:val="24"/>
                <w:u w:val="none"/>
              </w:rPr>
            </w:pPr>
            <w:r>
              <w:rPr>
                <w:rFonts w:ascii="Times New Roman" w:hAnsi="Times New Roman" w:eastAsia="宋体" w:cs="Times New Roman"/>
                <w:b/>
                <w:bCs/>
                <w:color w:val="auto"/>
                <w:sz w:val="24"/>
                <w:u w:val="none"/>
              </w:rPr>
              <w:t>环境</w:t>
            </w:r>
          </w:p>
        </w:tc>
        <w:tc>
          <w:tcPr>
            <w:tcW w:w="1320" w:type="dxa"/>
            <w:vMerge w:val="restart"/>
            <w:vAlign w:val="center"/>
          </w:tcPr>
          <w:p w14:paraId="758A84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发电机组排气筒（DA001、DA002</w:t>
            </w:r>
            <w:r>
              <w:rPr>
                <w:rFonts w:hint="eastAsia" w:cs="Times New Roman"/>
                <w:color w:val="auto"/>
                <w:kern w:val="0"/>
                <w:sz w:val="21"/>
                <w:szCs w:val="20"/>
                <w:u w:val="none"/>
                <w:lang w:val="en-US" w:eastAsia="zh-CN" w:bidi="ar-SA"/>
              </w:rPr>
              <w:t>、</w:t>
            </w:r>
            <w:r>
              <w:rPr>
                <w:rFonts w:hint="eastAsia" w:ascii="Times New Roman" w:hAnsi="Times New Roman" w:eastAsia="宋体" w:cs="Times New Roman"/>
                <w:color w:val="auto"/>
                <w:sz w:val="24"/>
                <w:szCs w:val="24"/>
                <w:u w:val="none"/>
                <w:lang w:val="en-US" w:eastAsia="zh-CN"/>
              </w:rPr>
              <w:t>DA003、DA004）</w:t>
            </w:r>
          </w:p>
        </w:tc>
        <w:tc>
          <w:tcPr>
            <w:tcW w:w="1478" w:type="dxa"/>
            <w:vAlign w:val="center"/>
          </w:tcPr>
          <w:p w14:paraId="228FFF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烟尘</w:t>
            </w:r>
          </w:p>
        </w:tc>
        <w:tc>
          <w:tcPr>
            <w:tcW w:w="2504" w:type="dxa"/>
            <w:vMerge w:val="restart"/>
            <w:vAlign w:val="center"/>
          </w:tcPr>
          <w:p w14:paraId="0AD40A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4"/>
                <w:szCs w:val="24"/>
                <w:u w:val="none"/>
                <w:lang w:val="en-US" w:eastAsia="zh-CN"/>
              </w:rPr>
            </w:pPr>
            <w:r>
              <w:rPr>
                <w:rFonts w:hint="eastAsia" w:cs="Times New Roman"/>
                <w:color w:val="auto"/>
                <w:sz w:val="24"/>
                <w:szCs w:val="24"/>
                <w:u w:val="none"/>
                <w:lang w:val="en-US" w:eastAsia="zh-CN"/>
              </w:rPr>
              <w:t>4套</w:t>
            </w:r>
            <w:r>
              <w:rPr>
                <w:rFonts w:hint="eastAsia" w:ascii="Times New Roman" w:hAnsi="Times New Roman" w:eastAsia="宋体" w:cs="Times New Roman"/>
                <w:color w:val="auto"/>
                <w:sz w:val="24"/>
                <w:szCs w:val="24"/>
                <w:u w:val="none"/>
                <w:lang w:val="en-US" w:eastAsia="zh-CN"/>
              </w:rPr>
              <w:t>稀薄燃烧控制技术+15m高排气筒</w:t>
            </w:r>
          </w:p>
        </w:tc>
        <w:tc>
          <w:tcPr>
            <w:tcW w:w="2688" w:type="dxa"/>
            <w:vMerge w:val="restart"/>
            <w:vAlign w:val="center"/>
          </w:tcPr>
          <w:p w14:paraId="0BEE74F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《重型柴油车污染物排放限值及测量方法（中国第六阶段）》GB 17691-2018</w:t>
            </w:r>
          </w:p>
        </w:tc>
      </w:tr>
      <w:tr w14:paraId="239B61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291" w:type="dxa"/>
            <w:vMerge w:val="continue"/>
            <w:vAlign w:val="center"/>
          </w:tcPr>
          <w:p w14:paraId="0ABB3391">
            <w:pPr>
              <w:adjustRightInd w:val="0"/>
              <w:snapToGrid w:val="0"/>
              <w:spacing w:line="240" w:lineRule="auto"/>
              <w:jc w:val="center"/>
              <w:rPr>
                <w:rFonts w:ascii="Times New Roman" w:hAnsi="Times New Roman" w:eastAsia="宋体" w:cs="Times New Roman"/>
                <w:b/>
                <w:bCs/>
                <w:color w:val="auto"/>
                <w:sz w:val="24"/>
                <w:u w:val="none"/>
              </w:rPr>
            </w:pPr>
          </w:p>
        </w:tc>
        <w:tc>
          <w:tcPr>
            <w:tcW w:w="1320" w:type="dxa"/>
            <w:vMerge w:val="continue"/>
            <w:vAlign w:val="center"/>
          </w:tcPr>
          <w:p w14:paraId="00A5E7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4"/>
                <w:szCs w:val="24"/>
                <w:u w:val="none"/>
                <w:lang w:val="en-US" w:eastAsia="zh-CN"/>
              </w:rPr>
            </w:pPr>
          </w:p>
        </w:tc>
        <w:tc>
          <w:tcPr>
            <w:tcW w:w="1478" w:type="dxa"/>
            <w:vAlign w:val="center"/>
          </w:tcPr>
          <w:p w14:paraId="78B5ED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NOx</w:t>
            </w:r>
          </w:p>
        </w:tc>
        <w:tc>
          <w:tcPr>
            <w:tcW w:w="2504" w:type="dxa"/>
            <w:vMerge w:val="continue"/>
            <w:vAlign w:val="center"/>
          </w:tcPr>
          <w:p w14:paraId="10307EC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4"/>
                <w:szCs w:val="24"/>
                <w:u w:val="none"/>
                <w:lang w:val="en-US" w:eastAsia="zh-CN"/>
              </w:rPr>
            </w:pPr>
          </w:p>
        </w:tc>
        <w:tc>
          <w:tcPr>
            <w:tcW w:w="2688" w:type="dxa"/>
            <w:vMerge w:val="continue"/>
            <w:vAlign w:val="center"/>
          </w:tcPr>
          <w:p w14:paraId="2637EB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4"/>
                <w:szCs w:val="24"/>
                <w:u w:val="none"/>
                <w:lang w:val="en-US" w:eastAsia="zh-CN"/>
              </w:rPr>
            </w:pPr>
          </w:p>
        </w:tc>
      </w:tr>
      <w:tr w14:paraId="61A5BB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291" w:type="dxa"/>
            <w:vMerge w:val="continue"/>
            <w:vAlign w:val="center"/>
          </w:tcPr>
          <w:p w14:paraId="0915A8BD">
            <w:pPr>
              <w:adjustRightInd w:val="0"/>
              <w:snapToGrid w:val="0"/>
              <w:spacing w:line="240" w:lineRule="auto"/>
              <w:jc w:val="center"/>
              <w:rPr>
                <w:rFonts w:ascii="Times New Roman" w:hAnsi="Times New Roman" w:eastAsia="宋体" w:cs="Times New Roman"/>
                <w:b/>
                <w:bCs/>
                <w:color w:val="auto"/>
                <w:sz w:val="24"/>
                <w:u w:val="none"/>
              </w:rPr>
            </w:pPr>
          </w:p>
        </w:tc>
        <w:tc>
          <w:tcPr>
            <w:tcW w:w="1320" w:type="dxa"/>
            <w:vMerge w:val="continue"/>
            <w:vAlign w:val="center"/>
          </w:tcPr>
          <w:p w14:paraId="4008F5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4"/>
                <w:szCs w:val="24"/>
                <w:u w:val="none"/>
                <w:lang w:val="en-US" w:eastAsia="zh-CN"/>
              </w:rPr>
            </w:pPr>
          </w:p>
        </w:tc>
        <w:tc>
          <w:tcPr>
            <w:tcW w:w="1478" w:type="dxa"/>
            <w:vAlign w:val="center"/>
          </w:tcPr>
          <w:p w14:paraId="5BF1B5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非甲烷总烃</w:t>
            </w:r>
          </w:p>
        </w:tc>
        <w:tc>
          <w:tcPr>
            <w:tcW w:w="2504" w:type="dxa"/>
            <w:vMerge w:val="continue"/>
            <w:vAlign w:val="center"/>
          </w:tcPr>
          <w:p w14:paraId="3CEFC3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4"/>
                <w:szCs w:val="24"/>
                <w:u w:val="none"/>
                <w:lang w:val="en-US" w:eastAsia="zh-CN"/>
              </w:rPr>
            </w:pPr>
          </w:p>
        </w:tc>
        <w:tc>
          <w:tcPr>
            <w:tcW w:w="2688" w:type="dxa"/>
            <w:vMerge w:val="continue"/>
            <w:vAlign w:val="center"/>
          </w:tcPr>
          <w:p w14:paraId="11E1B9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4"/>
                <w:szCs w:val="24"/>
                <w:u w:val="none"/>
                <w:lang w:val="en-US" w:eastAsia="zh-CN"/>
              </w:rPr>
            </w:pPr>
          </w:p>
        </w:tc>
      </w:tr>
      <w:tr w14:paraId="747E7F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1" w:type="dxa"/>
            <w:vMerge w:val="continue"/>
            <w:vAlign w:val="center"/>
          </w:tcPr>
          <w:p w14:paraId="33FCDAE9">
            <w:pPr>
              <w:adjustRightInd w:val="0"/>
              <w:snapToGrid w:val="0"/>
              <w:spacing w:line="240" w:lineRule="auto"/>
              <w:jc w:val="center"/>
              <w:rPr>
                <w:rFonts w:ascii="Times New Roman" w:hAnsi="Times New Roman" w:eastAsia="宋体" w:cs="Times New Roman"/>
                <w:b/>
                <w:bCs/>
                <w:color w:val="auto"/>
                <w:sz w:val="24"/>
                <w:u w:val="none"/>
              </w:rPr>
            </w:pPr>
          </w:p>
        </w:tc>
        <w:tc>
          <w:tcPr>
            <w:tcW w:w="1320" w:type="dxa"/>
            <w:vMerge w:val="continue"/>
            <w:vAlign w:val="center"/>
          </w:tcPr>
          <w:p w14:paraId="7CCF637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4"/>
                <w:szCs w:val="24"/>
                <w:u w:val="none"/>
                <w:lang w:val="en-US" w:eastAsia="zh-CN"/>
              </w:rPr>
            </w:pPr>
          </w:p>
        </w:tc>
        <w:tc>
          <w:tcPr>
            <w:tcW w:w="1478" w:type="dxa"/>
            <w:vAlign w:val="center"/>
          </w:tcPr>
          <w:p w14:paraId="0D017CF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CO</w:t>
            </w:r>
          </w:p>
        </w:tc>
        <w:tc>
          <w:tcPr>
            <w:tcW w:w="2504" w:type="dxa"/>
            <w:vMerge w:val="continue"/>
            <w:vAlign w:val="center"/>
          </w:tcPr>
          <w:p w14:paraId="1F6E3B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4"/>
                <w:szCs w:val="24"/>
                <w:u w:val="none"/>
                <w:lang w:val="en-US" w:eastAsia="zh-CN"/>
              </w:rPr>
            </w:pPr>
          </w:p>
        </w:tc>
        <w:tc>
          <w:tcPr>
            <w:tcW w:w="2688" w:type="dxa"/>
            <w:vMerge w:val="continue"/>
            <w:vAlign w:val="center"/>
          </w:tcPr>
          <w:p w14:paraId="60C702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4"/>
                <w:szCs w:val="24"/>
                <w:u w:val="none"/>
                <w:lang w:val="en-US" w:eastAsia="zh-CN"/>
              </w:rPr>
            </w:pPr>
          </w:p>
        </w:tc>
      </w:tr>
      <w:tr w14:paraId="1F5B39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0" w:hRule="atLeast"/>
          <w:jc w:val="center"/>
        </w:trPr>
        <w:tc>
          <w:tcPr>
            <w:tcW w:w="1291" w:type="dxa"/>
            <w:vMerge w:val="restart"/>
            <w:vAlign w:val="center"/>
          </w:tcPr>
          <w:p w14:paraId="0987DE8E">
            <w:pPr>
              <w:adjustRightInd w:val="0"/>
              <w:snapToGrid w:val="0"/>
              <w:spacing w:line="240" w:lineRule="auto"/>
              <w:jc w:val="center"/>
              <w:rPr>
                <w:rFonts w:ascii="Times New Roman" w:hAnsi="Times New Roman" w:eastAsia="宋体" w:cs="Times New Roman"/>
                <w:b/>
                <w:bCs/>
                <w:color w:val="auto"/>
                <w:sz w:val="24"/>
                <w:u w:val="none"/>
              </w:rPr>
            </w:pPr>
            <w:r>
              <w:rPr>
                <w:rFonts w:ascii="Times New Roman" w:hAnsi="Times New Roman" w:eastAsia="宋体" w:cs="Times New Roman"/>
                <w:b/>
                <w:bCs/>
                <w:color w:val="auto"/>
                <w:sz w:val="24"/>
                <w:u w:val="none"/>
              </w:rPr>
              <w:t>地表水</w:t>
            </w:r>
          </w:p>
          <w:p w14:paraId="3B020396">
            <w:pPr>
              <w:adjustRightInd w:val="0"/>
              <w:snapToGrid w:val="0"/>
              <w:spacing w:line="240" w:lineRule="auto"/>
              <w:jc w:val="center"/>
              <w:rPr>
                <w:rFonts w:ascii="Times New Roman" w:hAnsi="Times New Roman" w:eastAsia="宋体" w:cs="Times New Roman"/>
                <w:b/>
                <w:bCs/>
                <w:color w:val="auto"/>
                <w:sz w:val="24"/>
                <w:u w:val="none"/>
              </w:rPr>
            </w:pPr>
            <w:r>
              <w:rPr>
                <w:rFonts w:ascii="Times New Roman" w:hAnsi="Times New Roman" w:eastAsia="宋体" w:cs="Times New Roman"/>
                <w:b/>
                <w:bCs/>
                <w:color w:val="auto"/>
                <w:sz w:val="24"/>
                <w:u w:val="none"/>
              </w:rPr>
              <w:t>环境</w:t>
            </w:r>
          </w:p>
        </w:tc>
        <w:tc>
          <w:tcPr>
            <w:tcW w:w="1320" w:type="dxa"/>
            <w:vAlign w:val="center"/>
          </w:tcPr>
          <w:p w14:paraId="6C61FB5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w:t>
            </w:r>
          </w:p>
        </w:tc>
        <w:tc>
          <w:tcPr>
            <w:tcW w:w="1478" w:type="dxa"/>
            <w:vAlign w:val="center"/>
          </w:tcPr>
          <w:p w14:paraId="2AD4568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生活污水（COD、BOD、NH</w:t>
            </w:r>
            <w:r>
              <w:rPr>
                <w:rFonts w:hint="eastAsia" w:ascii="Times New Roman" w:hAnsi="Times New Roman" w:eastAsia="宋体" w:cs="Times New Roman"/>
                <w:color w:val="auto"/>
                <w:sz w:val="24"/>
                <w:szCs w:val="24"/>
                <w:u w:val="none"/>
                <w:vertAlign w:val="subscript"/>
                <w:lang w:val="en-US" w:eastAsia="zh-CN"/>
              </w:rPr>
              <w:t>3</w:t>
            </w:r>
            <w:r>
              <w:rPr>
                <w:rFonts w:hint="eastAsia" w:ascii="Times New Roman" w:hAnsi="Times New Roman" w:eastAsia="宋体" w:cs="Times New Roman"/>
                <w:color w:val="auto"/>
                <w:sz w:val="24"/>
                <w:szCs w:val="24"/>
                <w:u w:val="none"/>
                <w:lang w:val="en-US" w:eastAsia="zh-CN"/>
              </w:rPr>
              <w:t>-N、SS）</w:t>
            </w:r>
          </w:p>
        </w:tc>
        <w:tc>
          <w:tcPr>
            <w:tcW w:w="2504" w:type="dxa"/>
            <w:vAlign w:val="center"/>
          </w:tcPr>
          <w:p w14:paraId="34A7FA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防渗化粪池处理</w:t>
            </w:r>
          </w:p>
          <w:p w14:paraId="06971AD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4"/>
                <w:szCs w:val="24"/>
                <w:u w:val="none"/>
                <w:lang w:val="en-US" w:eastAsia="zh-CN"/>
              </w:rPr>
            </w:pPr>
            <w:r>
              <w:rPr>
                <w:rFonts w:hint="eastAsia" w:cs="Times New Roman"/>
                <w:color w:val="auto"/>
                <w:sz w:val="24"/>
                <w:szCs w:val="24"/>
                <w:u w:val="none"/>
                <w:lang w:val="en-US" w:eastAsia="zh-CN"/>
              </w:rPr>
              <w:t>（约3m</w:t>
            </w:r>
            <w:r>
              <w:rPr>
                <w:rFonts w:hint="eastAsia" w:cs="Times New Roman"/>
                <w:color w:val="auto"/>
                <w:sz w:val="24"/>
                <w:szCs w:val="24"/>
                <w:u w:val="none"/>
                <w:vertAlign w:val="superscript"/>
                <w:lang w:val="en-US" w:eastAsia="zh-CN"/>
              </w:rPr>
              <w:t>3</w:t>
            </w:r>
            <w:r>
              <w:rPr>
                <w:rFonts w:hint="eastAsia" w:cs="Times New Roman"/>
                <w:color w:val="auto"/>
                <w:sz w:val="24"/>
                <w:szCs w:val="24"/>
                <w:u w:val="none"/>
                <w:lang w:val="en-US" w:eastAsia="zh-CN"/>
              </w:rPr>
              <w:t>）</w:t>
            </w:r>
          </w:p>
        </w:tc>
        <w:tc>
          <w:tcPr>
            <w:tcW w:w="2688" w:type="dxa"/>
            <w:vMerge w:val="restart"/>
            <w:vAlign w:val="center"/>
          </w:tcPr>
          <w:p w14:paraId="7DD462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不外排</w:t>
            </w:r>
          </w:p>
        </w:tc>
      </w:tr>
      <w:tr w14:paraId="01B9B9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7" w:hRule="atLeast"/>
          <w:jc w:val="center"/>
        </w:trPr>
        <w:tc>
          <w:tcPr>
            <w:tcW w:w="1291" w:type="dxa"/>
            <w:vMerge w:val="continue"/>
            <w:vAlign w:val="center"/>
          </w:tcPr>
          <w:p w14:paraId="7BB3CBFA">
            <w:pPr>
              <w:adjustRightInd w:val="0"/>
              <w:snapToGrid w:val="0"/>
              <w:spacing w:line="240" w:lineRule="auto"/>
              <w:jc w:val="center"/>
              <w:rPr>
                <w:rFonts w:ascii="Times New Roman" w:hAnsi="Times New Roman" w:eastAsia="宋体" w:cs="Times New Roman"/>
                <w:b/>
                <w:bCs/>
                <w:color w:val="auto"/>
                <w:sz w:val="24"/>
                <w:u w:val="none"/>
              </w:rPr>
            </w:pPr>
          </w:p>
        </w:tc>
        <w:tc>
          <w:tcPr>
            <w:tcW w:w="1320" w:type="dxa"/>
            <w:vAlign w:val="center"/>
          </w:tcPr>
          <w:p w14:paraId="0DF4E0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4"/>
                <w:szCs w:val="24"/>
                <w:u w:val="none"/>
                <w:lang w:val="en-US" w:eastAsia="zh-CN"/>
              </w:rPr>
            </w:pPr>
            <w:r>
              <w:rPr>
                <w:rFonts w:hint="eastAsia" w:cs="Times New Roman"/>
                <w:color w:val="auto"/>
                <w:sz w:val="24"/>
                <w:szCs w:val="24"/>
                <w:u w:val="none"/>
                <w:lang w:val="en-US" w:eastAsia="zh-CN"/>
              </w:rPr>
              <w:t>/</w:t>
            </w:r>
          </w:p>
        </w:tc>
        <w:tc>
          <w:tcPr>
            <w:tcW w:w="1478" w:type="dxa"/>
            <w:shd w:val="clear" w:color="auto" w:fill="auto"/>
            <w:vAlign w:val="center"/>
          </w:tcPr>
          <w:p w14:paraId="7463473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4"/>
                <w:szCs w:val="24"/>
                <w:u w:val="none"/>
                <w:lang w:val="en-US" w:eastAsia="zh-CN" w:bidi="ar-SA"/>
              </w:rPr>
            </w:pPr>
            <w:r>
              <w:rPr>
                <w:rFonts w:hint="eastAsia" w:cs="Times New Roman"/>
                <w:color w:val="auto"/>
                <w:sz w:val="24"/>
                <w:szCs w:val="24"/>
                <w:highlight w:val="none"/>
                <w:u w:val="none"/>
                <w:lang w:val="en-US" w:eastAsia="zh-CN"/>
              </w:rPr>
              <w:t>冷凝水</w:t>
            </w:r>
          </w:p>
        </w:tc>
        <w:tc>
          <w:tcPr>
            <w:tcW w:w="2504" w:type="dxa"/>
            <w:shd w:val="clear" w:color="auto" w:fill="auto"/>
            <w:vAlign w:val="center"/>
          </w:tcPr>
          <w:p w14:paraId="4FE76D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4"/>
                <w:szCs w:val="24"/>
                <w:u w:val="none"/>
                <w:lang w:val="en-US" w:eastAsia="zh-CN" w:bidi="ar-SA"/>
              </w:rPr>
            </w:pPr>
            <w:r>
              <w:rPr>
                <w:rFonts w:hint="eastAsia" w:cs="Times New Roman"/>
                <w:color w:val="auto"/>
                <w:sz w:val="24"/>
                <w:szCs w:val="24"/>
                <w:u w:val="none"/>
                <w:lang w:val="en-US" w:eastAsia="zh-CN"/>
              </w:rPr>
              <w:t>收集暂存在贮水池（约20m</w:t>
            </w:r>
            <w:r>
              <w:rPr>
                <w:rFonts w:hint="eastAsia" w:cs="Times New Roman"/>
                <w:color w:val="auto"/>
                <w:sz w:val="24"/>
                <w:szCs w:val="24"/>
                <w:u w:val="none"/>
                <w:vertAlign w:val="superscript"/>
                <w:lang w:val="en-US" w:eastAsia="zh-CN"/>
              </w:rPr>
              <w:t>3</w:t>
            </w:r>
            <w:r>
              <w:rPr>
                <w:rFonts w:hint="eastAsia" w:cs="Times New Roman"/>
                <w:color w:val="auto"/>
                <w:sz w:val="24"/>
                <w:szCs w:val="24"/>
                <w:u w:val="none"/>
                <w:lang w:val="en-US" w:eastAsia="zh-CN"/>
              </w:rPr>
              <w:t>）内重新利用</w:t>
            </w:r>
          </w:p>
        </w:tc>
        <w:tc>
          <w:tcPr>
            <w:tcW w:w="2688" w:type="dxa"/>
            <w:vMerge w:val="continue"/>
            <w:vAlign w:val="center"/>
          </w:tcPr>
          <w:p w14:paraId="282E6D7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4"/>
                <w:szCs w:val="24"/>
                <w:u w:val="none"/>
                <w:lang w:val="en-US" w:eastAsia="zh-CN"/>
              </w:rPr>
            </w:pPr>
          </w:p>
        </w:tc>
      </w:tr>
      <w:tr w14:paraId="0DB74E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77" w:hRule="atLeast"/>
          <w:jc w:val="center"/>
        </w:trPr>
        <w:tc>
          <w:tcPr>
            <w:tcW w:w="1291" w:type="dxa"/>
            <w:vAlign w:val="center"/>
          </w:tcPr>
          <w:p w14:paraId="016A0EE9">
            <w:pPr>
              <w:adjustRightInd w:val="0"/>
              <w:snapToGrid w:val="0"/>
              <w:spacing w:line="240" w:lineRule="auto"/>
              <w:jc w:val="center"/>
              <w:rPr>
                <w:rFonts w:ascii="Times New Roman" w:hAnsi="Times New Roman" w:eastAsia="宋体" w:cs="Times New Roman"/>
                <w:b/>
                <w:bCs/>
                <w:color w:val="auto"/>
                <w:sz w:val="24"/>
                <w:u w:val="none"/>
              </w:rPr>
            </w:pPr>
            <w:r>
              <w:rPr>
                <w:rFonts w:ascii="Times New Roman" w:hAnsi="Times New Roman" w:eastAsia="宋体" w:cs="Times New Roman"/>
                <w:b/>
                <w:bCs/>
                <w:color w:val="auto"/>
                <w:sz w:val="24"/>
                <w:u w:val="none"/>
              </w:rPr>
              <w:t>声环境</w:t>
            </w:r>
          </w:p>
        </w:tc>
        <w:tc>
          <w:tcPr>
            <w:tcW w:w="2798" w:type="dxa"/>
            <w:gridSpan w:val="2"/>
            <w:vAlign w:val="center"/>
          </w:tcPr>
          <w:p w14:paraId="16FA117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各高噪声设备工作时的机械噪声</w:t>
            </w:r>
          </w:p>
        </w:tc>
        <w:tc>
          <w:tcPr>
            <w:tcW w:w="2504" w:type="dxa"/>
            <w:vAlign w:val="center"/>
          </w:tcPr>
          <w:p w14:paraId="2EDCAB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在发电机组燃料后出气口安装消声器，撬装式发电机组内壁设吸声材料</w:t>
            </w:r>
            <w:r>
              <w:rPr>
                <w:rFonts w:hint="eastAsia" w:cs="Times New Roman"/>
                <w:color w:val="auto"/>
                <w:sz w:val="24"/>
                <w:szCs w:val="24"/>
                <w:u w:val="none"/>
                <w:lang w:val="en-US" w:eastAsia="zh-CN"/>
              </w:rPr>
              <w:t>；及基础减震、距离衰减方式减弱</w:t>
            </w:r>
          </w:p>
        </w:tc>
        <w:tc>
          <w:tcPr>
            <w:tcW w:w="2688" w:type="dxa"/>
            <w:vAlign w:val="center"/>
          </w:tcPr>
          <w:p w14:paraId="74E44F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4"/>
                <w:szCs w:val="24"/>
                <w:u w:val="none"/>
                <w:lang w:val="en-US" w:eastAsia="zh-CN"/>
              </w:rPr>
            </w:pPr>
            <w:r>
              <w:rPr>
                <w:rFonts w:hint="eastAsia" w:ascii="Times New Roman" w:hAnsi="Times New Roman" w:eastAsia="宋体" w:cs="Times New Roman"/>
                <w:color w:val="auto"/>
                <w:sz w:val="24"/>
                <w:szCs w:val="24"/>
                <w:u w:val="none"/>
                <w:lang w:val="en-US" w:eastAsia="zh-CN"/>
              </w:rPr>
              <w:t>《工业企业厂界环境噪声排放标准》（GB12348-2008）</w:t>
            </w:r>
            <w:r>
              <w:rPr>
                <w:rFonts w:hint="eastAsia" w:cs="Times New Roman"/>
                <w:color w:val="auto"/>
                <w:sz w:val="24"/>
                <w:szCs w:val="24"/>
                <w:u w:val="none"/>
                <w:lang w:val="en-US" w:eastAsia="zh-CN"/>
              </w:rPr>
              <w:t>2</w:t>
            </w:r>
            <w:r>
              <w:rPr>
                <w:rFonts w:hint="eastAsia" w:ascii="Times New Roman" w:hAnsi="Times New Roman" w:cs="Times New Roman"/>
                <w:color w:val="auto"/>
                <w:sz w:val="24"/>
                <w:szCs w:val="24"/>
                <w:u w:val="none"/>
                <w:lang w:val="en-US" w:eastAsia="zh-CN"/>
              </w:rPr>
              <w:t>类</w:t>
            </w:r>
            <w:r>
              <w:rPr>
                <w:rFonts w:hint="eastAsia" w:ascii="Times New Roman" w:hAnsi="Times New Roman" w:eastAsia="宋体" w:cs="Times New Roman"/>
                <w:color w:val="auto"/>
                <w:sz w:val="24"/>
                <w:szCs w:val="24"/>
                <w:u w:val="none"/>
                <w:lang w:val="en-US" w:eastAsia="zh-CN"/>
              </w:rPr>
              <w:t>标准</w:t>
            </w:r>
          </w:p>
        </w:tc>
      </w:tr>
      <w:tr w14:paraId="4322AB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291" w:type="dxa"/>
            <w:vAlign w:val="center"/>
          </w:tcPr>
          <w:p w14:paraId="0E87D6C5">
            <w:pPr>
              <w:adjustRightInd w:val="0"/>
              <w:snapToGrid w:val="0"/>
              <w:spacing w:line="240" w:lineRule="auto"/>
              <w:jc w:val="center"/>
              <w:rPr>
                <w:rFonts w:ascii="Times New Roman" w:hAnsi="Times New Roman" w:eastAsia="宋体" w:cs="Times New Roman"/>
                <w:b/>
                <w:bCs/>
                <w:color w:val="auto"/>
                <w:sz w:val="24"/>
                <w:u w:val="none"/>
              </w:rPr>
            </w:pPr>
            <w:r>
              <w:rPr>
                <w:rFonts w:ascii="Times New Roman" w:hAnsi="Times New Roman" w:eastAsia="宋体" w:cs="Times New Roman"/>
                <w:b/>
                <w:bCs/>
                <w:color w:val="auto"/>
                <w:sz w:val="24"/>
                <w:u w:val="none"/>
              </w:rPr>
              <w:t>电磁辐射</w:t>
            </w:r>
          </w:p>
        </w:tc>
        <w:tc>
          <w:tcPr>
            <w:tcW w:w="1320" w:type="dxa"/>
            <w:vAlign w:val="center"/>
          </w:tcPr>
          <w:p w14:paraId="55CFE16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4"/>
                <w:szCs w:val="24"/>
                <w:u w:val="none"/>
              </w:rPr>
            </w:pPr>
            <w:r>
              <w:rPr>
                <w:rFonts w:ascii="Times New Roman" w:hAnsi="Times New Roman" w:cs="Times New Roman"/>
                <w:color w:val="auto"/>
                <w:sz w:val="24"/>
                <w:szCs w:val="24"/>
                <w:u w:val="none"/>
              </w:rPr>
              <w:t>/</w:t>
            </w:r>
          </w:p>
        </w:tc>
        <w:tc>
          <w:tcPr>
            <w:tcW w:w="1478" w:type="dxa"/>
            <w:vAlign w:val="center"/>
          </w:tcPr>
          <w:p w14:paraId="366D15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4"/>
                <w:szCs w:val="24"/>
                <w:u w:val="none"/>
              </w:rPr>
            </w:pPr>
            <w:r>
              <w:rPr>
                <w:rFonts w:ascii="Times New Roman" w:hAnsi="Times New Roman" w:cs="Times New Roman"/>
                <w:color w:val="auto"/>
                <w:sz w:val="24"/>
                <w:szCs w:val="24"/>
                <w:u w:val="none"/>
              </w:rPr>
              <w:t>/</w:t>
            </w:r>
          </w:p>
        </w:tc>
        <w:tc>
          <w:tcPr>
            <w:tcW w:w="2504" w:type="dxa"/>
            <w:vAlign w:val="center"/>
          </w:tcPr>
          <w:p w14:paraId="340320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4"/>
                <w:szCs w:val="24"/>
                <w:u w:val="none"/>
              </w:rPr>
            </w:pPr>
            <w:r>
              <w:rPr>
                <w:rFonts w:ascii="Times New Roman" w:hAnsi="Times New Roman" w:cs="Times New Roman"/>
                <w:color w:val="auto"/>
                <w:sz w:val="24"/>
                <w:szCs w:val="24"/>
                <w:u w:val="none"/>
              </w:rPr>
              <w:t>/</w:t>
            </w:r>
          </w:p>
        </w:tc>
        <w:tc>
          <w:tcPr>
            <w:tcW w:w="2688" w:type="dxa"/>
            <w:vAlign w:val="center"/>
          </w:tcPr>
          <w:p w14:paraId="078241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4"/>
                <w:szCs w:val="24"/>
                <w:u w:val="none"/>
              </w:rPr>
            </w:pPr>
            <w:r>
              <w:rPr>
                <w:rFonts w:ascii="Times New Roman" w:hAnsi="Times New Roman" w:cs="Times New Roman"/>
                <w:color w:val="auto"/>
                <w:sz w:val="24"/>
                <w:szCs w:val="24"/>
                <w:u w:val="none"/>
              </w:rPr>
              <w:t>/</w:t>
            </w:r>
          </w:p>
        </w:tc>
      </w:tr>
      <w:tr w14:paraId="3D11C4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1291" w:type="dxa"/>
            <w:vAlign w:val="center"/>
          </w:tcPr>
          <w:p w14:paraId="15812E00">
            <w:pPr>
              <w:adjustRightInd w:val="0"/>
              <w:snapToGrid w:val="0"/>
              <w:spacing w:line="240" w:lineRule="auto"/>
              <w:jc w:val="center"/>
              <w:rPr>
                <w:rFonts w:ascii="Times New Roman" w:hAnsi="Times New Roman" w:eastAsia="宋体" w:cs="Times New Roman"/>
                <w:b/>
                <w:bCs/>
                <w:color w:val="auto"/>
                <w:sz w:val="24"/>
                <w:u w:val="none"/>
              </w:rPr>
            </w:pPr>
            <w:r>
              <w:rPr>
                <w:rFonts w:ascii="Times New Roman" w:hAnsi="Times New Roman" w:eastAsia="宋体" w:cs="Times New Roman"/>
                <w:b/>
                <w:bCs/>
                <w:color w:val="auto"/>
                <w:sz w:val="24"/>
                <w:u w:val="none"/>
              </w:rPr>
              <w:t>固体废物</w:t>
            </w:r>
          </w:p>
        </w:tc>
        <w:tc>
          <w:tcPr>
            <w:tcW w:w="7990" w:type="dxa"/>
            <w:gridSpan w:val="4"/>
            <w:vAlign w:val="center"/>
          </w:tcPr>
          <w:p w14:paraId="38A62939">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ascii="Times New Roman" w:hAnsi="Times New Roman" w:cs="Times New Roman"/>
                <w:color w:val="auto"/>
                <w:sz w:val="24"/>
                <w:szCs w:val="24"/>
                <w:u w:val="none"/>
              </w:rPr>
            </w:pPr>
            <w:r>
              <w:rPr>
                <w:rFonts w:hint="eastAsia" w:ascii="Times New Roman" w:hAnsi="Times New Roman" w:cs="Times New Roman"/>
                <w:color w:val="auto"/>
                <w:spacing w:val="5"/>
                <w:sz w:val="24"/>
                <w:u w:val="none"/>
                <w:lang w:val="en-US" w:eastAsia="zh-CN"/>
              </w:rPr>
              <w:t>本项目生活垃圾由垃圾桶收集后由环卫部门清运处理，危险废物废机油</w:t>
            </w:r>
            <w:r>
              <w:rPr>
                <w:rFonts w:hint="eastAsia" w:cs="Times New Roman"/>
                <w:color w:val="auto"/>
                <w:spacing w:val="5"/>
                <w:sz w:val="24"/>
                <w:u w:val="none"/>
                <w:lang w:val="en-US" w:eastAsia="zh-CN"/>
              </w:rPr>
              <w:t>、油桶</w:t>
            </w:r>
            <w:r>
              <w:rPr>
                <w:rFonts w:hint="eastAsia" w:ascii="Times New Roman" w:hAnsi="Times New Roman" w:cs="Times New Roman"/>
                <w:color w:val="auto"/>
                <w:spacing w:val="5"/>
                <w:sz w:val="24"/>
                <w:u w:val="none"/>
                <w:lang w:val="en-US" w:eastAsia="zh-CN"/>
              </w:rPr>
              <w:t>由危废间</w:t>
            </w:r>
            <w:r>
              <w:rPr>
                <w:rFonts w:hint="eastAsia" w:cs="Times New Roman"/>
                <w:color w:val="auto"/>
                <w:spacing w:val="5"/>
                <w:sz w:val="24"/>
                <w:u w:val="none"/>
                <w:lang w:val="en-US" w:eastAsia="zh-CN"/>
              </w:rPr>
              <w:t>（</w:t>
            </w:r>
            <w:r>
              <w:rPr>
                <w:rFonts w:hint="default" w:ascii="Times New Roman" w:hAnsi="Times New Roman" w:cs="Times New Roman"/>
                <w:color w:val="auto"/>
                <w:spacing w:val="5"/>
                <w:sz w:val="24"/>
                <w:highlight w:val="none"/>
                <w:u w:val="none"/>
              </w:rPr>
              <w:t>面积</w:t>
            </w:r>
            <w:r>
              <w:rPr>
                <w:rFonts w:hint="eastAsia" w:ascii="Times New Roman" w:hAnsi="Times New Roman" w:cs="Times New Roman"/>
                <w:color w:val="auto"/>
                <w:spacing w:val="5"/>
                <w:sz w:val="24"/>
                <w:highlight w:val="none"/>
                <w:u w:val="none"/>
                <w:lang w:val="en-US" w:eastAsia="zh-CN"/>
              </w:rPr>
              <w:t>约</w:t>
            </w:r>
            <w:r>
              <w:rPr>
                <w:rFonts w:hint="default" w:ascii="Times New Roman" w:hAnsi="Times New Roman" w:cs="Times New Roman"/>
                <w:color w:val="auto"/>
                <w:spacing w:val="5"/>
                <w:sz w:val="24"/>
                <w:highlight w:val="none"/>
                <w:u w:val="none"/>
              </w:rPr>
              <w:t>为</w:t>
            </w:r>
            <w:r>
              <w:rPr>
                <w:rFonts w:hint="eastAsia" w:ascii="Times New Roman" w:hAnsi="Times New Roman" w:cs="Times New Roman"/>
                <w:color w:val="auto"/>
                <w:spacing w:val="5"/>
                <w:sz w:val="24"/>
                <w:highlight w:val="none"/>
                <w:u w:val="none"/>
                <w:lang w:val="en-US" w:eastAsia="zh-CN"/>
              </w:rPr>
              <w:t>1</w:t>
            </w:r>
            <w:r>
              <w:rPr>
                <w:rFonts w:hint="eastAsia" w:cs="Times New Roman"/>
                <w:color w:val="auto"/>
                <w:spacing w:val="5"/>
                <w:sz w:val="24"/>
                <w:highlight w:val="none"/>
                <w:u w:val="none"/>
                <w:lang w:val="en-US" w:eastAsia="zh-CN"/>
              </w:rPr>
              <w:t>5</w:t>
            </w:r>
            <w:r>
              <w:rPr>
                <w:rFonts w:hint="eastAsia" w:ascii="Times New Roman" w:hAnsi="Times New Roman" w:cs="Times New Roman"/>
                <w:color w:val="auto"/>
                <w:spacing w:val="5"/>
                <w:sz w:val="24"/>
                <w:highlight w:val="none"/>
                <w:u w:val="none"/>
                <w:lang w:val="en-US" w:eastAsia="zh-CN"/>
              </w:rPr>
              <w:t>m</w:t>
            </w:r>
            <w:r>
              <w:rPr>
                <w:rFonts w:hint="default" w:ascii="Times New Roman" w:hAnsi="Times New Roman" w:cs="Times New Roman"/>
                <w:color w:val="auto"/>
                <w:spacing w:val="5"/>
                <w:sz w:val="24"/>
                <w:highlight w:val="none"/>
                <w:u w:val="none"/>
                <w:vertAlign w:val="superscript"/>
              </w:rPr>
              <w:t>2</w:t>
            </w:r>
            <w:r>
              <w:rPr>
                <w:rFonts w:hint="eastAsia" w:cs="Times New Roman"/>
                <w:color w:val="auto"/>
                <w:spacing w:val="5"/>
                <w:sz w:val="24"/>
                <w:u w:val="none"/>
                <w:lang w:val="en-US" w:eastAsia="zh-CN"/>
              </w:rPr>
              <w:t>）</w:t>
            </w:r>
            <w:r>
              <w:rPr>
                <w:rFonts w:hint="eastAsia" w:ascii="Times New Roman" w:hAnsi="Times New Roman" w:cs="Times New Roman"/>
                <w:color w:val="auto"/>
                <w:spacing w:val="5"/>
                <w:sz w:val="24"/>
                <w:u w:val="none"/>
                <w:lang w:val="en-US" w:eastAsia="zh-CN"/>
              </w:rPr>
              <w:t>暂存后交由有资质单位回收处理</w:t>
            </w:r>
            <w:r>
              <w:rPr>
                <w:rFonts w:hint="default" w:ascii="Times New Roman" w:hAnsi="Times New Roman" w:cs="Times New Roman"/>
                <w:color w:val="auto"/>
                <w:spacing w:val="5"/>
                <w:sz w:val="24"/>
                <w:u w:val="none"/>
              </w:rPr>
              <w:t>。</w:t>
            </w:r>
          </w:p>
        </w:tc>
      </w:tr>
      <w:tr w14:paraId="4B81DF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1" w:type="dxa"/>
            <w:vAlign w:val="center"/>
          </w:tcPr>
          <w:p w14:paraId="71C6DFF7">
            <w:pPr>
              <w:adjustRightInd w:val="0"/>
              <w:snapToGrid w:val="0"/>
              <w:spacing w:line="240" w:lineRule="auto"/>
              <w:jc w:val="center"/>
              <w:rPr>
                <w:rFonts w:ascii="Times New Roman" w:hAnsi="Times New Roman" w:eastAsia="宋体" w:cs="Times New Roman"/>
                <w:b/>
                <w:bCs/>
                <w:color w:val="auto"/>
                <w:sz w:val="24"/>
                <w:u w:val="none"/>
              </w:rPr>
            </w:pPr>
            <w:r>
              <w:rPr>
                <w:rFonts w:ascii="Times New Roman" w:hAnsi="Times New Roman" w:eastAsia="宋体" w:cs="Times New Roman"/>
                <w:b/>
                <w:bCs/>
                <w:color w:val="auto"/>
                <w:sz w:val="24"/>
                <w:u w:val="none"/>
              </w:rPr>
              <w:t>土壤及地下水污染防治措施</w:t>
            </w:r>
          </w:p>
        </w:tc>
        <w:tc>
          <w:tcPr>
            <w:tcW w:w="7990" w:type="dxa"/>
            <w:gridSpan w:val="4"/>
            <w:vAlign w:val="center"/>
          </w:tcPr>
          <w:p w14:paraId="368041EC">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color w:val="auto"/>
                <w:spacing w:val="5"/>
                <w:sz w:val="24"/>
                <w:u w:val="none"/>
                <w:lang w:val="en-US" w:eastAsia="zh-CN"/>
              </w:rPr>
            </w:pPr>
            <w:r>
              <w:rPr>
                <w:rFonts w:hint="eastAsia" w:ascii="Times New Roman" w:hAnsi="Times New Roman" w:eastAsia="宋体" w:cs="Times New Roman"/>
                <w:color w:val="auto"/>
                <w:spacing w:val="5"/>
                <w:sz w:val="24"/>
                <w:u w:val="none"/>
                <w:lang w:val="en-US" w:eastAsia="zh-CN"/>
              </w:rPr>
              <w:t>为防止土壤及地下水污染事故的发生，按照地下水保护与污染防治“源头控制、分区防治、污染监控、应急响应”的原则，生产运行过程中要建立健全地下水保护与污染防治的措施与方法；必须采取必要监测制度，一旦发现地下水遭受污染，就应及时采取措施，防微杜渐。评价建议采取如下措施防治项目运营对土壤及地下水水质的影响：</w:t>
            </w:r>
          </w:p>
          <w:p w14:paraId="7A4F5846">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pacing w:val="5"/>
                <w:sz w:val="24"/>
                <w:u w:val="none"/>
                <w:lang w:val="en-US" w:eastAsia="zh-CN"/>
              </w:rPr>
            </w:pPr>
            <w:r>
              <w:rPr>
                <w:rFonts w:hint="eastAsia" w:ascii="Times New Roman" w:hAnsi="Times New Roman" w:eastAsia="宋体" w:cs="Times New Roman"/>
                <w:color w:val="auto"/>
                <w:spacing w:val="5"/>
                <w:sz w:val="24"/>
                <w:u w:val="none"/>
                <w:lang w:val="en-US" w:eastAsia="zh-CN"/>
              </w:rPr>
              <w:t>根据厂区各功能单位可能污染地下水的污染物性质和构筑方式，对照《环境影响评价技术导则--地下水环境》（HJ610-2016）将厂区进行分区防渗。其中机组基础、储油池、危废间等进行重点防渗，办公生活区、厂区道路进行地面硬化处理。</w:t>
            </w:r>
          </w:p>
          <w:p w14:paraId="575EF324">
            <w:pPr>
              <w:spacing w:line="240" w:lineRule="auto"/>
              <w:ind w:firstLine="480" w:firstLineChars="200"/>
              <w:rPr>
                <w:rFonts w:ascii="Times New Roman" w:hAnsi="Times New Roman" w:cs="Times New Roman"/>
                <w:color w:val="auto"/>
                <w:u w:val="none"/>
              </w:rPr>
            </w:pPr>
            <w:r>
              <w:rPr>
                <w:rFonts w:hint="eastAsia" w:cs="Times New Roman"/>
                <w:bCs/>
                <w:color w:val="auto"/>
                <w:kern w:val="2"/>
                <w:sz w:val="24"/>
                <w:szCs w:val="20"/>
                <w:u w:val="none"/>
                <w:lang w:val="en-US" w:eastAsia="zh-CN" w:bidi="ar-SA"/>
              </w:rPr>
              <w:t>为防止机组所在区发生油类物质泄漏事故，拟在机组周边设置导流沟，并设计储油池（相当于事故池），便于一旦发生泄漏事故，可将机油润滑油等引流至储油池，其中机组基础、导流沟、储油池均进行重点防渗，除此之外，环评要求危废间也进行重点防渗，按照</w:t>
            </w:r>
            <w:r>
              <w:rPr>
                <w:rFonts w:hint="eastAsia" w:ascii="Times New Roman" w:hAnsi="Times New Roman" w:cs="Times New Roman"/>
                <w:color w:val="auto"/>
                <w:sz w:val="24"/>
                <w:szCs w:val="24"/>
                <w:u w:val="none"/>
                <w:lang w:eastAsia="zh-CN"/>
              </w:rPr>
              <w:t>《危险废物贮存污染控制标准》（GB 18597-2023）</w:t>
            </w:r>
            <w:r>
              <w:rPr>
                <w:rFonts w:hint="default" w:ascii="Times New Roman" w:hAnsi="Times New Roman" w:cs="Times New Roman"/>
                <w:color w:val="auto"/>
                <w:sz w:val="24"/>
                <w:szCs w:val="24"/>
                <w:u w:val="none"/>
              </w:rPr>
              <w:t>要求</w:t>
            </w:r>
            <w:r>
              <w:rPr>
                <w:rFonts w:hint="eastAsia" w:cs="Times New Roman"/>
                <w:color w:val="auto"/>
                <w:sz w:val="24"/>
                <w:szCs w:val="24"/>
                <w:u w:val="none"/>
                <w:lang w:val="en-US" w:eastAsia="zh-CN"/>
              </w:rPr>
              <w:t>进行设置管理。</w:t>
            </w:r>
          </w:p>
        </w:tc>
      </w:tr>
      <w:tr w14:paraId="0BFB77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1" w:type="dxa"/>
            <w:vAlign w:val="center"/>
          </w:tcPr>
          <w:p w14:paraId="2801A9E5">
            <w:pPr>
              <w:adjustRightInd w:val="0"/>
              <w:snapToGrid w:val="0"/>
              <w:spacing w:line="240" w:lineRule="auto"/>
              <w:jc w:val="center"/>
              <w:rPr>
                <w:rFonts w:ascii="Times New Roman" w:hAnsi="Times New Roman" w:eastAsia="宋体" w:cs="Times New Roman"/>
                <w:b/>
                <w:bCs/>
                <w:color w:val="auto"/>
                <w:sz w:val="24"/>
                <w:u w:val="none"/>
              </w:rPr>
            </w:pPr>
            <w:r>
              <w:rPr>
                <w:rFonts w:ascii="Times New Roman" w:hAnsi="Times New Roman" w:eastAsia="宋体" w:cs="Times New Roman"/>
                <w:b/>
                <w:bCs/>
                <w:color w:val="auto"/>
                <w:sz w:val="24"/>
                <w:u w:val="none"/>
              </w:rPr>
              <w:t>生态保护措施</w:t>
            </w:r>
          </w:p>
        </w:tc>
        <w:tc>
          <w:tcPr>
            <w:tcW w:w="7990" w:type="dxa"/>
            <w:gridSpan w:val="4"/>
            <w:vAlign w:val="center"/>
          </w:tcPr>
          <w:p w14:paraId="60F89E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z w:val="24"/>
                <w:szCs w:val="24"/>
                <w:u w:val="none"/>
              </w:rPr>
            </w:pPr>
            <w:r>
              <w:rPr>
                <w:rFonts w:hint="eastAsia" w:ascii="Times New Roman" w:hAnsi="Times New Roman" w:eastAsia="宋体" w:cs="Times New Roman"/>
                <w:color w:val="auto"/>
                <w:sz w:val="24"/>
                <w:szCs w:val="24"/>
                <w:u w:val="none"/>
                <w:lang w:val="en-US" w:eastAsia="zh-CN"/>
              </w:rPr>
              <w:t>不涉及</w:t>
            </w:r>
          </w:p>
        </w:tc>
      </w:tr>
      <w:tr w14:paraId="4019E2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44" w:hRule="atLeast"/>
          <w:jc w:val="center"/>
        </w:trPr>
        <w:tc>
          <w:tcPr>
            <w:tcW w:w="1291" w:type="dxa"/>
            <w:vAlign w:val="center"/>
          </w:tcPr>
          <w:p w14:paraId="54B36F0E">
            <w:pPr>
              <w:adjustRightInd w:val="0"/>
              <w:snapToGrid w:val="0"/>
              <w:spacing w:line="240" w:lineRule="auto"/>
              <w:jc w:val="center"/>
              <w:rPr>
                <w:rFonts w:ascii="Times New Roman" w:hAnsi="Times New Roman" w:eastAsia="宋体" w:cs="Times New Roman"/>
                <w:b/>
                <w:bCs/>
                <w:color w:val="auto"/>
                <w:sz w:val="24"/>
                <w:u w:val="none"/>
              </w:rPr>
            </w:pPr>
            <w:r>
              <w:rPr>
                <w:rFonts w:ascii="Times New Roman" w:hAnsi="Times New Roman" w:eastAsia="宋体" w:cs="Times New Roman"/>
                <w:b/>
                <w:bCs/>
                <w:color w:val="auto"/>
                <w:sz w:val="24"/>
                <w:u w:val="none"/>
              </w:rPr>
              <w:t>环境风险</w:t>
            </w:r>
          </w:p>
          <w:p w14:paraId="56309FE2">
            <w:pPr>
              <w:adjustRightInd w:val="0"/>
              <w:snapToGrid w:val="0"/>
              <w:spacing w:line="240" w:lineRule="auto"/>
              <w:jc w:val="center"/>
              <w:rPr>
                <w:rFonts w:ascii="Times New Roman" w:hAnsi="Times New Roman" w:eastAsia="宋体" w:cs="Times New Roman"/>
                <w:b/>
                <w:bCs/>
                <w:color w:val="auto"/>
                <w:sz w:val="24"/>
                <w:u w:val="none"/>
              </w:rPr>
            </w:pPr>
            <w:r>
              <w:rPr>
                <w:rFonts w:ascii="Times New Roman" w:hAnsi="Times New Roman" w:eastAsia="宋体" w:cs="Times New Roman"/>
                <w:b/>
                <w:bCs/>
                <w:color w:val="auto"/>
                <w:sz w:val="24"/>
                <w:u w:val="none"/>
              </w:rPr>
              <w:t>防范措施</w:t>
            </w:r>
          </w:p>
        </w:tc>
        <w:tc>
          <w:tcPr>
            <w:tcW w:w="7990" w:type="dxa"/>
            <w:gridSpan w:val="4"/>
            <w:vAlign w:val="center"/>
          </w:tcPr>
          <w:p w14:paraId="3862E862">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both"/>
              <w:textAlignment w:val="auto"/>
              <w:rPr>
                <w:rFonts w:hint="default" w:ascii="Times New Roman" w:hAnsi="Times New Roman" w:eastAsia="宋体" w:cs="Times New Roman"/>
                <w:b w:val="0"/>
                <w:bCs w:val="0"/>
                <w:color w:val="auto"/>
                <w:kern w:val="0"/>
                <w:sz w:val="24"/>
                <w:szCs w:val="20"/>
                <w:highlight w:val="none"/>
                <w:u w:val="none"/>
                <w:lang w:val="en-US" w:eastAsia="zh-CN" w:bidi="zh-CN"/>
              </w:rPr>
            </w:pPr>
            <w:r>
              <w:rPr>
                <w:rFonts w:hint="default" w:ascii="Times New Roman" w:hAnsi="Times New Roman" w:eastAsia="宋体" w:cs="Times New Roman"/>
                <w:b w:val="0"/>
                <w:bCs w:val="0"/>
                <w:color w:val="auto"/>
                <w:kern w:val="0"/>
                <w:sz w:val="24"/>
                <w:szCs w:val="20"/>
                <w:highlight w:val="none"/>
                <w:u w:val="none"/>
                <w:lang w:val="en-US" w:eastAsia="zh-CN" w:bidi="zh-CN"/>
              </w:rPr>
              <w:t>①瓦斯异常情况汇报处理程序</w:t>
            </w:r>
          </w:p>
          <w:p w14:paraId="589016A2">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left"/>
              <w:textAlignment w:val="auto"/>
              <w:rPr>
                <w:rFonts w:hint="default" w:ascii="Times New Roman" w:hAnsi="Times New Roman" w:eastAsia="宋体" w:cs="Times New Roman"/>
                <w:b w:val="0"/>
                <w:bCs w:val="0"/>
                <w:color w:val="auto"/>
                <w:kern w:val="0"/>
                <w:sz w:val="24"/>
                <w:szCs w:val="20"/>
                <w:u w:val="none"/>
                <w:lang w:val="en-US" w:eastAsia="zh-CN" w:bidi="zh-CN"/>
              </w:rPr>
            </w:pPr>
            <w:r>
              <w:rPr>
                <w:rFonts w:hint="default" w:ascii="Times New Roman" w:hAnsi="Times New Roman" w:cs="Times New Roman"/>
                <w:b w:val="0"/>
                <w:bCs w:val="0"/>
                <w:color w:val="auto"/>
                <w:kern w:val="0"/>
                <w:sz w:val="24"/>
                <w:szCs w:val="20"/>
                <w:highlight w:val="none"/>
                <w:u w:val="none"/>
                <w:lang w:val="en-US" w:eastAsia="zh-CN" w:bidi="zh-CN"/>
              </w:rPr>
              <w:t>a、</w:t>
            </w:r>
            <w:r>
              <w:rPr>
                <w:rFonts w:hint="default" w:ascii="Times New Roman" w:hAnsi="Times New Roman" w:eastAsia="宋体" w:cs="Times New Roman"/>
                <w:b w:val="0"/>
                <w:bCs w:val="0"/>
                <w:color w:val="auto"/>
                <w:kern w:val="0"/>
                <w:sz w:val="24"/>
                <w:szCs w:val="20"/>
                <w:highlight w:val="none"/>
                <w:u w:val="none"/>
                <w:lang w:val="en-US" w:eastAsia="zh-CN" w:bidi="zh-CN"/>
              </w:rPr>
              <w:t>瓦检员、安全员、现场施工人</w:t>
            </w:r>
            <w:r>
              <w:rPr>
                <w:rFonts w:hint="default" w:ascii="Times New Roman" w:hAnsi="Times New Roman" w:eastAsia="宋体" w:cs="Times New Roman"/>
                <w:b w:val="0"/>
                <w:bCs w:val="0"/>
                <w:color w:val="auto"/>
                <w:kern w:val="0"/>
                <w:sz w:val="24"/>
                <w:szCs w:val="20"/>
                <w:u w:val="none"/>
                <w:lang w:val="en-US" w:eastAsia="zh-CN" w:bidi="zh-CN"/>
              </w:rPr>
              <w:t>员及其他人员，发现施工地点瓦斯异常时，立即停止该区域内内一切作业，撤离人员，及时查明原因，并向</w:t>
            </w:r>
            <w:r>
              <w:rPr>
                <w:rFonts w:hint="default" w:ascii="Times New Roman" w:hAnsi="Times New Roman" w:cs="Times New Roman"/>
                <w:b w:val="0"/>
                <w:bCs w:val="0"/>
                <w:color w:val="auto"/>
                <w:kern w:val="0"/>
                <w:sz w:val="24"/>
                <w:szCs w:val="20"/>
                <w:u w:val="none"/>
                <w:lang w:val="en-US" w:eastAsia="zh-CN" w:bidi="zh-CN"/>
              </w:rPr>
              <w:t>值班</w:t>
            </w:r>
            <w:r>
              <w:rPr>
                <w:rFonts w:hint="default" w:ascii="Times New Roman" w:hAnsi="Times New Roman" w:eastAsia="宋体" w:cs="Times New Roman"/>
                <w:b w:val="0"/>
                <w:bCs w:val="0"/>
                <w:color w:val="auto"/>
                <w:kern w:val="0"/>
                <w:sz w:val="24"/>
                <w:szCs w:val="20"/>
                <w:u w:val="none"/>
                <w:lang w:val="en-US" w:eastAsia="zh-CN" w:bidi="zh-CN"/>
              </w:rPr>
              <w:t>室汇报。</w:t>
            </w:r>
          </w:p>
          <w:p w14:paraId="47820AC2">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left"/>
              <w:textAlignment w:val="auto"/>
              <w:rPr>
                <w:rFonts w:hint="default" w:ascii="Times New Roman" w:hAnsi="Times New Roman" w:eastAsia="宋体" w:cs="Times New Roman"/>
                <w:b w:val="0"/>
                <w:bCs w:val="0"/>
                <w:color w:val="auto"/>
                <w:kern w:val="0"/>
                <w:sz w:val="24"/>
                <w:szCs w:val="20"/>
                <w:u w:val="none"/>
                <w:lang w:val="en-US" w:eastAsia="zh-CN" w:bidi="zh-CN"/>
              </w:rPr>
            </w:pPr>
            <w:r>
              <w:rPr>
                <w:rFonts w:hint="default" w:ascii="Times New Roman" w:hAnsi="Times New Roman" w:cs="Times New Roman"/>
                <w:b w:val="0"/>
                <w:bCs w:val="0"/>
                <w:color w:val="auto"/>
                <w:kern w:val="0"/>
                <w:sz w:val="24"/>
                <w:szCs w:val="20"/>
                <w:u w:val="none"/>
                <w:lang w:val="en-US" w:eastAsia="zh-CN" w:bidi="zh-CN"/>
              </w:rPr>
              <w:t>b、</w:t>
            </w:r>
            <w:r>
              <w:rPr>
                <w:rFonts w:hint="default" w:ascii="Times New Roman" w:hAnsi="Times New Roman" w:eastAsia="宋体" w:cs="Times New Roman"/>
                <w:b w:val="0"/>
                <w:bCs w:val="0"/>
                <w:color w:val="auto"/>
                <w:kern w:val="0"/>
                <w:sz w:val="24"/>
                <w:szCs w:val="20"/>
                <w:u w:val="none"/>
                <w:lang w:val="en-US" w:eastAsia="zh-CN" w:bidi="zh-CN"/>
              </w:rPr>
              <w:t>监控系统地面中心站值班室必须24小时有监控员值班，发现瓦斯传感器显示值出现大增幅、瓦斯曲线不正常及临近报警值时，及时向</w:t>
            </w:r>
            <w:r>
              <w:rPr>
                <w:rFonts w:hint="default" w:ascii="Times New Roman" w:hAnsi="Times New Roman" w:cs="Times New Roman"/>
                <w:b w:val="0"/>
                <w:bCs w:val="0"/>
                <w:color w:val="auto"/>
                <w:kern w:val="0"/>
                <w:sz w:val="24"/>
                <w:szCs w:val="20"/>
                <w:u w:val="none"/>
                <w:lang w:val="en-US" w:eastAsia="zh-CN" w:bidi="zh-CN"/>
              </w:rPr>
              <w:t>办公</w:t>
            </w:r>
            <w:r>
              <w:rPr>
                <w:rFonts w:hint="default" w:ascii="Times New Roman" w:hAnsi="Times New Roman" w:eastAsia="宋体" w:cs="Times New Roman"/>
                <w:b w:val="0"/>
                <w:bCs w:val="0"/>
                <w:color w:val="auto"/>
                <w:kern w:val="0"/>
                <w:sz w:val="24"/>
                <w:szCs w:val="20"/>
                <w:u w:val="none"/>
                <w:lang w:val="en-US" w:eastAsia="zh-CN" w:bidi="zh-CN"/>
              </w:rPr>
              <w:t>室汇报，</w:t>
            </w:r>
            <w:r>
              <w:rPr>
                <w:rFonts w:hint="default" w:ascii="Times New Roman" w:hAnsi="Times New Roman" w:cs="Times New Roman"/>
                <w:b w:val="0"/>
                <w:bCs w:val="0"/>
                <w:color w:val="auto"/>
                <w:kern w:val="0"/>
                <w:sz w:val="24"/>
                <w:szCs w:val="20"/>
                <w:u w:val="none"/>
                <w:lang w:val="en-US" w:eastAsia="zh-CN" w:bidi="zh-CN"/>
              </w:rPr>
              <w:t>值班人</w:t>
            </w:r>
            <w:r>
              <w:rPr>
                <w:rFonts w:hint="default" w:ascii="Times New Roman" w:hAnsi="Times New Roman" w:eastAsia="宋体" w:cs="Times New Roman"/>
                <w:b w:val="0"/>
                <w:bCs w:val="0"/>
                <w:color w:val="auto"/>
                <w:kern w:val="0"/>
                <w:sz w:val="24"/>
                <w:szCs w:val="20"/>
                <w:u w:val="none"/>
                <w:lang w:val="en-US" w:eastAsia="zh-CN" w:bidi="zh-CN"/>
              </w:rPr>
              <w:t>员立即电话通知该工作面瓦检员，查明原因，采取措施，进行处理，并将瓦斯异常原因、处理措施及处理结果汇报</w:t>
            </w:r>
            <w:r>
              <w:rPr>
                <w:rFonts w:hint="default" w:ascii="Times New Roman" w:hAnsi="Times New Roman" w:cs="Times New Roman"/>
                <w:b w:val="0"/>
                <w:bCs w:val="0"/>
                <w:color w:val="auto"/>
                <w:kern w:val="0"/>
                <w:sz w:val="24"/>
                <w:szCs w:val="20"/>
                <w:u w:val="none"/>
                <w:lang w:val="en-US" w:eastAsia="zh-CN" w:bidi="zh-CN"/>
              </w:rPr>
              <w:t>办公</w:t>
            </w:r>
            <w:r>
              <w:rPr>
                <w:rFonts w:hint="default" w:ascii="Times New Roman" w:hAnsi="Times New Roman" w:eastAsia="宋体" w:cs="Times New Roman"/>
                <w:b w:val="0"/>
                <w:bCs w:val="0"/>
                <w:color w:val="auto"/>
                <w:kern w:val="0"/>
                <w:sz w:val="24"/>
                <w:szCs w:val="20"/>
                <w:u w:val="none"/>
                <w:lang w:val="en-US" w:eastAsia="zh-CN" w:bidi="zh-CN"/>
              </w:rPr>
              <w:t>室，并做好记录。</w:t>
            </w:r>
          </w:p>
          <w:p w14:paraId="12D85999">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left"/>
              <w:textAlignment w:val="auto"/>
              <w:rPr>
                <w:rFonts w:hint="default" w:ascii="Times New Roman" w:hAnsi="Times New Roman" w:eastAsia="宋体" w:cs="Times New Roman"/>
                <w:b w:val="0"/>
                <w:bCs w:val="0"/>
                <w:color w:val="auto"/>
                <w:kern w:val="0"/>
                <w:sz w:val="24"/>
                <w:szCs w:val="20"/>
                <w:u w:val="none"/>
                <w:lang w:val="en-US" w:eastAsia="zh-CN" w:bidi="zh-CN"/>
              </w:rPr>
            </w:pPr>
            <w:r>
              <w:rPr>
                <w:rFonts w:hint="default" w:ascii="Times New Roman" w:hAnsi="Times New Roman" w:cs="Times New Roman"/>
                <w:b w:val="0"/>
                <w:bCs w:val="0"/>
                <w:color w:val="auto"/>
                <w:kern w:val="0"/>
                <w:sz w:val="24"/>
                <w:szCs w:val="20"/>
                <w:u w:val="none"/>
                <w:lang w:val="en-US" w:eastAsia="zh-CN" w:bidi="zh-CN"/>
              </w:rPr>
              <w:t>c、</w:t>
            </w:r>
            <w:r>
              <w:rPr>
                <w:rFonts w:hint="default" w:ascii="Times New Roman" w:hAnsi="Times New Roman" w:eastAsia="宋体" w:cs="Times New Roman"/>
                <w:b w:val="0"/>
                <w:bCs w:val="0"/>
                <w:color w:val="auto"/>
                <w:kern w:val="0"/>
                <w:sz w:val="24"/>
                <w:szCs w:val="20"/>
                <w:u w:val="none"/>
                <w:lang w:val="en-US" w:eastAsia="zh-CN" w:bidi="zh-CN"/>
              </w:rPr>
              <w:t>监控员做好报</w:t>
            </w:r>
            <w:r>
              <w:rPr>
                <w:rFonts w:hint="default" w:ascii="Times New Roman" w:hAnsi="Times New Roman" w:cs="Times New Roman"/>
                <w:b w:val="0"/>
                <w:bCs w:val="0"/>
                <w:color w:val="auto"/>
                <w:kern w:val="0"/>
                <w:sz w:val="24"/>
                <w:szCs w:val="20"/>
                <w:u w:val="none"/>
                <w:lang w:val="en-US" w:eastAsia="zh-CN" w:bidi="zh-CN"/>
              </w:rPr>
              <w:t>告</w:t>
            </w:r>
            <w:r>
              <w:rPr>
                <w:rFonts w:hint="default" w:ascii="Times New Roman" w:hAnsi="Times New Roman" w:eastAsia="宋体" w:cs="Times New Roman"/>
                <w:b w:val="0"/>
                <w:bCs w:val="0"/>
                <w:color w:val="auto"/>
                <w:kern w:val="0"/>
                <w:sz w:val="24"/>
                <w:szCs w:val="20"/>
                <w:u w:val="none"/>
                <w:lang w:val="en-US" w:eastAsia="zh-CN" w:bidi="zh-CN"/>
              </w:rPr>
              <w:t>记录的同时，应立即汇报</w:t>
            </w:r>
            <w:r>
              <w:rPr>
                <w:rFonts w:hint="default" w:ascii="Times New Roman" w:hAnsi="Times New Roman" w:cs="Times New Roman"/>
                <w:b w:val="0"/>
                <w:bCs w:val="0"/>
                <w:color w:val="auto"/>
                <w:kern w:val="0"/>
                <w:sz w:val="24"/>
                <w:szCs w:val="20"/>
                <w:u w:val="none"/>
                <w:lang w:val="en-US" w:eastAsia="zh-CN" w:bidi="zh-CN"/>
              </w:rPr>
              <w:t>值班</w:t>
            </w:r>
            <w:r>
              <w:rPr>
                <w:rFonts w:hint="default" w:ascii="Times New Roman" w:hAnsi="Times New Roman" w:eastAsia="宋体" w:cs="Times New Roman"/>
                <w:b w:val="0"/>
                <w:bCs w:val="0"/>
                <w:color w:val="auto"/>
                <w:kern w:val="0"/>
                <w:sz w:val="24"/>
                <w:szCs w:val="20"/>
                <w:u w:val="none"/>
                <w:lang w:val="en-US" w:eastAsia="zh-CN" w:bidi="zh-CN"/>
              </w:rPr>
              <w:t>室，</w:t>
            </w:r>
            <w:r>
              <w:rPr>
                <w:rFonts w:hint="default" w:ascii="Times New Roman" w:hAnsi="Times New Roman" w:cs="Times New Roman"/>
                <w:b w:val="0"/>
                <w:bCs w:val="0"/>
                <w:color w:val="auto"/>
                <w:kern w:val="0"/>
                <w:sz w:val="24"/>
                <w:szCs w:val="20"/>
                <w:u w:val="none"/>
                <w:lang w:val="en-US" w:eastAsia="zh-CN" w:bidi="zh-CN"/>
              </w:rPr>
              <w:t>值班</w:t>
            </w:r>
            <w:r>
              <w:rPr>
                <w:rFonts w:hint="default" w:ascii="Times New Roman" w:hAnsi="Times New Roman" w:eastAsia="宋体" w:cs="Times New Roman"/>
                <w:b w:val="0"/>
                <w:bCs w:val="0"/>
                <w:color w:val="auto"/>
                <w:kern w:val="0"/>
                <w:sz w:val="24"/>
                <w:szCs w:val="20"/>
                <w:u w:val="none"/>
                <w:lang w:val="en-US" w:eastAsia="zh-CN" w:bidi="zh-CN"/>
              </w:rPr>
              <w:t>室在接到通知后，立即通知该工作面瓦检员、安全员对停工及处理全过程进行监督检查。</w:t>
            </w:r>
          </w:p>
          <w:p w14:paraId="4DEA9A98">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left"/>
              <w:textAlignment w:val="auto"/>
              <w:rPr>
                <w:rFonts w:hint="default" w:ascii="Times New Roman" w:hAnsi="Times New Roman" w:eastAsia="宋体" w:cs="Times New Roman"/>
                <w:b w:val="0"/>
                <w:bCs w:val="0"/>
                <w:color w:val="auto"/>
                <w:kern w:val="0"/>
                <w:sz w:val="24"/>
                <w:szCs w:val="20"/>
                <w:u w:val="none"/>
                <w:lang w:val="en-US" w:eastAsia="zh-CN" w:bidi="zh-CN"/>
              </w:rPr>
            </w:pPr>
            <w:r>
              <w:rPr>
                <w:rFonts w:hint="default" w:ascii="Times New Roman" w:hAnsi="Times New Roman" w:cs="Times New Roman"/>
                <w:b w:val="0"/>
                <w:bCs w:val="0"/>
                <w:color w:val="auto"/>
                <w:kern w:val="0"/>
                <w:sz w:val="24"/>
                <w:szCs w:val="20"/>
                <w:u w:val="none"/>
                <w:lang w:val="en-US" w:eastAsia="zh-CN" w:bidi="zh-CN"/>
              </w:rPr>
              <w:t>d、</w:t>
            </w:r>
            <w:r>
              <w:rPr>
                <w:rFonts w:hint="default" w:ascii="Times New Roman" w:hAnsi="Times New Roman" w:eastAsia="宋体" w:cs="Times New Roman"/>
                <w:b w:val="0"/>
                <w:bCs w:val="0"/>
                <w:color w:val="auto"/>
                <w:kern w:val="0"/>
                <w:sz w:val="24"/>
                <w:szCs w:val="20"/>
                <w:u w:val="none"/>
                <w:lang w:val="en-US" w:eastAsia="zh-CN" w:bidi="zh-CN"/>
              </w:rPr>
              <w:t>瓦检员在停工处理完毕，检查工作面等地点瓦斯浓度降到《煤矿安全规程》规定范围内，汇报</w:t>
            </w:r>
            <w:r>
              <w:rPr>
                <w:rFonts w:hint="default" w:ascii="Times New Roman" w:hAnsi="Times New Roman" w:cs="Times New Roman"/>
                <w:b w:val="0"/>
                <w:bCs w:val="0"/>
                <w:color w:val="auto"/>
                <w:kern w:val="0"/>
                <w:sz w:val="24"/>
                <w:szCs w:val="20"/>
                <w:u w:val="none"/>
                <w:lang w:val="en-US" w:eastAsia="zh-CN" w:bidi="zh-CN"/>
              </w:rPr>
              <w:t>值班</w:t>
            </w:r>
            <w:r>
              <w:rPr>
                <w:rFonts w:hint="default" w:ascii="Times New Roman" w:hAnsi="Times New Roman" w:eastAsia="宋体" w:cs="Times New Roman"/>
                <w:b w:val="0"/>
                <w:bCs w:val="0"/>
                <w:color w:val="auto"/>
                <w:kern w:val="0"/>
                <w:sz w:val="24"/>
                <w:szCs w:val="20"/>
                <w:u w:val="none"/>
                <w:lang w:val="en-US" w:eastAsia="zh-CN" w:bidi="zh-CN"/>
              </w:rPr>
              <w:t>室，由</w:t>
            </w:r>
            <w:r>
              <w:rPr>
                <w:rFonts w:hint="default" w:ascii="Times New Roman" w:hAnsi="Times New Roman" w:cs="Times New Roman"/>
                <w:b w:val="0"/>
                <w:bCs w:val="0"/>
                <w:color w:val="auto"/>
                <w:kern w:val="0"/>
                <w:sz w:val="24"/>
                <w:szCs w:val="20"/>
                <w:u w:val="none"/>
                <w:lang w:val="en-US" w:eastAsia="zh-CN" w:bidi="zh-CN"/>
              </w:rPr>
              <w:t>值班</w:t>
            </w:r>
            <w:r>
              <w:rPr>
                <w:rFonts w:hint="default" w:ascii="Times New Roman" w:hAnsi="Times New Roman" w:eastAsia="宋体" w:cs="Times New Roman"/>
                <w:b w:val="0"/>
                <w:bCs w:val="0"/>
                <w:color w:val="auto"/>
                <w:kern w:val="0"/>
                <w:sz w:val="24"/>
                <w:szCs w:val="20"/>
                <w:u w:val="none"/>
                <w:lang w:val="en-US" w:eastAsia="zh-CN" w:bidi="zh-CN"/>
              </w:rPr>
              <w:t>室下达恢复生产命令。</w:t>
            </w:r>
          </w:p>
          <w:p w14:paraId="23BFB7EC">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left"/>
              <w:textAlignment w:val="auto"/>
              <w:rPr>
                <w:rFonts w:hint="default" w:ascii="Times New Roman" w:hAnsi="Times New Roman" w:eastAsia="宋体" w:cs="Times New Roman"/>
                <w:b w:val="0"/>
                <w:bCs w:val="0"/>
                <w:color w:val="auto"/>
                <w:kern w:val="0"/>
                <w:sz w:val="24"/>
                <w:szCs w:val="20"/>
                <w:u w:val="none"/>
                <w:lang w:val="en-US" w:eastAsia="zh-CN" w:bidi="zh-CN"/>
              </w:rPr>
            </w:pPr>
            <w:r>
              <w:rPr>
                <w:rFonts w:hint="default" w:ascii="Times New Roman" w:hAnsi="Times New Roman" w:cs="Times New Roman"/>
                <w:b w:val="0"/>
                <w:bCs w:val="0"/>
                <w:color w:val="auto"/>
                <w:kern w:val="0"/>
                <w:sz w:val="24"/>
                <w:szCs w:val="20"/>
                <w:u w:val="none"/>
                <w:lang w:val="en-US" w:eastAsia="zh-CN" w:bidi="zh-CN"/>
              </w:rPr>
              <w:t>e、</w:t>
            </w:r>
            <w:r>
              <w:rPr>
                <w:rFonts w:hint="default" w:ascii="Times New Roman" w:hAnsi="Times New Roman" w:eastAsia="宋体" w:cs="Times New Roman"/>
                <w:b w:val="0"/>
                <w:bCs w:val="0"/>
                <w:color w:val="auto"/>
                <w:kern w:val="0"/>
                <w:sz w:val="24"/>
                <w:szCs w:val="20"/>
                <w:u w:val="none"/>
                <w:lang w:val="en-US" w:eastAsia="zh-CN" w:bidi="zh-CN"/>
              </w:rPr>
              <w:t>瓦检员处理过程中，发现瓦斯浓度未被有效控制，持续升高，达到超限浓度时，应立即停止该工作面一切作业，切断电源，汇报值班矿领导。安全员与瓦检员一起组织将工作面人员在工作面巷道口设置栅栏，揭示警标。</w:t>
            </w:r>
          </w:p>
          <w:p w14:paraId="561B0E0A">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left"/>
              <w:textAlignment w:val="auto"/>
              <w:rPr>
                <w:rFonts w:hint="default" w:ascii="Times New Roman" w:hAnsi="Times New Roman" w:eastAsia="宋体" w:cs="Times New Roman"/>
                <w:b w:val="0"/>
                <w:bCs w:val="0"/>
                <w:color w:val="auto"/>
                <w:kern w:val="0"/>
                <w:sz w:val="24"/>
                <w:szCs w:val="20"/>
                <w:u w:val="none"/>
                <w:lang w:val="en-US" w:eastAsia="zh-CN" w:bidi="zh-CN"/>
              </w:rPr>
            </w:pPr>
            <w:r>
              <w:rPr>
                <w:rFonts w:hint="default" w:ascii="Times New Roman" w:hAnsi="Times New Roman" w:cs="Times New Roman"/>
                <w:b w:val="0"/>
                <w:bCs w:val="0"/>
                <w:color w:val="auto"/>
                <w:kern w:val="0"/>
                <w:sz w:val="24"/>
                <w:szCs w:val="20"/>
                <w:u w:val="none"/>
                <w:lang w:val="en-US" w:eastAsia="zh-CN" w:bidi="zh-CN"/>
              </w:rPr>
              <w:t>f、</w:t>
            </w:r>
            <w:r>
              <w:rPr>
                <w:rFonts w:hint="default" w:ascii="Times New Roman" w:hAnsi="Times New Roman" w:eastAsia="宋体" w:cs="Times New Roman"/>
                <w:b w:val="0"/>
                <w:bCs w:val="0"/>
                <w:color w:val="auto"/>
                <w:kern w:val="0"/>
                <w:sz w:val="24"/>
                <w:szCs w:val="20"/>
                <w:u w:val="none"/>
                <w:lang w:val="en-US" w:eastAsia="zh-CN" w:bidi="zh-CN"/>
              </w:rPr>
              <w:t>矿值班领导立即制定措施，并电话通知</w:t>
            </w:r>
            <w:r>
              <w:rPr>
                <w:rFonts w:hint="default" w:ascii="Times New Roman" w:hAnsi="Times New Roman" w:cs="Times New Roman"/>
                <w:b w:val="0"/>
                <w:bCs w:val="0"/>
                <w:color w:val="auto"/>
                <w:kern w:val="0"/>
                <w:sz w:val="24"/>
                <w:szCs w:val="20"/>
                <w:u w:val="none"/>
                <w:lang w:val="en-US" w:eastAsia="zh-CN" w:bidi="zh-CN"/>
              </w:rPr>
              <w:t>其他部门</w:t>
            </w:r>
            <w:r>
              <w:rPr>
                <w:rFonts w:hint="default" w:ascii="Times New Roman" w:hAnsi="Times New Roman" w:eastAsia="宋体" w:cs="Times New Roman"/>
                <w:b w:val="0"/>
                <w:bCs w:val="0"/>
                <w:color w:val="auto"/>
                <w:kern w:val="0"/>
                <w:sz w:val="24"/>
                <w:szCs w:val="20"/>
                <w:u w:val="none"/>
                <w:lang w:val="en-US" w:eastAsia="zh-CN" w:bidi="zh-CN"/>
              </w:rPr>
              <w:t>人员，在半小时内赶到现场，指挥处理，处理完毕</w:t>
            </w:r>
            <w:r>
              <w:rPr>
                <w:rFonts w:hint="default" w:ascii="Times New Roman" w:hAnsi="Times New Roman" w:cs="Times New Roman"/>
                <w:b w:val="0"/>
                <w:bCs w:val="0"/>
                <w:color w:val="auto"/>
                <w:kern w:val="0"/>
                <w:sz w:val="24"/>
                <w:szCs w:val="20"/>
                <w:u w:val="none"/>
                <w:lang w:val="en-US" w:eastAsia="zh-CN" w:bidi="zh-CN"/>
              </w:rPr>
              <w:t>后整理</w:t>
            </w:r>
            <w:r>
              <w:rPr>
                <w:rFonts w:hint="default" w:ascii="Times New Roman" w:hAnsi="Times New Roman" w:eastAsia="宋体" w:cs="Times New Roman"/>
                <w:b w:val="0"/>
                <w:bCs w:val="0"/>
                <w:color w:val="auto"/>
                <w:kern w:val="0"/>
                <w:sz w:val="24"/>
                <w:szCs w:val="20"/>
                <w:u w:val="none"/>
                <w:lang w:val="en-US" w:eastAsia="zh-CN" w:bidi="zh-CN"/>
              </w:rPr>
              <w:t>汇报，并做好记录。</w:t>
            </w:r>
            <w:r>
              <w:rPr>
                <w:rFonts w:hint="default" w:ascii="Times New Roman" w:hAnsi="Times New Roman" w:cs="Times New Roman"/>
                <w:b w:val="0"/>
                <w:bCs w:val="0"/>
                <w:color w:val="auto"/>
                <w:kern w:val="0"/>
                <w:sz w:val="24"/>
                <w:szCs w:val="20"/>
                <w:u w:val="none"/>
                <w:lang w:val="en-US" w:eastAsia="zh-CN" w:bidi="zh-CN"/>
              </w:rPr>
              <w:t>值班</w:t>
            </w:r>
            <w:r>
              <w:rPr>
                <w:rFonts w:hint="default" w:ascii="Times New Roman" w:hAnsi="Times New Roman" w:eastAsia="宋体" w:cs="Times New Roman"/>
                <w:b w:val="0"/>
                <w:bCs w:val="0"/>
                <w:color w:val="auto"/>
                <w:kern w:val="0"/>
                <w:sz w:val="24"/>
                <w:szCs w:val="20"/>
                <w:u w:val="none"/>
                <w:lang w:val="en-US" w:eastAsia="zh-CN" w:bidi="zh-CN"/>
              </w:rPr>
              <w:t>领导确认隐患排除后，方准下达撤除警戒、恢复送电、人员进入工作面生产的命令。</w:t>
            </w:r>
          </w:p>
          <w:p w14:paraId="351824E0">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cs="Times New Roman"/>
                <w:b w:val="0"/>
                <w:bCs w:val="0"/>
                <w:color w:val="auto"/>
                <w:kern w:val="2"/>
                <w:sz w:val="24"/>
                <w:highlight w:val="none"/>
                <w:u w:val="none"/>
                <w:lang w:val="en-US" w:eastAsia="zh-CN" w:bidi="ar-SA"/>
              </w:rPr>
              <w:t>②</w:t>
            </w:r>
            <w:r>
              <w:rPr>
                <w:rFonts w:hint="default" w:ascii="Times New Roman" w:hAnsi="Times New Roman" w:eastAsia="宋体" w:cs="Times New Roman"/>
                <w:b w:val="0"/>
                <w:bCs w:val="0"/>
                <w:color w:val="auto"/>
                <w:kern w:val="2"/>
                <w:sz w:val="24"/>
                <w:highlight w:val="none"/>
                <w:u w:val="none"/>
                <w:lang w:val="zh-CN" w:eastAsia="zh-CN" w:bidi="ar-SA"/>
              </w:rPr>
              <w:t>防止瓦斯气泄漏的对策措施</w:t>
            </w:r>
          </w:p>
          <w:p w14:paraId="620473E8">
            <w:pPr>
              <w:pStyle w:val="28"/>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eastAsia="宋体" w:cs="Times New Roman"/>
                <w:b w:val="0"/>
                <w:bCs w:val="0"/>
                <w:color w:val="auto"/>
                <w:kern w:val="2"/>
                <w:sz w:val="24"/>
                <w:szCs w:val="20"/>
                <w:highlight w:val="none"/>
                <w:lang w:val="zh-CN" w:eastAsia="zh-CN" w:bidi="ar-SA"/>
              </w:rPr>
              <w:t>a、</w:t>
            </w:r>
            <w:r>
              <w:rPr>
                <w:rFonts w:hint="default" w:ascii="Times New Roman" w:hAnsi="Times New Roman" w:eastAsia="宋体" w:cs="Times New Roman"/>
                <w:b w:val="0"/>
                <w:bCs w:val="0"/>
                <w:color w:val="auto"/>
                <w:kern w:val="2"/>
                <w:sz w:val="24"/>
                <w:highlight w:val="none"/>
                <w:u w:val="none"/>
                <w:lang w:val="zh-CN" w:eastAsia="zh-CN" w:bidi="ar-SA"/>
              </w:rPr>
              <w:t>设备的选材、设计、制造、安装、试压等符合国家现行标准和规范要求。</w:t>
            </w:r>
          </w:p>
          <w:p w14:paraId="70B5DAAD">
            <w:pPr>
              <w:pStyle w:val="28"/>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eastAsia="宋体" w:cs="Times New Roman"/>
                <w:b w:val="0"/>
                <w:bCs w:val="0"/>
                <w:color w:val="auto"/>
                <w:kern w:val="2"/>
                <w:sz w:val="24"/>
                <w:highlight w:val="none"/>
                <w:u w:val="none"/>
                <w:lang w:val="zh-CN" w:eastAsia="zh-CN" w:bidi="ar-SA"/>
              </w:rPr>
              <w:t>b、管道、阀门、垫片应选用耐腐蚀的的材质。</w:t>
            </w:r>
          </w:p>
          <w:p w14:paraId="30B8D4D3">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eastAsia="宋体" w:cs="Times New Roman"/>
                <w:b w:val="0"/>
                <w:bCs w:val="0"/>
                <w:color w:val="auto"/>
                <w:kern w:val="2"/>
                <w:sz w:val="24"/>
                <w:highlight w:val="none"/>
                <w:u w:val="none"/>
                <w:lang w:val="zh-CN" w:eastAsia="zh-CN" w:bidi="ar-SA"/>
              </w:rPr>
              <w:t>c、安全阀、液位计、阻火器等安全附件必须经常检查、维护，定期检测，不能故障使用，发现故障及时处理。</w:t>
            </w:r>
          </w:p>
          <w:p w14:paraId="28DD27A1">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eastAsia="宋体" w:cs="Times New Roman"/>
                <w:b w:val="0"/>
                <w:bCs w:val="0"/>
                <w:color w:val="auto"/>
                <w:kern w:val="2"/>
                <w:sz w:val="24"/>
                <w:highlight w:val="none"/>
                <w:u w:val="none"/>
                <w:lang w:val="zh-CN" w:eastAsia="zh-CN" w:bidi="ar-SA"/>
              </w:rPr>
              <w:t>d、对设备管道定期做防腐处理，防止大气和化学腐蚀造成砂眼泄漏，对各种管道要按要求涂刷成不同颜色，瓦斯气管道要有流向标志。</w:t>
            </w:r>
          </w:p>
          <w:p w14:paraId="6C2935C8">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eastAsia="宋体" w:cs="Times New Roman"/>
                <w:b w:val="0"/>
                <w:bCs w:val="0"/>
                <w:color w:val="auto"/>
                <w:kern w:val="2"/>
                <w:sz w:val="24"/>
                <w:highlight w:val="none"/>
                <w:u w:val="none"/>
                <w:lang w:val="zh-CN" w:eastAsia="zh-CN" w:bidi="ar-SA"/>
              </w:rPr>
              <w:t>e、本项目采用PLC控制系统，在选用仪表时，应选用动作灵敏、质量可靠的仪表。</w:t>
            </w:r>
          </w:p>
          <w:p w14:paraId="0AEFBD24">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eastAsia="宋体" w:cs="Times New Roman"/>
                <w:b w:val="0"/>
                <w:bCs w:val="0"/>
                <w:color w:val="auto"/>
                <w:kern w:val="2"/>
                <w:sz w:val="24"/>
                <w:highlight w:val="none"/>
                <w:u w:val="none"/>
                <w:lang w:val="zh-CN" w:eastAsia="zh-CN" w:bidi="ar-SA"/>
              </w:rPr>
              <w:t>f、对各种泵，实行定期计划检修制度，定期更换。</w:t>
            </w:r>
          </w:p>
          <w:p w14:paraId="12B5F4D3">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eastAsia="宋体" w:cs="Times New Roman"/>
                <w:b w:val="0"/>
                <w:bCs w:val="0"/>
                <w:color w:val="auto"/>
                <w:kern w:val="2"/>
                <w:sz w:val="24"/>
                <w:highlight w:val="none"/>
                <w:u w:val="none"/>
                <w:lang w:val="zh-CN" w:eastAsia="zh-CN" w:bidi="ar-SA"/>
              </w:rPr>
              <w:t>g、在容器泄漏瓦斯气的地方设置固定式可燃气体报警器，并配置移动式可燃气体检测仪，以便及时发现和处理瓦斯气泄漏事故。</w:t>
            </w:r>
          </w:p>
          <w:p w14:paraId="1BEB6E5D">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cs="Times New Roman"/>
                <w:b w:val="0"/>
                <w:bCs w:val="0"/>
                <w:color w:val="auto"/>
                <w:kern w:val="2"/>
                <w:sz w:val="24"/>
                <w:highlight w:val="none"/>
                <w:u w:val="none"/>
                <w:lang w:val="en-US" w:eastAsia="zh-CN" w:bidi="ar-SA"/>
              </w:rPr>
              <w:t>③</w:t>
            </w:r>
            <w:r>
              <w:rPr>
                <w:rFonts w:hint="default" w:ascii="Times New Roman" w:hAnsi="Times New Roman" w:eastAsia="宋体" w:cs="Times New Roman"/>
                <w:b w:val="0"/>
                <w:bCs w:val="0"/>
                <w:color w:val="auto"/>
                <w:kern w:val="2"/>
                <w:sz w:val="24"/>
                <w:highlight w:val="none"/>
                <w:u w:val="none"/>
                <w:lang w:val="zh-CN" w:eastAsia="zh-CN" w:bidi="ar-SA"/>
              </w:rPr>
              <w:t>防止瓦斯气火灾、爆炸的对策措施</w:t>
            </w:r>
          </w:p>
          <w:p w14:paraId="46FA4B25">
            <w:pPr>
              <w:pStyle w:val="28"/>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80" w:firstLineChars="200"/>
              <w:textAlignment w:val="auto"/>
              <w:rPr>
                <w:rFonts w:hint="default" w:ascii="Times New Roman" w:hAnsi="Times New Roman" w:eastAsia="宋体" w:cs="Times New Roman"/>
                <w:b w:val="0"/>
                <w:bCs w:val="0"/>
                <w:color w:val="auto"/>
                <w:kern w:val="2"/>
                <w:sz w:val="24"/>
                <w:highlight w:val="none"/>
                <w:u w:val="none"/>
                <w:lang w:val="en-US" w:eastAsia="zh-CN" w:bidi="ar-SA"/>
              </w:rPr>
            </w:pPr>
            <w:r>
              <w:rPr>
                <w:rFonts w:hint="default" w:ascii="Times New Roman" w:hAnsi="Times New Roman" w:cs="Times New Roman"/>
                <w:b w:val="0"/>
                <w:bCs w:val="0"/>
                <w:color w:val="auto"/>
                <w:kern w:val="2"/>
                <w:sz w:val="24"/>
                <w:highlight w:val="none"/>
                <w:u w:val="none"/>
                <w:lang w:val="en-US" w:eastAsia="zh-CN" w:bidi="ar-SA"/>
              </w:rPr>
              <w:t>a、</w:t>
            </w:r>
            <w:r>
              <w:rPr>
                <w:rFonts w:hint="default" w:ascii="Times New Roman" w:hAnsi="Times New Roman" w:eastAsia="宋体" w:cs="Times New Roman"/>
                <w:b w:val="0"/>
                <w:bCs w:val="0"/>
                <w:color w:val="auto"/>
                <w:kern w:val="2"/>
                <w:sz w:val="24"/>
                <w:highlight w:val="none"/>
                <w:u w:val="none"/>
                <w:lang w:val="zh-CN" w:eastAsia="zh-CN" w:bidi="ar-SA"/>
              </w:rPr>
              <w:t>本站总图设计中严格执行GB50016-2014《建筑设计防火规范》的有关规定。</w:t>
            </w:r>
            <w:r>
              <w:rPr>
                <w:rFonts w:hint="default" w:ascii="Times New Roman" w:hAnsi="Times New Roman" w:eastAsia="宋体" w:cs="Times New Roman"/>
                <w:b w:val="0"/>
                <w:bCs w:val="0"/>
                <w:color w:val="auto"/>
                <w:kern w:val="2"/>
                <w:sz w:val="24"/>
                <w:highlight w:val="none"/>
                <w:u w:val="none"/>
                <w:lang w:val="en-US" w:eastAsia="zh-CN" w:bidi="ar-SA"/>
              </w:rPr>
              <w:t xml:space="preserve"> </w:t>
            </w:r>
          </w:p>
          <w:p w14:paraId="5460AA76">
            <w:pPr>
              <w:pStyle w:val="28"/>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eastAsia="宋体" w:cs="Times New Roman"/>
                <w:b w:val="0"/>
                <w:bCs w:val="0"/>
                <w:color w:val="auto"/>
                <w:kern w:val="2"/>
                <w:sz w:val="24"/>
                <w:highlight w:val="none"/>
                <w:u w:val="none"/>
                <w:lang w:val="zh-CN" w:eastAsia="zh-CN" w:bidi="ar-SA"/>
              </w:rPr>
              <w:t>b、瓦斯管道在安装时要严格做强度和严密性试验，并在管道上装设快速关断阀、安全阀和放散装置，防止系统串火、超压∶放散管与排烟管水平距离不小于15米，高于排烟管出口2m以上，并离开地面高度不小于</w:t>
            </w:r>
            <w:r>
              <w:rPr>
                <w:rFonts w:hint="default" w:ascii="Times New Roman" w:hAnsi="Times New Roman" w:cs="Times New Roman"/>
                <w:b w:val="0"/>
                <w:bCs w:val="0"/>
                <w:color w:val="auto"/>
                <w:kern w:val="2"/>
                <w:sz w:val="24"/>
                <w:highlight w:val="none"/>
                <w:u w:val="none"/>
                <w:lang w:val="zh-CN" w:eastAsia="zh-CN" w:bidi="ar-SA"/>
              </w:rPr>
              <w:t>15m</w:t>
            </w:r>
            <w:r>
              <w:rPr>
                <w:rFonts w:hint="default" w:ascii="Times New Roman" w:hAnsi="Times New Roman" w:eastAsia="宋体" w:cs="Times New Roman"/>
                <w:b w:val="0"/>
                <w:bCs w:val="0"/>
                <w:color w:val="auto"/>
                <w:kern w:val="2"/>
                <w:sz w:val="24"/>
                <w:highlight w:val="none"/>
                <w:u w:val="none"/>
                <w:lang w:val="zh-CN" w:eastAsia="zh-CN" w:bidi="ar-SA"/>
              </w:rPr>
              <w:t>。为防止瓦斯系统静电引起的火灾，在其设备及管道上设有接地措施。</w:t>
            </w:r>
            <w:r>
              <w:rPr>
                <w:rFonts w:hint="default" w:ascii="Times New Roman" w:hAnsi="Times New Roman" w:cs="Times New Roman"/>
                <w:b w:val="0"/>
                <w:bCs w:val="0"/>
                <w:color w:val="auto"/>
                <w:kern w:val="2"/>
                <w:sz w:val="24"/>
                <w:highlight w:val="none"/>
                <w:u w:val="none"/>
                <w:lang w:val="zh-CN" w:eastAsia="zh-CN" w:bidi="ar-SA"/>
              </w:rPr>
              <w:t>发电机组所在区</w:t>
            </w:r>
            <w:r>
              <w:rPr>
                <w:rFonts w:hint="default" w:ascii="Times New Roman" w:hAnsi="Times New Roman" w:eastAsia="宋体" w:cs="Times New Roman"/>
                <w:b w:val="0"/>
                <w:bCs w:val="0"/>
                <w:color w:val="auto"/>
                <w:kern w:val="2"/>
                <w:sz w:val="24"/>
                <w:highlight w:val="none"/>
                <w:u w:val="none"/>
                <w:lang w:val="zh-CN" w:eastAsia="zh-CN" w:bidi="ar-SA"/>
              </w:rPr>
              <w:t>内可燃气体报警分为两级报警一级报警（高限）设定值为0.5%二级报警设定值为1%，当达到一级报警条件时，除了报警外并开启全部通风机进行通风∶当达到二级报警条件时，除了报警、开启风机通风外同时关闭瓦斯支管上的快速切断阀和干管上的关断阀，快速切断气源∶停燃气内燃发电机组及预处理系统，同时打开所有电动放散阀.</w:t>
            </w:r>
          </w:p>
          <w:p w14:paraId="0FAA3987">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eastAsia="宋体" w:cs="Times New Roman"/>
                <w:b w:val="0"/>
                <w:bCs w:val="0"/>
                <w:color w:val="auto"/>
                <w:kern w:val="2"/>
                <w:sz w:val="24"/>
                <w:highlight w:val="none"/>
                <w:u w:val="none"/>
                <w:lang w:val="zh-CN" w:eastAsia="zh-CN" w:bidi="ar-SA"/>
              </w:rPr>
              <w:t>c、工艺装置区内严禁携带烟火、火种、打火机、火柴等易燃品。照明设施全部采用防爆照明灯，非生产人员不得进入工艺装置区。</w:t>
            </w:r>
          </w:p>
          <w:p w14:paraId="071F74EC">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eastAsia="宋体" w:cs="Times New Roman"/>
                <w:b w:val="0"/>
                <w:bCs w:val="0"/>
                <w:color w:val="auto"/>
                <w:kern w:val="2"/>
                <w:sz w:val="24"/>
                <w:highlight w:val="none"/>
                <w:u w:val="none"/>
                <w:lang w:val="zh-CN" w:eastAsia="zh-CN" w:bidi="ar-SA"/>
              </w:rPr>
              <w:t>d、所有防爆区控制设备采用防爆产品。在电缆集中和容易起火的区域加强防火封堵措施。电缆的敷设设计及防火要求按火力发电厂、变电所电缆选择与敷设设计规程及电缆工程设计规范要求执行。并准备推车式或手提式灭火器具。</w:t>
            </w:r>
          </w:p>
          <w:p w14:paraId="6FE2B8A9">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eastAsia="宋体" w:cs="Times New Roman"/>
                <w:b w:val="0"/>
                <w:bCs w:val="0"/>
                <w:color w:val="auto"/>
                <w:kern w:val="2"/>
                <w:sz w:val="24"/>
                <w:highlight w:val="none"/>
                <w:u w:val="none"/>
                <w:lang w:val="zh-CN" w:eastAsia="zh-CN" w:bidi="ar-SA"/>
              </w:rPr>
              <w:t>e、瓦斯水雾输送及发电技术是利用水位自控式水封阻火器，金属波纹带干式瓦斯专用阻火器及瓦斯与细水雾混合输送技术，实现瓦斯的安全输送供给瓦斯发电机组发电。</w:t>
            </w:r>
          </w:p>
          <w:p w14:paraId="61C1AE67">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eastAsia="宋体" w:cs="Times New Roman"/>
                <w:b w:val="0"/>
                <w:bCs w:val="0"/>
                <w:color w:val="auto"/>
                <w:kern w:val="2"/>
                <w:sz w:val="24"/>
                <w:highlight w:val="none"/>
                <w:u w:val="none"/>
                <w:lang w:val="zh-CN" w:eastAsia="zh-CN" w:bidi="ar-SA"/>
              </w:rPr>
              <w:t>f、在放散管处设置阻火器，防止瓦斯气回燃；放散管应采取静电接地，并在避雷保护范围之内；放散管应有防止雨水侵入和外来异物堵塞的措施。</w:t>
            </w:r>
          </w:p>
          <w:p w14:paraId="1A99730A">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cs="Times New Roman"/>
                <w:b w:val="0"/>
                <w:bCs w:val="0"/>
                <w:color w:val="auto"/>
                <w:kern w:val="2"/>
                <w:sz w:val="24"/>
                <w:highlight w:val="none"/>
                <w:u w:val="none"/>
                <w:lang w:val="en-US" w:eastAsia="zh-CN" w:bidi="ar-SA"/>
              </w:rPr>
              <w:t>g</w:t>
            </w:r>
            <w:r>
              <w:rPr>
                <w:rFonts w:hint="default" w:ascii="Times New Roman" w:hAnsi="Times New Roman" w:cs="Times New Roman"/>
                <w:b w:val="0"/>
                <w:bCs w:val="0"/>
                <w:color w:val="auto"/>
                <w:kern w:val="2"/>
                <w:sz w:val="24"/>
                <w:highlight w:val="none"/>
                <w:u w:val="none"/>
                <w:lang w:val="zh-CN" w:eastAsia="zh-CN" w:bidi="ar-SA"/>
              </w:rPr>
              <w:t>、</w:t>
            </w:r>
            <w:r>
              <w:rPr>
                <w:rFonts w:hint="default" w:ascii="Times New Roman" w:hAnsi="Times New Roman" w:eastAsia="宋体" w:cs="Times New Roman"/>
                <w:b w:val="0"/>
                <w:bCs w:val="0"/>
                <w:color w:val="auto"/>
                <w:kern w:val="2"/>
                <w:sz w:val="24"/>
                <w:highlight w:val="none"/>
                <w:u w:val="none"/>
                <w:lang w:val="zh-CN" w:eastAsia="zh-CN" w:bidi="ar-SA"/>
              </w:rPr>
              <w:t>为了防止撞击火花，在防爆区域内操作或维修时应使用防爆工具，例如选用铜质工具；为了防止静电火花，工作人员应穿防静电工作服和防静电鞋。</w:t>
            </w:r>
          </w:p>
          <w:p w14:paraId="2F86F330">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eastAsia="宋体" w:cs="Times New Roman"/>
                <w:b w:val="0"/>
                <w:bCs w:val="0"/>
                <w:color w:val="auto"/>
                <w:kern w:val="2"/>
                <w:sz w:val="24"/>
                <w:highlight w:val="none"/>
                <w:u w:val="none"/>
                <w:lang w:val="zh-CN" w:eastAsia="zh-CN" w:bidi="ar-SA"/>
              </w:rPr>
              <w:t>h、本项目站区主要建（构）筑物按《建筑设计防火规范》（GB50016-2014）的要求进行设计，满足火灾危险性及耐火等级的要求。配电室均设有两个或两个以上的安全出口。房间内墙上的门均采用甲级防火门。所有安全出入口、楼梯及各层联系平台步道处均设置通行疏散和导向标志，色彩醒目、突出。各建（构）筑物应配置灭火器，灭火器的类型、规格、数量以及设置位置应符合《建筑灭火器配置设计规范》，并在施工图阶段设计。</w:t>
            </w:r>
          </w:p>
          <w:p w14:paraId="68BD8191">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cs="Times New Roman"/>
                <w:b w:val="0"/>
                <w:bCs w:val="0"/>
                <w:color w:val="auto"/>
                <w:kern w:val="2"/>
                <w:sz w:val="24"/>
                <w:highlight w:val="none"/>
                <w:u w:val="none"/>
                <w:lang w:val="en-US" w:eastAsia="zh-CN" w:bidi="ar-SA"/>
              </w:rPr>
              <w:t>i</w:t>
            </w:r>
            <w:r>
              <w:rPr>
                <w:rFonts w:hint="default" w:ascii="Times New Roman" w:hAnsi="Times New Roman" w:eastAsia="宋体" w:cs="Times New Roman"/>
                <w:b w:val="0"/>
                <w:bCs w:val="0"/>
                <w:color w:val="auto"/>
                <w:kern w:val="2"/>
                <w:sz w:val="24"/>
                <w:highlight w:val="none"/>
                <w:u w:val="none"/>
                <w:lang w:val="zh-CN" w:eastAsia="zh-CN" w:bidi="ar-SA"/>
              </w:rPr>
              <w:t>、在装置区内应配置手提式灭火器，类型有干粉、泡沫和二氧化碳。</w:t>
            </w:r>
          </w:p>
          <w:p w14:paraId="495D4437">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cs="Times New Roman"/>
                <w:b w:val="0"/>
                <w:bCs w:val="0"/>
                <w:color w:val="auto"/>
                <w:kern w:val="2"/>
                <w:sz w:val="24"/>
                <w:highlight w:val="none"/>
                <w:u w:val="none"/>
                <w:lang w:val="en-US" w:eastAsia="zh-CN" w:bidi="ar-SA"/>
              </w:rPr>
              <w:t>j</w:t>
            </w:r>
            <w:r>
              <w:rPr>
                <w:rFonts w:hint="default" w:ascii="Times New Roman" w:hAnsi="Times New Roman" w:eastAsia="宋体" w:cs="Times New Roman"/>
                <w:b w:val="0"/>
                <w:bCs w:val="0"/>
                <w:color w:val="auto"/>
                <w:kern w:val="2"/>
                <w:sz w:val="24"/>
                <w:highlight w:val="none"/>
                <w:u w:val="none"/>
                <w:lang w:val="zh-CN" w:eastAsia="zh-CN" w:bidi="ar-SA"/>
              </w:rPr>
              <w:t>、对重要的过程参数（温度、压力、液位）测量仪表，包括有毒可燃气体探测仪，应经标定或校验后投入使用，并在使用中进行定期检验或标定。</w:t>
            </w:r>
          </w:p>
          <w:p w14:paraId="54EDC60A">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cs="Times New Roman"/>
                <w:b w:val="0"/>
                <w:bCs w:val="0"/>
                <w:color w:val="auto"/>
                <w:kern w:val="2"/>
                <w:sz w:val="24"/>
                <w:highlight w:val="none"/>
                <w:u w:val="none"/>
                <w:lang w:val="en-US" w:eastAsia="zh-CN" w:bidi="ar-SA"/>
              </w:rPr>
              <w:t>④</w:t>
            </w:r>
            <w:r>
              <w:rPr>
                <w:rFonts w:hint="default" w:ascii="Times New Roman" w:hAnsi="Times New Roman" w:eastAsia="宋体" w:cs="Times New Roman"/>
                <w:b w:val="0"/>
                <w:bCs w:val="0"/>
                <w:color w:val="auto"/>
                <w:kern w:val="2"/>
                <w:sz w:val="24"/>
                <w:highlight w:val="none"/>
                <w:u w:val="none"/>
                <w:lang w:val="zh-CN" w:eastAsia="zh-CN" w:bidi="ar-SA"/>
              </w:rPr>
              <w:t>防止机油</w:t>
            </w:r>
            <w:r>
              <w:rPr>
                <w:rFonts w:hint="default" w:ascii="Times New Roman" w:hAnsi="Times New Roman" w:cs="Times New Roman"/>
                <w:b w:val="0"/>
                <w:bCs w:val="0"/>
                <w:color w:val="auto"/>
                <w:kern w:val="2"/>
                <w:sz w:val="24"/>
                <w:highlight w:val="none"/>
                <w:u w:val="none"/>
                <w:lang w:val="zh-CN" w:eastAsia="zh-CN" w:bidi="ar-SA"/>
              </w:rPr>
              <w:t>、</w:t>
            </w:r>
            <w:r>
              <w:rPr>
                <w:rFonts w:hint="default" w:ascii="Times New Roman" w:hAnsi="Times New Roman" w:cs="Times New Roman"/>
                <w:b w:val="0"/>
                <w:bCs w:val="0"/>
                <w:color w:val="auto"/>
                <w:kern w:val="2"/>
                <w:sz w:val="24"/>
                <w:highlight w:val="none"/>
                <w:u w:val="none"/>
                <w:lang w:val="en-US" w:eastAsia="zh-CN" w:bidi="ar-SA"/>
              </w:rPr>
              <w:t>润滑油</w:t>
            </w:r>
            <w:r>
              <w:rPr>
                <w:rFonts w:hint="default" w:ascii="Times New Roman" w:hAnsi="Times New Roman" w:eastAsia="宋体" w:cs="Times New Roman"/>
                <w:b w:val="0"/>
                <w:bCs w:val="0"/>
                <w:color w:val="auto"/>
                <w:kern w:val="2"/>
                <w:sz w:val="24"/>
                <w:highlight w:val="none"/>
                <w:u w:val="none"/>
                <w:lang w:val="zh-CN" w:eastAsia="zh-CN" w:bidi="ar-SA"/>
              </w:rPr>
              <w:t>泄漏措施</w:t>
            </w:r>
          </w:p>
          <w:p w14:paraId="00078ABC">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eastAsia="宋体" w:cs="Times New Roman"/>
                <w:b w:val="0"/>
                <w:bCs w:val="0"/>
                <w:color w:val="auto"/>
                <w:kern w:val="2"/>
                <w:sz w:val="24"/>
                <w:highlight w:val="none"/>
                <w:u w:val="none"/>
                <w:lang w:val="zh-CN" w:eastAsia="zh-CN" w:bidi="ar-SA"/>
              </w:rPr>
              <w:t>a、为防止油类物质泄漏，对外环境造成影响，储油区域应设置</w:t>
            </w:r>
            <w:r>
              <w:rPr>
                <w:rFonts w:hint="default" w:ascii="Times New Roman" w:hAnsi="Times New Roman" w:cs="Times New Roman"/>
                <w:b w:val="0"/>
                <w:bCs w:val="0"/>
                <w:color w:val="auto"/>
                <w:kern w:val="2"/>
                <w:sz w:val="24"/>
                <w:highlight w:val="none"/>
                <w:u w:val="none"/>
                <w:lang w:val="en-US" w:eastAsia="zh-CN" w:bidi="ar-SA"/>
              </w:rPr>
              <w:t>导流沟</w:t>
            </w:r>
            <w:r>
              <w:rPr>
                <w:rFonts w:hint="default" w:ascii="Times New Roman" w:hAnsi="Times New Roman" w:eastAsia="宋体" w:cs="Times New Roman"/>
                <w:b w:val="0"/>
                <w:bCs w:val="0"/>
                <w:color w:val="auto"/>
                <w:kern w:val="2"/>
                <w:sz w:val="24"/>
                <w:highlight w:val="none"/>
                <w:u w:val="none"/>
                <w:lang w:val="zh-CN" w:eastAsia="zh-CN" w:bidi="ar-SA"/>
              </w:rPr>
              <w:t>；同时储油区域地面需进行防渗处理。</w:t>
            </w:r>
          </w:p>
          <w:p w14:paraId="4D6308CF">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eastAsia="宋体" w:cs="Times New Roman"/>
                <w:b w:val="0"/>
                <w:bCs w:val="0"/>
                <w:color w:val="auto"/>
                <w:kern w:val="2"/>
                <w:sz w:val="24"/>
                <w:highlight w:val="none"/>
                <w:u w:val="none"/>
                <w:lang w:val="zh-CN" w:eastAsia="zh-CN" w:bidi="ar-SA"/>
              </w:rPr>
              <w:t>b、储油间</w:t>
            </w:r>
            <w:r>
              <w:rPr>
                <w:rFonts w:hint="default" w:ascii="Times New Roman" w:hAnsi="Times New Roman" w:eastAsia="宋体" w:cs="Times New Roman"/>
                <w:b w:val="0"/>
                <w:bCs w:val="0"/>
                <w:color w:val="auto"/>
                <w:kern w:val="2"/>
                <w:sz w:val="24"/>
                <w:highlight w:val="none"/>
                <w:u w:val="none"/>
                <w:lang w:val="en-US" w:eastAsia="zh-CN" w:bidi="ar-SA"/>
              </w:rPr>
              <w:t>机</w:t>
            </w:r>
            <w:r>
              <w:rPr>
                <w:rFonts w:hint="default" w:ascii="Times New Roman" w:hAnsi="Times New Roman" w:eastAsia="宋体" w:cs="Times New Roman"/>
                <w:b w:val="0"/>
                <w:bCs w:val="0"/>
                <w:color w:val="auto"/>
                <w:kern w:val="2"/>
                <w:sz w:val="24"/>
                <w:highlight w:val="none"/>
                <w:u w:val="none"/>
                <w:lang w:val="zh-CN" w:eastAsia="zh-CN" w:bidi="ar-SA"/>
              </w:rPr>
              <w:t>油存储区应设置接油盘池，铺设吸油细沙、锯木面等，用于吸附泄</w:t>
            </w:r>
            <w:r>
              <w:rPr>
                <w:rFonts w:hint="default" w:ascii="Times New Roman" w:hAnsi="Times New Roman" w:cs="Times New Roman"/>
                <w:b w:val="0"/>
                <w:bCs w:val="0"/>
                <w:color w:val="auto"/>
                <w:kern w:val="2"/>
                <w:sz w:val="24"/>
                <w:highlight w:val="none"/>
                <w:u w:val="none"/>
                <w:lang w:val="en-US" w:eastAsia="zh-CN" w:bidi="ar-SA"/>
              </w:rPr>
              <w:t>漏</w:t>
            </w:r>
            <w:r>
              <w:rPr>
                <w:rFonts w:hint="default" w:ascii="Times New Roman" w:hAnsi="Times New Roman" w:eastAsia="宋体" w:cs="Times New Roman"/>
                <w:b w:val="0"/>
                <w:bCs w:val="0"/>
                <w:color w:val="auto"/>
                <w:kern w:val="2"/>
                <w:sz w:val="24"/>
                <w:highlight w:val="none"/>
                <w:u w:val="none"/>
                <w:lang w:val="zh-CN" w:eastAsia="zh-CN" w:bidi="ar-SA"/>
              </w:rPr>
              <w:t>的油类物质。</w:t>
            </w:r>
          </w:p>
          <w:p w14:paraId="798361F7">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cs="Times New Roman"/>
                <w:b w:val="0"/>
                <w:bCs w:val="0"/>
                <w:color w:val="auto"/>
                <w:kern w:val="2"/>
                <w:sz w:val="24"/>
                <w:highlight w:val="none"/>
                <w:u w:val="none"/>
                <w:lang w:val="en-US" w:eastAsia="zh-CN" w:bidi="ar-SA"/>
              </w:rPr>
              <w:t>⑤变压器</w:t>
            </w:r>
            <w:r>
              <w:rPr>
                <w:rFonts w:hint="default" w:ascii="Times New Roman" w:hAnsi="Times New Roman" w:eastAsia="宋体" w:cs="Times New Roman"/>
                <w:b w:val="0"/>
                <w:bCs w:val="0"/>
                <w:color w:val="auto"/>
                <w:kern w:val="2"/>
                <w:sz w:val="24"/>
                <w:highlight w:val="none"/>
                <w:u w:val="none"/>
                <w:lang w:val="zh-CN" w:eastAsia="zh-CN" w:bidi="ar-SA"/>
              </w:rPr>
              <w:t>管理方面的措施</w:t>
            </w:r>
          </w:p>
          <w:p w14:paraId="652D33D4">
            <w:pPr>
              <w:pStyle w:val="2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left="0" w:right="0" w:firstLine="480" w:firstLineChars="200"/>
              <w:textAlignment w:val="auto"/>
              <w:rPr>
                <w:rFonts w:hint="default" w:ascii="Times New Roman" w:hAnsi="Times New Roman" w:eastAsia="宋体" w:cs="Times New Roman"/>
                <w:b w:val="0"/>
                <w:bCs w:val="0"/>
                <w:sz w:val="24"/>
                <w:szCs w:val="24"/>
                <w:highlight w:val="none"/>
              </w:rPr>
            </w:pPr>
            <w:r>
              <w:rPr>
                <w:rStyle w:val="35"/>
                <w:rFonts w:hint="default" w:ascii="Times New Roman" w:hAnsi="Times New Roman" w:eastAsia="宋体" w:cs="Times New Roman"/>
                <w:b w:val="0"/>
                <w:bCs w:val="0"/>
                <w:i w:val="0"/>
                <w:iCs w:val="0"/>
                <w:color w:val="333333"/>
                <w:spacing w:val="0"/>
                <w:sz w:val="24"/>
                <w:szCs w:val="24"/>
                <w:highlight w:val="none"/>
                <w:shd w:val="clear" w:fill="FFFFFF"/>
                <w:lang w:val="en-US" w:eastAsia="zh-CN"/>
              </w:rPr>
              <w:t>a、</w:t>
            </w:r>
            <w:r>
              <w:rPr>
                <w:rFonts w:hint="default" w:ascii="Times New Roman" w:hAnsi="Times New Roman" w:eastAsia="宋体" w:cs="Times New Roman"/>
                <w:b w:val="0"/>
                <w:bCs w:val="0"/>
                <w:i w:val="0"/>
                <w:iCs w:val="0"/>
                <w:caps w:val="0"/>
                <w:color w:val="333333"/>
                <w:spacing w:val="0"/>
                <w:sz w:val="24"/>
                <w:szCs w:val="24"/>
                <w:highlight w:val="none"/>
                <w:shd w:val="clear" w:fill="FFFFFF"/>
              </w:rPr>
              <w:t>‌</w:t>
            </w:r>
            <w:r>
              <w:rPr>
                <w:rStyle w:val="35"/>
                <w:rFonts w:hint="default" w:ascii="Times New Roman" w:hAnsi="Times New Roman" w:eastAsia="宋体" w:cs="Times New Roman"/>
                <w:b w:val="0"/>
                <w:bCs w:val="0"/>
                <w:i w:val="0"/>
                <w:iCs w:val="0"/>
                <w:caps w:val="0"/>
                <w:color w:val="333333"/>
                <w:spacing w:val="0"/>
                <w:sz w:val="24"/>
                <w:szCs w:val="24"/>
                <w:highlight w:val="none"/>
                <w:shd w:val="clear" w:fill="FFFFFF"/>
              </w:rPr>
              <w:t>使用环保型绝缘油</w:t>
            </w:r>
            <w:r>
              <w:rPr>
                <w:rFonts w:hint="default" w:ascii="Times New Roman" w:hAnsi="Times New Roman" w:eastAsia="宋体" w:cs="Times New Roman"/>
                <w:b w:val="0"/>
                <w:bCs w:val="0"/>
                <w:i w:val="0"/>
                <w:iCs w:val="0"/>
                <w:caps w:val="0"/>
                <w:color w:val="333333"/>
                <w:spacing w:val="0"/>
                <w:sz w:val="24"/>
                <w:szCs w:val="24"/>
                <w:highlight w:val="none"/>
                <w:shd w:val="clear" w:fill="FFFFFF"/>
              </w:rPr>
              <w:t>‌</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选择生物降解的绝缘油等环保材料，减少对环境的影响‌</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w:t>
            </w:r>
            <w:r>
              <w:rPr>
                <w:rStyle w:val="35"/>
                <w:rFonts w:hint="default" w:ascii="Times New Roman" w:hAnsi="Times New Roman" w:eastAsia="宋体" w:cs="Times New Roman"/>
                <w:b w:val="0"/>
                <w:bCs w:val="0"/>
                <w:i w:val="0"/>
                <w:iCs w:val="0"/>
                <w:caps w:val="0"/>
                <w:color w:val="333333"/>
                <w:spacing w:val="0"/>
                <w:sz w:val="24"/>
                <w:szCs w:val="24"/>
                <w:highlight w:val="none"/>
                <w:shd w:val="clear" w:fill="FFFFFF"/>
              </w:rPr>
              <w:t>调整变压器的运行模式</w:t>
            </w:r>
            <w:r>
              <w:rPr>
                <w:rFonts w:hint="default" w:ascii="Times New Roman" w:hAnsi="Times New Roman" w:eastAsia="宋体" w:cs="Times New Roman"/>
                <w:b w:val="0"/>
                <w:bCs w:val="0"/>
                <w:i w:val="0"/>
                <w:iCs w:val="0"/>
                <w:caps w:val="0"/>
                <w:color w:val="333333"/>
                <w:spacing w:val="0"/>
                <w:sz w:val="24"/>
                <w:szCs w:val="24"/>
                <w:highlight w:val="none"/>
                <w:shd w:val="clear" w:fill="FFFFFF"/>
              </w:rPr>
              <w:t>‌</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合理调整变压器的运行模式，减少能源浪费‌</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w:t>
            </w:r>
            <w:r>
              <w:rPr>
                <w:rStyle w:val="35"/>
                <w:rFonts w:hint="default" w:ascii="Times New Roman" w:hAnsi="Times New Roman" w:eastAsia="宋体" w:cs="Times New Roman"/>
                <w:b w:val="0"/>
                <w:bCs w:val="0"/>
                <w:i w:val="0"/>
                <w:iCs w:val="0"/>
                <w:caps w:val="0"/>
                <w:color w:val="333333"/>
                <w:spacing w:val="0"/>
                <w:sz w:val="24"/>
                <w:szCs w:val="24"/>
                <w:highlight w:val="none"/>
                <w:shd w:val="clear" w:fill="FFFFFF"/>
              </w:rPr>
              <w:t>添加吸声材料</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在变压器的外部或内部添加吸声材料，降低噪音对附近居民的影响‌</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w:t>
            </w:r>
            <w:r>
              <w:rPr>
                <w:rStyle w:val="35"/>
                <w:rFonts w:hint="default" w:ascii="Times New Roman" w:hAnsi="Times New Roman" w:eastAsia="宋体" w:cs="Times New Roman"/>
                <w:b w:val="0"/>
                <w:bCs w:val="0"/>
                <w:i w:val="0"/>
                <w:iCs w:val="0"/>
                <w:caps w:val="0"/>
                <w:color w:val="333333"/>
                <w:spacing w:val="0"/>
                <w:sz w:val="24"/>
                <w:szCs w:val="24"/>
                <w:highlight w:val="none"/>
                <w:shd w:val="clear" w:fill="FFFFFF"/>
              </w:rPr>
              <w:t>加强废物处理</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使用环保型材料，完善废弃物的处理，减少对环境的影响‌</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w:t>
            </w:r>
            <w:r>
              <w:rPr>
                <w:rStyle w:val="35"/>
                <w:rFonts w:hint="default" w:ascii="Times New Roman" w:hAnsi="Times New Roman" w:eastAsia="宋体" w:cs="Times New Roman"/>
                <w:b w:val="0"/>
                <w:bCs w:val="0"/>
                <w:i w:val="0"/>
                <w:iCs w:val="0"/>
                <w:caps w:val="0"/>
                <w:color w:val="333333"/>
                <w:spacing w:val="0"/>
                <w:sz w:val="24"/>
                <w:szCs w:val="24"/>
                <w:highlight w:val="none"/>
                <w:shd w:val="clear" w:fill="FFFFFF"/>
              </w:rPr>
              <w:t>加强监测与维护</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加强对变压器的检测与维护，及时排查故障，避免能源浪费</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w:t>
            </w:r>
          </w:p>
          <w:p w14:paraId="5FF7D4D5">
            <w:pPr>
              <w:pStyle w:val="2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left="0" w:right="0" w:firstLine="480" w:firstLineChars="200"/>
              <w:textAlignment w:val="auto"/>
              <w:rPr>
                <w:rFonts w:hint="default" w:ascii="Times New Roman" w:hAnsi="Times New Roman" w:eastAsia="宋体" w:cs="Times New Roman"/>
                <w:b w:val="0"/>
                <w:bCs w:val="0"/>
                <w:sz w:val="24"/>
                <w:szCs w:val="24"/>
                <w:highlight w:val="none"/>
              </w:rPr>
            </w:pPr>
            <w:r>
              <w:rPr>
                <w:rFonts w:hint="default" w:ascii="Times New Roman" w:hAnsi="Times New Roman" w:eastAsia="宋体" w:cs="Times New Roman"/>
                <w:b w:val="0"/>
                <w:bCs w:val="0"/>
                <w:i w:val="0"/>
                <w:iCs w:val="0"/>
                <w:color w:val="333333"/>
                <w:spacing w:val="0"/>
                <w:sz w:val="24"/>
                <w:szCs w:val="24"/>
                <w:highlight w:val="none"/>
                <w:shd w:val="clear" w:fill="FFFFFF"/>
                <w:lang w:val="en-US" w:eastAsia="zh-CN"/>
              </w:rPr>
              <w:t>b</w:t>
            </w:r>
            <w:r>
              <w:rPr>
                <w:rFonts w:hint="default" w:ascii="Times New Roman" w:hAnsi="Times New Roman" w:eastAsia="宋体" w:cs="Times New Roman"/>
                <w:b w:val="0"/>
                <w:bCs w:val="0"/>
                <w:i w:val="0"/>
                <w:iCs w:val="0"/>
                <w:caps w:val="0"/>
                <w:color w:val="333333"/>
                <w:spacing w:val="0"/>
                <w:sz w:val="24"/>
                <w:szCs w:val="24"/>
                <w:highlight w:val="none"/>
                <w:shd w:val="clear" w:fill="FFFFFF"/>
                <w:lang w:val="en-US"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w:t>
            </w:r>
            <w:r>
              <w:rPr>
                <w:rStyle w:val="35"/>
                <w:rFonts w:hint="default" w:ascii="Times New Roman" w:hAnsi="Times New Roman" w:eastAsia="宋体" w:cs="Times New Roman"/>
                <w:b w:val="0"/>
                <w:bCs w:val="0"/>
                <w:i w:val="0"/>
                <w:iCs w:val="0"/>
                <w:caps w:val="0"/>
                <w:color w:val="333333"/>
                <w:spacing w:val="0"/>
                <w:sz w:val="24"/>
                <w:szCs w:val="24"/>
                <w:highlight w:val="none"/>
                <w:shd w:val="clear" w:fill="FFFFFF"/>
              </w:rPr>
              <w:t>瓦斯保护</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通过瓦斯继电器检测变压器内部的故障，实现跳闸保护，防止故障扩大</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w:t>
            </w:r>
            <w:r>
              <w:rPr>
                <w:rStyle w:val="35"/>
                <w:rFonts w:hint="default" w:ascii="Times New Roman" w:hAnsi="Times New Roman" w:eastAsia="宋体" w:cs="Times New Roman"/>
                <w:b w:val="0"/>
                <w:bCs w:val="0"/>
                <w:i w:val="0"/>
                <w:iCs w:val="0"/>
                <w:caps w:val="0"/>
                <w:color w:val="333333"/>
                <w:spacing w:val="0"/>
                <w:sz w:val="24"/>
                <w:szCs w:val="24"/>
                <w:highlight w:val="none"/>
                <w:shd w:val="clear" w:fill="FFFFFF"/>
              </w:rPr>
              <w:t>温度保护</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通过温控仪测量绕组温度，设置低温报警和高温跳闸信号，确保变压器安全运行‌</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w:t>
            </w:r>
            <w:r>
              <w:rPr>
                <w:rStyle w:val="35"/>
                <w:rFonts w:hint="default" w:ascii="Times New Roman" w:hAnsi="Times New Roman" w:eastAsia="宋体" w:cs="Times New Roman"/>
                <w:b w:val="0"/>
                <w:bCs w:val="0"/>
                <w:i w:val="0"/>
                <w:iCs w:val="0"/>
                <w:caps w:val="0"/>
                <w:color w:val="333333"/>
                <w:spacing w:val="0"/>
                <w:sz w:val="24"/>
                <w:szCs w:val="24"/>
                <w:highlight w:val="none"/>
                <w:shd w:val="clear" w:fill="FFFFFF"/>
              </w:rPr>
              <w:t>室内保护</w:t>
            </w:r>
            <w:r>
              <w:rPr>
                <w:rFonts w:hint="default" w:ascii="Times New Roman" w:hAnsi="Times New Roman" w:eastAsia="宋体" w:cs="Times New Roman"/>
                <w:b w:val="0"/>
                <w:bCs w:val="0"/>
                <w:i w:val="0"/>
                <w:iCs w:val="0"/>
                <w:caps w:val="0"/>
                <w:color w:val="333333"/>
                <w:spacing w:val="0"/>
                <w:sz w:val="24"/>
                <w:szCs w:val="24"/>
                <w:highlight w:val="none"/>
                <w:shd w:val="clear" w:fill="FFFFFF"/>
              </w:rPr>
              <w:t>‌</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使用</w:t>
            </w:r>
            <w:r>
              <w:rPr>
                <w:rFonts w:hint="default" w:ascii="Times New Roman" w:hAnsi="Times New Roman" w:eastAsia="宋体" w:cs="Times New Roman"/>
                <w:b w:val="0"/>
                <w:bCs w:val="0"/>
                <w:i w:val="0"/>
                <w:iCs w:val="0"/>
                <w:caps w:val="0"/>
                <w:color w:val="333333"/>
                <w:spacing w:val="0"/>
                <w:sz w:val="24"/>
                <w:szCs w:val="24"/>
                <w:highlight w:val="none"/>
                <w:shd w:val="clear" w:fill="FFFFFF"/>
                <w:lang w:val="en-US" w:eastAsia="zh-CN"/>
              </w:rPr>
              <w:t>专业</w:t>
            </w:r>
            <w:r>
              <w:rPr>
                <w:rFonts w:hint="default" w:ascii="Times New Roman" w:hAnsi="Times New Roman" w:eastAsia="宋体" w:cs="Times New Roman"/>
                <w:b w:val="0"/>
                <w:bCs w:val="0"/>
                <w:i w:val="0"/>
                <w:iCs w:val="0"/>
                <w:caps w:val="0"/>
                <w:color w:val="333333"/>
                <w:spacing w:val="0"/>
                <w:sz w:val="24"/>
                <w:szCs w:val="24"/>
                <w:highlight w:val="none"/>
                <w:shd w:val="clear" w:fill="FFFFFF"/>
              </w:rPr>
              <w:t>防护外壳防止小动物进入，避免短路风险‌</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w:t>
            </w:r>
            <w:r>
              <w:rPr>
                <w:rStyle w:val="35"/>
                <w:rFonts w:hint="default" w:ascii="Times New Roman" w:hAnsi="Times New Roman" w:eastAsia="宋体" w:cs="Times New Roman"/>
                <w:b w:val="0"/>
                <w:bCs w:val="0"/>
                <w:i w:val="0"/>
                <w:iCs w:val="0"/>
                <w:caps w:val="0"/>
                <w:color w:val="333333"/>
                <w:spacing w:val="0"/>
                <w:sz w:val="24"/>
                <w:szCs w:val="24"/>
                <w:highlight w:val="none"/>
                <w:shd w:val="clear" w:fill="FFFFFF"/>
              </w:rPr>
              <w:t>室外保护</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采用专业的室外保护外壳，防止雨水进入，调整角度避免水滴进入变压器‌。</w:t>
            </w:r>
          </w:p>
          <w:p w14:paraId="23325099">
            <w:pPr>
              <w:pStyle w:val="2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left="0" w:right="0" w:firstLine="480" w:firstLineChars="200"/>
              <w:textAlignment w:val="auto"/>
              <w:rPr>
                <w:rFonts w:hint="default" w:ascii="Times New Roman" w:hAnsi="Times New Roman" w:eastAsia="宋体" w:cs="Times New Roman"/>
                <w:b w:val="0"/>
                <w:bCs w:val="0"/>
                <w:sz w:val="24"/>
                <w:szCs w:val="24"/>
                <w:highlight w:val="none"/>
                <w:lang w:eastAsia="zh-CN"/>
              </w:rPr>
            </w:pPr>
            <w:r>
              <w:rPr>
                <w:rFonts w:hint="default" w:ascii="Times New Roman" w:hAnsi="Times New Roman" w:eastAsia="宋体" w:cs="Times New Roman"/>
                <w:b w:val="0"/>
                <w:bCs w:val="0"/>
                <w:i w:val="0"/>
                <w:iCs w:val="0"/>
                <w:color w:val="333333"/>
                <w:spacing w:val="0"/>
                <w:sz w:val="24"/>
                <w:szCs w:val="24"/>
                <w:highlight w:val="none"/>
                <w:shd w:val="clear" w:fill="FFFFFF"/>
                <w:lang w:val="en-US" w:eastAsia="zh-CN"/>
              </w:rPr>
              <w:t>c</w:t>
            </w:r>
            <w:r>
              <w:rPr>
                <w:rFonts w:hint="default" w:ascii="Times New Roman" w:hAnsi="Times New Roman" w:eastAsia="宋体" w:cs="Times New Roman"/>
                <w:b w:val="0"/>
                <w:bCs w:val="0"/>
                <w:i w:val="0"/>
                <w:iCs w:val="0"/>
                <w:caps w:val="0"/>
                <w:color w:val="333333"/>
                <w:spacing w:val="0"/>
                <w:sz w:val="24"/>
                <w:szCs w:val="24"/>
                <w:highlight w:val="none"/>
                <w:shd w:val="clear" w:fill="FFFFFF"/>
                <w:lang w:val="en-US"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变压器周围严禁有灰尘、腐蚀性气体‌</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变压器室必须使用砖墙，屋顶不准用木质类、油毡类建筑材料‌</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变压器室门要用金属制成并向外开，门外写有</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高压危险</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字样</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变压器下边应有储油坑，坑内铺上卵石，地面向坑边稍有倾斜‌</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r>
              <w:rPr>
                <w:rFonts w:hint="default" w:ascii="Times New Roman" w:hAnsi="Times New Roman" w:eastAsia="宋体" w:cs="Times New Roman"/>
                <w:b w:val="0"/>
                <w:bCs w:val="0"/>
                <w:i w:val="0"/>
                <w:iCs w:val="0"/>
                <w:caps w:val="0"/>
                <w:color w:val="333333"/>
                <w:spacing w:val="0"/>
                <w:sz w:val="24"/>
                <w:szCs w:val="24"/>
                <w:highlight w:val="none"/>
                <w:shd w:val="clear" w:fill="FFFFFF"/>
              </w:rPr>
              <w:t>变压器室门侧下方应有通风道，墙上高处应装有通风孔</w:t>
            </w:r>
            <w:r>
              <w:rPr>
                <w:rFonts w:hint="default" w:ascii="Times New Roman" w:hAnsi="Times New Roman" w:eastAsia="宋体" w:cs="Times New Roman"/>
                <w:b w:val="0"/>
                <w:bCs w:val="0"/>
                <w:i w:val="0"/>
                <w:iCs w:val="0"/>
                <w:caps w:val="0"/>
                <w:color w:val="333333"/>
                <w:spacing w:val="0"/>
                <w:sz w:val="24"/>
                <w:szCs w:val="24"/>
                <w:highlight w:val="none"/>
                <w:shd w:val="clear" w:fill="FFFFFF"/>
                <w:lang w:eastAsia="zh-CN"/>
              </w:rPr>
              <w:t>。</w:t>
            </w:r>
          </w:p>
          <w:p w14:paraId="4526B327">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cs="Times New Roman"/>
                <w:b w:val="0"/>
                <w:bCs w:val="0"/>
                <w:color w:val="auto"/>
                <w:kern w:val="2"/>
                <w:sz w:val="24"/>
                <w:highlight w:val="none"/>
                <w:u w:val="none"/>
                <w:lang w:val="en-US" w:eastAsia="zh-CN" w:bidi="ar-SA"/>
              </w:rPr>
              <w:t>⑥安全</w:t>
            </w:r>
            <w:r>
              <w:rPr>
                <w:rFonts w:hint="default" w:ascii="Times New Roman" w:hAnsi="Times New Roman" w:eastAsia="宋体" w:cs="Times New Roman"/>
                <w:b w:val="0"/>
                <w:bCs w:val="0"/>
                <w:color w:val="auto"/>
                <w:kern w:val="2"/>
                <w:sz w:val="24"/>
                <w:highlight w:val="none"/>
                <w:u w:val="none"/>
                <w:lang w:val="zh-CN" w:eastAsia="zh-CN" w:bidi="ar-SA"/>
              </w:rPr>
              <w:t>管理</w:t>
            </w:r>
            <w:r>
              <w:rPr>
                <w:rFonts w:hint="default" w:ascii="Times New Roman" w:hAnsi="Times New Roman" w:eastAsia="宋体" w:cs="Times New Roman"/>
                <w:b w:val="0"/>
                <w:bCs w:val="0"/>
                <w:color w:val="auto"/>
                <w:kern w:val="2"/>
                <w:sz w:val="24"/>
                <w:highlight w:val="none"/>
                <w:u w:val="none"/>
                <w:lang w:val="en-US" w:eastAsia="zh-CN" w:bidi="ar-SA"/>
              </w:rPr>
              <w:t>环保</w:t>
            </w:r>
            <w:r>
              <w:rPr>
                <w:rFonts w:hint="default" w:ascii="Times New Roman" w:hAnsi="Times New Roman" w:eastAsia="宋体" w:cs="Times New Roman"/>
                <w:b w:val="0"/>
                <w:bCs w:val="0"/>
                <w:color w:val="auto"/>
                <w:kern w:val="2"/>
                <w:sz w:val="24"/>
                <w:highlight w:val="none"/>
                <w:u w:val="none"/>
                <w:lang w:val="zh-CN" w:eastAsia="zh-CN" w:bidi="ar-SA"/>
              </w:rPr>
              <w:t>措施</w:t>
            </w:r>
          </w:p>
          <w:p w14:paraId="68CB643E">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eastAsia="宋体" w:cs="Times New Roman"/>
                <w:b w:val="0"/>
                <w:bCs w:val="0"/>
                <w:color w:val="auto"/>
                <w:kern w:val="2"/>
                <w:sz w:val="24"/>
                <w:highlight w:val="none"/>
                <w:u w:val="none"/>
                <w:lang w:val="zh-CN" w:eastAsia="zh-CN" w:bidi="ar-SA"/>
              </w:rPr>
              <w:t>a、应按照《企业事业单位突发环境事件应急预案编制备案管理办法（试行）》编制风险应急预案并在相关部门进行备案。</w:t>
            </w:r>
          </w:p>
          <w:p w14:paraId="0D882BEB">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highlight w:val="none"/>
                <w:u w:val="none"/>
                <w:lang w:val="zh-CN" w:eastAsia="zh-CN" w:bidi="ar-SA"/>
              </w:rPr>
            </w:pPr>
            <w:r>
              <w:rPr>
                <w:rFonts w:hint="default" w:ascii="Times New Roman" w:hAnsi="Times New Roman" w:eastAsia="宋体" w:cs="Times New Roman"/>
                <w:b w:val="0"/>
                <w:bCs w:val="0"/>
                <w:color w:val="auto"/>
                <w:kern w:val="2"/>
                <w:sz w:val="24"/>
                <w:highlight w:val="none"/>
                <w:u w:val="none"/>
                <w:lang w:val="zh-CN" w:eastAsia="zh-CN" w:bidi="ar-SA"/>
              </w:rPr>
              <w:t>b、制定安全生产规章制度和操作规程，其中安全生产规章制度包括安全检查制度、巡检制度、交接班制度、从业人员培训制度（含新进人员）、奖惩制度等；操作规程应包括正常操作条件、检修操作、设备和管道的更换、检修程序和发生故障时的应急方案等。</w:t>
            </w:r>
          </w:p>
          <w:p w14:paraId="1BE59874">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u w:val="none"/>
                <w:lang w:val="zh-CN" w:eastAsia="zh-CN" w:bidi="ar-SA"/>
              </w:rPr>
            </w:pPr>
            <w:r>
              <w:rPr>
                <w:rFonts w:hint="default" w:ascii="Times New Roman" w:hAnsi="Times New Roman" w:eastAsia="宋体" w:cs="Times New Roman"/>
                <w:b w:val="0"/>
                <w:bCs w:val="0"/>
                <w:color w:val="auto"/>
                <w:kern w:val="2"/>
                <w:sz w:val="24"/>
                <w:highlight w:val="none"/>
                <w:u w:val="none"/>
                <w:lang w:val="zh-CN" w:eastAsia="zh-CN" w:bidi="ar-SA"/>
              </w:rPr>
              <w:t>c、对从业人员（含新进人员）进行安全生产教育和培训。内容包括易燃易爆物料的特性（物理、化学性质），中毒危</w:t>
            </w:r>
            <w:r>
              <w:rPr>
                <w:rFonts w:hint="default" w:ascii="Times New Roman" w:hAnsi="Times New Roman" w:eastAsia="宋体" w:cs="Times New Roman"/>
                <w:b w:val="0"/>
                <w:bCs w:val="0"/>
                <w:color w:val="auto"/>
                <w:kern w:val="2"/>
                <w:sz w:val="24"/>
                <w:u w:val="none"/>
                <w:lang w:val="zh-CN" w:eastAsia="zh-CN" w:bidi="ar-SA"/>
              </w:rPr>
              <w:t>害及防护、自然措施∶岗位操作规程、设备使用操作规程，做到考核合格持证上岗。</w:t>
            </w:r>
          </w:p>
          <w:p w14:paraId="55C9FBE5">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u w:val="none"/>
                <w:lang w:val="zh-CN" w:eastAsia="zh-CN" w:bidi="ar-SA"/>
              </w:rPr>
            </w:pPr>
            <w:r>
              <w:rPr>
                <w:rFonts w:hint="default" w:ascii="Times New Roman" w:hAnsi="Times New Roman" w:eastAsia="宋体" w:cs="Times New Roman"/>
                <w:b w:val="0"/>
                <w:bCs w:val="0"/>
                <w:color w:val="auto"/>
                <w:kern w:val="2"/>
                <w:sz w:val="24"/>
                <w:u w:val="none"/>
                <w:lang w:val="zh-CN" w:eastAsia="zh-CN" w:bidi="ar-SA"/>
              </w:rPr>
              <w:t>d、重要岗位要编制安全检查表和事故应急预案，经常进行检查和事故救援演习，采取重点监控的措施。</w:t>
            </w:r>
          </w:p>
          <w:p w14:paraId="64408709">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u w:val="none"/>
                <w:lang w:val="zh-CN" w:eastAsia="zh-CN" w:bidi="ar-SA"/>
              </w:rPr>
            </w:pPr>
            <w:r>
              <w:rPr>
                <w:rFonts w:hint="default" w:ascii="Times New Roman" w:hAnsi="Times New Roman" w:cs="Times New Roman"/>
                <w:b w:val="0"/>
                <w:bCs w:val="0"/>
                <w:color w:val="auto"/>
                <w:kern w:val="2"/>
                <w:sz w:val="24"/>
                <w:u w:val="none"/>
                <w:lang w:val="en-US" w:eastAsia="zh-CN" w:bidi="ar-SA"/>
              </w:rPr>
              <w:t>e</w:t>
            </w:r>
            <w:r>
              <w:rPr>
                <w:rFonts w:hint="default" w:ascii="Times New Roman" w:hAnsi="Times New Roman" w:eastAsia="宋体" w:cs="Times New Roman"/>
                <w:b w:val="0"/>
                <w:bCs w:val="0"/>
                <w:color w:val="auto"/>
                <w:kern w:val="2"/>
                <w:sz w:val="24"/>
                <w:u w:val="none"/>
                <w:lang w:val="zh-CN" w:eastAsia="zh-CN" w:bidi="ar-SA"/>
              </w:rPr>
              <w:t>、对安全系统、安全设施及防护用具要指定专人负责，经常进行维护和保养，使之随时处于完好备用状态。</w:t>
            </w:r>
          </w:p>
          <w:p w14:paraId="246C8328">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u w:val="none"/>
                <w:lang w:val="zh-CN" w:eastAsia="zh-CN" w:bidi="ar-SA"/>
              </w:rPr>
            </w:pPr>
            <w:r>
              <w:rPr>
                <w:rFonts w:hint="default" w:ascii="Times New Roman" w:hAnsi="Times New Roman" w:cs="Times New Roman"/>
                <w:b w:val="0"/>
                <w:bCs w:val="0"/>
                <w:color w:val="auto"/>
                <w:kern w:val="2"/>
                <w:sz w:val="24"/>
                <w:u w:val="none"/>
                <w:lang w:val="en-US" w:eastAsia="zh-CN" w:bidi="ar-SA"/>
              </w:rPr>
              <w:t>f</w:t>
            </w:r>
            <w:r>
              <w:rPr>
                <w:rFonts w:hint="default" w:ascii="Times New Roman" w:hAnsi="Times New Roman" w:eastAsia="宋体" w:cs="Times New Roman"/>
                <w:b w:val="0"/>
                <w:bCs w:val="0"/>
                <w:color w:val="auto"/>
                <w:kern w:val="2"/>
                <w:sz w:val="24"/>
                <w:u w:val="none"/>
                <w:lang w:val="zh-CN" w:eastAsia="zh-CN" w:bidi="ar-SA"/>
              </w:rPr>
              <w:t>、消防器材要设置在明显、取用方便的地方，要经常检查，做到“三定”（定点、定型号和用量、定专人维护管理），不准挪作他用，还应按规定定期检测，保持完好。</w:t>
            </w:r>
          </w:p>
          <w:p w14:paraId="7907BB56">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u w:val="none"/>
                <w:lang w:val="zh-CN" w:eastAsia="zh-CN" w:bidi="ar-SA"/>
              </w:rPr>
            </w:pPr>
            <w:r>
              <w:rPr>
                <w:rFonts w:hint="default" w:ascii="Times New Roman" w:hAnsi="Times New Roman" w:cs="Times New Roman"/>
                <w:b w:val="0"/>
                <w:bCs w:val="0"/>
                <w:color w:val="auto"/>
                <w:kern w:val="2"/>
                <w:sz w:val="24"/>
                <w:u w:val="none"/>
                <w:lang w:val="en-US" w:eastAsia="zh-CN" w:bidi="ar-SA"/>
              </w:rPr>
              <w:t>g</w:t>
            </w:r>
            <w:r>
              <w:rPr>
                <w:rFonts w:hint="default" w:ascii="Times New Roman" w:hAnsi="Times New Roman" w:eastAsia="宋体" w:cs="Times New Roman"/>
                <w:b w:val="0"/>
                <w:bCs w:val="0"/>
                <w:color w:val="auto"/>
                <w:kern w:val="2"/>
                <w:sz w:val="24"/>
                <w:u w:val="none"/>
                <w:lang w:val="zh-CN" w:eastAsia="zh-CN" w:bidi="ar-SA"/>
              </w:rPr>
              <w:t>、在进行维护、检修存在有瓦斯气的生产装置时，必须事先制定维护、检修方案，明确职业中毒危害防护措施，确保维护、检修人员的生命安全和身体健康。进入柜体检修，必须严格执行进入设备和入柜的“八个必须”；动火作业</w:t>
            </w:r>
          </w:p>
          <w:p w14:paraId="57AE1D16">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textAlignment w:val="auto"/>
              <w:rPr>
                <w:rFonts w:hint="default" w:ascii="Times New Roman" w:hAnsi="Times New Roman" w:eastAsia="宋体" w:cs="Times New Roman"/>
                <w:b w:val="0"/>
                <w:bCs w:val="0"/>
                <w:color w:val="auto"/>
                <w:kern w:val="2"/>
                <w:sz w:val="24"/>
                <w:u w:val="none"/>
                <w:lang w:val="zh-CN" w:eastAsia="zh-CN" w:bidi="ar-SA"/>
              </w:rPr>
            </w:pPr>
            <w:r>
              <w:rPr>
                <w:rFonts w:hint="default" w:ascii="Times New Roman" w:hAnsi="Times New Roman" w:eastAsia="宋体" w:cs="Times New Roman"/>
                <w:b w:val="0"/>
                <w:bCs w:val="0"/>
                <w:color w:val="auto"/>
                <w:kern w:val="2"/>
                <w:sz w:val="24"/>
                <w:u w:val="none"/>
                <w:lang w:val="zh-CN" w:eastAsia="zh-CN" w:bidi="ar-SA"/>
              </w:rPr>
              <w:t>必须严格执行动火作业的"六大禁令"。</w:t>
            </w:r>
          </w:p>
          <w:p w14:paraId="64B08D38">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0" w:firstLineChars="200"/>
              <w:textAlignment w:val="auto"/>
              <w:rPr>
                <w:rFonts w:hint="default" w:ascii="Times New Roman" w:hAnsi="Times New Roman" w:eastAsia="宋体" w:cs="Times New Roman"/>
                <w:b w:val="0"/>
                <w:bCs w:val="0"/>
                <w:color w:val="auto"/>
                <w:kern w:val="2"/>
                <w:sz w:val="24"/>
                <w:u w:val="none"/>
                <w:lang w:val="en-US" w:eastAsia="zh-CN" w:bidi="ar-SA"/>
              </w:rPr>
            </w:pPr>
            <w:r>
              <w:rPr>
                <w:rFonts w:hint="default" w:ascii="Times New Roman" w:hAnsi="Times New Roman" w:cs="Times New Roman"/>
                <w:b w:val="0"/>
                <w:bCs w:val="0"/>
                <w:color w:val="auto"/>
                <w:kern w:val="2"/>
                <w:sz w:val="24"/>
                <w:u w:val="none"/>
                <w:lang w:val="en-US" w:eastAsia="zh-CN" w:bidi="ar-SA"/>
              </w:rPr>
              <w:t>h</w:t>
            </w:r>
            <w:r>
              <w:rPr>
                <w:rFonts w:hint="default" w:ascii="Times New Roman" w:hAnsi="Times New Roman" w:eastAsia="宋体" w:cs="Times New Roman"/>
                <w:b w:val="0"/>
                <w:bCs w:val="0"/>
                <w:color w:val="auto"/>
                <w:kern w:val="2"/>
                <w:sz w:val="24"/>
                <w:u w:val="none"/>
                <w:lang w:val="zh-CN" w:eastAsia="zh-CN" w:bidi="ar-SA"/>
              </w:rPr>
              <w:t>、为防止事故查锁，恶性扩大，确保瓦斯气设施的安全运行和生产，建设单位应制定相应的详细事故应急救援预案</w:t>
            </w:r>
            <w:r>
              <w:rPr>
                <w:rFonts w:hint="default" w:ascii="Times New Roman" w:hAnsi="Times New Roman" w:cs="Times New Roman"/>
                <w:b w:val="0"/>
                <w:bCs w:val="0"/>
                <w:color w:val="auto"/>
                <w:kern w:val="2"/>
                <w:sz w:val="24"/>
                <w:u w:val="none"/>
                <w:lang w:val="zh-CN" w:eastAsia="zh-CN" w:bidi="ar-SA"/>
              </w:rPr>
              <w:t>。</w:t>
            </w:r>
          </w:p>
          <w:p w14:paraId="23A81953">
            <w:pPr>
              <w:pStyle w:val="28"/>
              <w:keepNext w:val="0"/>
              <w:keepLines w:val="0"/>
              <w:widowControl/>
              <w:suppressLineNumbers w:val="0"/>
              <w:spacing w:before="0" w:beforeAutospacing="0" w:after="0" w:afterAutospacing="0" w:line="240" w:lineRule="auto"/>
              <w:ind w:left="0" w:right="0" w:firstLine="480" w:firstLineChars="200"/>
              <w:rPr>
                <w:rFonts w:ascii="Times New Roman" w:hAnsi="Times New Roman" w:cs="Times New Roman"/>
                <w:color w:val="auto"/>
                <w:sz w:val="24"/>
                <w:szCs w:val="24"/>
                <w:u w:val="none"/>
              </w:rPr>
            </w:pPr>
          </w:p>
        </w:tc>
      </w:tr>
      <w:tr w14:paraId="54965E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95" w:hRule="atLeast"/>
          <w:jc w:val="center"/>
        </w:trPr>
        <w:tc>
          <w:tcPr>
            <w:tcW w:w="1291" w:type="dxa"/>
            <w:vAlign w:val="center"/>
          </w:tcPr>
          <w:p w14:paraId="3D6098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b/>
                <w:bCs/>
                <w:color w:val="auto"/>
                <w:spacing w:val="-8"/>
                <w:sz w:val="24"/>
                <w:szCs w:val="24"/>
                <w:u w:val="none"/>
              </w:rPr>
            </w:pPr>
            <w:r>
              <w:rPr>
                <w:rFonts w:ascii="Times New Roman" w:hAnsi="Times New Roman" w:cs="Times New Roman"/>
                <w:b/>
                <w:bCs/>
                <w:color w:val="auto"/>
                <w:spacing w:val="-8"/>
                <w:sz w:val="24"/>
                <w:szCs w:val="24"/>
                <w:u w:val="none"/>
              </w:rPr>
              <w:t>其他环境</w:t>
            </w:r>
          </w:p>
          <w:p w14:paraId="30DABA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pacing w:val="-8"/>
                <w:sz w:val="24"/>
                <w:szCs w:val="24"/>
                <w:u w:val="none"/>
              </w:rPr>
            </w:pPr>
            <w:r>
              <w:rPr>
                <w:rFonts w:ascii="Times New Roman" w:hAnsi="Times New Roman" w:cs="Times New Roman"/>
                <w:b/>
                <w:bCs/>
                <w:color w:val="auto"/>
                <w:spacing w:val="-8"/>
                <w:sz w:val="24"/>
                <w:szCs w:val="24"/>
                <w:u w:val="none"/>
              </w:rPr>
              <w:t>管理要求</w:t>
            </w:r>
          </w:p>
        </w:tc>
        <w:tc>
          <w:tcPr>
            <w:tcW w:w="7990" w:type="dxa"/>
            <w:gridSpan w:val="4"/>
            <w:vAlign w:val="center"/>
          </w:tcPr>
          <w:p w14:paraId="1CC93CFB">
            <w:pPr>
              <w:keepNext w:val="0"/>
              <w:keepLines w:val="0"/>
              <w:pageBreakBefore w:val="0"/>
              <w:widowControl w:val="0"/>
              <w:kinsoku/>
              <w:wordWrap/>
              <w:overflowPunct/>
              <w:topLinePunct w:val="0"/>
              <w:autoSpaceDE/>
              <w:autoSpaceDN/>
              <w:bidi w:val="0"/>
              <w:adjustRightInd w:val="0"/>
              <w:snapToGrid w:val="0"/>
              <w:spacing w:line="520" w:lineRule="exact"/>
              <w:ind w:firstLine="240" w:firstLineChars="100"/>
              <w:jc w:val="left"/>
              <w:textAlignment w:val="auto"/>
              <w:rPr>
                <w:rFonts w:ascii="Times New Roman" w:hAnsi="Times New Roman" w:cs="Times New Roman"/>
                <w:color w:val="auto"/>
                <w:sz w:val="24"/>
                <w:szCs w:val="24"/>
                <w:u w:val="none"/>
              </w:rPr>
            </w:pPr>
            <w:r>
              <w:rPr>
                <w:rFonts w:hint="eastAsia" w:ascii="Times New Roman" w:hAnsi="Times New Roman" w:cs="Times New Roman"/>
                <w:color w:val="auto"/>
                <w:sz w:val="24"/>
                <w:szCs w:val="24"/>
                <w:u w:val="none"/>
              </w:rPr>
              <w:t>（1）项目建设过程中主体工程、环保设施应同时设计、同时施工、同时投产运行；项目建成后按照《建设项目竣工环境保护验收暂行办法》（国环规环评【2017】4号）要求开展项目竣工环境保护验收工作。</w:t>
            </w:r>
          </w:p>
          <w:p w14:paraId="24E18808">
            <w:pPr>
              <w:keepNext w:val="0"/>
              <w:keepLines w:val="0"/>
              <w:pageBreakBefore w:val="0"/>
              <w:widowControl w:val="0"/>
              <w:kinsoku/>
              <w:wordWrap/>
              <w:overflowPunct/>
              <w:topLinePunct w:val="0"/>
              <w:autoSpaceDE/>
              <w:autoSpaceDN/>
              <w:bidi w:val="0"/>
              <w:adjustRightInd w:val="0"/>
              <w:snapToGrid w:val="0"/>
              <w:spacing w:line="520" w:lineRule="exact"/>
              <w:ind w:firstLine="240" w:firstLineChars="100"/>
              <w:jc w:val="left"/>
              <w:textAlignment w:val="auto"/>
              <w:rPr>
                <w:rFonts w:ascii="Times New Roman" w:hAnsi="Times New Roman" w:cs="Times New Roman"/>
                <w:color w:val="auto"/>
                <w:sz w:val="24"/>
                <w:szCs w:val="24"/>
                <w:u w:val="none"/>
              </w:rPr>
            </w:pPr>
            <w:r>
              <w:rPr>
                <w:rFonts w:hint="eastAsia" w:ascii="Times New Roman" w:hAnsi="Times New Roman" w:cs="Times New Roman"/>
                <w:color w:val="auto"/>
                <w:sz w:val="24"/>
                <w:szCs w:val="24"/>
                <w:u w:val="none"/>
              </w:rPr>
              <w:t>（2）按照《排污许可管理条例》（国务院令第736号）的相关要求开展固定污染源排污许可登记。</w:t>
            </w:r>
          </w:p>
          <w:p w14:paraId="78954946">
            <w:pPr>
              <w:keepNext w:val="0"/>
              <w:keepLines w:val="0"/>
              <w:pageBreakBefore w:val="0"/>
              <w:widowControl w:val="0"/>
              <w:kinsoku/>
              <w:wordWrap/>
              <w:overflowPunct/>
              <w:topLinePunct w:val="0"/>
              <w:autoSpaceDE/>
              <w:autoSpaceDN/>
              <w:bidi w:val="0"/>
              <w:adjustRightInd w:val="0"/>
              <w:snapToGrid w:val="0"/>
              <w:spacing w:line="520" w:lineRule="exact"/>
              <w:ind w:firstLine="240" w:firstLineChars="100"/>
              <w:jc w:val="left"/>
              <w:textAlignment w:val="auto"/>
              <w:rPr>
                <w:rFonts w:ascii="Times New Roman" w:hAnsi="Times New Roman" w:cs="Times New Roman"/>
                <w:color w:val="auto"/>
                <w:sz w:val="24"/>
                <w:szCs w:val="24"/>
                <w:u w:val="none"/>
              </w:rPr>
            </w:pPr>
            <w:r>
              <w:rPr>
                <w:rFonts w:hint="eastAsia" w:ascii="Times New Roman" w:hAnsi="Times New Roman" w:cs="Times New Roman"/>
                <w:color w:val="auto"/>
                <w:sz w:val="24"/>
                <w:szCs w:val="24"/>
                <w:u w:val="none"/>
              </w:rPr>
              <w:t>（3）项目营运过程中建立环境管理台账制度，落实环境管理台账记录的责任人，明确工作职责，包括台账的记录、整理、维护和管理等。台账记录频次和内容须满足排污许可证环境管理要求，并对台账记录结果的真实性、完整性和规范性负责。台账按照电子化储存和纸质储存两种形式同步管理，台账保存期限不得少于五年。</w:t>
            </w:r>
          </w:p>
          <w:p w14:paraId="35CC807E">
            <w:pPr>
              <w:keepNext w:val="0"/>
              <w:keepLines w:val="0"/>
              <w:pageBreakBefore w:val="0"/>
              <w:widowControl w:val="0"/>
              <w:kinsoku/>
              <w:wordWrap/>
              <w:overflowPunct/>
              <w:topLinePunct w:val="0"/>
              <w:autoSpaceDE/>
              <w:autoSpaceDN/>
              <w:bidi w:val="0"/>
              <w:adjustRightInd w:val="0"/>
              <w:snapToGrid w:val="0"/>
              <w:spacing w:line="520" w:lineRule="exact"/>
              <w:ind w:firstLine="240" w:firstLineChars="100"/>
              <w:jc w:val="left"/>
              <w:textAlignment w:val="auto"/>
              <w:rPr>
                <w:rFonts w:ascii="Times New Roman" w:hAnsi="Times New Roman" w:cs="Times New Roman"/>
                <w:color w:val="auto"/>
                <w:sz w:val="24"/>
                <w:szCs w:val="24"/>
                <w:u w:val="none"/>
              </w:rPr>
            </w:pPr>
            <w:r>
              <w:rPr>
                <w:rFonts w:hint="eastAsia" w:ascii="Times New Roman" w:hAnsi="Times New Roman" w:cs="Times New Roman"/>
                <w:color w:val="auto"/>
                <w:sz w:val="24"/>
                <w:szCs w:val="24"/>
                <w:u w:val="none"/>
              </w:rPr>
              <w:t>（4）环保标识规范化设置，粘贴告示牌。</w:t>
            </w:r>
          </w:p>
        </w:tc>
      </w:tr>
    </w:tbl>
    <w:p w14:paraId="07330A65">
      <w:pPr>
        <w:pStyle w:val="28"/>
        <w:spacing w:beforeLines="50" w:beforeAutospacing="0" w:afterLines="50" w:afterAutospacing="0"/>
        <w:jc w:val="center"/>
        <w:outlineLvl w:val="0"/>
        <w:rPr>
          <w:rFonts w:ascii="Times New Roman" w:hAnsi="Times New Roman" w:eastAsia="黑体" w:cs="Times New Roman"/>
          <w:snapToGrid w:val="0"/>
          <w:color w:val="auto"/>
          <w:sz w:val="30"/>
          <w:szCs w:val="30"/>
          <w:u w:val="none"/>
        </w:rPr>
      </w:pPr>
      <w:r>
        <w:rPr>
          <w:rFonts w:ascii="Times New Roman" w:hAnsi="Times New Roman" w:cs="Times New Roman"/>
          <w:snapToGrid w:val="0"/>
          <w:color w:val="auto"/>
          <w:u w:val="none"/>
        </w:rPr>
        <w:br w:type="page"/>
      </w:r>
      <w:r>
        <w:rPr>
          <w:rFonts w:ascii="Times New Roman" w:hAnsi="Times New Roman" w:eastAsia="黑体" w:cs="Times New Roman"/>
          <w:b/>
          <w:bCs/>
          <w:color w:val="auto"/>
          <w:sz w:val="30"/>
          <w:szCs w:val="30"/>
          <w:u w:val="none"/>
        </w:rPr>
        <w:t>六、结论</w:t>
      </w:r>
    </w:p>
    <w:tbl>
      <w:tblPr>
        <w:tblStyle w:val="32"/>
        <w:tblW w:w="92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14:paraId="4649DC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288" w:type="dxa"/>
          </w:tcPr>
          <w:p w14:paraId="693B0F2C">
            <w:pPr>
              <w:spacing w:line="360" w:lineRule="auto"/>
              <w:ind w:firstLine="480" w:firstLineChars="200"/>
              <w:rPr>
                <w:rFonts w:ascii="Times New Roman" w:hAnsi="Times New Roman" w:cs="Times New Roman"/>
                <w:color w:val="auto"/>
                <w:sz w:val="24"/>
                <w:u w:val="none"/>
              </w:rPr>
            </w:pPr>
          </w:p>
          <w:p w14:paraId="06896ED5">
            <w:pPr>
              <w:spacing w:line="360" w:lineRule="auto"/>
              <w:ind w:firstLine="480" w:firstLineChars="200"/>
              <w:rPr>
                <w:rFonts w:ascii="Times New Roman" w:hAnsi="Times New Roman" w:cs="Times New Roman"/>
                <w:color w:val="auto"/>
                <w:sz w:val="24"/>
                <w:u w:val="none"/>
              </w:rPr>
            </w:pPr>
          </w:p>
          <w:p w14:paraId="649686D8">
            <w:pPr>
              <w:spacing w:line="360" w:lineRule="auto"/>
              <w:ind w:firstLine="480" w:firstLineChars="200"/>
              <w:rPr>
                <w:rFonts w:ascii="Times New Roman" w:hAnsi="Times New Roman" w:cs="Times New Roman"/>
                <w:color w:val="auto"/>
                <w:sz w:val="24"/>
                <w:u w:val="none"/>
              </w:rPr>
            </w:pPr>
          </w:p>
          <w:p w14:paraId="10CE4262">
            <w:pPr>
              <w:spacing w:line="360" w:lineRule="auto"/>
              <w:ind w:firstLine="480" w:firstLineChars="200"/>
              <w:rPr>
                <w:rFonts w:ascii="Times New Roman" w:hAnsi="Times New Roman" w:cs="Times New Roman"/>
                <w:color w:val="auto"/>
                <w:sz w:val="24"/>
                <w:u w:val="none"/>
              </w:rPr>
            </w:pPr>
          </w:p>
          <w:p w14:paraId="2E83DACD">
            <w:pPr>
              <w:spacing w:line="360" w:lineRule="auto"/>
              <w:ind w:firstLine="480" w:firstLineChars="200"/>
              <w:rPr>
                <w:rFonts w:ascii="Times New Roman" w:hAnsi="Times New Roman" w:cs="Times New Roman"/>
                <w:color w:val="auto"/>
                <w:sz w:val="24"/>
                <w:u w:val="none"/>
              </w:rPr>
            </w:pPr>
          </w:p>
          <w:p w14:paraId="6BF1598E">
            <w:pPr>
              <w:spacing w:line="360" w:lineRule="auto"/>
              <w:ind w:firstLine="480" w:firstLineChars="200"/>
              <w:rPr>
                <w:rFonts w:ascii="Times New Roman" w:hAnsi="Times New Roman" w:cs="Times New Roman"/>
                <w:color w:val="auto"/>
                <w:sz w:val="24"/>
                <w:u w:val="none"/>
              </w:rPr>
            </w:pPr>
          </w:p>
          <w:p w14:paraId="2D85BDFD">
            <w:pPr>
              <w:spacing w:line="360" w:lineRule="auto"/>
              <w:ind w:firstLine="480" w:firstLineChars="200"/>
              <w:rPr>
                <w:rFonts w:ascii="Times New Roman" w:hAnsi="Times New Roman" w:cs="Times New Roman"/>
                <w:color w:val="auto"/>
                <w:sz w:val="24"/>
                <w:u w:val="none"/>
              </w:rPr>
            </w:pPr>
          </w:p>
          <w:p w14:paraId="67089847">
            <w:pPr>
              <w:spacing w:line="360" w:lineRule="auto"/>
              <w:ind w:firstLine="480" w:firstLineChars="200"/>
              <w:rPr>
                <w:rFonts w:ascii="Times New Roman" w:hAnsi="Times New Roman" w:cs="Times New Roman"/>
                <w:color w:val="auto"/>
                <w:sz w:val="24"/>
                <w:u w:val="none"/>
              </w:rPr>
            </w:pPr>
          </w:p>
          <w:p w14:paraId="1956418D">
            <w:pPr>
              <w:spacing w:line="360" w:lineRule="auto"/>
              <w:ind w:firstLine="480" w:firstLineChars="200"/>
              <w:rPr>
                <w:rFonts w:ascii="Times New Roman" w:hAnsi="Times New Roman" w:cs="Times New Roman"/>
                <w:color w:val="auto"/>
                <w:sz w:val="24"/>
                <w:u w:val="none"/>
              </w:rPr>
            </w:pPr>
          </w:p>
          <w:p w14:paraId="4CE78676">
            <w:pPr>
              <w:spacing w:line="360" w:lineRule="auto"/>
              <w:ind w:firstLine="480" w:firstLineChars="200"/>
              <w:rPr>
                <w:rFonts w:ascii="Times New Roman" w:hAnsi="Times New Roman" w:cs="Times New Roman"/>
                <w:color w:val="auto"/>
                <w:sz w:val="24"/>
                <w:u w:val="none"/>
              </w:rPr>
            </w:pPr>
          </w:p>
          <w:p w14:paraId="6D32FD3E">
            <w:pPr>
              <w:spacing w:line="360" w:lineRule="auto"/>
              <w:ind w:firstLine="480" w:firstLineChars="200"/>
              <w:rPr>
                <w:rFonts w:ascii="Times New Roman" w:hAnsi="Times New Roman" w:cs="Times New Roman"/>
                <w:color w:val="auto"/>
                <w:sz w:val="24"/>
                <w:u w:val="none"/>
              </w:rPr>
            </w:pPr>
          </w:p>
          <w:p w14:paraId="70C533B3">
            <w:pPr>
              <w:spacing w:line="360" w:lineRule="auto"/>
              <w:ind w:firstLine="480" w:firstLineChars="200"/>
              <w:rPr>
                <w:rFonts w:ascii="Times New Roman" w:hAnsi="Times New Roman" w:cs="Times New Roman"/>
                <w:color w:val="auto"/>
                <w:sz w:val="24"/>
                <w:u w:val="none"/>
              </w:rPr>
            </w:pPr>
          </w:p>
          <w:p w14:paraId="6DF2C6D9">
            <w:pPr>
              <w:spacing w:line="360" w:lineRule="auto"/>
              <w:ind w:firstLine="480" w:firstLineChars="200"/>
              <w:rPr>
                <w:rFonts w:ascii="Times New Roman" w:hAnsi="Times New Roman" w:cs="Times New Roman"/>
                <w:color w:val="auto"/>
                <w:sz w:val="24"/>
                <w:u w:val="none"/>
              </w:rPr>
            </w:pPr>
          </w:p>
          <w:p w14:paraId="66130516">
            <w:pPr>
              <w:spacing w:line="360" w:lineRule="auto"/>
              <w:ind w:firstLine="480" w:firstLineChars="200"/>
              <w:rPr>
                <w:rFonts w:ascii="Times New Roman" w:hAnsi="Times New Roman" w:cs="Times New Roman"/>
                <w:color w:val="auto"/>
                <w:sz w:val="24"/>
                <w:u w:val="none"/>
              </w:rPr>
            </w:pPr>
          </w:p>
          <w:p w14:paraId="41AEFEE6">
            <w:pPr>
              <w:spacing w:line="360" w:lineRule="auto"/>
              <w:ind w:firstLine="480" w:firstLineChars="200"/>
              <w:rPr>
                <w:rFonts w:ascii="Times New Roman" w:hAnsi="Times New Roman" w:cs="Times New Roman"/>
                <w:color w:val="auto"/>
                <w:sz w:val="24"/>
                <w:u w:val="none"/>
              </w:rPr>
            </w:pPr>
            <w:r>
              <w:rPr>
                <w:rFonts w:ascii="Times New Roman" w:hAnsi="Times New Roman" w:cs="Times New Roman"/>
                <w:color w:val="auto"/>
                <w:sz w:val="24"/>
                <w:u w:val="none"/>
              </w:rPr>
              <w:t>综上所述，</w:t>
            </w:r>
            <w:r>
              <w:rPr>
                <w:rFonts w:hint="eastAsia" w:cs="Times New Roman"/>
                <w:color w:val="auto"/>
                <w:sz w:val="24"/>
                <w:u w:val="none"/>
                <w:lang w:eastAsia="zh-CN"/>
              </w:rPr>
              <w:t>平煤煌龙新能源有限公司（</w:t>
            </w:r>
            <w:r>
              <w:rPr>
                <w:rFonts w:hint="eastAsia" w:cs="Times New Roman"/>
                <w:color w:val="auto"/>
                <w:sz w:val="24"/>
                <w:u w:val="none"/>
                <w:lang w:val="en-US" w:eastAsia="zh-CN"/>
              </w:rPr>
              <w:t>现河南超蓝能源科技有限公司</w:t>
            </w:r>
            <w:r>
              <w:rPr>
                <w:rFonts w:hint="eastAsia" w:cs="Times New Roman"/>
                <w:color w:val="auto"/>
                <w:sz w:val="24"/>
                <w:u w:val="none"/>
                <w:lang w:eastAsia="zh-CN"/>
              </w:rPr>
              <w:t>）八矿二井瓦斯发电站新建项目</w:t>
            </w:r>
            <w:r>
              <w:rPr>
                <w:rFonts w:ascii="Times New Roman" w:hAnsi="Times New Roman" w:cs="Times New Roman"/>
                <w:color w:val="auto"/>
                <w:sz w:val="24"/>
                <w:u w:val="none"/>
              </w:rPr>
              <w:t>符合国家产业政策，项目选址合理</w:t>
            </w:r>
            <w:r>
              <w:rPr>
                <w:rFonts w:hint="eastAsia" w:ascii="Times New Roman" w:hAnsi="Times New Roman" w:cs="Times New Roman"/>
                <w:color w:val="auto"/>
                <w:sz w:val="24"/>
                <w:u w:val="none"/>
              </w:rPr>
              <w:t>。项目建成后，产生的污染物经过采取措治理后，能够实现达标排放，不会对环境造成较大影响。</w:t>
            </w:r>
            <w:r>
              <w:rPr>
                <w:rFonts w:ascii="Times New Roman" w:hAnsi="Times New Roman" w:cs="Times New Roman"/>
                <w:color w:val="auto"/>
                <w:sz w:val="24"/>
                <w:u w:val="none"/>
              </w:rPr>
              <w:t>在落实评价提出的各项环境保护及污染防治措施的基础上，所产生的污染物均能达标排放或妥善处置，对周围环境影响较小。因此，从环保角度分析，项目的建设可行。</w:t>
            </w:r>
          </w:p>
          <w:p w14:paraId="3DC29FB0">
            <w:pPr>
              <w:spacing w:line="460" w:lineRule="exact"/>
              <w:ind w:firstLine="480" w:firstLineChars="200"/>
              <w:rPr>
                <w:rFonts w:ascii="Times New Roman" w:hAnsi="Times New Roman" w:cs="Times New Roman"/>
                <w:color w:val="auto"/>
                <w:sz w:val="24"/>
                <w:u w:val="none"/>
              </w:rPr>
            </w:pPr>
          </w:p>
          <w:p w14:paraId="79487D79">
            <w:pPr>
              <w:spacing w:line="460" w:lineRule="exact"/>
              <w:ind w:firstLine="480" w:firstLineChars="200"/>
              <w:rPr>
                <w:rFonts w:ascii="Times New Roman" w:hAnsi="Times New Roman" w:cs="Times New Roman"/>
                <w:color w:val="auto"/>
                <w:sz w:val="24"/>
                <w:u w:val="none"/>
              </w:rPr>
            </w:pPr>
          </w:p>
          <w:p w14:paraId="2C4B936C">
            <w:pPr>
              <w:spacing w:line="460" w:lineRule="exact"/>
              <w:ind w:firstLine="480" w:firstLineChars="200"/>
              <w:rPr>
                <w:rFonts w:ascii="Times New Roman" w:hAnsi="Times New Roman" w:cs="Times New Roman"/>
                <w:color w:val="auto"/>
                <w:sz w:val="24"/>
                <w:u w:val="none"/>
              </w:rPr>
            </w:pPr>
          </w:p>
          <w:p w14:paraId="53D4942B">
            <w:pPr>
              <w:spacing w:line="460" w:lineRule="exact"/>
              <w:ind w:firstLine="480" w:firstLineChars="200"/>
              <w:rPr>
                <w:rFonts w:ascii="Times New Roman" w:hAnsi="Times New Roman" w:cs="Times New Roman"/>
                <w:color w:val="auto"/>
                <w:sz w:val="24"/>
                <w:u w:val="none"/>
              </w:rPr>
            </w:pPr>
          </w:p>
          <w:p w14:paraId="452CE55D">
            <w:pPr>
              <w:spacing w:line="460" w:lineRule="exact"/>
              <w:ind w:firstLine="480" w:firstLineChars="200"/>
              <w:rPr>
                <w:rFonts w:ascii="Times New Roman" w:hAnsi="Times New Roman" w:cs="Times New Roman"/>
                <w:color w:val="auto"/>
                <w:sz w:val="24"/>
                <w:u w:val="none"/>
              </w:rPr>
            </w:pPr>
          </w:p>
          <w:p w14:paraId="2258ECD1">
            <w:pPr>
              <w:spacing w:line="460" w:lineRule="exact"/>
              <w:ind w:firstLine="480" w:firstLineChars="200"/>
              <w:rPr>
                <w:rFonts w:ascii="Times New Roman" w:hAnsi="Times New Roman" w:cs="Times New Roman"/>
                <w:color w:val="auto"/>
                <w:sz w:val="24"/>
                <w:u w:val="none"/>
              </w:rPr>
            </w:pPr>
          </w:p>
          <w:p w14:paraId="13ECECF3">
            <w:pPr>
              <w:spacing w:line="460" w:lineRule="exact"/>
              <w:ind w:firstLine="480" w:firstLineChars="200"/>
              <w:rPr>
                <w:rFonts w:ascii="Times New Roman" w:hAnsi="Times New Roman" w:cs="Times New Roman"/>
                <w:color w:val="auto"/>
                <w:sz w:val="24"/>
                <w:u w:val="none"/>
              </w:rPr>
            </w:pPr>
          </w:p>
          <w:p w14:paraId="1A33668A">
            <w:pPr>
              <w:spacing w:line="460" w:lineRule="exact"/>
              <w:ind w:firstLine="480" w:firstLineChars="200"/>
              <w:rPr>
                <w:rFonts w:ascii="Times New Roman" w:hAnsi="Times New Roman" w:cs="Times New Roman"/>
                <w:color w:val="auto"/>
                <w:sz w:val="24"/>
                <w:u w:val="none"/>
              </w:rPr>
            </w:pPr>
          </w:p>
          <w:p w14:paraId="3A936223">
            <w:pPr>
              <w:spacing w:line="460" w:lineRule="exact"/>
              <w:ind w:firstLine="480" w:firstLineChars="200"/>
              <w:rPr>
                <w:rFonts w:ascii="Times New Roman" w:hAnsi="Times New Roman" w:cs="Times New Roman"/>
                <w:color w:val="auto"/>
                <w:sz w:val="24"/>
                <w:u w:val="none"/>
              </w:rPr>
            </w:pPr>
          </w:p>
          <w:p w14:paraId="3A77ADC6">
            <w:pPr>
              <w:pStyle w:val="31"/>
            </w:pPr>
          </w:p>
          <w:p w14:paraId="766ACECF">
            <w:pPr>
              <w:spacing w:line="460" w:lineRule="exact"/>
              <w:rPr>
                <w:rFonts w:ascii="Times New Roman" w:hAnsi="Times New Roman" w:cs="Times New Roman"/>
                <w:color w:val="auto"/>
                <w:sz w:val="24"/>
                <w:u w:val="none"/>
              </w:rPr>
            </w:pPr>
          </w:p>
        </w:tc>
      </w:tr>
    </w:tbl>
    <w:p w14:paraId="5F994E27">
      <w:pPr>
        <w:rPr>
          <w:rFonts w:ascii="Times New Roman" w:hAnsi="Times New Roman" w:cs="Times New Roman"/>
          <w:color w:val="auto"/>
          <w:u w:val="none"/>
        </w:rPr>
        <w:sectPr>
          <w:footerReference r:id="rId7" w:type="default"/>
          <w:pgSz w:w="11906" w:h="16838"/>
          <w:pgMar w:top="1134" w:right="1417" w:bottom="1134" w:left="1417" w:header="851" w:footer="851" w:gutter="0"/>
          <w:pgBorders>
            <w:top w:val="none" w:sz="0" w:space="0"/>
            <w:left w:val="none" w:sz="0" w:space="0"/>
            <w:bottom w:val="none" w:sz="0" w:space="0"/>
            <w:right w:val="none" w:sz="0" w:space="0"/>
          </w:pgBorders>
          <w:pgNumType w:fmt="decimal"/>
          <w:cols w:space="720" w:num="1"/>
          <w:docGrid w:linePitch="312" w:charSpace="0"/>
        </w:sectPr>
      </w:pPr>
    </w:p>
    <w:p w14:paraId="7745361D">
      <w:pPr>
        <w:pStyle w:val="28"/>
        <w:adjustRightInd w:val="0"/>
        <w:snapToGrid w:val="0"/>
        <w:spacing w:before="0" w:beforeAutospacing="0" w:after="0" w:afterAutospacing="0"/>
        <w:outlineLvl w:val="0"/>
        <w:rPr>
          <w:rFonts w:ascii="Times New Roman" w:hAnsi="Times New Roman" w:cs="Times New Roman"/>
          <w:snapToGrid w:val="0"/>
          <w:color w:val="auto"/>
          <w:sz w:val="32"/>
          <w:szCs w:val="32"/>
          <w:u w:val="none"/>
        </w:rPr>
      </w:pPr>
      <w:r>
        <w:rPr>
          <w:rFonts w:ascii="Times New Roman" w:hAnsi="Times New Roman" w:cs="Times New Roman"/>
          <w:b/>
          <w:bCs/>
          <w:snapToGrid w:val="0"/>
          <w:color w:val="auto"/>
          <w:sz w:val="32"/>
          <w:szCs w:val="32"/>
          <w:u w:val="none"/>
        </w:rPr>
        <w:t>附表</w:t>
      </w:r>
    </w:p>
    <w:p w14:paraId="40C938E6">
      <w:pPr>
        <w:pStyle w:val="28"/>
        <w:adjustRightInd w:val="0"/>
        <w:snapToGrid w:val="0"/>
        <w:spacing w:before="0" w:beforeAutospacing="0" w:after="0" w:afterAutospacing="0"/>
        <w:jc w:val="center"/>
        <w:outlineLvl w:val="0"/>
        <w:rPr>
          <w:rFonts w:ascii="Times New Roman" w:hAnsi="Times New Roman" w:cs="Times New Roman"/>
          <w:snapToGrid w:val="0"/>
          <w:color w:val="auto"/>
          <w:sz w:val="38"/>
          <w:szCs w:val="38"/>
          <w:u w:val="none"/>
        </w:rPr>
      </w:pPr>
      <w:r>
        <w:rPr>
          <w:rFonts w:ascii="Times New Roman" w:hAnsi="Times New Roman" w:cs="Times New Roman"/>
          <w:snapToGrid w:val="0"/>
          <w:color w:val="auto"/>
          <w:sz w:val="38"/>
          <w:szCs w:val="38"/>
          <w:u w:val="none"/>
        </w:rPr>
        <w:t>建设项目污染物排放量汇总表</w:t>
      </w:r>
    </w:p>
    <w:tbl>
      <w:tblPr>
        <w:tblStyle w:val="32"/>
        <w:tblW w:w="14761"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79"/>
        <w:gridCol w:w="2036"/>
        <w:gridCol w:w="1820"/>
        <w:gridCol w:w="1365"/>
        <w:gridCol w:w="1820"/>
        <w:gridCol w:w="1670"/>
        <w:gridCol w:w="1676"/>
        <w:gridCol w:w="1868"/>
        <w:gridCol w:w="1327"/>
      </w:tblGrid>
      <w:tr w14:paraId="24E6AA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9" w:type="dxa"/>
            <w:tcBorders>
              <w:tl2br w:val="single" w:color="auto" w:sz="4" w:space="0"/>
            </w:tcBorders>
            <w:tcMar>
              <w:left w:w="28" w:type="dxa"/>
              <w:right w:w="28" w:type="dxa"/>
            </w:tcMar>
            <w:vAlign w:val="center"/>
          </w:tcPr>
          <w:p w14:paraId="150E26BA">
            <w:pPr>
              <w:pStyle w:val="62"/>
              <w:keepNext w:val="0"/>
              <w:keepLines w:val="0"/>
              <w:pageBreakBefore w:val="0"/>
              <w:kinsoku/>
              <w:wordWrap/>
              <w:overflowPunct/>
              <w:topLinePunct w:val="0"/>
              <w:bidi w:val="0"/>
              <w:adjustRightInd/>
              <w:snapToGrid/>
              <w:spacing w:line="240" w:lineRule="auto"/>
              <w:jc w:val="right"/>
              <w:rPr>
                <w:rFonts w:hint="eastAsia" w:ascii="宋体" w:hAnsi="宋体" w:eastAsia="宋体" w:cs="宋体"/>
                <w:b/>
                <w:bCs/>
                <w:color w:val="auto"/>
                <w:sz w:val="21"/>
                <w:szCs w:val="21"/>
                <w:u w:val="none"/>
              </w:rPr>
            </w:pPr>
            <w:r>
              <w:rPr>
                <w:rFonts w:hint="eastAsia" w:ascii="宋体" w:hAnsi="宋体" w:eastAsia="宋体" w:cs="宋体"/>
                <w:b/>
                <w:bCs/>
                <w:color w:val="auto"/>
                <w:sz w:val="21"/>
                <w:szCs w:val="21"/>
                <w:u w:val="none"/>
              </w:rPr>
              <w:t>项目</w:t>
            </w:r>
          </w:p>
          <w:p w14:paraId="3DB5FA4F">
            <w:pPr>
              <w:pStyle w:val="62"/>
              <w:keepNext w:val="0"/>
              <w:keepLines w:val="0"/>
              <w:pageBreakBefore w:val="0"/>
              <w:kinsoku/>
              <w:wordWrap/>
              <w:overflowPunct/>
              <w:topLinePunct w:val="0"/>
              <w:bidi w:val="0"/>
              <w:adjustRightInd/>
              <w:snapToGrid/>
              <w:spacing w:line="240" w:lineRule="auto"/>
              <w:jc w:val="left"/>
              <w:rPr>
                <w:rFonts w:hint="eastAsia" w:ascii="宋体" w:hAnsi="宋体" w:eastAsia="宋体" w:cs="宋体"/>
                <w:b/>
                <w:bCs/>
                <w:color w:val="auto"/>
                <w:sz w:val="21"/>
                <w:szCs w:val="21"/>
                <w:u w:val="none"/>
              </w:rPr>
            </w:pPr>
            <w:r>
              <w:rPr>
                <w:rFonts w:hint="eastAsia" w:ascii="宋体" w:hAnsi="宋体" w:eastAsia="宋体" w:cs="宋体"/>
                <w:b/>
                <w:bCs/>
                <w:color w:val="auto"/>
                <w:sz w:val="21"/>
                <w:szCs w:val="21"/>
                <w:u w:val="none"/>
              </w:rPr>
              <w:t>分类</w:t>
            </w:r>
          </w:p>
        </w:tc>
        <w:tc>
          <w:tcPr>
            <w:tcW w:w="2036" w:type="dxa"/>
            <w:tcMar>
              <w:left w:w="28" w:type="dxa"/>
              <w:right w:w="28" w:type="dxa"/>
            </w:tcMar>
            <w:vAlign w:val="center"/>
          </w:tcPr>
          <w:p w14:paraId="79DCCFC0">
            <w:pPr>
              <w:pStyle w:val="62"/>
              <w:keepNext w:val="0"/>
              <w:keepLines w:val="0"/>
              <w:pageBreakBefore w:val="0"/>
              <w:kinsoku/>
              <w:wordWrap/>
              <w:overflowPunct/>
              <w:topLinePunct w:val="0"/>
              <w:bidi w:val="0"/>
              <w:adjustRightInd/>
              <w:snapToGrid/>
              <w:spacing w:line="240" w:lineRule="auto"/>
              <w:rPr>
                <w:rFonts w:hint="eastAsia" w:ascii="宋体" w:hAnsi="宋体" w:eastAsia="宋体" w:cs="宋体"/>
                <w:b/>
                <w:bCs/>
                <w:color w:val="auto"/>
                <w:sz w:val="21"/>
                <w:szCs w:val="21"/>
                <w:u w:val="none"/>
              </w:rPr>
            </w:pPr>
            <w:r>
              <w:rPr>
                <w:rFonts w:hint="eastAsia" w:ascii="宋体" w:hAnsi="宋体" w:eastAsia="宋体" w:cs="宋体"/>
                <w:b/>
                <w:bCs/>
                <w:color w:val="auto"/>
                <w:sz w:val="21"/>
                <w:szCs w:val="21"/>
                <w:u w:val="none"/>
              </w:rPr>
              <w:t>污染物名称</w:t>
            </w:r>
          </w:p>
        </w:tc>
        <w:tc>
          <w:tcPr>
            <w:tcW w:w="1820" w:type="dxa"/>
            <w:tcMar>
              <w:left w:w="28" w:type="dxa"/>
              <w:right w:w="28" w:type="dxa"/>
            </w:tcMar>
            <w:vAlign w:val="center"/>
          </w:tcPr>
          <w:p w14:paraId="185DE8F4">
            <w:pPr>
              <w:pStyle w:val="62"/>
              <w:keepNext w:val="0"/>
              <w:keepLines w:val="0"/>
              <w:pageBreakBefore w:val="0"/>
              <w:kinsoku/>
              <w:wordWrap/>
              <w:overflowPunct/>
              <w:topLinePunct w:val="0"/>
              <w:bidi w:val="0"/>
              <w:adjustRightInd/>
              <w:snapToGrid/>
              <w:spacing w:line="240" w:lineRule="auto"/>
              <w:rPr>
                <w:rFonts w:hint="eastAsia" w:ascii="宋体" w:hAnsi="宋体" w:eastAsia="宋体" w:cs="宋体"/>
                <w:b/>
                <w:bCs/>
                <w:color w:val="auto"/>
                <w:sz w:val="21"/>
                <w:szCs w:val="21"/>
                <w:u w:val="none"/>
              </w:rPr>
            </w:pPr>
            <w:r>
              <w:rPr>
                <w:rFonts w:hint="eastAsia" w:ascii="宋体" w:hAnsi="宋体" w:eastAsia="宋体" w:cs="宋体"/>
                <w:b/>
                <w:bCs/>
                <w:color w:val="auto"/>
                <w:sz w:val="21"/>
                <w:szCs w:val="21"/>
                <w:u w:val="none"/>
              </w:rPr>
              <w:t>现有工程</w:t>
            </w:r>
          </w:p>
          <w:p w14:paraId="2408BA03">
            <w:pPr>
              <w:pStyle w:val="62"/>
              <w:keepNext w:val="0"/>
              <w:keepLines w:val="0"/>
              <w:pageBreakBefore w:val="0"/>
              <w:kinsoku/>
              <w:wordWrap/>
              <w:overflowPunct/>
              <w:topLinePunct w:val="0"/>
              <w:bidi w:val="0"/>
              <w:adjustRightInd/>
              <w:snapToGrid/>
              <w:spacing w:line="240" w:lineRule="auto"/>
              <w:rPr>
                <w:rFonts w:hint="eastAsia" w:ascii="宋体" w:hAnsi="宋体" w:eastAsia="宋体" w:cs="宋体"/>
                <w:b/>
                <w:bCs/>
                <w:color w:val="auto"/>
                <w:sz w:val="21"/>
                <w:szCs w:val="21"/>
                <w:u w:val="none"/>
              </w:rPr>
            </w:pPr>
            <w:r>
              <w:rPr>
                <w:rFonts w:hint="eastAsia" w:ascii="宋体" w:hAnsi="宋体" w:eastAsia="宋体" w:cs="宋体"/>
                <w:b/>
                <w:bCs/>
                <w:color w:val="auto"/>
                <w:sz w:val="21"/>
                <w:szCs w:val="21"/>
                <w:u w:val="none"/>
              </w:rPr>
              <w:t>排放量（固体废物产生量）</w:t>
            </w:r>
            <w:r>
              <w:rPr>
                <w:rFonts w:hint="eastAsia" w:ascii="宋体" w:hAnsi="宋体" w:eastAsia="宋体" w:cs="宋体"/>
                <w:b/>
                <w:bCs/>
                <w:color w:val="auto"/>
                <w:sz w:val="21"/>
                <w:szCs w:val="21"/>
                <w:u w:val="none"/>
              </w:rPr>
              <w:fldChar w:fldCharType="begin"/>
            </w:r>
            <w:r>
              <w:rPr>
                <w:rFonts w:hint="eastAsia" w:ascii="宋体" w:hAnsi="宋体" w:eastAsia="宋体" w:cs="宋体"/>
                <w:b/>
                <w:bCs/>
                <w:color w:val="auto"/>
                <w:sz w:val="21"/>
                <w:szCs w:val="21"/>
                <w:u w:val="none"/>
              </w:rPr>
              <w:instrText xml:space="preserve"> = 1 \* GB3 \* MERGEFORMAT </w:instrText>
            </w:r>
            <w:r>
              <w:rPr>
                <w:rFonts w:hint="eastAsia" w:ascii="宋体" w:hAnsi="宋体" w:eastAsia="宋体" w:cs="宋体"/>
                <w:b/>
                <w:bCs/>
                <w:color w:val="auto"/>
                <w:sz w:val="21"/>
                <w:szCs w:val="21"/>
                <w:u w:val="none"/>
              </w:rPr>
              <w:fldChar w:fldCharType="separate"/>
            </w:r>
            <w:r>
              <w:rPr>
                <w:rFonts w:hint="eastAsia" w:ascii="宋体" w:hAnsi="宋体" w:eastAsia="宋体" w:cs="宋体"/>
                <w:b/>
                <w:bCs/>
                <w:color w:val="auto"/>
                <w:sz w:val="21"/>
                <w:szCs w:val="21"/>
                <w:u w:val="none"/>
              </w:rPr>
              <w:t>①</w:t>
            </w:r>
            <w:r>
              <w:rPr>
                <w:rFonts w:hint="eastAsia" w:ascii="宋体" w:hAnsi="宋体" w:eastAsia="宋体" w:cs="宋体"/>
                <w:b/>
                <w:bCs/>
                <w:color w:val="auto"/>
                <w:sz w:val="21"/>
                <w:szCs w:val="21"/>
                <w:u w:val="none"/>
              </w:rPr>
              <w:fldChar w:fldCharType="end"/>
            </w:r>
          </w:p>
        </w:tc>
        <w:tc>
          <w:tcPr>
            <w:tcW w:w="1365" w:type="dxa"/>
            <w:tcMar>
              <w:left w:w="28" w:type="dxa"/>
              <w:right w:w="28" w:type="dxa"/>
            </w:tcMar>
            <w:vAlign w:val="center"/>
          </w:tcPr>
          <w:p w14:paraId="1A358BD0">
            <w:pPr>
              <w:pStyle w:val="62"/>
              <w:keepNext w:val="0"/>
              <w:keepLines w:val="0"/>
              <w:pageBreakBefore w:val="0"/>
              <w:kinsoku/>
              <w:wordWrap/>
              <w:overflowPunct/>
              <w:topLinePunct w:val="0"/>
              <w:bidi w:val="0"/>
              <w:adjustRightInd/>
              <w:snapToGrid/>
              <w:spacing w:line="240" w:lineRule="auto"/>
              <w:rPr>
                <w:rFonts w:hint="eastAsia" w:ascii="宋体" w:hAnsi="宋体" w:eastAsia="宋体" w:cs="宋体"/>
                <w:b/>
                <w:bCs/>
                <w:color w:val="auto"/>
                <w:sz w:val="21"/>
                <w:szCs w:val="21"/>
                <w:u w:val="none"/>
              </w:rPr>
            </w:pPr>
            <w:r>
              <w:rPr>
                <w:rFonts w:hint="eastAsia" w:ascii="宋体" w:hAnsi="宋体" w:eastAsia="宋体" w:cs="宋体"/>
                <w:b/>
                <w:bCs/>
                <w:color w:val="auto"/>
                <w:sz w:val="21"/>
                <w:szCs w:val="21"/>
                <w:u w:val="none"/>
              </w:rPr>
              <w:t>现有工程</w:t>
            </w:r>
          </w:p>
          <w:p w14:paraId="1498809C">
            <w:pPr>
              <w:pStyle w:val="62"/>
              <w:keepNext w:val="0"/>
              <w:keepLines w:val="0"/>
              <w:pageBreakBefore w:val="0"/>
              <w:kinsoku/>
              <w:wordWrap/>
              <w:overflowPunct/>
              <w:topLinePunct w:val="0"/>
              <w:bidi w:val="0"/>
              <w:adjustRightInd/>
              <w:snapToGrid/>
              <w:spacing w:line="240" w:lineRule="auto"/>
              <w:rPr>
                <w:rFonts w:hint="eastAsia" w:ascii="宋体" w:hAnsi="宋体" w:eastAsia="宋体" w:cs="宋体"/>
                <w:b/>
                <w:bCs/>
                <w:color w:val="auto"/>
                <w:sz w:val="21"/>
                <w:szCs w:val="21"/>
                <w:u w:val="none"/>
              </w:rPr>
            </w:pPr>
            <w:r>
              <w:rPr>
                <w:rFonts w:hint="eastAsia" w:ascii="宋体" w:hAnsi="宋体" w:eastAsia="宋体" w:cs="宋体"/>
                <w:b/>
                <w:bCs/>
                <w:color w:val="auto"/>
                <w:sz w:val="21"/>
                <w:szCs w:val="21"/>
                <w:u w:val="none"/>
              </w:rPr>
              <w:t>许可排放量</w:t>
            </w:r>
          </w:p>
          <w:p w14:paraId="58FB551C">
            <w:pPr>
              <w:pStyle w:val="62"/>
              <w:keepNext w:val="0"/>
              <w:keepLines w:val="0"/>
              <w:pageBreakBefore w:val="0"/>
              <w:kinsoku/>
              <w:wordWrap/>
              <w:overflowPunct/>
              <w:topLinePunct w:val="0"/>
              <w:bidi w:val="0"/>
              <w:adjustRightInd/>
              <w:snapToGrid/>
              <w:spacing w:line="240" w:lineRule="auto"/>
              <w:rPr>
                <w:rFonts w:hint="eastAsia" w:ascii="宋体" w:hAnsi="宋体" w:eastAsia="宋体" w:cs="宋体"/>
                <w:b/>
                <w:bCs/>
                <w:color w:val="auto"/>
                <w:sz w:val="21"/>
                <w:szCs w:val="21"/>
                <w:u w:val="none"/>
              </w:rPr>
            </w:pPr>
            <w:r>
              <w:rPr>
                <w:rFonts w:hint="eastAsia" w:ascii="宋体" w:hAnsi="宋体" w:eastAsia="宋体" w:cs="宋体"/>
                <w:b/>
                <w:bCs/>
                <w:color w:val="auto"/>
                <w:sz w:val="21"/>
                <w:szCs w:val="21"/>
                <w:u w:val="none"/>
              </w:rPr>
              <w:fldChar w:fldCharType="begin"/>
            </w:r>
            <w:r>
              <w:rPr>
                <w:rFonts w:hint="eastAsia" w:ascii="宋体" w:hAnsi="宋体" w:eastAsia="宋体" w:cs="宋体"/>
                <w:b/>
                <w:bCs/>
                <w:color w:val="auto"/>
                <w:sz w:val="21"/>
                <w:szCs w:val="21"/>
                <w:u w:val="none"/>
              </w:rPr>
              <w:instrText xml:space="preserve"> = 2 \* GB3 \* MERGEFORMAT </w:instrText>
            </w:r>
            <w:r>
              <w:rPr>
                <w:rFonts w:hint="eastAsia" w:ascii="宋体" w:hAnsi="宋体" w:eastAsia="宋体" w:cs="宋体"/>
                <w:b/>
                <w:bCs/>
                <w:color w:val="auto"/>
                <w:sz w:val="21"/>
                <w:szCs w:val="21"/>
                <w:u w:val="none"/>
              </w:rPr>
              <w:fldChar w:fldCharType="separate"/>
            </w:r>
            <w:r>
              <w:rPr>
                <w:rFonts w:hint="eastAsia" w:ascii="宋体" w:hAnsi="宋体" w:eastAsia="宋体" w:cs="宋体"/>
                <w:b/>
                <w:bCs/>
                <w:color w:val="auto"/>
                <w:sz w:val="21"/>
                <w:szCs w:val="21"/>
                <w:u w:val="none"/>
              </w:rPr>
              <w:t>②</w:t>
            </w:r>
            <w:r>
              <w:rPr>
                <w:rFonts w:hint="eastAsia" w:ascii="宋体" w:hAnsi="宋体" w:eastAsia="宋体" w:cs="宋体"/>
                <w:b/>
                <w:bCs/>
                <w:color w:val="auto"/>
                <w:sz w:val="21"/>
                <w:szCs w:val="21"/>
                <w:u w:val="none"/>
              </w:rPr>
              <w:fldChar w:fldCharType="end"/>
            </w:r>
          </w:p>
        </w:tc>
        <w:tc>
          <w:tcPr>
            <w:tcW w:w="1820" w:type="dxa"/>
            <w:tcMar>
              <w:left w:w="28" w:type="dxa"/>
              <w:right w:w="28" w:type="dxa"/>
            </w:tcMar>
            <w:vAlign w:val="center"/>
          </w:tcPr>
          <w:p w14:paraId="2507DFE4">
            <w:pPr>
              <w:pStyle w:val="62"/>
              <w:keepNext w:val="0"/>
              <w:keepLines w:val="0"/>
              <w:pageBreakBefore w:val="0"/>
              <w:kinsoku/>
              <w:wordWrap/>
              <w:overflowPunct/>
              <w:topLinePunct w:val="0"/>
              <w:bidi w:val="0"/>
              <w:adjustRightInd/>
              <w:snapToGrid/>
              <w:spacing w:line="240" w:lineRule="auto"/>
              <w:rPr>
                <w:rFonts w:hint="eastAsia" w:ascii="宋体" w:hAnsi="宋体" w:eastAsia="宋体" w:cs="宋体"/>
                <w:b/>
                <w:bCs/>
                <w:color w:val="auto"/>
                <w:sz w:val="21"/>
                <w:szCs w:val="21"/>
                <w:u w:val="none"/>
              </w:rPr>
            </w:pPr>
            <w:r>
              <w:rPr>
                <w:rFonts w:hint="eastAsia" w:ascii="宋体" w:hAnsi="宋体" w:eastAsia="宋体" w:cs="宋体"/>
                <w:b/>
                <w:bCs/>
                <w:color w:val="auto"/>
                <w:sz w:val="21"/>
                <w:szCs w:val="21"/>
                <w:u w:val="none"/>
              </w:rPr>
              <w:t>在建工程</w:t>
            </w:r>
          </w:p>
          <w:p w14:paraId="5E03A815">
            <w:pPr>
              <w:pStyle w:val="62"/>
              <w:keepNext w:val="0"/>
              <w:keepLines w:val="0"/>
              <w:pageBreakBefore w:val="0"/>
              <w:kinsoku/>
              <w:wordWrap/>
              <w:overflowPunct/>
              <w:topLinePunct w:val="0"/>
              <w:bidi w:val="0"/>
              <w:adjustRightInd/>
              <w:snapToGrid/>
              <w:spacing w:line="240" w:lineRule="auto"/>
              <w:rPr>
                <w:rFonts w:hint="eastAsia" w:ascii="宋体" w:hAnsi="宋体" w:eastAsia="宋体" w:cs="宋体"/>
                <w:b/>
                <w:bCs/>
                <w:color w:val="auto"/>
                <w:sz w:val="21"/>
                <w:szCs w:val="21"/>
                <w:u w:val="none"/>
              </w:rPr>
            </w:pPr>
            <w:r>
              <w:rPr>
                <w:rFonts w:hint="eastAsia" w:ascii="宋体" w:hAnsi="宋体" w:eastAsia="宋体" w:cs="宋体"/>
                <w:b/>
                <w:bCs/>
                <w:color w:val="auto"/>
                <w:sz w:val="21"/>
                <w:szCs w:val="21"/>
                <w:u w:val="none"/>
              </w:rPr>
              <w:t>排放量（固体废物产生量）</w:t>
            </w:r>
            <w:r>
              <w:rPr>
                <w:rFonts w:hint="eastAsia" w:ascii="宋体" w:hAnsi="宋体" w:eastAsia="宋体" w:cs="宋体"/>
                <w:b/>
                <w:bCs/>
                <w:color w:val="auto"/>
                <w:sz w:val="21"/>
                <w:szCs w:val="21"/>
                <w:u w:val="none"/>
              </w:rPr>
              <w:fldChar w:fldCharType="begin"/>
            </w:r>
            <w:r>
              <w:rPr>
                <w:rFonts w:hint="eastAsia" w:ascii="宋体" w:hAnsi="宋体" w:eastAsia="宋体" w:cs="宋体"/>
                <w:b/>
                <w:bCs/>
                <w:color w:val="auto"/>
                <w:sz w:val="21"/>
                <w:szCs w:val="21"/>
                <w:u w:val="none"/>
              </w:rPr>
              <w:instrText xml:space="preserve"> = 3 \* GB3 \* MERGEFORMAT </w:instrText>
            </w:r>
            <w:r>
              <w:rPr>
                <w:rFonts w:hint="eastAsia" w:ascii="宋体" w:hAnsi="宋体" w:eastAsia="宋体" w:cs="宋体"/>
                <w:b/>
                <w:bCs/>
                <w:color w:val="auto"/>
                <w:sz w:val="21"/>
                <w:szCs w:val="21"/>
                <w:u w:val="none"/>
              </w:rPr>
              <w:fldChar w:fldCharType="separate"/>
            </w:r>
            <w:r>
              <w:rPr>
                <w:rFonts w:hint="eastAsia" w:ascii="宋体" w:hAnsi="宋体" w:eastAsia="宋体" w:cs="宋体"/>
                <w:b/>
                <w:bCs/>
                <w:color w:val="auto"/>
                <w:sz w:val="21"/>
                <w:szCs w:val="21"/>
                <w:u w:val="none"/>
              </w:rPr>
              <w:t>③</w:t>
            </w:r>
            <w:r>
              <w:rPr>
                <w:rFonts w:hint="eastAsia" w:ascii="宋体" w:hAnsi="宋体" w:eastAsia="宋体" w:cs="宋体"/>
                <w:b/>
                <w:bCs/>
                <w:color w:val="auto"/>
                <w:sz w:val="21"/>
                <w:szCs w:val="21"/>
                <w:u w:val="none"/>
              </w:rPr>
              <w:fldChar w:fldCharType="end"/>
            </w:r>
          </w:p>
        </w:tc>
        <w:tc>
          <w:tcPr>
            <w:tcW w:w="1670" w:type="dxa"/>
            <w:tcMar>
              <w:left w:w="28" w:type="dxa"/>
              <w:right w:w="28" w:type="dxa"/>
            </w:tcMar>
            <w:vAlign w:val="center"/>
          </w:tcPr>
          <w:p w14:paraId="576C59C6">
            <w:pPr>
              <w:pStyle w:val="62"/>
              <w:keepNext w:val="0"/>
              <w:keepLines w:val="0"/>
              <w:pageBreakBefore w:val="0"/>
              <w:kinsoku/>
              <w:wordWrap/>
              <w:overflowPunct/>
              <w:topLinePunct w:val="0"/>
              <w:bidi w:val="0"/>
              <w:adjustRightInd/>
              <w:snapToGrid/>
              <w:spacing w:line="240" w:lineRule="auto"/>
              <w:rPr>
                <w:rFonts w:hint="eastAsia" w:ascii="宋体" w:hAnsi="宋体" w:eastAsia="宋体" w:cs="宋体"/>
                <w:b/>
                <w:bCs/>
                <w:color w:val="auto"/>
                <w:sz w:val="21"/>
                <w:szCs w:val="21"/>
                <w:u w:val="none"/>
              </w:rPr>
            </w:pPr>
            <w:r>
              <w:rPr>
                <w:rFonts w:hint="eastAsia" w:ascii="宋体" w:hAnsi="宋体" w:eastAsia="宋体" w:cs="宋体"/>
                <w:b/>
                <w:bCs/>
                <w:color w:val="auto"/>
                <w:sz w:val="21"/>
                <w:szCs w:val="21"/>
                <w:u w:val="none"/>
              </w:rPr>
              <w:t>本项目</w:t>
            </w:r>
          </w:p>
          <w:p w14:paraId="4AC28711">
            <w:pPr>
              <w:pStyle w:val="62"/>
              <w:keepNext w:val="0"/>
              <w:keepLines w:val="0"/>
              <w:pageBreakBefore w:val="0"/>
              <w:kinsoku/>
              <w:wordWrap/>
              <w:overflowPunct/>
              <w:topLinePunct w:val="0"/>
              <w:bidi w:val="0"/>
              <w:adjustRightInd/>
              <w:snapToGrid/>
              <w:spacing w:line="240" w:lineRule="auto"/>
              <w:rPr>
                <w:rFonts w:hint="eastAsia" w:ascii="宋体" w:hAnsi="宋体" w:eastAsia="宋体" w:cs="宋体"/>
                <w:b/>
                <w:bCs/>
                <w:color w:val="auto"/>
                <w:sz w:val="21"/>
                <w:szCs w:val="21"/>
                <w:u w:val="none"/>
              </w:rPr>
            </w:pPr>
            <w:r>
              <w:rPr>
                <w:rFonts w:hint="eastAsia" w:ascii="宋体" w:hAnsi="宋体" w:eastAsia="宋体" w:cs="宋体"/>
                <w:b/>
                <w:bCs/>
                <w:color w:val="auto"/>
                <w:sz w:val="21"/>
                <w:szCs w:val="21"/>
                <w:u w:val="none"/>
              </w:rPr>
              <w:t>排放量（固体废物产生量）</w:t>
            </w:r>
            <w:r>
              <w:rPr>
                <w:rFonts w:hint="eastAsia" w:ascii="宋体" w:hAnsi="宋体" w:eastAsia="宋体" w:cs="宋体"/>
                <w:b/>
                <w:bCs/>
                <w:color w:val="auto"/>
                <w:sz w:val="21"/>
                <w:szCs w:val="21"/>
                <w:u w:val="none"/>
              </w:rPr>
              <w:fldChar w:fldCharType="begin"/>
            </w:r>
            <w:r>
              <w:rPr>
                <w:rFonts w:hint="eastAsia" w:ascii="宋体" w:hAnsi="宋体" w:eastAsia="宋体" w:cs="宋体"/>
                <w:b/>
                <w:bCs/>
                <w:color w:val="auto"/>
                <w:sz w:val="21"/>
                <w:szCs w:val="21"/>
                <w:u w:val="none"/>
              </w:rPr>
              <w:instrText xml:space="preserve"> = 4 \* GB3 \* MERGEFORMAT </w:instrText>
            </w:r>
            <w:r>
              <w:rPr>
                <w:rFonts w:hint="eastAsia" w:ascii="宋体" w:hAnsi="宋体" w:eastAsia="宋体" w:cs="宋体"/>
                <w:b/>
                <w:bCs/>
                <w:color w:val="auto"/>
                <w:sz w:val="21"/>
                <w:szCs w:val="21"/>
                <w:u w:val="none"/>
              </w:rPr>
              <w:fldChar w:fldCharType="separate"/>
            </w:r>
            <w:r>
              <w:rPr>
                <w:rFonts w:hint="eastAsia" w:ascii="宋体" w:hAnsi="宋体" w:eastAsia="宋体" w:cs="宋体"/>
                <w:b/>
                <w:bCs/>
                <w:color w:val="auto"/>
                <w:sz w:val="21"/>
                <w:szCs w:val="21"/>
                <w:u w:val="none"/>
              </w:rPr>
              <w:t>④</w:t>
            </w:r>
            <w:r>
              <w:rPr>
                <w:rFonts w:hint="eastAsia" w:ascii="宋体" w:hAnsi="宋体" w:eastAsia="宋体" w:cs="宋体"/>
                <w:b/>
                <w:bCs/>
                <w:color w:val="auto"/>
                <w:sz w:val="21"/>
                <w:szCs w:val="21"/>
                <w:u w:val="none"/>
              </w:rPr>
              <w:fldChar w:fldCharType="end"/>
            </w:r>
          </w:p>
        </w:tc>
        <w:tc>
          <w:tcPr>
            <w:tcW w:w="1676" w:type="dxa"/>
            <w:tcMar>
              <w:left w:w="28" w:type="dxa"/>
              <w:right w:w="28" w:type="dxa"/>
            </w:tcMar>
            <w:vAlign w:val="center"/>
          </w:tcPr>
          <w:p w14:paraId="09C39A40">
            <w:pPr>
              <w:pStyle w:val="62"/>
              <w:keepNext w:val="0"/>
              <w:keepLines w:val="0"/>
              <w:pageBreakBefore w:val="0"/>
              <w:kinsoku/>
              <w:wordWrap/>
              <w:overflowPunct/>
              <w:topLinePunct w:val="0"/>
              <w:bidi w:val="0"/>
              <w:adjustRightInd/>
              <w:snapToGrid/>
              <w:spacing w:line="240" w:lineRule="auto"/>
              <w:rPr>
                <w:rFonts w:hint="eastAsia" w:ascii="宋体" w:hAnsi="宋体" w:eastAsia="宋体" w:cs="宋体"/>
                <w:b/>
                <w:bCs/>
                <w:color w:val="auto"/>
                <w:sz w:val="21"/>
                <w:szCs w:val="21"/>
                <w:u w:val="none"/>
              </w:rPr>
            </w:pPr>
            <w:r>
              <w:rPr>
                <w:rFonts w:hint="eastAsia" w:ascii="宋体" w:hAnsi="宋体" w:eastAsia="宋体" w:cs="宋体"/>
                <w:b/>
                <w:bCs/>
                <w:color w:val="auto"/>
                <w:sz w:val="21"/>
                <w:szCs w:val="21"/>
                <w:u w:val="none"/>
              </w:rPr>
              <w:t>以新带老削减量</w:t>
            </w:r>
          </w:p>
          <w:p w14:paraId="05832C36">
            <w:pPr>
              <w:pStyle w:val="62"/>
              <w:keepNext w:val="0"/>
              <w:keepLines w:val="0"/>
              <w:pageBreakBefore w:val="0"/>
              <w:kinsoku/>
              <w:wordWrap/>
              <w:overflowPunct/>
              <w:topLinePunct w:val="0"/>
              <w:bidi w:val="0"/>
              <w:adjustRightInd/>
              <w:snapToGrid/>
              <w:spacing w:line="240" w:lineRule="auto"/>
              <w:rPr>
                <w:rFonts w:hint="eastAsia" w:ascii="宋体" w:hAnsi="宋体" w:eastAsia="宋体" w:cs="宋体"/>
                <w:b/>
                <w:bCs/>
                <w:color w:val="auto"/>
                <w:sz w:val="21"/>
                <w:szCs w:val="21"/>
                <w:u w:val="none"/>
              </w:rPr>
            </w:pPr>
            <w:r>
              <w:rPr>
                <w:rFonts w:hint="eastAsia" w:ascii="宋体" w:hAnsi="宋体" w:eastAsia="宋体" w:cs="宋体"/>
                <w:b/>
                <w:bCs/>
                <w:color w:val="auto"/>
                <w:sz w:val="21"/>
                <w:szCs w:val="21"/>
                <w:u w:val="none"/>
              </w:rPr>
              <w:t>（新建项目不填）</w:t>
            </w:r>
            <w:r>
              <w:rPr>
                <w:rFonts w:hint="eastAsia" w:ascii="宋体" w:hAnsi="宋体" w:eastAsia="宋体" w:cs="宋体"/>
                <w:b/>
                <w:bCs/>
                <w:color w:val="auto"/>
                <w:sz w:val="21"/>
                <w:szCs w:val="21"/>
                <w:u w:val="none"/>
              </w:rPr>
              <w:fldChar w:fldCharType="begin"/>
            </w:r>
            <w:r>
              <w:rPr>
                <w:rFonts w:hint="eastAsia" w:ascii="宋体" w:hAnsi="宋体" w:eastAsia="宋体" w:cs="宋体"/>
                <w:b/>
                <w:bCs/>
                <w:color w:val="auto"/>
                <w:sz w:val="21"/>
                <w:szCs w:val="21"/>
                <w:u w:val="none"/>
              </w:rPr>
              <w:instrText xml:space="preserve"> = 5 \* GB3 \* MERGEFORMAT </w:instrText>
            </w:r>
            <w:r>
              <w:rPr>
                <w:rFonts w:hint="eastAsia" w:ascii="宋体" w:hAnsi="宋体" w:eastAsia="宋体" w:cs="宋体"/>
                <w:b/>
                <w:bCs/>
                <w:color w:val="auto"/>
                <w:sz w:val="21"/>
                <w:szCs w:val="21"/>
                <w:u w:val="none"/>
              </w:rPr>
              <w:fldChar w:fldCharType="separate"/>
            </w:r>
            <w:r>
              <w:rPr>
                <w:rFonts w:hint="eastAsia" w:ascii="宋体" w:hAnsi="宋体" w:eastAsia="宋体" w:cs="宋体"/>
                <w:b/>
                <w:bCs/>
                <w:color w:val="auto"/>
                <w:sz w:val="21"/>
                <w:szCs w:val="21"/>
                <w:u w:val="none"/>
              </w:rPr>
              <w:t>⑤</w:t>
            </w:r>
            <w:r>
              <w:rPr>
                <w:rFonts w:hint="eastAsia" w:ascii="宋体" w:hAnsi="宋体" w:eastAsia="宋体" w:cs="宋体"/>
                <w:b/>
                <w:bCs/>
                <w:color w:val="auto"/>
                <w:sz w:val="21"/>
                <w:szCs w:val="21"/>
                <w:u w:val="none"/>
              </w:rPr>
              <w:fldChar w:fldCharType="end"/>
            </w:r>
          </w:p>
        </w:tc>
        <w:tc>
          <w:tcPr>
            <w:tcW w:w="1868" w:type="dxa"/>
            <w:tcMar>
              <w:left w:w="28" w:type="dxa"/>
              <w:right w:w="28" w:type="dxa"/>
            </w:tcMar>
            <w:vAlign w:val="center"/>
          </w:tcPr>
          <w:p w14:paraId="75729EAB">
            <w:pPr>
              <w:pStyle w:val="62"/>
              <w:keepNext w:val="0"/>
              <w:keepLines w:val="0"/>
              <w:pageBreakBefore w:val="0"/>
              <w:kinsoku/>
              <w:wordWrap/>
              <w:overflowPunct/>
              <w:topLinePunct w:val="0"/>
              <w:bidi w:val="0"/>
              <w:adjustRightInd/>
              <w:snapToGrid/>
              <w:spacing w:line="240" w:lineRule="auto"/>
              <w:rPr>
                <w:rFonts w:hint="eastAsia" w:ascii="宋体" w:hAnsi="宋体" w:eastAsia="宋体" w:cs="宋体"/>
                <w:b/>
                <w:bCs/>
                <w:color w:val="auto"/>
                <w:sz w:val="21"/>
                <w:szCs w:val="21"/>
                <w:u w:val="none"/>
              </w:rPr>
            </w:pPr>
            <w:r>
              <w:rPr>
                <w:rFonts w:hint="eastAsia" w:ascii="宋体" w:hAnsi="宋体" w:eastAsia="宋体" w:cs="宋体"/>
                <w:b/>
                <w:bCs/>
                <w:color w:val="auto"/>
                <w:sz w:val="21"/>
                <w:szCs w:val="21"/>
                <w:u w:val="none"/>
              </w:rPr>
              <w:t>本项目建成后</w:t>
            </w:r>
          </w:p>
          <w:p w14:paraId="66503276">
            <w:pPr>
              <w:pStyle w:val="62"/>
              <w:keepNext w:val="0"/>
              <w:keepLines w:val="0"/>
              <w:pageBreakBefore w:val="0"/>
              <w:kinsoku/>
              <w:wordWrap/>
              <w:overflowPunct/>
              <w:topLinePunct w:val="0"/>
              <w:bidi w:val="0"/>
              <w:adjustRightInd/>
              <w:snapToGrid/>
              <w:spacing w:line="240" w:lineRule="auto"/>
              <w:rPr>
                <w:rFonts w:hint="eastAsia" w:ascii="宋体" w:hAnsi="宋体" w:eastAsia="宋体" w:cs="宋体"/>
                <w:b/>
                <w:bCs/>
                <w:color w:val="auto"/>
                <w:sz w:val="21"/>
                <w:szCs w:val="21"/>
                <w:u w:val="none"/>
              </w:rPr>
            </w:pPr>
            <w:r>
              <w:rPr>
                <w:rFonts w:hint="eastAsia" w:ascii="宋体" w:hAnsi="宋体" w:eastAsia="宋体" w:cs="宋体"/>
                <w:b/>
                <w:bCs/>
                <w:color w:val="auto"/>
                <w:sz w:val="21"/>
                <w:szCs w:val="21"/>
                <w:u w:val="none"/>
              </w:rPr>
              <w:t>全厂排放量（固体废物产生量）</w:t>
            </w:r>
            <w:r>
              <w:rPr>
                <w:rFonts w:hint="eastAsia" w:ascii="宋体" w:hAnsi="宋体" w:eastAsia="宋体" w:cs="宋体"/>
                <w:b/>
                <w:bCs/>
                <w:color w:val="auto"/>
                <w:sz w:val="21"/>
                <w:szCs w:val="21"/>
                <w:u w:val="none"/>
              </w:rPr>
              <w:fldChar w:fldCharType="begin"/>
            </w:r>
            <w:r>
              <w:rPr>
                <w:rFonts w:hint="eastAsia" w:ascii="宋体" w:hAnsi="宋体" w:eastAsia="宋体" w:cs="宋体"/>
                <w:b/>
                <w:bCs/>
                <w:color w:val="auto"/>
                <w:sz w:val="21"/>
                <w:szCs w:val="21"/>
                <w:u w:val="none"/>
              </w:rPr>
              <w:instrText xml:space="preserve"> = 6 \* GB3 \* MERGEFORMAT </w:instrText>
            </w:r>
            <w:r>
              <w:rPr>
                <w:rFonts w:hint="eastAsia" w:ascii="宋体" w:hAnsi="宋体" w:eastAsia="宋体" w:cs="宋体"/>
                <w:b/>
                <w:bCs/>
                <w:color w:val="auto"/>
                <w:sz w:val="21"/>
                <w:szCs w:val="21"/>
                <w:u w:val="none"/>
              </w:rPr>
              <w:fldChar w:fldCharType="separate"/>
            </w:r>
            <w:r>
              <w:rPr>
                <w:rFonts w:hint="eastAsia" w:ascii="宋体" w:hAnsi="宋体" w:eastAsia="宋体" w:cs="宋体"/>
                <w:b/>
                <w:bCs/>
                <w:color w:val="auto"/>
                <w:sz w:val="21"/>
                <w:szCs w:val="21"/>
                <w:u w:val="none"/>
              </w:rPr>
              <w:t>⑥</w:t>
            </w:r>
            <w:r>
              <w:rPr>
                <w:rFonts w:hint="eastAsia" w:ascii="宋体" w:hAnsi="宋体" w:eastAsia="宋体" w:cs="宋体"/>
                <w:b/>
                <w:bCs/>
                <w:color w:val="auto"/>
                <w:sz w:val="21"/>
                <w:szCs w:val="21"/>
                <w:u w:val="none"/>
              </w:rPr>
              <w:fldChar w:fldCharType="end"/>
            </w:r>
          </w:p>
        </w:tc>
        <w:tc>
          <w:tcPr>
            <w:tcW w:w="1327" w:type="dxa"/>
            <w:tcMar>
              <w:left w:w="28" w:type="dxa"/>
              <w:right w:w="28" w:type="dxa"/>
            </w:tcMar>
            <w:vAlign w:val="center"/>
          </w:tcPr>
          <w:p w14:paraId="0DA0AF57">
            <w:pPr>
              <w:pStyle w:val="62"/>
              <w:keepNext w:val="0"/>
              <w:keepLines w:val="0"/>
              <w:pageBreakBefore w:val="0"/>
              <w:kinsoku/>
              <w:wordWrap/>
              <w:overflowPunct/>
              <w:topLinePunct w:val="0"/>
              <w:bidi w:val="0"/>
              <w:adjustRightInd/>
              <w:snapToGrid/>
              <w:spacing w:line="240" w:lineRule="auto"/>
              <w:rPr>
                <w:rFonts w:hint="eastAsia" w:ascii="宋体" w:hAnsi="宋体" w:eastAsia="宋体" w:cs="宋体"/>
                <w:b/>
                <w:bCs/>
                <w:color w:val="auto"/>
                <w:sz w:val="21"/>
                <w:szCs w:val="21"/>
                <w:u w:val="none"/>
              </w:rPr>
            </w:pPr>
            <w:r>
              <w:rPr>
                <w:rFonts w:hint="eastAsia" w:ascii="宋体" w:hAnsi="宋体" w:eastAsia="宋体" w:cs="宋体"/>
                <w:b/>
                <w:bCs/>
                <w:color w:val="auto"/>
                <w:sz w:val="21"/>
                <w:szCs w:val="21"/>
                <w:u w:val="none"/>
              </w:rPr>
              <w:t>变化量</w:t>
            </w:r>
          </w:p>
          <w:p w14:paraId="31253D5F">
            <w:pPr>
              <w:pStyle w:val="62"/>
              <w:keepNext w:val="0"/>
              <w:keepLines w:val="0"/>
              <w:pageBreakBefore w:val="0"/>
              <w:kinsoku/>
              <w:wordWrap/>
              <w:overflowPunct/>
              <w:topLinePunct w:val="0"/>
              <w:bidi w:val="0"/>
              <w:adjustRightInd/>
              <w:snapToGrid/>
              <w:spacing w:line="240" w:lineRule="auto"/>
              <w:rPr>
                <w:rFonts w:hint="eastAsia" w:ascii="宋体" w:hAnsi="宋体" w:eastAsia="宋体" w:cs="宋体"/>
                <w:b/>
                <w:bCs/>
                <w:color w:val="auto"/>
                <w:sz w:val="21"/>
                <w:szCs w:val="21"/>
                <w:u w:val="none"/>
              </w:rPr>
            </w:pPr>
            <w:r>
              <w:rPr>
                <w:rFonts w:hint="eastAsia" w:ascii="宋体" w:hAnsi="宋体" w:eastAsia="宋体" w:cs="宋体"/>
                <w:b/>
                <w:bCs/>
                <w:color w:val="auto"/>
                <w:sz w:val="21"/>
                <w:szCs w:val="21"/>
                <w:u w:val="none"/>
              </w:rPr>
              <w:fldChar w:fldCharType="begin"/>
            </w:r>
            <w:r>
              <w:rPr>
                <w:rFonts w:hint="eastAsia" w:ascii="宋体" w:hAnsi="宋体" w:eastAsia="宋体" w:cs="宋体"/>
                <w:b/>
                <w:bCs/>
                <w:color w:val="auto"/>
                <w:sz w:val="21"/>
                <w:szCs w:val="21"/>
                <w:u w:val="none"/>
              </w:rPr>
              <w:instrText xml:space="preserve"> = 7 \* GB3 \* MERGEFORMAT </w:instrText>
            </w:r>
            <w:r>
              <w:rPr>
                <w:rFonts w:hint="eastAsia" w:ascii="宋体" w:hAnsi="宋体" w:eastAsia="宋体" w:cs="宋体"/>
                <w:b/>
                <w:bCs/>
                <w:color w:val="auto"/>
                <w:sz w:val="21"/>
                <w:szCs w:val="21"/>
                <w:u w:val="none"/>
              </w:rPr>
              <w:fldChar w:fldCharType="separate"/>
            </w:r>
            <w:r>
              <w:rPr>
                <w:rFonts w:hint="eastAsia" w:ascii="宋体" w:hAnsi="宋体" w:eastAsia="宋体" w:cs="宋体"/>
                <w:b/>
                <w:bCs/>
                <w:color w:val="auto"/>
                <w:sz w:val="21"/>
                <w:szCs w:val="21"/>
                <w:u w:val="none"/>
              </w:rPr>
              <w:t>⑦</w:t>
            </w:r>
            <w:r>
              <w:rPr>
                <w:rFonts w:hint="eastAsia" w:ascii="宋体" w:hAnsi="宋体" w:eastAsia="宋体" w:cs="宋体"/>
                <w:b/>
                <w:bCs/>
                <w:color w:val="auto"/>
                <w:sz w:val="21"/>
                <w:szCs w:val="21"/>
                <w:u w:val="none"/>
              </w:rPr>
              <w:fldChar w:fldCharType="end"/>
            </w:r>
          </w:p>
        </w:tc>
      </w:tr>
      <w:tr w14:paraId="7A70B1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1179" w:type="dxa"/>
            <w:vMerge w:val="restart"/>
            <w:vAlign w:val="center"/>
          </w:tcPr>
          <w:p w14:paraId="5A9B0028">
            <w:pPr>
              <w:pStyle w:val="62"/>
              <w:keepNext w:val="0"/>
              <w:keepLines w:val="0"/>
              <w:pageBreakBefore w:val="0"/>
              <w:kinsoku/>
              <w:wordWrap/>
              <w:overflowPunct/>
              <w:topLinePunct w:val="0"/>
              <w:bidi w:val="0"/>
              <w:adjustRightInd/>
              <w:snapToGrid/>
              <w:spacing w:line="240" w:lineRule="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废气</w:t>
            </w:r>
          </w:p>
        </w:tc>
        <w:tc>
          <w:tcPr>
            <w:tcW w:w="2036" w:type="dxa"/>
            <w:vAlign w:val="center"/>
          </w:tcPr>
          <w:p w14:paraId="362B667B">
            <w:pPr>
              <w:keepNext w:val="0"/>
              <w:keepLines w:val="0"/>
              <w:pageBreakBefore w:val="0"/>
              <w:kinsoku/>
              <w:wordWrap/>
              <w:overflowPunct/>
              <w:topLinePunct w:val="0"/>
              <w:autoSpaceDE/>
              <w:autoSpaceDN/>
              <w:bidi w:val="0"/>
              <w:spacing w:line="240" w:lineRule="auto"/>
              <w:jc w:val="center"/>
              <w:textAlignment w:val="auto"/>
              <w:rPr>
                <w:rFonts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颗粒物</w:t>
            </w:r>
          </w:p>
        </w:tc>
        <w:tc>
          <w:tcPr>
            <w:tcW w:w="1820" w:type="dxa"/>
            <w:vAlign w:val="center"/>
          </w:tcPr>
          <w:p w14:paraId="2F842B27">
            <w:pPr>
              <w:keepNext w:val="0"/>
              <w:keepLines w:val="0"/>
              <w:pageBreakBefore w:val="0"/>
              <w:widowControl/>
              <w:kinsoku/>
              <w:wordWrap/>
              <w:overflowPunct/>
              <w:topLinePunct w:val="0"/>
              <w:bidi w:val="0"/>
              <w:adjustRightInd/>
              <w:snapToGrid/>
              <w:spacing w:line="240" w:lineRule="auto"/>
              <w:jc w:val="center"/>
              <w:textAlignment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cs="Times New Roman"/>
                <w:b w:val="0"/>
                <w:bCs w:val="0"/>
                <w:color w:val="auto"/>
                <w:kern w:val="2"/>
                <w:sz w:val="21"/>
                <w:szCs w:val="21"/>
                <w:u w:val="none"/>
                <w:lang w:val="en-US" w:eastAsia="zh-CN" w:bidi="ar-SA"/>
              </w:rPr>
              <w:t>0</w:t>
            </w:r>
          </w:p>
        </w:tc>
        <w:tc>
          <w:tcPr>
            <w:tcW w:w="1365" w:type="dxa"/>
            <w:vAlign w:val="center"/>
          </w:tcPr>
          <w:p w14:paraId="3F5F83B9">
            <w:pPr>
              <w:keepNext w:val="0"/>
              <w:keepLines w:val="0"/>
              <w:pageBreakBefore w:val="0"/>
              <w:widowControl w:val="0"/>
              <w:kinsoku/>
              <w:wordWrap/>
              <w:overflowPunct/>
              <w:topLinePunct w:val="0"/>
              <w:bidi w:val="0"/>
              <w:adjustRightInd/>
              <w:snapToGrid/>
              <w:spacing w:line="240" w:lineRule="auto"/>
              <w:ind w:firstLine="0" w:firstLineChars="0"/>
              <w:jc w:val="center"/>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820" w:type="dxa"/>
            <w:vAlign w:val="center"/>
          </w:tcPr>
          <w:p w14:paraId="31BF14F7">
            <w:pPr>
              <w:keepNext w:val="0"/>
              <w:keepLines w:val="0"/>
              <w:pageBreakBefore w:val="0"/>
              <w:widowControl w:val="0"/>
              <w:kinsoku/>
              <w:wordWrap/>
              <w:overflowPunct/>
              <w:topLinePunct w:val="0"/>
              <w:bidi w:val="0"/>
              <w:adjustRightInd/>
              <w:snapToGrid/>
              <w:spacing w:line="240" w:lineRule="auto"/>
              <w:ind w:firstLine="0" w:firstLineChars="0"/>
              <w:jc w:val="center"/>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670" w:type="dxa"/>
            <w:vAlign w:val="center"/>
          </w:tcPr>
          <w:p w14:paraId="092A21B9">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highlight w:val="none"/>
                <w:u w:val="none"/>
                <w:lang w:val="en-US" w:eastAsia="zh-CN" w:bidi="ar-SA"/>
              </w:rPr>
              <w:t>0.207</w:t>
            </w:r>
            <w:r>
              <w:rPr>
                <w:rFonts w:hint="eastAsia" w:ascii="Times New Roman" w:hAnsi="Times New Roman" w:eastAsia="宋体" w:cs="Times New Roman"/>
                <w:b w:val="0"/>
                <w:bCs w:val="0"/>
                <w:color w:val="auto"/>
                <w:kern w:val="2"/>
                <w:sz w:val="21"/>
                <w:szCs w:val="21"/>
                <w:highlight w:val="none"/>
                <w:u w:val="none"/>
                <w:lang w:val="en-US" w:eastAsia="zh-CN" w:bidi="ar-SA"/>
              </w:rPr>
              <w:t>t/a</w:t>
            </w:r>
          </w:p>
        </w:tc>
        <w:tc>
          <w:tcPr>
            <w:tcW w:w="1676" w:type="dxa"/>
            <w:vAlign w:val="center"/>
          </w:tcPr>
          <w:p w14:paraId="5FF35DAD">
            <w:pPr>
              <w:keepNext w:val="0"/>
              <w:keepLines w:val="0"/>
              <w:pageBreakBefore w:val="0"/>
              <w:widowControl/>
              <w:kinsoku/>
              <w:wordWrap/>
              <w:overflowPunct/>
              <w:topLinePunct w:val="0"/>
              <w:bidi w:val="0"/>
              <w:adjustRightInd/>
              <w:snapToGrid/>
              <w:spacing w:line="240" w:lineRule="auto"/>
              <w:jc w:val="center"/>
              <w:textAlignment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kern w:val="2"/>
                <w:sz w:val="21"/>
                <w:szCs w:val="21"/>
                <w:highlight w:val="none"/>
                <w:u w:val="none"/>
                <w:lang w:val="en-US" w:eastAsia="zh-CN" w:bidi="ar-SA"/>
              </w:rPr>
              <w:t>0</w:t>
            </w:r>
          </w:p>
        </w:tc>
        <w:tc>
          <w:tcPr>
            <w:tcW w:w="1868" w:type="dxa"/>
            <w:shd w:val="clear" w:color="auto" w:fill="auto"/>
            <w:vAlign w:val="center"/>
          </w:tcPr>
          <w:p w14:paraId="655590B1">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highlight w:val="none"/>
                <w:u w:val="none"/>
                <w:lang w:val="en-US" w:eastAsia="zh-CN" w:bidi="ar-SA"/>
              </w:rPr>
              <w:t>0.207</w:t>
            </w:r>
            <w:r>
              <w:rPr>
                <w:rFonts w:hint="eastAsia" w:ascii="Times New Roman" w:hAnsi="Times New Roman" w:eastAsia="宋体" w:cs="Times New Roman"/>
                <w:b w:val="0"/>
                <w:bCs w:val="0"/>
                <w:color w:val="auto"/>
                <w:kern w:val="2"/>
                <w:sz w:val="21"/>
                <w:szCs w:val="21"/>
                <w:highlight w:val="none"/>
                <w:u w:val="none"/>
                <w:lang w:val="en-US" w:eastAsia="zh-CN" w:bidi="ar-SA"/>
              </w:rPr>
              <w:t>t/a</w:t>
            </w:r>
          </w:p>
        </w:tc>
        <w:tc>
          <w:tcPr>
            <w:tcW w:w="1327" w:type="dxa"/>
            <w:shd w:val="clear" w:color="auto" w:fill="auto"/>
            <w:vAlign w:val="center"/>
          </w:tcPr>
          <w:p w14:paraId="2B4B026B">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highlight w:val="none"/>
                <w:u w:val="none"/>
                <w:lang w:val="en-US" w:eastAsia="zh-CN" w:bidi="ar-SA"/>
              </w:rPr>
              <w:t>+0.207</w:t>
            </w:r>
            <w:r>
              <w:rPr>
                <w:rFonts w:hint="eastAsia" w:ascii="Times New Roman" w:hAnsi="Times New Roman" w:eastAsia="宋体" w:cs="Times New Roman"/>
                <w:b w:val="0"/>
                <w:bCs w:val="0"/>
                <w:color w:val="auto"/>
                <w:kern w:val="2"/>
                <w:sz w:val="21"/>
                <w:szCs w:val="21"/>
                <w:highlight w:val="none"/>
                <w:u w:val="none"/>
                <w:lang w:val="en-US" w:eastAsia="zh-CN" w:bidi="ar-SA"/>
              </w:rPr>
              <w:t>t/a</w:t>
            </w:r>
          </w:p>
        </w:tc>
      </w:tr>
      <w:tr w14:paraId="312B70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9" w:type="dxa"/>
            <w:vMerge w:val="continue"/>
            <w:vAlign w:val="center"/>
          </w:tcPr>
          <w:p w14:paraId="73513834">
            <w:pPr>
              <w:pStyle w:val="62"/>
              <w:keepNext w:val="0"/>
              <w:keepLines w:val="0"/>
              <w:pageBreakBefore w:val="0"/>
              <w:kinsoku/>
              <w:wordWrap/>
              <w:overflowPunct/>
              <w:topLinePunct w:val="0"/>
              <w:bidi w:val="0"/>
              <w:adjustRightInd/>
              <w:snapToGrid/>
              <w:spacing w:line="240" w:lineRule="auto"/>
              <w:rPr>
                <w:rFonts w:hint="eastAsia" w:ascii="Times New Roman" w:hAnsi="Times New Roman" w:cs="Times New Roman"/>
                <w:color w:val="auto"/>
                <w:sz w:val="21"/>
                <w:szCs w:val="21"/>
                <w:u w:val="none"/>
              </w:rPr>
            </w:pPr>
          </w:p>
        </w:tc>
        <w:tc>
          <w:tcPr>
            <w:tcW w:w="2036" w:type="dxa"/>
            <w:vAlign w:val="center"/>
          </w:tcPr>
          <w:p w14:paraId="6B932FDA">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NOx</w:t>
            </w:r>
          </w:p>
        </w:tc>
        <w:tc>
          <w:tcPr>
            <w:tcW w:w="1820" w:type="dxa"/>
            <w:vAlign w:val="center"/>
          </w:tcPr>
          <w:p w14:paraId="1FD9065E">
            <w:pPr>
              <w:keepNext w:val="0"/>
              <w:keepLines w:val="0"/>
              <w:pageBreakBefore w:val="0"/>
              <w:widowControl/>
              <w:kinsoku/>
              <w:wordWrap/>
              <w:overflowPunct/>
              <w:topLinePunct w:val="0"/>
              <w:bidi w:val="0"/>
              <w:adjustRightInd/>
              <w:snapToGrid/>
              <w:spacing w:line="240" w:lineRule="auto"/>
              <w:jc w:val="center"/>
              <w:textAlignment w:val="center"/>
              <w:rPr>
                <w:rFonts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cs="Times New Roman"/>
                <w:b w:val="0"/>
                <w:bCs w:val="0"/>
                <w:color w:val="auto"/>
                <w:kern w:val="2"/>
                <w:sz w:val="21"/>
                <w:szCs w:val="21"/>
                <w:u w:val="none"/>
                <w:lang w:val="en-US" w:eastAsia="zh-CN" w:bidi="ar-SA"/>
              </w:rPr>
              <w:t>0</w:t>
            </w:r>
          </w:p>
        </w:tc>
        <w:tc>
          <w:tcPr>
            <w:tcW w:w="1365" w:type="dxa"/>
            <w:vAlign w:val="center"/>
          </w:tcPr>
          <w:p w14:paraId="787DD9E1">
            <w:pPr>
              <w:keepNext w:val="0"/>
              <w:keepLines w:val="0"/>
              <w:pageBreakBefore w:val="0"/>
              <w:widowControl w:val="0"/>
              <w:kinsoku/>
              <w:wordWrap/>
              <w:overflowPunct/>
              <w:topLinePunct w:val="0"/>
              <w:bidi w:val="0"/>
              <w:adjustRightInd/>
              <w:snapToGrid/>
              <w:spacing w:line="240" w:lineRule="auto"/>
              <w:ind w:firstLine="0" w:firstLineChars="0"/>
              <w:jc w:val="center"/>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820" w:type="dxa"/>
            <w:vAlign w:val="center"/>
          </w:tcPr>
          <w:p w14:paraId="525EAF03">
            <w:pPr>
              <w:keepNext w:val="0"/>
              <w:keepLines w:val="0"/>
              <w:pageBreakBefore w:val="0"/>
              <w:widowControl w:val="0"/>
              <w:kinsoku/>
              <w:wordWrap/>
              <w:overflowPunct/>
              <w:topLinePunct w:val="0"/>
              <w:bidi w:val="0"/>
              <w:adjustRightInd/>
              <w:snapToGrid/>
              <w:spacing w:line="240" w:lineRule="auto"/>
              <w:ind w:firstLine="0" w:firstLineChars="0"/>
              <w:jc w:val="center"/>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670" w:type="dxa"/>
            <w:vAlign w:val="center"/>
          </w:tcPr>
          <w:p w14:paraId="1524A720">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highlight w:val="none"/>
                <w:u w:val="none"/>
                <w:lang w:val="en-US" w:eastAsia="zh-CN" w:bidi="ar-SA"/>
              </w:rPr>
              <w:t>8.29</w:t>
            </w:r>
            <w:r>
              <w:rPr>
                <w:rFonts w:hint="eastAsia" w:ascii="Times New Roman" w:hAnsi="Times New Roman" w:eastAsia="宋体" w:cs="Times New Roman"/>
                <w:b w:val="0"/>
                <w:bCs w:val="0"/>
                <w:color w:val="auto"/>
                <w:kern w:val="2"/>
                <w:sz w:val="21"/>
                <w:szCs w:val="21"/>
                <w:highlight w:val="none"/>
                <w:u w:val="none"/>
                <w:lang w:val="en-US" w:eastAsia="zh-CN" w:bidi="ar-SA"/>
              </w:rPr>
              <w:t>t/a</w:t>
            </w:r>
          </w:p>
        </w:tc>
        <w:tc>
          <w:tcPr>
            <w:tcW w:w="1676" w:type="dxa"/>
            <w:vAlign w:val="center"/>
          </w:tcPr>
          <w:p w14:paraId="610471C5">
            <w:pPr>
              <w:keepNext w:val="0"/>
              <w:keepLines w:val="0"/>
              <w:pageBreakBefore w:val="0"/>
              <w:widowControl/>
              <w:kinsoku/>
              <w:wordWrap/>
              <w:overflowPunct/>
              <w:topLinePunct w:val="0"/>
              <w:bidi w:val="0"/>
              <w:adjustRightInd/>
              <w:snapToGrid/>
              <w:spacing w:line="240" w:lineRule="auto"/>
              <w:jc w:val="center"/>
              <w:textAlignment w:val="center"/>
              <w:rPr>
                <w:rFonts w:hint="eastAsia"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kern w:val="2"/>
                <w:sz w:val="21"/>
                <w:szCs w:val="21"/>
                <w:highlight w:val="none"/>
                <w:u w:val="none"/>
                <w:lang w:val="en-US" w:eastAsia="zh-CN" w:bidi="ar-SA"/>
              </w:rPr>
              <w:t>0</w:t>
            </w:r>
          </w:p>
        </w:tc>
        <w:tc>
          <w:tcPr>
            <w:tcW w:w="1868" w:type="dxa"/>
            <w:shd w:val="clear" w:color="auto" w:fill="auto"/>
            <w:vAlign w:val="center"/>
          </w:tcPr>
          <w:p w14:paraId="686ABA2C">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highlight w:val="none"/>
                <w:u w:val="none"/>
                <w:lang w:val="en-US" w:eastAsia="zh-CN" w:bidi="ar-SA"/>
              </w:rPr>
              <w:t>8.29</w:t>
            </w:r>
            <w:r>
              <w:rPr>
                <w:rFonts w:hint="eastAsia" w:ascii="Times New Roman" w:hAnsi="Times New Roman" w:eastAsia="宋体" w:cs="Times New Roman"/>
                <w:b w:val="0"/>
                <w:bCs w:val="0"/>
                <w:color w:val="auto"/>
                <w:kern w:val="2"/>
                <w:sz w:val="21"/>
                <w:szCs w:val="21"/>
                <w:highlight w:val="none"/>
                <w:u w:val="none"/>
                <w:lang w:val="en-US" w:eastAsia="zh-CN" w:bidi="ar-SA"/>
              </w:rPr>
              <w:t>t/a</w:t>
            </w:r>
          </w:p>
        </w:tc>
        <w:tc>
          <w:tcPr>
            <w:tcW w:w="1327" w:type="dxa"/>
            <w:shd w:val="clear" w:color="auto" w:fill="auto"/>
            <w:vAlign w:val="center"/>
          </w:tcPr>
          <w:p w14:paraId="07260EDC">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highlight w:val="none"/>
                <w:u w:val="none"/>
                <w:lang w:val="en-US" w:eastAsia="zh-CN" w:bidi="ar-SA"/>
              </w:rPr>
              <w:t>+8.29</w:t>
            </w:r>
            <w:r>
              <w:rPr>
                <w:rFonts w:hint="eastAsia" w:ascii="Times New Roman" w:hAnsi="Times New Roman" w:eastAsia="宋体" w:cs="Times New Roman"/>
                <w:b w:val="0"/>
                <w:bCs w:val="0"/>
                <w:color w:val="auto"/>
                <w:kern w:val="2"/>
                <w:sz w:val="21"/>
                <w:szCs w:val="21"/>
                <w:highlight w:val="none"/>
                <w:u w:val="none"/>
                <w:lang w:val="en-US" w:eastAsia="zh-CN" w:bidi="ar-SA"/>
              </w:rPr>
              <w:t>t/a</w:t>
            </w:r>
          </w:p>
        </w:tc>
      </w:tr>
      <w:tr w14:paraId="3DD248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9" w:type="dxa"/>
            <w:vMerge w:val="continue"/>
            <w:vAlign w:val="center"/>
          </w:tcPr>
          <w:p w14:paraId="6FB45FFC">
            <w:pPr>
              <w:pStyle w:val="62"/>
              <w:keepNext w:val="0"/>
              <w:keepLines w:val="0"/>
              <w:pageBreakBefore w:val="0"/>
              <w:kinsoku/>
              <w:wordWrap/>
              <w:overflowPunct/>
              <w:topLinePunct w:val="0"/>
              <w:bidi w:val="0"/>
              <w:adjustRightInd/>
              <w:snapToGrid/>
              <w:spacing w:line="240" w:lineRule="auto"/>
              <w:rPr>
                <w:rFonts w:hint="eastAsia" w:ascii="Times New Roman" w:hAnsi="Times New Roman" w:cs="Times New Roman"/>
                <w:color w:val="auto"/>
                <w:sz w:val="21"/>
                <w:szCs w:val="21"/>
                <w:u w:val="none"/>
              </w:rPr>
            </w:pPr>
          </w:p>
        </w:tc>
        <w:tc>
          <w:tcPr>
            <w:tcW w:w="2036" w:type="dxa"/>
            <w:vAlign w:val="center"/>
          </w:tcPr>
          <w:p w14:paraId="63F84EF2">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CO</w:t>
            </w:r>
          </w:p>
        </w:tc>
        <w:tc>
          <w:tcPr>
            <w:tcW w:w="1820" w:type="dxa"/>
            <w:vAlign w:val="center"/>
          </w:tcPr>
          <w:p w14:paraId="7869755C">
            <w:pPr>
              <w:keepNext w:val="0"/>
              <w:keepLines w:val="0"/>
              <w:pageBreakBefore w:val="0"/>
              <w:widowControl/>
              <w:kinsoku/>
              <w:wordWrap/>
              <w:overflowPunct/>
              <w:topLinePunct w:val="0"/>
              <w:bidi w:val="0"/>
              <w:adjustRightInd/>
              <w:snapToGrid/>
              <w:spacing w:line="240" w:lineRule="auto"/>
              <w:jc w:val="center"/>
              <w:textAlignment w:val="center"/>
              <w:rPr>
                <w:rFonts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cs="Times New Roman"/>
                <w:b w:val="0"/>
                <w:bCs w:val="0"/>
                <w:color w:val="auto"/>
                <w:kern w:val="2"/>
                <w:sz w:val="21"/>
                <w:szCs w:val="21"/>
                <w:u w:val="none"/>
                <w:lang w:val="en-US" w:eastAsia="zh-CN" w:bidi="ar-SA"/>
              </w:rPr>
              <w:t>0</w:t>
            </w:r>
          </w:p>
        </w:tc>
        <w:tc>
          <w:tcPr>
            <w:tcW w:w="1365" w:type="dxa"/>
            <w:vAlign w:val="center"/>
          </w:tcPr>
          <w:p w14:paraId="44BFDF51">
            <w:pPr>
              <w:keepNext w:val="0"/>
              <w:keepLines w:val="0"/>
              <w:pageBreakBefore w:val="0"/>
              <w:widowControl w:val="0"/>
              <w:kinsoku/>
              <w:wordWrap/>
              <w:overflowPunct/>
              <w:topLinePunct w:val="0"/>
              <w:bidi w:val="0"/>
              <w:adjustRightInd/>
              <w:snapToGrid/>
              <w:spacing w:line="240" w:lineRule="auto"/>
              <w:ind w:firstLine="0" w:firstLineChars="0"/>
              <w:jc w:val="center"/>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820" w:type="dxa"/>
            <w:vAlign w:val="center"/>
          </w:tcPr>
          <w:p w14:paraId="15946FF1">
            <w:pPr>
              <w:keepNext w:val="0"/>
              <w:keepLines w:val="0"/>
              <w:pageBreakBefore w:val="0"/>
              <w:widowControl w:val="0"/>
              <w:kinsoku/>
              <w:wordWrap/>
              <w:overflowPunct/>
              <w:topLinePunct w:val="0"/>
              <w:bidi w:val="0"/>
              <w:adjustRightInd/>
              <w:snapToGrid/>
              <w:spacing w:line="240" w:lineRule="auto"/>
              <w:ind w:firstLine="0" w:firstLineChars="0"/>
              <w:jc w:val="center"/>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670" w:type="dxa"/>
            <w:vAlign w:val="center"/>
          </w:tcPr>
          <w:p w14:paraId="039EECD7">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highlight w:val="none"/>
                <w:u w:val="none"/>
                <w:lang w:val="en-US" w:eastAsia="zh-CN" w:bidi="ar-SA"/>
              </w:rPr>
              <w:t>9.676</w:t>
            </w:r>
            <w:r>
              <w:rPr>
                <w:rFonts w:hint="eastAsia" w:ascii="Times New Roman" w:hAnsi="Times New Roman" w:eastAsia="宋体" w:cs="Times New Roman"/>
                <w:b w:val="0"/>
                <w:bCs w:val="0"/>
                <w:color w:val="auto"/>
                <w:kern w:val="2"/>
                <w:sz w:val="21"/>
                <w:szCs w:val="21"/>
                <w:highlight w:val="none"/>
                <w:u w:val="none"/>
                <w:lang w:val="en-US" w:eastAsia="zh-CN" w:bidi="ar-SA"/>
              </w:rPr>
              <w:t>t/a</w:t>
            </w:r>
          </w:p>
        </w:tc>
        <w:tc>
          <w:tcPr>
            <w:tcW w:w="1676" w:type="dxa"/>
            <w:vAlign w:val="center"/>
          </w:tcPr>
          <w:p w14:paraId="4EFB7E6A">
            <w:pPr>
              <w:keepNext w:val="0"/>
              <w:keepLines w:val="0"/>
              <w:pageBreakBefore w:val="0"/>
              <w:widowControl/>
              <w:kinsoku/>
              <w:wordWrap/>
              <w:overflowPunct/>
              <w:topLinePunct w:val="0"/>
              <w:bidi w:val="0"/>
              <w:adjustRightInd/>
              <w:snapToGrid/>
              <w:spacing w:line="240" w:lineRule="auto"/>
              <w:jc w:val="center"/>
              <w:textAlignment w:val="center"/>
              <w:rPr>
                <w:rFonts w:hint="eastAsia" w:ascii="Times New Roman" w:hAnsi="Times New Roman" w:eastAsia="宋体" w:cs="Times New Roman"/>
                <w:b w:val="0"/>
                <w:bCs w:val="0"/>
                <w:color w:val="auto"/>
                <w:sz w:val="21"/>
                <w:szCs w:val="21"/>
                <w:highlight w:val="none"/>
                <w:u w:val="none"/>
              </w:rPr>
            </w:pPr>
            <w:r>
              <w:rPr>
                <w:rFonts w:hint="eastAsia" w:ascii="Times New Roman" w:hAnsi="Times New Roman" w:cs="Times New Roman"/>
                <w:b w:val="0"/>
                <w:bCs w:val="0"/>
                <w:color w:val="auto"/>
                <w:kern w:val="2"/>
                <w:sz w:val="21"/>
                <w:szCs w:val="21"/>
                <w:highlight w:val="none"/>
                <w:u w:val="none"/>
                <w:lang w:val="en-US" w:eastAsia="zh-CN" w:bidi="ar-SA"/>
              </w:rPr>
              <w:t>0</w:t>
            </w:r>
          </w:p>
        </w:tc>
        <w:tc>
          <w:tcPr>
            <w:tcW w:w="1868" w:type="dxa"/>
            <w:shd w:val="clear" w:color="auto" w:fill="auto"/>
            <w:vAlign w:val="center"/>
          </w:tcPr>
          <w:p w14:paraId="37B2E1E1">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eastAsia" w:ascii="Times New Roman" w:hAnsi="Times New Roman" w:eastAsia="宋体"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highlight w:val="none"/>
                <w:u w:val="none"/>
                <w:lang w:val="en-US" w:eastAsia="zh-CN" w:bidi="ar-SA"/>
              </w:rPr>
              <w:t>9.676</w:t>
            </w:r>
            <w:r>
              <w:rPr>
                <w:rFonts w:hint="eastAsia" w:ascii="Times New Roman" w:hAnsi="Times New Roman" w:eastAsia="宋体" w:cs="Times New Roman"/>
                <w:b w:val="0"/>
                <w:bCs w:val="0"/>
                <w:color w:val="auto"/>
                <w:kern w:val="2"/>
                <w:sz w:val="21"/>
                <w:szCs w:val="21"/>
                <w:highlight w:val="none"/>
                <w:u w:val="none"/>
                <w:lang w:val="en-US" w:eastAsia="zh-CN" w:bidi="ar-SA"/>
              </w:rPr>
              <w:t>t/a</w:t>
            </w:r>
          </w:p>
        </w:tc>
        <w:tc>
          <w:tcPr>
            <w:tcW w:w="1327" w:type="dxa"/>
            <w:shd w:val="clear" w:color="auto" w:fill="auto"/>
            <w:vAlign w:val="center"/>
          </w:tcPr>
          <w:p w14:paraId="3DEF9ED9">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eastAsia" w:ascii="Times New Roman" w:hAnsi="Times New Roman" w:eastAsia="宋体"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highlight w:val="none"/>
                <w:u w:val="none"/>
                <w:lang w:val="en-US" w:eastAsia="zh-CN" w:bidi="ar-SA"/>
              </w:rPr>
              <w:t>+9.676</w:t>
            </w:r>
            <w:r>
              <w:rPr>
                <w:rFonts w:hint="eastAsia" w:ascii="Times New Roman" w:hAnsi="Times New Roman" w:eastAsia="宋体" w:cs="Times New Roman"/>
                <w:b w:val="0"/>
                <w:bCs w:val="0"/>
                <w:color w:val="auto"/>
                <w:kern w:val="2"/>
                <w:sz w:val="21"/>
                <w:szCs w:val="21"/>
                <w:highlight w:val="none"/>
                <w:u w:val="none"/>
                <w:lang w:val="en-US" w:eastAsia="zh-CN" w:bidi="ar-SA"/>
              </w:rPr>
              <w:t>t/a</w:t>
            </w:r>
          </w:p>
        </w:tc>
      </w:tr>
      <w:tr w14:paraId="33F0F2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9" w:type="dxa"/>
            <w:vMerge w:val="continue"/>
            <w:vAlign w:val="center"/>
          </w:tcPr>
          <w:p w14:paraId="176B8506">
            <w:pPr>
              <w:pStyle w:val="62"/>
              <w:keepNext w:val="0"/>
              <w:keepLines w:val="0"/>
              <w:pageBreakBefore w:val="0"/>
              <w:kinsoku/>
              <w:wordWrap/>
              <w:overflowPunct/>
              <w:topLinePunct w:val="0"/>
              <w:bidi w:val="0"/>
              <w:adjustRightInd/>
              <w:snapToGrid/>
              <w:spacing w:line="240" w:lineRule="auto"/>
              <w:rPr>
                <w:rFonts w:hint="eastAsia" w:ascii="Times New Roman" w:hAnsi="Times New Roman" w:cs="Times New Roman"/>
                <w:color w:val="auto"/>
                <w:sz w:val="21"/>
                <w:szCs w:val="21"/>
                <w:u w:val="none"/>
              </w:rPr>
            </w:pPr>
          </w:p>
        </w:tc>
        <w:tc>
          <w:tcPr>
            <w:tcW w:w="2036" w:type="dxa"/>
            <w:vAlign w:val="center"/>
          </w:tcPr>
          <w:p w14:paraId="6E1D331D">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非甲烷总烃</w:t>
            </w:r>
          </w:p>
        </w:tc>
        <w:tc>
          <w:tcPr>
            <w:tcW w:w="1820" w:type="dxa"/>
            <w:vAlign w:val="center"/>
          </w:tcPr>
          <w:p w14:paraId="07951F59">
            <w:pPr>
              <w:keepNext w:val="0"/>
              <w:keepLines w:val="0"/>
              <w:pageBreakBefore w:val="0"/>
              <w:widowControl/>
              <w:kinsoku/>
              <w:wordWrap/>
              <w:overflowPunct/>
              <w:topLinePunct w:val="0"/>
              <w:bidi w:val="0"/>
              <w:adjustRightInd/>
              <w:snapToGrid/>
              <w:spacing w:line="240" w:lineRule="auto"/>
              <w:jc w:val="center"/>
              <w:textAlignment w:val="center"/>
              <w:rPr>
                <w:rFonts w:hint="eastAsia" w:ascii="Times New Roman" w:hAnsi="Times New Roman" w:cs="Times New Roman"/>
                <w:b w:val="0"/>
                <w:bCs w:val="0"/>
                <w:color w:val="auto"/>
                <w:kern w:val="2"/>
                <w:sz w:val="21"/>
                <w:szCs w:val="21"/>
                <w:u w:val="none"/>
                <w:lang w:val="en-US" w:eastAsia="zh-CN" w:bidi="ar-SA"/>
              </w:rPr>
            </w:pPr>
            <w:r>
              <w:rPr>
                <w:rFonts w:hint="eastAsia" w:ascii="Times New Roman" w:hAnsi="Times New Roman" w:cs="Times New Roman"/>
                <w:b w:val="0"/>
                <w:bCs w:val="0"/>
                <w:color w:val="auto"/>
                <w:kern w:val="2"/>
                <w:sz w:val="21"/>
                <w:szCs w:val="21"/>
                <w:u w:val="none"/>
                <w:lang w:val="en-US" w:eastAsia="zh-CN" w:bidi="ar-SA"/>
              </w:rPr>
              <w:t>0</w:t>
            </w:r>
          </w:p>
        </w:tc>
        <w:tc>
          <w:tcPr>
            <w:tcW w:w="1365" w:type="dxa"/>
            <w:vAlign w:val="center"/>
          </w:tcPr>
          <w:p w14:paraId="580CF54C">
            <w:pPr>
              <w:keepNext w:val="0"/>
              <w:keepLines w:val="0"/>
              <w:pageBreakBefore w:val="0"/>
              <w:widowControl w:val="0"/>
              <w:kinsoku/>
              <w:wordWrap/>
              <w:overflowPunct/>
              <w:topLinePunct w:val="0"/>
              <w:bidi w:val="0"/>
              <w:adjustRightInd/>
              <w:snapToGrid/>
              <w:spacing w:line="240" w:lineRule="auto"/>
              <w:ind w:firstLine="0" w:firstLineChars="0"/>
              <w:jc w:val="center"/>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820" w:type="dxa"/>
            <w:vAlign w:val="center"/>
          </w:tcPr>
          <w:p w14:paraId="630FFDB9">
            <w:pPr>
              <w:keepNext w:val="0"/>
              <w:keepLines w:val="0"/>
              <w:pageBreakBefore w:val="0"/>
              <w:widowControl w:val="0"/>
              <w:kinsoku/>
              <w:wordWrap/>
              <w:overflowPunct/>
              <w:topLinePunct w:val="0"/>
              <w:bidi w:val="0"/>
              <w:adjustRightInd/>
              <w:snapToGrid/>
              <w:spacing w:line="240" w:lineRule="auto"/>
              <w:ind w:firstLine="0" w:firstLineChars="0"/>
              <w:jc w:val="center"/>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670" w:type="dxa"/>
            <w:vAlign w:val="center"/>
          </w:tcPr>
          <w:p w14:paraId="798A2A5F">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eastAsia"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eastAsia="宋体" w:cs="Times New Roman"/>
                <w:b w:val="0"/>
                <w:bCs w:val="0"/>
                <w:color w:val="auto"/>
                <w:kern w:val="2"/>
                <w:sz w:val="21"/>
                <w:szCs w:val="21"/>
                <w:highlight w:val="none"/>
                <w:u w:val="none"/>
                <w:lang w:val="en-US" w:eastAsia="zh-CN" w:bidi="ar-SA"/>
              </w:rPr>
              <w:t>1.</w:t>
            </w:r>
            <w:r>
              <w:rPr>
                <w:rFonts w:hint="eastAsia" w:cs="Times New Roman"/>
                <w:b w:val="0"/>
                <w:bCs w:val="0"/>
                <w:color w:val="auto"/>
                <w:kern w:val="2"/>
                <w:sz w:val="21"/>
                <w:szCs w:val="21"/>
                <w:highlight w:val="none"/>
                <w:u w:val="none"/>
                <w:lang w:val="en-US" w:eastAsia="zh-CN" w:bidi="ar-SA"/>
              </w:rPr>
              <w:t>59</w:t>
            </w:r>
            <w:r>
              <w:rPr>
                <w:rFonts w:hint="eastAsia" w:ascii="Times New Roman" w:hAnsi="Times New Roman" w:eastAsia="宋体" w:cs="Times New Roman"/>
                <w:b w:val="0"/>
                <w:bCs w:val="0"/>
                <w:color w:val="auto"/>
                <w:kern w:val="2"/>
                <w:sz w:val="21"/>
                <w:szCs w:val="21"/>
                <w:highlight w:val="none"/>
                <w:u w:val="none"/>
                <w:lang w:val="en-US" w:eastAsia="zh-CN" w:bidi="ar-SA"/>
              </w:rPr>
              <w:t>t/a</w:t>
            </w:r>
          </w:p>
        </w:tc>
        <w:tc>
          <w:tcPr>
            <w:tcW w:w="1676" w:type="dxa"/>
            <w:vAlign w:val="center"/>
          </w:tcPr>
          <w:p w14:paraId="7B189365">
            <w:pPr>
              <w:keepNext w:val="0"/>
              <w:keepLines w:val="0"/>
              <w:pageBreakBefore w:val="0"/>
              <w:widowControl/>
              <w:kinsoku/>
              <w:wordWrap/>
              <w:overflowPunct/>
              <w:topLinePunct w:val="0"/>
              <w:bidi w:val="0"/>
              <w:adjustRightInd/>
              <w:snapToGrid/>
              <w:spacing w:line="240" w:lineRule="auto"/>
              <w:jc w:val="center"/>
              <w:textAlignment w:val="center"/>
              <w:rPr>
                <w:rFonts w:hint="eastAsia" w:ascii="Times New Roman" w:hAnsi="Times New Roman"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kern w:val="2"/>
                <w:sz w:val="21"/>
                <w:szCs w:val="21"/>
                <w:highlight w:val="none"/>
                <w:u w:val="none"/>
                <w:lang w:val="en-US" w:eastAsia="zh-CN" w:bidi="ar-SA"/>
              </w:rPr>
              <w:t>0</w:t>
            </w:r>
          </w:p>
        </w:tc>
        <w:tc>
          <w:tcPr>
            <w:tcW w:w="1868" w:type="dxa"/>
            <w:shd w:val="clear" w:color="auto" w:fill="auto"/>
            <w:vAlign w:val="center"/>
          </w:tcPr>
          <w:p w14:paraId="07F4CF6D">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eastAsia"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eastAsia="宋体" w:cs="Times New Roman"/>
                <w:b w:val="0"/>
                <w:bCs w:val="0"/>
                <w:color w:val="auto"/>
                <w:kern w:val="2"/>
                <w:sz w:val="21"/>
                <w:szCs w:val="21"/>
                <w:highlight w:val="none"/>
                <w:u w:val="none"/>
                <w:lang w:val="en-US" w:eastAsia="zh-CN" w:bidi="ar-SA"/>
              </w:rPr>
              <w:t>1.</w:t>
            </w:r>
            <w:r>
              <w:rPr>
                <w:rFonts w:hint="eastAsia" w:cs="Times New Roman"/>
                <w:b w:val="0"/>
                <w:bCs w:val="0"/>
                <w:color w:val="auto"/>
                <w:kern w:val="2"/>
                <w:sz w:val="21"/>
                <w:szCs w:val="21"/>
                <w:highlight w:val="none"/>
                <w:u w:val="none"/>
                <w:lang w:val="en-US" w:eastAsia="zh-CN" w:bidi="ar-SA"/>
              </w:rPr>
              <w:t>59</w:t>
            </w:r>
            <w:r>
              <w:rPr>
                <w:rFonts w:hint="eastAsia" w:ascii="Times New Roman" w:hAnsi="Times New Roman" w:eastAsia="宋体" w:cs="Times New Roman"/>
                <w:b w:val="0"/>
                <w:bCs w:val="0"/>
                <w:color w:val="auto"/>
                <w:kern w:val="2"/>
                <w:sz w:val="21"/>
                <w:szCs w:val="21"/>
                <w:highlight w:val="none"/>
                <w:u w:val="none"/>
                <w:lang w:val="en-US" w:eastAsia="zh-CN" w:bidi="ar-SA"/>
              </w:rPr>
              <w:t>t/a</w:t>
            </w:r>
          </w:p>
        </w:tc>
        <w:tc>
          <w:tcPr>
            <w:tcW w:w="1327" w:type="dxa"/>
            <w:shd w:val="clear" w:color="auto" w:fill="auto"/>
            <w:vAlign w:val="center"/>
          </w:tcPr>
          <w:p w14:paraId="6DE5BBF3">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eastAsia"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eastAsia="宋体" w:cs="Times New Roman"/>
                <w:b w:val="0"/>
                <w:bCs w:val="0"/>
                <w:color w:val="auto"/>
                <w:kern w:val="2"/>
                <w:sz w:val="21"/>
                <w:szCs w:val="21"/>
                <w:highlight w:val="none"/>
                <w:u w:val="none"/>
                <w:lang w:val="en-US" w:eastAsia="zh-CN" w:bidi="ar-SA"/>
              </w:rPr>
              <w:t>+1.</w:t>
            </w:r>
            <w:r>
              <w:rPr>
                <w:rFonts w:hint="eastAsia" w:cs="Times New Roman"/>
                <w:b w:val="0"/>
                <w:bCs w:val="0"/>
                <w:color w:val="auto"/>
                <w:kern w:val="2"/>
                <w:sz w:val="21"/>
                <w:szCs w:val="21"/>
                <w:highlight w:val="none"/>
                <w:u w:val="none"/>
                <w:lang w:val="en-US" w:eastAsia="zh-CN" w:bidi="ar-SA"/>
              </w:rPr>
              <w:t>59</w:t>
            </w:r>
            <w:r>
              <w:rPr>
                <w:rFonts w:hint="eastAsia" w:ascii="Times New Roman" w:hAnsi="Times New Roman" w:eastAsia="宋体" w:cs="Times New Roman"/>
                <w:b w:val="0"/>
                <w:bCs w:val="0"/>
                <w:color w:val="auto"/>
                <w:kern w:val="2"/>
                <w:sz w:val="21"/>
                <w:szCs w:val="21"/>
                <w:highlight w:val="none"/>
                <w:u w:val="none"/>
                <w:lang w:val="en-US" w:eastAsia="zh-CN" w:bidi="ar-SA"/>
              </w:rPr>
              <w:t>t/a</w:t>
            </w:r>
          </w:p>
        </w:tc>
      </w:tr>
      <w:tr w14:paraId="5DB3C3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9" w:type="dxa"/>
            <w:vMerge w:val="restart"/>
            <w:vAlign w:val="center"/>
          </w:tcPr>
          <w:p w14:paraId="1BA36E9F">
            <w:pPr>
              <w:pStyle w:val="62"/>
              <w:keepNext w:val="0"/>
              <w:keepLines w:val="0"/>
              <w:pageBreakBefore w:val="0"/>
              <w:kinsoku/>
              <w:wordWrap/>
              <w:overflowPunct/>
              <w:topLinePunct w:val="0"/>
              <w:bidi w:val="0"/>
              <w:adjustRightInd/>
              <w:snapToGrid/>
              <w:spacing w:line="240" w:lineRule="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废水</w:t>
            </w:r>
          </w:p>
        </w:tc>
        <w:tc>
          <w:tcPr>
            <w:tcW w:w="2036" w:type="dxa"/>
            <w:vAlign w:val="center"/>
          </w:tcPr>
          <w:p w14:paraId="0BC720BC">
            <w:pPr>
              <w:pStyle w:val="62"/>
              <w:keepNext w:val="0"/>
              <w:keepLines w:val="0"/>
              <w:pageBreakBefore w:val="0"/>
              <w:kinsoku/>
              <w:wordWrap/>
              <w:overflowPunct/>
              <w:topLinePunct w:val="0"/>
              <w:bidi w:val="0"/>
              <w:adjustRightInd/>
              <w:snapToGrid/>
              <w:spacing w:line="240" w:lineRule="auto"/>
              <w:rPr>
                <w:rFonts w:ascii="Times New Roman" w:hAnsi="Times New Roman" w:cs="Times New Roman"/>
                <w:b w:val="0"/>
                <w:bCs w:val="0"/>
                <w:color w:val="auto"/>
                <w:sz w:val="21"/>
                <w:szCs w:val="21"/>
                <w:u w:val="none"/>
              </w:rPr>
            </w:pPr>
            <w:r>
              <w:rPr>
                <w:rFonts w:ascii="Times New Roman" w:hAnsi="Times New Roman" w:cs="Times New Roman"/>
                <w:b w:val="0"/>
                <w:bCs w:val="0"/>
                <w:color w:val="auto"/>
                <w:sz w:val="21"/>
                <w:szCs w:val="21"/>
                <w:u w:val="none"/>
              </w:rPr>
              <w:t>COD</w:t>
            </w:r>
          </w:p>
        </w:tc>
        <w:tc>
          <w:tcPr>
            <w:tcW w:w="1820" w:type="dxa"/>
            <w:vAlign w:val="center"/>
          </w:tcPr>
          <w:p w14:paraId="15B2AB48">
            <w:pPr>
              <w:keepNext w:val="0"/>
              <w:keepLines w:val="0"/>
              <w:pageBreakBefore w:val="0"/>
              <w:widowControl/>
              <w:kinsoku/>
              <w:wordWrap/>
              <w:overflowPunct/>
              <w:topLinePunct w:val="0"/>
              <w:bidi w:val="0"/>
              <w:adjustRightInd/>
              <w:snapToGrid/>
              <w:spacing w:line="240" w:lineRule="auto"/>
              <w:jc w:val="center"/>
              <w:rPr>
                <w:rFonts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cs="Times New Roman"/>
                <w:b w:val="0"/>
                <w:bCs w:val="0"/>
                <w:color w:val="auto"/>
                <w:kern w:val="2"/>
                <w:sz w:val="21"/>
                <w:szCs w:val="21"/>
                <w:u w:val="none"/>
                <w:lang w:val="en-US" w:eastAsia="zh-CN" w:bidi="ar-SA"/>
              </w:rPr>
              <w:t>0</w:t>
            </w:r>
          </w:p>
        </w:tc>
        <w:tc>
          <w:tcPr>
            <w:tcW w:w="1365" w:type="dxa"/>
            <w:vAlign w:val="center"/>
          </w:tcPr>
          <w:p w14:paraId="3777A40D">
            <w:pPr>
              <w:keepNext w:val="0"/>
              <w:keepLines w:val="0"/>
              <w:pageBreakBefore w:val="0"/>
              <w:widowControl w:val="0"/>
              <w:kinsoku/>
              <w:wordWrap/>
              <w:overflowPunct/>
              <w:topLinePunct w:val="0"/>
              <w:bidi w:val="0"/>
              <w:adjustRightInd/>
              <w:snapToGrid/>
              <w:spacing w:line="240" w:lineRule="auto"/>
              <w:ind w:firstLine="0" w:firstLineChars="0"/>
              <w:jc w:val="center"/>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820" w:type="dxa"/>
            <w:vAlign w:val="center"/>
          </w:tcPr>
          <w:p w14:paraId="58B4608D">
            <w:pPr>
              <w:keepNext w:val="0"/>
              <w:keepLines w:val="0"/>
              <w:pageBreakBefore w:val="0"/>
              <w:widowControl w:val="0"/>
              <w:kinsoku/>
              <w:wordWrap/>
              <w:overflowPunct/>
              <w:topLinePunct w:val="0"/>
              <w:bidi w:val="0"/>
              <w:adjustRightInd/>
              <w:snapToGrid/>
              <w:spacing w:line="240" w:lineRule="auto"/>
              <w:ind w:firstLine="0" w:firstLineChars="0"/>
              <w:jc w:val="center"/>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670" w:type="dxa"/>
            <w:vAlign w:val="center"/>
          </w:tcPr>
          <w:p w14:paraId="37E92B0A">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kern w:val="2"/>
                <w:sz w:val="21"/>
                <w:szCs w:val="21"/>
                <w:highlight w:val="none"/>
                <w:u w:val="none"/>
                <w:lang w:val="en-US" w:eastAsia="zh-CN" w:bidi="ar-SA"/>
              </w:rPr>
              <w:t>0</w:t>
            </w:r>
          </w:p>
        </w:tc>
        <w:tc>
          <w:tcPr>
            <w:tcW w:w="1676" w:type="dxa"/>
            <w:vAlign w:val="center"/>
          </w:tcPr>
          <w:p w14:paraId="4524F504">
            <w:pPr>
              <w:keepNext w:val="0"/>
              <w:keepLines w:val="0"/>
              <w:pageBreakBefore w:val="0"/>
              <w:widowControl/>
              <w:kinsoku/>
              <w:wordWrap/>
              <w:overflowPunct/>
              <w:topLinePunct w:val="0"/>
              <w:bidi w:val="0"/>
              <w:adjustRightInd/>
              <w:snapToGrid/>
              <w:spacing w:line="240" w:lineRule="auto"/>
              <w:jc w:val="center"/>
              <w:rPr>
                <w:rFonts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kern w:val="2"/>
                <w:sz w:val="21"/>
                <w:szCs w:val="21"/>
                <w:highlight w:val="none"/>
                <w:u w:val="none"/>
                <w:lang w:val="en-US" w:eastAsia="zh-CN" w:bidi="ar-SA"/>
              </w:rPr>
              <w:t>0</w:t>
            </w:r>
          </w:p>
        </w:tc>
        <w:tc>
          <w:tcPr>
            <w:tcW w:w="1868" w:type="dxa"/>
            <w:shd w:val="clear" w:color="auto" w:fill="auto"/>
            <w:vAlign w:val="center"/>
          </w:tcPr>
          <w:p w14:paraId="6F87CC31">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kern w:val="2"/>
                <w:sz w:val="21"/>
                <w:szCs w:val="21"/>
                <w:highlight w:val="none"/>
                <w:u w:val="none"/>
                <w:lang w:val="en-US" w:eastAsia="zh-CN" w:bidi="ar-SA"/>
              </w:rPr>
              <w:t>0</w:t>
            </w:r>
          </w:p>
        </w:tc>
        <w:tc>
          <w:tcPr>
            <w:tcW w:w="1327" w:type="dxa"/>
            <w:shd w:val="clear" w:color="auto" w:fill="auto"/>
            <w:vAlign w:val="center"/>
          </w:tcPr>
          <w:p w14:paraId="631CF708">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eastAsia"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kern w:val="2"/>
                <w:sz w:val="21"/>
                <w:szCs w:val="21"/>
                <w:highlight w:val="none"/>
                <w:u w:val="none"/>
                <w:lang w:val="en-US" w:eastAsia="zh-CN" w:bidi="ar-SA"/>
              </w:rPr>
              <w:t>+0</w:t>
            </w:r>
          </w:p>
        </w:tc>
      </w:tr>
      <w:tr w14:paraId="67CDF0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9" w:type="dxa"/>
            <w:vMerge w:val="continue"/>
            <w:vAlign w:val="center"/>
          </w:tcPr>
          <w:p w14:paraId="7755C25A">
            <w:pPr>
              <w:pStyle w:val="62"/>
              <w:keepNext w:val="0"/>
              <w:keepLines w:val="0"/>
              <w:pageBreakBefore w:val="0"/>
              <w:kinsoku/>
              <w:wordWrap/>
              <w:overflowPunct/>
              <w:topLinePunct w:val="0"/>
              <w:bidi w:val="0"/>
              <w:adjustRightInd/>
              <w:snapToGrid/>
              <w:spacing w:line="240" w:lineRule="auto"/>
              <w:rPr>
                <w:rFonts w:hint="eastAsia" w:ascii="Times New Roman" w:hAnsi="Times New Roman" w:cs="Times New Roman"/>
                <w:color w:val="auto"/>
                <w:sz w:val="21"/>
                <w:szCs w:val="21"/>
                <w:u w:val="none"/>
              </w:rPr>
            </w:pPr>
          </w:p>
        </w:tc>
        <w:tc>
          <w:tcPr>
            <w:tcW w:w="2036" w:type="dxa"/>
            <w:vAlign w:val="center"/>
          </w:tcPr>
          <w:p w14:paraId="6C302E2E">
            <w:pPr>
              <w:pStyle w:val="62"/>
              <w:keepNext w:val="0"/>
              <w:keepLines w:val="0"/>
              <w:pageBreakBefore w:val="0"/>
              <w:kinsoku/>
              <w:wordWrap/>
              <w:overflowPunct/>
              <w:topLinePunct w:val="0"/>
              <w:bidi w:val="0"/>
              <w:adjustRightInd/>
              <w:snapToGrid/>
              <w:spacing w:line="240" w:lineRule="auto"/>
              <w:rPr>
                <w:rFonts w:ascii="Times New Roman" w:hAnsi="Times New Roman" w:cs="Times New Roman"/>
                <w:b w:val="0"/>
                <w:bCs w:val="0"/>
                <w:color w:val="auto"/>
                <w:sz w:val="21"/>
                <w:szCs w:val="21"/>
                <w:u w:val="none"/>
              </w:rPr>
            </w:pPr>
            <w:r>
              <w:rPr>
                <w:rFonts w:ascii="Times New Roman" w:hAnsi="Times New Roman" w:cs="Times New Roman"/>
                <w:b w:val="0"/>
                <w:bCs w:val="0"/>
                <w:color w:val="auto"/>
                <w:sz w:val="21"/>
                <w:szCs w:val="21"/>
                <w:u w:val="none"/>
              </w:rPr>
              <w:t>氨氮</w:t>
            </w:r>
          </w:p>
        </w:tc>
        <w:tc>
          <w:tcPr>
            <w:tcW w:w="1820" w:type="dxa"/>
            <w:vAlign w:val="center"/>
          </w:tcPr>
          <w:p w14:paraId="00D9BFE4">
            <w:pPr>
              <w:keepNext w:val="0"/>
              <w:keepLines w:val="0"/>
              <w:pageBreakBefore w:val="0"/>
              <w:widowControl/>
              <w:kinsoku/>
              <w:wordWrap/>
              <w:overflowPunct/>
              <w:topLinePunct w:val="0"/>
              <w:bidi w:val="0"/>
              <w:adjustRightInd/>
              <w:snapToGrid/>
              <w:spacing w:line="240" w:lineRule="auto"/>
              <w:jc w:val="center"/>
              <w:rPr>
                <w:rFonts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cs="Times New Roman"/>
                <w:b w:val="0"/>
                <w:bCs w:val="0"/>
                <w:color w:val="auto"/>
                <w:kern w:val="2"/>
                <w:sz w:val="21"/>
                <w:szCs w:val="21"/>
                <w:u w:val="none"/>
                <w:lang w:val="en-US" w:eastAsia="zh-CN" w:bidi="ar-SA"/>
              </w:rPr>
              <w:t>0</w:t>
            </w:r>
          </w:p>
        </w:tc>
        <w:tc>
          <w:tcPr>
            <w:tcW w:w="1365" w:type="dxa"/>
            <w:vAlign w:val="center"/>
          </w:tcPr>
          <w:p w14:paraId="1350C95F">
            <w:pPr>
              <w:keepNext w:val="0"/>
              <w:keepLines w:val="0"/>
              <w:pageBreakBefore w:val="0"/>
              <w:widowControl w:val="0"/>
              <w:kinsoku/>
              <w:wordWrap/>
              <w:overflowPunct/>
              <w:topLinePunct w:val="0"/>
              <w:bidi w:val="0"/>
              <w:adjustRightInd/>
              <w:snapToGrid/>
              <w:spacing w:line="240" w:lineRule="auto"/>
              <w:ind w:firstLine="0" w:firstLineChars="0"/>
              <w:jc w:val="center"/>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820" w:type="dxa"/>
            <w:vAlign w:val="center"/>
          </w:tcPr>
          <w:p w14:paraId="48A72F1F">
            <w:pPr>
              <w:keepNext w:val="0"/>
              <w:keepLines w:val="0"/>
              <w:pageBreakBefore w:val="0"/>
              <w:widowControl w:val="0"/>
              <w:kinsoku/>
              <w:wordWrap/>
              <w:overflowPunct/>
              <w:topLinePunct w:val="0"/>
              <w:bidi w:val="0"/>
              <w:adjustRightInd/>
              <w:snapToGrid/>
              <w:spacing w:line="240" w:lineRule="auto"/>
              <w:ind w:firstLine="0" w:firstLineChars="0"/>
              <w:jc w:val="center"/>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670" w:type="dxa"/>
            <w:vAlign w:val="center"/>
          </w:tcPr>
          <w:p w14:paraId="349F02DD">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kern w:val="2"/>
                <w:sz w:val="21"/>
                <w:szCs w:val="21"/>
                <w:highlight w:val="none"/>
                <w:u w:val="none"/>
                <w:lang w:val="en-US" w:eastAsia="zh-CN" w:bidi="ar-SA"/>
              </w:rPr>
              <w:t>0</w:t>
            </w:r>
          </w:p>
        </w:tc>
        <w:tc>
          <w:tcPr>
            <w:tcW w:w="1676" w:type="dxa"/>
            <w:vAlign w:val="center"/>
          </w:tcPr>
          <w:p w14:paraId="461821A1">
            <w:pPr>
              <w:keepNext w:val="0"/>
              <w:keepLines w:val="0"/>
              <w:pageBreakBefore w:val="0"/>
              <w:widowControl/>
              <w:kinsoku/>
              <w:wordWrap/>
              <w:overflowPunct/>
              <w:topLinePunct w:val="0"/>
              <w:bidi w:val="0"/>
              <w:adjustRightInd/>
              <w:snapToGrid/>
              <w:spacing w:line="240" w:lineRule="auto"/>
              <w:jc w:val="center"/>
              <w:rPr>
                <w:rFonts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kern w:val="2"/>
                <w:sz w:val="21"/>
                <w:szCs w:val="21"/>
                <w:highlight w:val="none"/>
                <w:u w:val="none"/>
                <w:lang w:val="en-US" w:eastAsia="zh-CN" w:bidi="ar-SA"/>
              </w:rPr>
              <w:t>0</w:t>
            </w:r>
          </w:p>
        </w:tc>
        <w:tc>
          <w:tcPr>
            <w:tcW w:w="1868" w:type="dxa"/>
            <w:shd w:val="clear" w:color="auto" w:fill="auto"/>
            <w:vAlign w:val="center"/>
          </w:tcPr>
          <w:p w14:paraId="5750CAF7">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kern w:val="2"/>
                <w:sz w:val="21"/>
                <w:szCs w:val="21"/>
                <w:highlight w:val="none"/>
                <w:u w:val="none"/>
                <w:lang w:val="en-US" w:eastAsia="zh-CN" w:bidi="ar-SA"/>
              </w:rPr>
              <w:t>0</w:t>
            </w:r>
          </w:p>
        </w:tc>
        <w:tc>
          <w:tcPr>
            <w:tcW w:w="1327" w:type="dxa"/>
            <w:shd w:val="clear" w:color="auto" w:fill="auto"/>
            <w:vAlign w:val="center"/>
          </w:tcPr>
          <w:p w14:paraId="403AD0B4">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eastAsia"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kern w:val="2"/>
                <w:sz w:val="21"/>
                <w:szCs w:val="21"/>
                <w:highlight w:val="none"/>
                <w:u w:val="none"/>
                <w:lang w:val="en-US" w:eastAsia="zh-CN" w:bidi="ar-SA"/>
              </w:rPr>
              <w:t>+0</w:t>
            </w:r>
          </w:p>
        </w:tc>
      </w:tr>
      <w:tr w14:paraId="40E02D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9" w:type="dxa"/>
            <w:vAlign w:val="center"/>
          </w:tcPr>
          <w:p w14:paraId="27D6A1DA">
            <w:pPr>
              <w:pStyle w:val="62"/>
              <w:keepNext w:val="0"/>
              <w:keepLines w:val="0"/>
              <w:pageBreakBefore w:val="0"/>
              <w:kinsoku/>
              <w:wordWrap/>
              <w:overflowPunct/>
              <w:topLinePunct w:val="0"/>
              <w:bidi w:val="0"/>
              <w:adjustRightInd/>
              <w:snapToGrid/>
              <w:spacing w:line="240" w:lineRule="auto"/>
              <w:ind w:firstLine="0" w:firstLineChars="0"/>
              <w:rPr>
                <w:rFonts w:hint="eastAsia" w:ascii="Times New Roman" w:hAnsi="Times New Roman" w:eastAsia="宋体" w:cs="Times New Roman"/>
                <w:color w:val="auto"/>
                <w:kern w:val="2"/>
                <w:sz w:val="21"/>
                <w:szCs w:val="21"/>
                <w:u w:val="none"/>
                <w:lang w:val="en-US" w:eastAsia="zh-CN" w:bidi="ar-SA"/>
              </w:rPr>
            </w:pPr>
            <w:r>
              <w:rPr>
                <w:rFonts w:hint="eastAsia" w:ascii="Times New Roman" w:hAnsi="Times New Roman" w:cs="Times New Roman"/>
                <w:color w:val="auto"/>
                <w:sz w:val="21"/>
                <w:szCs w:val="21"/>
                <w:u w:val="none"/>
                <w:lang w:eastAsia="zh-CN"/>
              </w:rPr>
              <w:t>生活垃圾</w:t>
            </w:r>
          </w:p>
        </w:tc>
        <w:tc>
          <w:tcPr>
            <w:tcW w:w="2036" w:type="dxa"/>
            <w:vAlign w:val="center"/>
          </w:tcPr>
          <w:p w14:paraId="7F82060C">
            <w:pPr>
              <w:pStyle w:val="62"/>
              <w:keepNext w:val="0"/>
              <w:keepLines w:val="0"/>
              <w:pageBreakBefore w:val="0"/>
              <w:kinsoku/>
              <w:wordWrap/>
              <w:overflowPunct/>
              <w:topLinePunct w:val="0"/>
              <w:bidi w:val="0"/>
              <w:adjustRightInd/>
              <w:snapToGrid/>
              <w:spacing w:line="240" w:lineRule="auto"/>
              <w:ind w:firstLine="0" w:firstLineChars="0"/>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cs="Times New Roman"/>
                <w:b w:val="0"/>
                <w:bCs w:val="0"/>
                <w:color w:val="auto"/>
                <w:sz w:val="21"/>
                <w:szCs w:val="21"/>
                <w:u w:val="none"/>
                <w:lang w:eastAsia="zh-CN"/>
              </w:rPr>
              <w:t>生活垃圾</w:t>
            </w:r>
          </w:p>
        </w:tc>
        <w:tc>
          <w:tcPr>
            <w:tcW w:w="1820" w:type="dxa"/>
            <w:vAlign w:val="center"/>
          </w:tcPr>
          <w:p w14:paraId="4EB5DAB9">
            <w:pPr>
              <w:keepNext w:val="0"/>
              <w:keepLines w:val="0"/>
              <w:pageBreakBefore w:val="0"/>
              <w:widowControl w:val="0"/>
              <w:kinsoku/>
              <w:wordWrap/>
              <w:overflowPunct/>
              <w:topLinePunct w:val="0"/>
              <w:bidi w:val="0"/>
              <w:adjustRightInd/>
              <w:snapToGrid/>
              <w:spacing w:line="240" w:lineRule="auto"/>
              <w:ind w:firstLine="0" w:firstLineChars="0"/>
              <w:jc w:val="center"/>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cs="Times New Roman"/>
                <w:b w:val="0"/>
                <w:bCs w:val="0"/>
                <w:color w:val="auto"/>
                <w:kern w:val="2"/>
                <w:sz w:val="21"/>
                <w:szCs w:val="21"/>
                <w:u w:val="none"/>
                <w:lang w:val="en-US" w:eastAsia="zh-CN" w:bidi="ar-SA"/>
              </w:rPr>
              <w:t>0</w:t>
            </w:r>
          </w:p>
        </w:tc>
        <w:tc>
          <w:tcPr>
            <w:tcW w:w="1365" w:type="dxa"/>
            <w:vAlign w:val="center"/>
          </w:tcPr>
          <w:p w14:paraId="60DBB860">
            <w:pPr>
              <w:keepNext w:val="0"/>
              <w:keepLines w:val="0"/>
              <w:pageBreakBefore w:val="0"/>
              <w:widowControl w:val="0"/>
              <w:kinsoku/>
              <w:wordWrap/>
              <w:overflowPunct/>
              <w:topLinePunct w:val="0"/>
              <w:bidi w:val="0"/>
              <w:adjustRightInd/>
              <w:snapToGrid/>
              <w:spacing w:line="240" w:lineRule="auto"/>
              <w:ind w:firstLine="0" w:firstLineChars="0"/>
              <w:jc w:val="center"/>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820" w:type="dxa"/>
            <w:vAlign w:val="center"/>
          </w:tcPr>
          <w:p w14:paraId="47CB1171">
            <w:pPr>
              <w:keepNext w:val="0"/>
              <w:keepLines w:val="0"/>
              <w:pageBreakBefore w:val="0"/>
              <w:widowControl w:val="0"/>
              <w:kinsoku/>
              <w:wordWrap/>
              <w:overflowPunct/>
              <w:topLinePunct w:val="0"/>
              <w:bidi w:val="0"/>
              <w:adjustRightInd/>
              <w:snapToGrid/>
              <w:spacing w:line="240" w:lineRule="auto"/>
              <w:ind w:firstLine="0" w:firstLineChars="0"/>
              <w:jc w:val="center"/>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670" w:type="dxa"/>
            <w:vAlign w:val="center"/>
          </w:tcPr>
          <w:p w14:paraId="683A0830">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kern w:val="2"/>
                <w:sz w:val="21"/>
                <w:szCs w:val="21"/>
                <w:highlight w:val="none"/>
                <w:u w:val="none"/>
                <w:lang w:val="en-US" w:eastAsia="zh-CN" w:bidi="ar-SA"/>
              </w:rPr>
              <w:t>1.</w:t>
            </w:r>
            <w:r>
              <w:rPr>
                <w:rFonts w:hint="eastAsia" w:cs="Times New Roman"/>
                <w:b w:val="0"/>
                <w:bCs w:val="0"/>
                <w:color w:val="auto"/>
                <w:kern w:val="2"/>
                <w:sz w:val="21"/>
                <w:szCs w:val="21"/>
                <w:highlight w:val="none"/>
                <w:u w:val="none"/>
                <w:lang w:val="en-US" w:eastAsia="zh-CN" w:bidi="ar-SA"/>
              </w:rPr>
              <w:t>98</w:t>
            </w:r>
            <w:r>
              <w:rPr>
                <w:rFonts w:hint="eastAsia" w:ascii="Times New Roman" w:hAnsi="Times New Roman" w:cs="Times New Roman"/>
                <w:b w:val="0"/>
                <w:bCs w:val="0"/>
                <w:color w:val="auto"/>
                <w:sz w:val="21"/>
                <w:szCs w:val="21"/>
                <w:highlight w:val="none"/>
                <w:u w:val="none"/>
              </w:rPr>
              <w:t>t/a</w:t>
            </w:r>
          </w:p>
        </w:tc>
        <w:tc>
          <w:tcPr>
            <w:tcW w:w="1676" w:type="dxa"/>
            <w:vAlign w:val="center"/>
          </w:tcPr>
          <w:p w14:paraId="0D0CBCFC">
            <w:pPr>
              <w:keepNext w:val="0"/>
              <w:keepLines w:val="0"/>
              <w:pageBreakBefore w:val="0"/>
              <w:widowControl/>
              <w:kinsoku/>
              <w:wordWrap/>
              <w:overflowPunct/>
              <w:topLinePunct w:val="0"/>
              <w:bidi w:val="0"/>
              <w:adjustRightInd/>
              <w:snapToGrid/>
              <w:spacing w:line="240" w:lineRule="auto"/>
              <w:jc w:val="center"/>
              <w:rPr>
                <w:rFonts w:ascii="Times New Roman" w:hAnsi="Times New Roman" w:eastAsia="宋体" w:cs="Times New Roman"/>
                <w:b w:val="0"/>
                <w:bCs w:val="0"/>
                <w:color w:val="auto"/>
                <w:sz w:val="21"/>
                <w:szCs w:val="21"/>
                <w:highlight w:val="none"/>
                <w:u w:val="none"/>
              </w:rPr>
            </w:pPr>
            <w:r>
              <w:rPr>
                <w:rFonts w:hint="eastAsia" w:ascii="Times New Roman" w:hAnsi="Times New Roman" w:cs="Times New Roman"/>
                <w:b w:val="0"/>
                <w:bCs w:val="0"/>
                <w:color w:val="auto"/>
                <w:kern w:val="2"/>
                <w:sz w:val="21"/>
                <w:szCs w:val="21"/>
                <w:highlight w:val="none"/>
                <w:u w:val="none"/>
                <w:lang w:val="en-US" w:eastAsia="zh-CN" w:bidi="ar-SA"/>
              </w:rPr>
              <w:t>0</w:t>
            </w:r>
          </w:p>
        </w:tc>
        <w:tc>
          <w:tcPr>
            <w:tcW w:w="1868" w:type="dxa"/>
            <w:shd w:val="clear" w:color="auto" w:fill="auto"/>
            <w:vAlign w:val="center"/>
          </w:tcPr>
          <w:p w14:paraId="610797EC">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kern w:val="2"/>
                <w:sz w:val="21"/>
                <w:szCs w:val="21"/>
                <w:highlight w:val="none"/>
                <w:u w:val="none"/>
                <w:lang w:val="en-US" w:eastAsia="zh-CN" w:bidi="ar-SA"/>
              </w:rPr>
              <w:t>1.</w:t>
            </w:r>
            <w:r>
              <w:rPr>
                <w:rFonts w:hint="eastAsia" w:cs="Times New Roman"/>
                <w:b w:val="0"/>
                <w:bCs w:val="0"/>
                <w:color w:val="auto"/>
                <w:kern w:val="2"/>
                <w:sz w:val="21"/>
                <w:szCs w:val="21"/>
                <w:highlight w:val="none"/>
                <w:u w:val="none"/>
                <w:lang w:val="en-US" w:eastAsia="zh-CN" w:bidi="ar-SA"/>
              </w:rPr>
              <w:t>98</w:t>
            </w:r>
            <w:r>
              <w:rPr>
                <w:rFonts w:hint="eastAsia" w:ascii="Times New Roman" w:hAnsi="Times New Roman" w:cs="Times New Roman"/>
                <w:b w:val="0"/>
                <w:bCs w:val="0"/>
                <w:color w:val="auto"/>
                <w:sz w:val="21"/>
                <w:szCs w:val="21"/>
                <w:highlight w:val="none"/>
                <w:u w:val="none"/>
              </w:rPr>
              <w:t>t/a</w:t>
            </w:r>
          </w:p>
        </w:tc>
        <w:tc>
          <w:tcPr>
            <w:tcW w:w="1327" w:type="dxa"/>
            <w:shd w:val="clear" w:color="auto" w:fill="auto"/>
            <w:vAlign w:val="center"/>
          </w:tcPr>
          <w:p w14:paraId="10983C76">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kern w:val="2"/>
                <w:sz w:val="21"/>
                <w:szCs w:val="21"/>
                <w:highlight w:val="none"/>
                <w:u w:val="none"/>
                <w:lang w:val="en-US" w:eastAsia="zh-CN" w:bidi="ar-SA"/>
              </w:rPr>
              <w:t>+1.</w:t>
            </w:r>
            <w:r>
              <w:rPr>
                <w:rFonts w:hint="eastAsia" w:cs="Times New Roman"/>
                <w:b w:val="0"/>
                <w:bCs w:val="0"/>
                <w:color w:val="auto"/>
                <w:kern w:val="2"/>
                <w:sz w:val="21"/>
                <w:szCs w:val="21"/>
                <w:highlight w:val="none"/>
                <w:u w:val="none"/>
                <w:lang w:val="en-US" w:eastAsia="zh-CN" w:bidi="ar-SA"/>
              </w:rPr>
              <w:t>98</w:t>
            </w:r>
            <w:r>
              <w:rPr>
                <w:rFonts w:hint="eastAsia" w:ascii="Times New Roman" w:hAnsi="Times New Roman" w:cs="Times New Roman"/>
                <w:b w:val="0"/>
                <w:bCs w:val="0"/>
                <w:color w:val="auto"/>
                <w:sz w:val="21"/>
                <w:szCs w:val="21"/>
                <w:highlight w:val="none"/>
                <w:u w:val="none"/>
              </w:rPr>
              <w:t>t/a</w:t>
            </w:r>
          </w:p>
        </w:tc>
      </w:tr>
      <w:tr w14:paraId="25BBB9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9" w:type="dxa"/>
            <w:vAlign w:val="center"/>
          </w:tcPr>
          <w:p w14:paraId="10065A5F">
            <w:pPr>
              <w:pStyle w:val="62"/>
              <w:keepNext w:val="0"/>
              <w:keepLines w:val="0"/>
              <w:pageBreakBefore w:val="0"/>
              <w:kinsoku/>
              <w:wordWrap/>
              <w:overflowPunct/>
              <w:topLinePunct w:val="0"/>
              <w:bidi w:val="0"/>
              <w:adjustRightInd/>
              <w:snapToGrid/>
              <w:spacing w:line="240" w:lineRule="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一般工业</w:t>
            </w:r>
          </w:p>
          <w:p w14:paraId="71E68E47">
            <w:pPr>
              <w:pStyle w:val="62"/>
              <w:keepNext w:val="0"/>
              <w:keepLines w:val="0"/>
              <w:pageBreakBefore w:val="0"/>
              <w:kinsoku/>
              <w:wordWrap/>
              <w:overflowPunct/>
              <w:topLinePunct w:val="0"/>
              <w:bidi w:val="0"/>
              <w:adjustRightInd/>
              <w:snapToGrid/>
              <w:spacing w:line="240" w:lineRule="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固体废物</w:t>
            </w:r>
          </w:p>
        </w:tc>
        <w:tc>
          <w:tcPr>
            <w:tcW w:w="2036" w:type="dxa"/>
            <w:vAlign w:val="center"/>
          </w:tcPr>
          <w:p w14:paraId="4B3B294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w:t>
            </w:r>
          </w:p>
        </w:tc>
        <w:tc>
          <w:tcPr>
            <w:tcW w:w="1820" w:type="dxa"/>
            <w:vAlign w:val="center"/>
          </w:tcPr>
          <w:p w14:paraId="1C93404A">
            <w:pPr>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eastAsia" w:ascii="Times New Roman" w:hAnsi="Times New Roman" w:eastAsia="宋体" w:cs="Times New Roman"/>
                <w:color w:val="auto"/>
                <w:kern w:val="2"/>
                <w:sz w:val="21"/>
                <w:szCs w:val="21"/>
                <w:u w:val="none"/>
                <w:lang w:val="en-US" w:eastAsia="zh-CN" w:bidi="ar-SA"/>
              </w:rPr>
            </w:pPr>
            <w:r>
              <w:rPr>
                <w:rFonts w:hint="eastAsia" w:ascii="Times New Roman" w:hAnsi="Times New Roman" w:cs="Times New Roman"/>
                <w:b w:val="0"/>
                <w:bCs w:val="0"/>
                <w:color w:val="auto"/>
                <w:kern w:val="2"/>
                <w:sz w:val="21"/>
                <w:szCs w:val="21"/>
                <w:u w:val="none"/>
                <w:lang w:val="en-US" w:eastAsia="zh-CN" w:bidi="ar-SA"/>
              </w:rPr>
              <w:t>0</w:t>
            </w:r>
          </w:p>
        </w:tc>
        <w:tc>
          <w:tcPr>
            <w:tcW w:w="1365" w:type="dxa"/>
            <w:vAlign w:val="center"/>
          </w:tcPr>
          <w:p w14:paraId="1D4373D5">
            <w:pPr>
              <w:keepNext w:val="0"/>
              <w:keepLines w:val="0"/>
              <w:pageBreakBefore w:val="0"/>
              <w:widowControl w:val="0"/>
              <w:kinsoku/>
              <w:wordWrap/>
              <w:overflowPunct/>
              <w:topLinePunct w:val="0"/>
              <w:bidi w:val="0"/>
              <w:adjustRightInd/>
              <w:snapToGrid/>
              <w:spacing w:line="240" w:lineRule="auto"/>
              <w:ind w:firstLine="0" w:firstLineChars="0"/>
              <w:jc w:val="center"/>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820" w:type="dxa"/>
            <w:vAlign w:val="center"/>
          </w:tcPr>
          <w:p w14:paraId="3FFA1D9A">
            <w:pPr>
              <w:keepNext w:val="0"/>
              <w:keepLines w:val="0"/>
              <w:pageBreakBefore w:val="0"/>
              <w:widowControl w:val="0"/>
              <w:kinsoku/>
              <w:wordWrap/>
              <w:overflowPunct/>
              <w:topLinePunct w:val="0"/>
              <w:bidi w:val="0"/>
              <w:adjustRightInd/>
              <w:snapToGrid/>
              <w:spacing w:line="240" w:lineRule="auto"/>
              <w:ind w:firstLine="0" w:firstLineChars="0"/>
              <w:jc w:val="center"/>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670" w:type="dxa"/>
            <w:vAlign w:val="center"/>
          </w:tcPr>
          <w:p w14:paraId="430604A6">
            <w:pPr>
              <w:pStyle w:val="79"/>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default"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kern w:val="2"/>
                <w:sz w:val="21"/>
                <w:szCs w:val="21"/>
                <w:highlight w:val="none"/>
                <w:u w:val="none"/>
                <w:lang w:val="en-US" w:eastAsia="zh-CN" w:bidi="ar-SA"/>
              </w:rPr>
              <w:t>0</w:t>
            </w:r>
          </w:p>
        </w:tc>
        <w:tc>
          <w:tcPr>
            <w:tcW w:w="1676" w:type="dxa"/>
            <w:vAlign w:val="center"/>
          </w:tcPr>
          <w:p w14:paraId="35A8DA54">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kern w:val="2"/>
                <w:sz w:val="21"/>
                <w:szCs w:val="21"/>
                <w:highlight w:val="none"/>
                <w:u w:val="none"/>
                <w:lang w:val="en-US" w:eastAsia="zh-CN" w:bidi="ar-SA"/>
              </w:rPr>
              <w:t>0</w:t>
            </w:r>
          </w:p>
        </w:tc>
        <w:tc>
          <w:tcPr>
            <w:tcW w:w="1868" w:type="dxa"/>
            <w:shd w:val="clear" w:color="auto" w:fill="auto"/>
            <w:vAlign w:val="center"/>
          </w:tcPr>
          <w:p w14:paraId="6978423E">
            <w:pPr>
              <w:pStyle w:val="79"/>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kern w:val="2"/>
                <w:sz w:val="21"/>
                <w:szCs w:val="21"/>
                <w:highlight w:val="none"/>
                <w:u w:val="none"/>
                <w:lang w:val="en-US" w:eastAsia="zh-CN" w:bidi="ar-SA"/>
              </w:rPr>
              <w:t>0</w:t>
            </w:r>
          </w:p>
        </w:tc>
        <w:tc>
          <w:tcPr>
            <w:tcW w:w="1327" w:type="dxa"/>
            <w:shd w:val="clear" w:color="auto" w:fill="auto"/>
            <w:vAlign w:val="center"/>
          </w:tcPr>
          <w:p w14:paraId="3A85D8A0">
            <w:pPr>
              <w:pStyle w:val="79"/>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kern w:val="2"/>
                <w:sz w:val="21"/>
                <w:szCs w:val="21"/>
                <w:highlight w:val="none"/>
                <w:u w:val="none"/>
                <w:lang w:val="en-US" w:eastAsia="zh-CN" w:bidi="ar-SA"/>
              </w:rPr>
              <w:t>+0</w:t>
            </w:r>
          </w:p>
        </w:tc>
      </w:tr>
      <w:tr w14:paraId="6E6EF4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1179" w:type="dxa"/>
            <w:vMerge w:val="restart"/>
            <w:vAlign w:val="center"/>
          </w:tcPr>
          <w:p w14:paraId="0326552F">
            <w:pPr>
              <w:pStyle w:val="62"/>
              <w:keepNext w:val="0"/>
              <w:keepLines w:val="0"/>
              <w:pageBreakBefore w:val="0"/>
              <w:kinsoku/>
              <w:wordWrap/>
              <w:overflowPunct/>
              <w:topLinePunct w:val="0"/>
              <w:bidi w:val="0"/>
              <w:adjustRightInd/>
              <w:snapToGrid/>
              <w:spacing w:line="240" w:lineRule="auto"/>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危险废物</w:t>
            </w:r>
          </w:p>
        </w:tc>
        <w:tc>
          <w:tcPr>
            <w:tcW w:w="2036" w:type="dxa"/>
            <w:vAlign w:val="center"/>
          </w:tcPr>
          <w:p w14:paraId="176800BC">
            <w:pPr>
              <w:pStyle w:val="79"/>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eastAsia"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废机油</w:t>
            </w:r>
          </w:p>
        </w:tc>
        <w:tc>
          <w:tcPr>
            <w:tcW w:w="1820" w:type="dxa"/>
            <w:vAlign w:val="center"/>
          </w:tcPr>
          <w:p w14:paraId="6058B5BD">
            <w:pPr>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cs="Times New Roman"/>
                <w:b w:val="0"/>
                <w:bCs w:val="0"/>
                <w:color w:val="auto"/>
                <w:kern w:val="2"/>
                <w:sz w:val="21"/>
                <w:szCs w:val="21"/>
                <w:u w:val="none"/>
                <w:lang w:val="en-US" w:eastAsia="zh-CN" w:bidi="ar-SA"/>
              </w:rPr>
              <w:t>0</w:t>
            </w:r>
          </w:p>
        </w:tc>
        <w:tc>
          <w:tcPr>
            <w:tcW w:w="1365" w:type="dxa"/>
            <w:vAlign w:val="center"/>
          </w:tcPr>
          <w:p w14:paraId="090E3A5D">
            <w:pPr>
              <w:keepNext w:val="0"/>
              <w:keepLines w:val="0"/>
              <w:pageBreakBefore w:val="0"/>
              <w:widowControl w:val="0"/>
              <w:kinsoku/>
              <w:wordWrap/>
              <w:overflowPunct/>
              <w:topLinePunct w:val="0"/>
              <w:bidi w:val="0"/>
              <w:adjustRightInd/>
              <w:snapToGrid/>
              <w:spacing w:line="240" w:lineRule="auto"/>
              <w:ind w:firstLine="0" w:firstLineChars="0"/>
              <w:jc w:val="center"/>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820" w:type="dxa"/>
            <w:vAlign w:val="center"/>
          </w:tcPr>
          <w:p w14:paraId="00C34E0B">
            <w:pPr>
              <w:keepNext w:val="0"/>
              <w:keepLines w:val="0"/>
              <w:pageBreakBefore w:val="0"/>
              <w:widowControl w:val="0"/>
              <w:kinsoku/>
              <w:wordWrap/>
              <w:overflowPunct/>
              <w:topLinePunct w:val="0"/>
              <w:bidi w:val="0"/>
              <w:adjustRightInd/>
              <w:snapToGrid/>
              <w:spacing w:line="240" w:lineRule="auto"/>
              <w:ind w:firstLine="0" w:firstLineChars="0"/>
              <w:jc w:val="center"/>
              <w:rPr>
                <w:rFonts w:hint="eastAsia"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670" w:type="dxa"/>
            <w:vAlign w:val="center"/>
          </w:tcPr>
          <w:p w14:paraId="19D3C32D">
            <w:pPr>
              <w:pStyle w:val="79"/>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eastAsia" w:ascii="Times New Roman" w:hAnsi="Times New Roman" w:cs="Times New Roman"/>
                <w:color w:val="auto"/>
                <w:sz w:val="21"/>
                <w:szCs w:val="21"/>
                <w:highlight w:val="none"/>
                <w:u w:val="none"/>
                <w:lang w:val="en-US" w:eastAsia="zh-CN"/>
              </w:rPr>
              <w:t>1</w:t>
            </w:r>
            <w:r>
              <w:rPr>
                <w:rFonts w:hint="eastAsia" w:cs="Times New Roman"/>
                <w:color w:val="auto"/>
                <w:sz w:val="21"/>
                <w:szCs w:val="21"/>
                <w:highlight w:val="none"/>
                <w:u w:val="none"/>
                <w:lang w:val="en-US" w:eastAsia="zh-CN"/>
              </w:rPr>
              <w:t>.2</w:t>
            </w:r>
            <w:r>
              <w:rPr>
                <w:rFonts w:hint="eastAsia" w:ascii="Times New Roman" w:hAnsi="Times New Roman" w:cs="Times New Roman"/>
                <w:b w:val="0"/>
                <w:bCs w:val="0"/>
                <w:color w:val="auto"/>
                <w:sz w:val="21"/>
                <w:szCs w:val="21"/>
                <w:highlight w:val="none"/>
                <w:u w:val="none"/>
              </w:rPr>
              <w:t>t/a</w:t>
            </w:r>
          </w:p>
        </w:tc>
        <w:tc>
          <w:tcPr>
            <w:tcW w:w="1676" w:type="dxa"/>
            <w:vAlign w:val="center"/>
          </w:tcPr>
          <w:p w14:paraId="2E75F84F">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ascii="Times New Roman" w:hAnsi="Times New Roman" w:cs="Times New Roman"/>
                <w:b w:val="0"/>
                <w:bCs w:val="0"/>
                <w:color w:val="auto"/>
                <w:kern w:val="2"/>
                <w:sz w:val="21"/>
                <w:szCs w:val="21"/>
                <w:highlight w:val="none"/>
                <w:u w:val="none"/>
                <w:lang w:val="en-US" w:eastAsia="zh-CN" w:bidi="ar-SA"/>
              </w:rPr>
              <w:t>0</w:t>
            </w:r>
          </w:p>
        </w:tc>
        <w:tc>
          <w:tcPr>
            <w:tcW w:w="1868" w:type="dxa"/>
            <w:shd w:val="clear" w:color="auto" w:fill="auto"/>
            <w:vAlign w:val="center"/>
          </w:tcPr>
          <w:p w14:paraId="48E01262">
            <w:pPr>
              <w:pStyle w:val="79"/>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eastAsia" w:ascii="Times New Roman" w:hAnsi="Times New Roman" w:cs="Times New Roman"/>
                <w:color w:val="auto"/>
                <w:sz w:val="21"/>
                <w:szCs w:val="21"/>
                <w:highlight w:val="none"/>
                <w:u w:val="none"/>
                <w:lang w:val="en-US" w:eastAsia="zh-CN"/>
              </w:rPr>
              <w:t>1</w:t>
            </w:r>
            <w:r>
              <w:rPr>
                <w:rFonts w:hint="eastAsia" w:cs="Times New Roman"/>
                <w:color w:val="auto"/>
                <w:sz w:val="21"/>
                <w:szCs w:val="21"/>
                <w:highlight w:val="none"/>
                <w:u w:val="none"/>
                <w:lang w:val="en-US" w:eastAsia="zh-CN"/>
              </w:rPr>
              <w:t>.2</w:t>
            </w:r>
            <w:r>
              <w:rPr>
                <w:rFonts w:hint="eastAsia" w:ascii="Times New Roman" w:hAnsi="Times New Roman" w:cs="Times New Roman"/>
                <w:b w:val="0"/>
                <w:bCs w:val="0"/>
                <w:color w:val="auto"/>
                <w:sz w:val="21"/>
                <w:szCs w:val="21"/>
                <w:highlight w:val="none"/>
                <w:u w:val="none"/>
              </w:rPr>
              <w:t>t/a</w:t>
            </w:r>
          </w:p>
        </w:tc>
        <w:tc>
          <w:tcPr>
            <w:tcW w:w="1327" w:type="dxa"/>
            <w:shd w:val="clear" w:color="auto" w:fill="auto"/>
            <w:vAlign w:val="center"/>
          </w:tcPr>
          <w:p w14:paraId="3363C9E4">
            <w:pPr>
              <w:pStyle w:val="79"/>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eastAsia" w:ascii="Times New Roman" w:hAnsi="Times New Roman" w:cs="Times New Roman"/>
                <w:color w:val="auto"/>
                <w:sz w:val="21"/>
                <w:szCs w:val="21"/>
                <w:highlight w:val="none"/>
                <w:u w:val="none"/>
                <w:lang w:val="en-US" w:eastAsia="zh-CN"/>
              </w:rPr>
              <w:t>+1</w:t>
            </w:r>
            <w:r>
              <w:rPr>
                <w:rFonts w:hint="eastAsia" w:cs="Times New Roman"/>
                <w:color w:val="auto"/>
                <w:sz w:val="21"/>
                <w:szCs w:val="21"/>
                <w:highlight w:val="none"/>
                <w:u w:val="none"/>
                <w:lang w:val="en-US" w:eastAsia="zh-CN"/>
              </w:rPr>
              <w:t>.2</w:t>
            </w:r>
            <w:r>
              <w:rPr>
                <w:rFonts w:hint="eastAsia" w:ascii="Times New Roman" w:hAnsi="Times New Roman" w:cs="Times New Roman"/>
                <w:b w:val="0"/>
                <w:bCs w:val="0"/>
                <w:color w:val="auto"/>
                <w:sz w:val="21"/>
                <w:szCs w:val="21"/>
                <w:highlight w:val="none"/>
                <w:u w:val="none"/>
              </w:rPr>
              <w:t>t/a</w:t>
            </w:r>
          </w:p>
        </w:tc>
      </w:tr>
      <w:tr w14:paraId="2D1927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1179" w:type="dxa"/>
            <w:vMerge w:val="continue"/>
            <w:vAlign w:val="center"/>
          </w:tcPr>
          <w:p w14:paraId="2147F495">
            <w:pPr>
              <w:pStyle w:val="62"/>
              <w:keepNext w:val="0"/>
              <w:keepLines w:val="0"/>
              <w:pageBreakBefore w:val="0"/>
              <w:kinsoku/>
              <w:wordWrap/>
              <w:overflowPunct/>
              <w:topLinePunct w:val="0"/>
              <w:bidi w:val="0"/>
              <w:adjustRightInd/>
              <w:snapToGrid/>
              <w:spacing w:line="240" w:lineRule="auto"/>
              <w:rPr>
                <w:rFonts w:hint="eastAsia" w:ascii="Times New Roman" w:hAnsi="Times New Roman" w:cs="Times New Roman"/>
                <w:color w:val="auto"/>
                <w:sz w:val="21"/>
                <w:szCs w:val="21"/>
                <w:u w:val="none"/>
              </w:rPr>
            </w:pPr>
          </w:p>
        </w:tc>
        <w:tc>
          <w:tcPr>
            <w:tcW w:w="2036" w:type="dxa"/>
            <w:vAlign w:val="center"/>
          </w:tcPr>
          <w:p w14:paraId="0A2D88C3">
            <w:pPr>
              <w:pStyle w:val="79"/>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废油桶</w:t>
            </w:r>
          </w:p>
        </w:tc>
        <w:tc>
          <w:tcPr>
            <w:tcW w:w="1820" w:type="dxa"/>
            <w:vAlign w:val="center"/>
          </w:tcPr>
          <w:p w14:paraId="0E645F98">
            <w:pPr>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default" w:ascii="Times New Roman" w:hAnsi="Times New Roman"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c>
          <w:tcPr>
            <w:tcW w:w="1365" w:type="dxa"/>
            <w:vAlign w:val="center"/>
          </w:tcPr>
          <w:p w14:paraId="1B6434D9">
            <w:pPr>
              <w:keepNext w:val="0"/>
              <w:keepLines w:val="0"/>
              <w:pageBreakBefore w:val="0"/>
              <w:widowControl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c>
          <w:tcPr>
            <w:tcW w:w="1820" w:type="dxa"/>
            <w:vAlign w:val="center"/>
          </w:tcPr>
          <w:p w14:paraId="6CA4C63D">
            <w:pPr>
              <w:keepNext w:val="0"/>
              <w:keepLines w:val="0"/>
              <w:pageBreakBefore w:val="0"/>
              <w:widowControl w:val="0"/>
              <w:kinsoku/>
              <w:wordWrap/>
              <w:overflowPunct/>
              <w:topLinePunct w:val="0"/>
              <w:bidi w:val="0"/>
              <w:adjustRightInd/>
              <w:snapToGrid/>
              <w:spacing w:line="240" w:lineRule="auto"/>
              <w:ind w:firstLine="0" w:firstLineChars="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c>
          <w:tcPr>
            <w:tcW w:w="1670" w:type="dxa"/>
            <w:vAlign w:val="center"/>
          </w:tcPr>
          <w:p w14:paraId="1FEA962E">
            <w:pPr>
              <w:pStyle w:val="79"/>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eastAsia" w:ascii="Times New Roman" w:hAnsi="Times New Roman"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0.</w:t>
            </w:r>
            <w:r>
              <w:rPr>
                <w:rFonts w:hint="eastAsia" w:cs="Times New Roman"/>
                <w:color w:val="auto"/>
                <w:sz w:val="21"/>
                <w:szCs w:val="21"/>
                <w:highlight w:val="none"/>
                <w:u w:val="none"/>
                <w:lang w:val="en-US" w:eastAsia="zh-CN"/>
              </w:rPr>
              <w:t>135</w:t>
            </w:r>
            <w:r>
              <w:rPr>
                <w:rFonts w:hint="eastAsia" w:ascii="Times New Roman" w:hAnsi="Times New Roman" w:cs="Times New Roman"/>
                <w:b w:val="0"/>
                <w:bCs w:val="0"/>
                <w:color w:val="auto"/>
                <w:sz w:val="21"/>
                <w:szCs w:val="21"/>
                <w:highlight w:val="none"/>
                <w:u w:val="none"/>
              </w:rPr>
              <w:t>t/a</w:t>
            </w:r>
          </w:p>
        </w:tc>
        <w:tc>
          <w:tcPr>
            <w:tcW w:w="1676" w:type="dxa"/>
            <w:vAlign w:val="center"/>
          </w:tcPr>
          <w:p w14:paraId="4ED29821">
            <w:pPr>
              <w:keepNext w:val="0"/>
              <w:keepLines w:val="0"/>
              <w:pageBreakBefore w:val="0"/>
              <w:widowControl/>
              <w:kinsoku/>
              <w:wordWrap/>
              <w:overflowPunct/>
              <w:topLinePunct w:val="0"/>
              <w:autoSpaceDE/>
              <w:autoSpaceDN/>
              <w:bidi w:val="0"/>
              <w:adjustRightInd/>
              <w:snapToGrid/>
              <w:spacing w:line="240" w:lineRule="auto"/>
              <w:contextualSpacing/>
              <w:jc w:val="center"/>
              <w:textAlignment w:val="auto"/>
              <w:rPr>
                <w:rFonts w:hint="default" w:ascii="Times New Roman" w:hAnsi="Times New Roman"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highlight w:val="none"/>
                <w:u w:val="none"/>
                <w:lang w:val="en-US" w:eastAsia="zh-CN" w:bidi="ar-SA"/>
              </w:rPr>
              <w:t>0</w:t>
            </w:r>
          </w:p>
        </w:tc>
        <w:tc>
          <w:tcPr>
            <w:tcW w:w="1868" w:type="dxa"/>
            <w:shd w:val="clear" w:color="auto" w:fill="auto"/>
            <w:vAlign w:val="center"/>
          </w:tcPr>
          <w:p w14:paraId="0E93686E">
            <w:pPr>
              <w:pStyle w:val="79"/>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eastAsia" w:ascii="Times New Roman" w:hAnsi="Times New Roman" w:eastAsia="宋体" w:cs="Times New Roman"/>
                <w:color w:val="auto"/>
                <w:kern w:val="2"/>
                <w:sz w:val="21"/>
                <w:szCs w:val="21"/>
                <w:highlight w:val="none"/>
                <w:u w:val="none"/>
                <w:lang w:val="en-US" w:eastAsia="zh-CN" w:bidi="ar-SA"/>
              </w:rPr>
            </w:pPr>
            <w:r>
              <w:rPr>
                <w:rFonts w:hint="eastAsia" w:ascii="Times New Roman" w:hAnsi="Times New Roman" w:eastAsia="宋体" w:cs="Times New Roman"/>
                <w:color w:val="auto"/>
                <w:sz w:val="21"/>
                <w:szCs w:val="21"/>
                <w:highlight w:val="none"/>
                <w:u w:val="none"/>
                <w:lang w:val="en-US" w:eastAsia="zh-CN"/>
              </w:rPr>
              <w:t>0.</w:t>
            </w:r>
            <w:r>
              <w:rPr>
                <w:rFonts w:hint="eastAsia" w:cs="Times New Roman"/>
                <w:color w:val="auto"/>
                <w:sz w:val="21"/>
                <w:szCs w:val="21"/>
                <w:highlight w:val="none"/>
                <w:u w:val="none"/>
                <w:lang w:val="en-US" w:eastAsia="zh-CN"/>
              </w:rPr>
              <w:t>135</w:t>
            </w:r>
            <w:r>
              <w:rPr>
                <w:rFonts w:hint="eastAsia" w:ascii="Times New Roman" w:hAnsi="Times New Roman" w:cs="Times New Roman"/>
                <w:b w:val="0"/>
                <w:bCs w:val="0"/>
                <w:color w:val="auto"/>
                <w:sz w:val="21"/>
                <w:szCs w:val="21"/>
                <w:highlight w:val="none"/>
                <w:u w:val="none"/>
              </w:rPr>
              <w:t>t/a</w:t>
            </w:r>
          </w:p>
        </w:tc>
        <w:tc>
          <w:tcPr>
            <w:tcW w:w="1327" w:type="dxa"/>
            <w:shd w:val="clear" w:color="auto" w:fill="auto"/>
            <w:vAlign w:val="center"/>
          </w:tcPr>
          <w:p w14:paraId="739E0894">
            <w:pPr>
              <w:pStyle w:val="79"/>
              <w:keepNext w:val="0"/>
              <w:keepLines w:val="0"/>
              <w:pageBreakBefore w:val="0"/>
              <w:widowControl w:val="0"/>
              <w:kinsoku/>
              <w:wordWrap/>
              <w:overflowPunct/>
              <w:topLinePunct w:val="0"/>
              <w:bidi w:val="0"/>
              <w:adjustRightInd/>
              <w:snapToGrid/>
              <w:spacing w:line="240" w:lineRule="auto"/>
              <w:ind w:firstLine="0" w:firstLineChars="0"/>
              <w:contextualSpacing/>
              <w:jc w:val="center"/>
              <w:textAlignment w:val="auto"/>
              <w:rPr>
                <w:rFonts w:hint="eastAsia" w:ascii="Times New Roman" w:hAnsi="Times New Roman" w:eastAsia="宋体" w:cs="Times New Roman"/>
                <w:color w:val="auto"/>
                <w:kern w:val="2"/>
                <w:sz w:val="21"/>
                <w:szCs w:val="21"/>
                <w:highlight w:val="none"/>
                <w:u w:val="none"/>
                <w:lang w:val="en-US" w:eastAsia="zh-CN" w:bidi="ar-SA"/>
              </w:rPr>
            </w:pPr>
            <w:r>
              <w:rPr>
                <w:rFonts w:hint="eastAsia" w:ascii="Times New Roman" w:hAnsi="Times New Roman" w:eastAsia="宋体" w:cs="Times New Roman"/>
                <w:color w:val="auto"/>
                <w:sz w:val="21"/>
                <w:szCs w:val="21"/>
                <w:highlight w:val="none"/>
                <w:u w:val="none"/>
                <w:lang w:val="en-US" w:eastAsia="zh-CN"/>
              </w:rPr>
              <w:t>+0.</w:t>
            </w:r>
            <w:r>
              <w:rPr>
                <w:rFonts w:hint="eastAsia" w:cs="Times New Roman"/>
                <w:color w:val="auto"/>
                <w:sz w:val="21"/>
                <w:szCs w:val="21"/>
                <w:highlight w:val="none"/>
                <w:u w:val="none"/>
                <w:lang w:val="en-US" w:eastAsia="zh-CN"/>
              </w:rPr>
              <w:t>135</w:t>
            </w:r>
            <w:r>
              <w:rPr>
                <w:rFonts w:hint="eastAsia" w:ascii="Times New Roman" w:hAnsi="Times New Roman" w:cs="Times New Roman"/>
                <w:b w:val="0"/>
                <w:bCs w:val="0"/>
                <w:color w:val="auto"/>
                <w:sz w:val="21"/>
                <w:szCs w:val="21"/>
                <w:highlight w:val="none"/>
                <w:u w:val="none"/>
              </w:rPr>
              <w:t>t/a</w:t>
            </w:r>
          </w:p>
        </w:tc>
      </w:tr>
    </w:tbl>
    <w:p w14:paraId="1828B184">
      <w:pPr>
        <w:pStyle w:val="50"/>
        <w:spacing w:beforeLines="80" w:after="24"/>
        <w:jc w:val="left"/>
        <w:rPr>
          <w:rFonts w:hint="eastAsia" w:ascii="Times New Roman" w:hAnsi="Times New Roman" w:cs="Times New Roman"/>
          <w:snapToGrid w:val="0"/>
          <w:color w:val="auto"/>
          <w:spacing w:val="-6"/>
          <w:kern w:val="21"/>
          <w:szCs w:val="21"/>
          <w:u w:val="none"/>
          <w:lang w:val="en-US" w:eastAsia="zh-CN"/>
        </w:rPr>
        <w:sectPr>
          <w:footerReference r:id="rId8" w:type="default"/>
          <w:pgSz w:w="16838" w:h="11906" w:orient="landscape"/>
          <w:pgMar w:top="1440" w:right="1080" w:bottom="1440" w:left="108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cs="Times New Roman"/>
          <w:snapToGrid w:val="0"/>
          <w:color w:val="auto"/>
          <w:kern w:val="21"/>
          <w:szCs w:val="21"/>
          <w:u w:val="none"/>
        </w:rPr>
        <w:t>注：</w:t>
      </w:r>
      <w:r>
        <w:rPr>
          <w:rFonts w:ascii="Times New Roman" w:hAnsi="Times New Roman" w:cs="Times New Roman"/>
          <w:snapToGrid w:val="0"/>
          <w:color w:val="auto"/>
          <w:spacing w:val="-16"/>
          <w:kern w:val="21"/>
          <w:szCs w:val="21"/>
          <w:u w:val="none"/>
        </w:rPr>
        <w:fldChar w:fldCharType="begin"/>
      </w:r>
      <w:r>
        <w:rPr>
          <w:rFonts w:ascii="Times New Roman" w:hAnsi="Times New Roman" w:cs="Times New Roman"/>
          <w:snapToGrid w:val="0"/>
          <w:color w:val="auto"/>
          <w:spacing w:val="-16"/>
          <w:kern w:val="21"/>
          <w:szCs w:val="21"/>
          <w:u w:val="none"/>
        </w:rPr>
        <w:instrText xml:space="preserve"> = 6 \* GB3 \* MERGEFORMAT </w:instrText>
      </w:r>
      <w:r>
        <w:rPr>
          <w:rFonts w:ascii="Times New Roman" w:hAnsi="Times New Roman" w:cs="Times New Roman"/>
          <w:snapToGrid w:val="0"/>
          <w:color w:val="auto"/>
          <w:spacing w:val="-16"/>
          <w:kern w:val="21"/>
          <w:szCs w:val="21"/>
          <w:u w:val="none"/>
        </w:rPr>
        <w:fldChar w:fldCharType="separate"/>
      </w:r>
      <w:r>
        <w:rPr>
          <w:rFonts w:ascii="Times New Roman" w:hAnsi="Times New Roman" w:cs="Times New Roman"/>
          <w:color w:val="auto"/>
          <w:szCs w:val="21"/>
          <w:u w:val="none"/>
        </w:rPr>
        <w:t>⑥</w:t>
      </w:r>
      <w:r>
        <w:rPr>
          <w:rFonts w:ascii="Times New Roman" w:hAnsi="Times New Roman" w:cs="Times New Roman"/>
          <w:snapToGrid w:val="0"/>
          <w:color w:val="auto"/>
          <w:spacing w:val="-16"/>
          <w:kern w:val="21"/>
          <w:szCs w:val="21"/>
          <w:u w:val="none"/>
        </w:rPr>
        <w:fldChar w:fldCharType="end"/>
      </w:r>
      <w:r>
        <w:rPr>
          <w:rFonts w:ascii="Times New Roman" w:hAnsi="Times New Roman" w:cs="Times New Roman"/>
          <w:snapToGrid w:val="0"/>
          <w:color w:val="auto"/>
          <w:spacing w:val="-16"/>
          <w:kern w:val="21"/>
          <w:szCs w:val="21"/>
          <w:u w:val="none"/>
        </w:rPr>
        <w:t>=</w:t>
      </w:r>
      <w:r>
        <w:rPr>
          <w:rFonts w:ascii="Times New Roman" w:hAnsi="Times New Roman" w:cs="Times New Roman"/>
          <w:snapToGrid w:val="0"/>
          <w:color w:val="auto"/>
          <w:spacing w:val="-6"/>
          <w:kern w:val="21"/>
          <w:szCs w:val="21"/>
          <w:u w:val="none"/>
        </w:rPr>
        <w:fldChar w:fldCharType="begin"/>
      </w:r>
      <w:r>
        <w:rPr>
          <w:rFonts w:ascii="Times New Roman" w:hAnsi="Times New Roman" w:cs="Times New Roman"/>
          <w:snapToGrid w:val="0"/>
          <w:color w:val="auto"/>
          <w:spacing w:val="-6"/>
          <w:kern w:val="21"/>
          <w:szCs w:val="21"/>
          <w:u w:val="none"/>
        </w:rPr>
        <w:instrText xml:space="preserve"> = 1 \* GB3 \* MERGEFORMAT </w:instrText>
      </w:r>
      <w:r>
        <w:rPr>
          <w:rFonts w:ascii="Times New Roman" w:hAnsi="Times New Roman" w:cs="Times New Roman"/>
          <w:snapToGrid w:val="0"/>
          <w:color w:val="auto"/>
          <w:spacing w:val="-6"/>
          <w:kern w:val="21"/>
          <w:szCs w:val="21"/>
          <w:u w:val="none"/>
        </w:rPr>
        <w:fldChar w:fldCharType="separate"/>
      </w:r>
      <w:r>
        <w:rPr>
          <w:rFonts w:ascii="Times New Roman" w:hAnsi="Times New Roman" w:cs="Times New Roman"/>
          <w:color w:val="auto"/>
          <w:szCs w:val="21"/>
          <w:u w:val="none"/>
        </w:rPr>
        <w:t>①</w:t>
      </w:r>
      <w:r>
        <w:rPr>
          <w:rFonts w:ascii="Times New Roman" w:hAnsi="Times New Roman" w:cs="Times New Roman"/>
          <w:snapToGrid w:val="0"/>
          <w:color w:val="auto"/>
          <w:spacing w:val="-6"/>
          <w:kern w:val="21"/>
          <w:szCs w:val="21"/>
          <w:u w:val="none"/>
        </w:rPr>
        <w:fldChar w:fldCharType="end"/>
      </w:r>
      <w:r>
        <w:rPr>
          <w:rFonts w:ascii="Times New Roman" w:hAnsi="Times New Roman" w:cs="Times New Roman"/>
          <w:snapToGrid w:val="0"/>
          <w:color w:val="auto"/>
          <w:spacing w:val="-6"/>
          <w:kern w:val="21"/>
          <w:szCs w:val="21"/>
          <w:u w:val="none"/>
        </w:rPr>
        <w:t>+</w:t>
      </w:r>
      <w:r>
        <w:rPr>
          <w:rFonts w:ascii="Times New Roman" w:hAnsi="Times New Roman" w:cs="Times New Roman"/>
          <w:snapToGrid w:val="0"/>
          <w:color w:val="auto"/>
          <w:spacing w:val="-6"/>
          <w:kern w:val="21"/>
          <w:szCs w:val="21"/>
          <w:u w:val="none"/>
        </w:rPr>
        <w:fldChar w:fldCharType="begin"/>
      </w:r>
      <w:r>
        <w:rPr>
          <w:rFonts w:ascii="Times New Roman" w:hAnsi="Times New Roman" w:cs="Times New Roman"/>
          <w:snapToGrid w:val="0"/>
          <w:color w:val="auto"/>
          <w:spacing w:val="-6"/>
          <w:kern w:val="21"/>
          <w:szCs w:val="21"/>
          <w:u w:val="none"/>
        </w:rPr>
        <w:instrText xml:space="preserve"> = 3 \* GB3 \* MERGEFORMAT </w:instrText>
      </w:r>
      <w:r>
        <w:rPr>
          <w:rFonts w:ascii="Times New Roman" w:hAnsi="Times New Roman" w:cs="Times New Roman"/>
          <w:snapToGrid w:val="0"/>
          <w:color w:val="auto"/>
          <w:spacing w:val="-6"/>
          <w:kern w:val="21"/>
          <w:szCs w:val="21"/>
          <w:u w:val="none"/>
        </w:rPr>
        <w:fldChar w:fldCharType="separate"/>
      </w:r>
      <w:r>
        <w:rPr>
          <w:rFonts w:ascii="Times New Roman" w:hAnsi="Times New Roman" w:cs="Times New Roman"/>
          <w:color w:val="auto"/>
          <w:szCs w:val="21"/>
          <w:u w:val="none"/>
        </w:rPr>
        <w:t>③</w:t>
      </w:r>
      <w:r>
        <w:rPr>
          <w:rFonts w:ascii="Times New Roman" w:hAnsi="Times New Roman" w:cs="Times New Roman"/>
          <w:snapToGrid w:val="0"/>
          <w:color w:val="auto"/>
          <w:spacing w:val="-6"/>
          <w:kern w:val="21"/>
          <w:szCs w:val="21"/>
          <w:u w:val="none"/>
        </w:rPr>
        <w:fldChar w:fldCharType="end"/>
      </w:r>
      <w:r>
        <w:rPr>
          <w:rFonts w:ascii="Times New Roman" w:hAnsi="Times New Roman" w:cs="Times New Roman"/>
          <w:snapToGrid w:val="0"/>
          <w:color w:val="auto"/>
          <w:spacing w:val="-6"/>
          <w:kern w:val="21"/>
          <w:szCs w:val="21"/>
          <w:u w:val="none"/>
        </w:rPr>
        <w:t>+</w:t>
      </w:r>
      <w:r>
        <w:rPr>
          <w:rFonts w:ascii="Times New Roman" w:hAnsi="Times New Roman" w:cs="Times New Roman"/>
          <w:snapToGrid w:val="0"/>
          <w:color w:val="auto"/>
          <w:spacing w:val="-6"/>
          <w:kern w:val="21"/>
          <w:szCs w:val="21"/>
          <w:u w:val="none"/>
        </w:rPr>
        <w:fldChar w:fldCharType="begin"/>
      </w:r>
      <w:r>
        <w:rPr>
          <w:rFonts w:ascii="Times New Roman" w:hAnsi="Times New Roman" w:cs="Times New Roman"/>
          <w:snapToGrid w:val="0"/>
          <w:color w:val="auto"/>
          <w:spacing w:val="-6"/>
          <w:kern w:val="21"/>
          <w:szCs w:val="21"/>
          <w:u w:val="none"/>
        </w:rPr>
        <w:instrText xml:space="preserve"> = 4 \* GB3 \* MERGEFORMAT </w:instrText>
      </w:r>
      <w:r>
        <w:rPr>
          <w:rFonts w:ascii="Times New Roman" w:hAnsi="Times New Roman" w:cs="Times New Roman"/>
          <w:snapToGrid w:val="0"/>
          <w:color w:val="auto"/>
          <w:spacing w:val="-6"/>
          <w:kern w:val="21"/>
          <w:szCs w:val="21"/>
          <w:u w:val="none"/>
        </w:rPr>
        <w:fldChar w:fldCharType="separate"/>
      </w:r>
      <w:r>
        <w:rPr>
          <w:rFonts w:ascii="Times New Roman" w:hAnsi="Times New Roman" w:cs="Times New Roman"/>
          <w:color w:val="auto"/>
          <w:szCs w:val="21"/>
          <w:u w:val="none"/>
        </w:rPr>
        <w:t>④</w:t>
      </w:r>
      <w:r>
        <w:rPr>
          <w:rFonts w:ascii="Times New Roman" w:hAnsi="Times New Roman" w:cs="Times New Roman"/>
          <w:snapToGrid w:val="0"/>
          <w:color w:val="auto"/>
          <w:spacing w:val="-6"/>
          <w:kern w:val="21"/>
          <w:szCs w:val="21"/>
          <w:u w:val="none"/>
        </w:rPr>
        <w:fldChar w:fldCharType="end"/>
      </w:r>
      <w:r>
        <w:rPr>
          <w:rFonts w:ascii="Times New Roman" w:hAnsi="Times New Roman" w:cs="Times New Roman"/>
          <w:snapToGrid w:val="0"/>
          <w:color w:val="auto"/>
          <w:spacing w:val="-6"/>
          <w:kern w:val="21"/>
          <w:szCs w:val="21"/>
          <w:u w:val="none"/>
        </w:rPr>
        <w:t>-</w:t>
      </w:r>
      <w:r>
        <w:rPr>
          <w:rFonts w:ascii="Times New Roman" w:hAnsi="Times New Roman" w:cs="Times New Roman"/>
          <w:snapToGrid w:val="0"/>
          <w:color w:val="auto"/>
          <w:spacing w:val="-16"/>
          <w:kern w:val="21"/>
          <w:szCs w:val="21"/>
          <w:u w:val="none"/>
        </w:rPr>
        <w:fldChar w:fldCharType="begin"/>
      </w:r>
      <w:r>
        <w:rPr>
          <w:rFonts w:ascii="Times New Roman" w:hAnsi="Times New Roman" w:cs="Times New Roman"/>
          <w:snapToGrid w:val="0"/>
          <w:color w:val="auto"/>
          <w:spacing w:val="-16"/>
          <w:kern w:val="21"/>
          <w:szCs w:val="21"/>
          <w:u w:val="none"/>
        </w:rPr>
        <w:instrText xml:space="preserve"> = 5 \* GB3 \* MERGEFORMAT </w:instrText>
      </w:r>
      <w:r>
        <w:rPr>
          <w:rFonts w:ascii="Times New Roman" w:hAnsi="Times New Roman" w:cs="Times New Roman"/>
          <w:snapToGrid w:val="0"/>
          <w:color w:val="auto"/>
          <w:spacing w:val="-16"/>
          <w:kern w:val="21"/>
          <w:szCs w:val="21"/>
          <w:u w:val="none"/>
        </w:rPr>
        <w:fldChar w:fldCharType="separate"/>
      </w:r>
      <w:r>
        <w:rPr>
          <w:rFonts w:ascii="Times New Roman" w:hAnsi="Times New Roman" w:cs="Times New Roman"/>
          <w:color w:val="auto"/>
          <w:szCs w:val="21"/>
          <w:u w:val="none"/>
        </w:rPr>
        <w:t>⑤</w:t>
      </w:r>
      <w:r>
        <w:rPr>
          <w:rFonts w:ascii="Times New Roman" w:hAnsi="Times New Roman" w:cs="Times New Roman"/>
          <w:snapToGrid w:val="0"/>
          <w:color w:val="auto"/>
          <w:spacing w:val="-16"/>
          <w:kern w:val="21"/>
          <w:szCs w:val="21"/>
          <w:u w:val="none"/>
        </w:rPr>
        <w:fldChar w:fldCharType="end"/>
      </w:r>
      <w:r>
        <w:rPr>
          <w:rFonts w:ascii="Times New Roman" w:hAnsi="Times New Roman" w:cs="Times New Roman"/>
          <w:snapToGrid w:val="0"/>
          <w:color w:val="auto"/>
          <w:spacing w:val="-16"/>
          <w:kern w:val="21"/>
          <w:szCs w:val="21"/>
          <w:u w:val="none"/>
        </w:rPr>
        <w:t>；</w:t>
      </w:r>
      <w:r>
        <w:rPr>
          <w:rFonts w:ascii="Times New Roman" w:hAnsi="Times New Roman" w:cs="Times New Roman"/>
          <w:snapToGrid w:val="0"/>
          <w:color w:val="auto"/>
          <w:spacing w:val="-6"/>
          <w:kern w:val="21"/>
          <w:szCs w:val="21"/>
          <w:u w:val="none"/>
        </w:rPr>
        <w:fldChar w:fldCharType="begin"/>
      </w:r>
      <w:r>
        <w:rPr>
          <w:rFonts w:ascii="Times New Roman" w:hAnsi="Times New Roman" w:cs="Times New Roman"/>
          <w:snapToGrid w:val="0"/>
          <w:color w:val="auto"/>
          <w:spacing w:val="-6"/>
          <w:kern w:val="21"/>
          <w:szCs w:val="21"/>
          <w:u w:val="none"/>
        </w:rPr>
        <w:instrText xml:space="preserve"> = 7 \* GB3 \* MERGEFORMAT </w:instrText>
      </w:r>
      <w:r>
        <w:rPr>
          <w:rFonts w:ascii="Times New Roman" w:hAnsi="Times New Roman" w:cs="Times New Roman"/>
          <w:snapToGrid w:val="0"/>
          <w:color w:val="auto"/>
          <w:spacing w:val="-6"/>
          <w:kern w:val="21"/>
          <w:szCs w:val="21"/>
          <w:u w:val="none"/>
        </w:rPr>
        <w:fldChar w:fldCharType="separate"/>
      </w:r>
      <w:r>
        <w:rPr>
          <w:rFonts w:ascii="Times New Roman" w:hAnsi="Times New Roman" w:cs="Times New Roman"/>
          <w:color w:val="auto"/>
          <w:szCs w:val="21"/>
          <w:u w:val="none"/>
        </w:rPr>
        <w:t>⑦</w:t>
      </w:r>
      <w:r>
        <w:rPr>
          <w:rFonts w:ascii="Times New Roman" w:hAnsi="Times New Roman" w:cs="Times New Roman"/>
          <w:snapToGrid w:val="0"/>
          <w:color w:val="auto"/>
          <w:spacing w:val="-6"/>
          <w:kern w:val="21"/>
          <w:szCs w:val="21"/>
          <w:u w:val="none"/>
        </w:rPr>
        <w:fldChar w:fldCharType="end"/>
      </w:r>
      <w:r>
        <w:rPr>
          <w:rFonts w:ascii="Times New Roman" w:hAnsi="Times New Roman" w:cs="Times New Roman"/>
          <w:snapToGrid w:val="0"/>
          <w:color w:val="auto"/>
          <w:spacing w:val="-6"/>
          <w:kern w:val="21"/>
          <w:szCs w:val="21"/>
          <w:u w:val="none"/>
        </w:rPr>
        <w:t>=</w:t>
      </w:r>
      <w:r>
        <w:rPr>
          <w:rFonts w:ascii="Times New Roman" w:hAnsi="Times New Roman" w:cs="Times New Roman"/>
          <w:snapToGrid w:val="0"/>
          <w:color w:val="auto"/>
          <w:spacing w:val="-16"/>
          <w:kern w:val="21"/>
          <w:szCs w:val="21"/>
          <w:u w:val="none"/>
        </w:rPr>
        <w:fldChar w:fldCharType="begin"/>
      </w:r>
      <w:r>
        <w:rPr>
          <w:rFonts w:ascii="Times New Roman" w:hAnsi="Times New Roman" w:cs="Times New Roman"/>
          <w:snapToGrid w:val="0"/>
          <w:color w:val="auto"/>
          <w:spacing w:val="-16"/>
          <w:kern w:val="21"/>
          <w:szCs w:val="21"/>
          <w:u w:val="none"/>
        </w:rPr>
        <w:instrText xml:space="preserve"> = 6 \* GB3 \* MERGEFORMAT </w:instrText>
      </w:r>
      <w:r>
        <w:rPr>
          <w:rFonts w:ascii="Times New Roman" w:hAnsi="Times New Roman" w:cs="Times New Roman"/>
          <w:snapToGrid w:val="0"/>
          <w:color w:val="auto"/>
          <w:spacing w:val="-16"/>
          <w:kern w:val="21"/>
          <w:szCs w:val="21"/>
          <w:u w:val="none"/>
        </w:rPr>
        <w:fldChar w:fldCharType="separate"/>
      </w:r>
      <w:r>
        <w:rPr>
          <w:rFonts w:ascii="Times New Roman" w:hAnsi="Times New Roman" w:cs="Times New Roman"/>
          <w:color w:val="auto"/>
          <w:szCs w:val="21"/>
          <w:u w:val="none"/>
        </w:rPr>
        <w:t>⑥</w:t>
      </w:r>
      <w:r>
        <w:rPr>
          <w:rFonts w:ascii="Times New Roman" w:hAnsi="Times New Roman" w:cs="Times New Roman"/>
          <w:snapToGrid w:val="0"/>
          <w:color w:val="auto"/>
          <w:spacing w:val="-16"/>
          <w:kern w:val="21"/>
          <w:szCs w:val="21"/>
          <w:u w:val="none"/>
        </w:rPr>
        <w:fldChar w:fldCharType="end"/>
      </w:r>
      <w:r>
        <w:rPr>
          <w:rFonts w:ascii="Times New Roman" w:hAnsi="Times New Roman" w:cs="Times New Roman"/>
          <w:snapToGrid w:val="0"/>
          <w:color w:val="auto"/>
          <w:spacing w:val="-16"/>
          <w:kern w:val="21"/>
          <w:szCs w:val="21"/>
          <w:u w:val="none"/>
        </w:rPr>
        <w:t>-</w:t>
      </w:r>
      <w:r>
        <w:rPr>
          <w:rFonts w:ascii="Times New Roman" w:hAnsi="Times New Roman" w:cs="Times New Roman"/>
          <w:snapToGrid w:val="0"/>
          <w:color w:val="auto"/>
          <w:spacing w:val="-6"/>
          <w:kern w:val="21"/>
          <w:szCs w:val="21"/>
          <w:u w:val="none"/>
        </w:rPr>
        <w:fldChar w:fldCharType="begin"/>
      </w:r>
      <w:r>
        <w:rPr>
          <w:rFonts w:ascii="Times New Roman" w:hAnsi="Times New Roman" w:cs="Times New Roman"/>
          <w:snapToGrid w:val="0"/>
          <w:color w:val="auto"/>
          <w:spacing w:val="-6"/>
          <w:kern w:val="21"/>
          <w:szCs w:val="21"/>
          <w:u w:val="none"/>
        </w:rPr>
        <w:instrText xml:space="preserve"> = 1 \* GB3 \* MERGEFORMAT </w:instrText>
      </w:r>
      <w:r>
        <w:rPr>
          <w:rFonts w:ascii="Times New Roman" w:hAnsi="Times New Roman" w:cs="Times New Roman"/>
          <w:snapToGrid w:val="0"/>
          <w:color w:val="auto"/>
          <w:spacing w:val="-6"/>
          <w:kern w:val="21"/>
          <w:szCs w:val="21"/>
          <w:u w:val="none"/>
        </w:rPr>
        <w:fldChar w:fldCharType="separate"/>
      </w:r>
      <w:r>
        <w:rPr>
          <w:rFonts w:ascii="Times New Roman" w:hAnsi="Times New Roman" w:cs="Times New Roman"/>
          <w:color w:val="auto"/>
          <w:szCs w:val="21"/>
          <w:u w:val="none"/>
        </w:rPr>
        <w:t>①</w:t>
      </w:r>
      <w:r>
        <w:rPr>
          <w:rFonts w:ascii="Times New Roman" w:hAnsi="Times New Roman" w:cs="Times New Roman"/>
          <w:snapToGrid w:val="0"/>
          <w:color w:val="auto"/>
          <w:spacing w:val="-6"/>
          <w:kern w:val="21"/>
          <w:szCs w:val="21"/>
          <w:u w:val="none"/>
        </w:rPr>
        <w:fldChar w:fldCharType="end"/>
      </w:r>
      <w:r>
        <w:rPr>
          <w:rFonts w:hint="eastAsia" w:ascii="Times New Roman" w:hAnsi="Times New Roman" w:cs="Times New Roman"/>
          <w:snapToGrid w:val="0"/>
          <w:color w:val="auto"/>
          <w:spacing w:val="-6"/>
          <w:kern w:val="21"/>
          <w:szCs w:val="21"/>
          <w:u w:val="none"/>
          <w:lang w:val="en-US" w:eastAsia="zh-CN"/>
        </w:rPr>
        <w:t xml:space="preserve"> </w:t>
      </w:r>
    </w:p>
    <w:p w14:paraId="0B496D76">
      <w:pPr>
        <w:jc w:val="center"/>
        <w:sectPr>
          <w:footerReference r:id="rId9" w:type="default"/>
          <w:pgSz w:w="16838" w:h="11906" w:orient="landscape"/>
          <w:pgMar w:top="720" w:right="720" w:bottom="720" w:left="72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sz w:val="21"/>
        </w:rPr>
        <mc:AlternateContent>
          <mc:Choice Requires="wps">
            <w:drawing>
              <wp:anchor distT="0" distB="0" distL="114300" distR="114300" simplePos="0" relativeHeight="251670528" behindDoc="0" locked="0" layoutInCell="1" allowOverlap="1">
                <wp:simplePos x="0" y="0"/>
                <wp:positionH relativeFrom="column">
                  <wp:posOffset>3056890</wp:posOffset>
                </wp:positionH>
                <wp:positionV relativeFrom="paragraph">
                  <wp:posOffset>6431915</wp:posOffset>
                </wp:positionV>
                <wp:extent cx="3590925" cy="485140"/>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3590925" cy="485140"/>
                        </a:xfrm>
                        <a:prstGeom prst="rect">
                          <a:avLst/>
                        </a:prstGeom>
                        <a:noFill/>
                        <a:ln>
                          <a:noFill/>
                        </a:ln>
                      </wps:spPr>
                      <wps:txbx>
                        <w:txbxContent>
                          <w:p w14:paraId="5AF0165C">
                            <w:pPr>
                              <w:jc w:val="center"/>
                              <w:rPr>
                                <w:rFonts w:hint="default" w:eastAsia="宋体"/>
                                <w:b/>
                                <w:bCs/>
                                <w:sz w:val="28"/>
                                <w:szCs w:val="28"/>
                                <w:lang w:val="en-US" w:eastAsia="zh-CN"/>
                              </w:rPr>
                            </w:pPr>
                            <w:r>
                              <w:rPr>
                                <w:rFonts w:hint="eastAsia"/>
                                <w:b/>
                                <w:bCs/>
                                <w:sz w:val="28"/>
                                <w:szCs w:val="28"/>
                                <w:lang w:val="en-US" w:eastAsia="zh-CN"/>
                              </w:rPr>
                              <w:t>附图一：项目所在地理位置图</w:t>
                            </w:r>
                          </w:p>
                        </w:txbxContent>
                      </wps:txbx>
                      <wps:bodyPr upright="1"/>
                    </wps:wsp>
                  </a:graphicData>
                </a:graphic>
              </wp:anchor>
            </w:drawing>
          </mc:Choice>
          <mc:Fallback>
            <w:pict>
              <v:shape id="_x0000_s1026" o:spid="_x0000_s1026" o:spt="202" type="#_x0000_t202" style="position:absolute;left:0pt;margin-left:240.7pt;margin-top:506.45pt;height:38.2pt;width:282.75pt;z-index:251670528;mso-width-relative:page;mso-height-relative:page;" filled="f" stroked="f" coordsize="21600,21600" o:gfxdata="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LngL&#10;+tgAAAAOAQAADwAAAAAAAAABACAAAAAiAAAAZHJzL2Rvd25yZXYueG1sUEsBAhQAFAAAAAgAh07i&#10;QOX9HLGwAQAAUgMAAA4AAAAAAAAAAQAgAAAAJwEAAGRycy9lMm9Eb2MueG1sUEsFBgAAAAAGAAYA&#10;WQEAAEkFAAAAAA==&#10;">
                <v:fill on="f" focussize="0,0"/>
                <v:stroke on="f"/>
                <v:imagedata o:title=""/>
                <o:lock v:ext="edit" aspectratio="f"/>
                <v:textbox>
                  <w:txbxContent>
                    <w:p w14:paraId="5AF0165C">
                      <w:pPr>
                        <w:jc w:val="center"/>
                        <w:rPr>
                          <w:rFonts w:hint="default" w:eastAsia="宋体"/>
                          <w:b/>
                          <w:bCs/>
                          <w:sz w:val="28"/>
                          <w:szCs w:val="28"/>
                          <w:lang w:val="en-US" w:eastAsia="zh-CN"/>
                        </w:rPr>
                      </w:pPr>
                      <w:r>
                        <w:rPr>
                          <w:rFonts w:hint="eastAsia"/>
                          <w:b/>
                          <w:bCs/>
                          <w:sz w:val="28"/>
                          <w:szCs w:val="28"/>
                          <w:lang w:val="en-US" w:eastAsia="zh-CN"/>
                        </w:rPr>
                        <w:t>附图一：项目所在地理位置图</w:t>
                      </w:r>
                    </w:p>
                  </w:txbxContent>
                </v:textbox>
              </v:shape>
            </w:pict>
          </mc:Fallback>
        </mc:AlternateContent>
      </w:r>
      <w:r>
        <w:rPr>
          <w:rFonts w:ascii="宋体" w:hAnsi="宋体"/>
        </w:rPr>
        <w:drawing>
          <wp:anchor distT="0" distB="0" distL="114300" distR="114300" simplePos="0" relativeHeight="251669504" behindDoc="0" locked="0" layoutInCell="1" allowOverlap="1">
            <wp:simplePos x="0" y="0"/>
            <wp:positionH relativeFrom="column">
              <wp:posOffset>7262495</wp:posOffset>
            </wp:positionH>
            <wp:positionV relativeFrom="paragraph">
              <wp:posOffset>5971540</wp:posOffset>
            </wp:positionV>
            <wp:extent cx="1990725" cy="523875"/>
            <wp:effectExtent l="0" t="0" r="9525" b="9525"/>
            <wp:wrapNone/>
            <wp:docPr id="90" name="图片 2" descr="C:\Users\Administrator\Documents\WeChat Files\wxid_7u0b87ep9z8122\FileStorage\Temp\1657857620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 descr="C:\Users\Administrator\Documents\WeChat Files\wxid_7u0b87ep9z8122\FileStorage\Temp\1657857620465.png"/>
                    <pic:cNvPicPr>
                      <a:picLocks noChangeAspect="1"/>
                    </pic:cNvPicPr>
                  </pic:nvPicPr>
                  <pic:blipFill>
                    <a:blip r:embed="rId24"/>
                    <a:stretch>
                      <a:fillRect/>
                    </a:stretch>
                  </pic:blipFill>
                  <pic:spPr>
                    <a:xfrm>
                      <a:off x="0" y="0"/>
                      <a:ext cx="1990725" cy="523875"/>
                    </a:xfrm>
                    <a:prstGeom prst="rect">
                      <a:avLst/>
                    </a:prstGeom>
                    <a:noFill/>
                    <a:ln>
                      <a:noFill/>
                    </a:ln>
                  </pic:spPr>
                </pic:pic>
              </a:graphicData>
            </a:graphic>
          </wp:anchor>
        </w:drawing>
      </w:r>
      <w:r>
        <w:rPr>
          <w:rFonts w:ascii="宋体" w:hAnsi="宋体"/>
        </w:rPr>
        <w:drawing>
          <wp:anchor distT="0" distB="0" distL="114300" distR="114300" simplePos="0" relativeHeight="251668480" behindDoc="0" locked="0" layoutInCell="1" allowOverlap="1">
            <wp:simplePos x="0" y="0"/>
            <wp:positionH relativeFrom="column">
              <wp:posOffset>9266555</wp:posOffset>
            </wp:positionH>
            <wp:positionV relativeFrom="paragraph">
              <wp:posOffset>15240</wp:posOffset>
            </wp:positionV>
            <wp:extent cx="605790" cy="624205"/>
            <wp:effectExtent l="9525" t="9525" r="9525" b="21590"/>
            <wp:wrapNone/>
            <wp:docPr id="6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2"/>
                    <pic:cNvPicPr>
                      <a:picLocks noChangeAspect="1"/>
                    </pic:cNvPicPr>
                  </pic:nvPicPr>
                  <pic:blipFill>
                    <a:blip r:embed="rId25"/>
                    <a:stretch>
                      <a:fillRect/>
                    </a:stretch>
                  </pic:blipFill>
                  <pic:spPr>
                    <a:xfrm>
                      <a:off x="0" y="0"/>
                      <a:ext cx="605790" cy="624205"/>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ascii="宋体" w:hAnsi="宋体" w:eastAsia="宋体" w:cs="宋体"/>
          <w:kern w:val="0"/>
          <w:sz w:val="24"/>
          <w:szCs w:val="24"/>
        </w:rPr>
        <mc:AlternateContent>
          <mc:Choice Requires="wps">
            <w:drawing>
              <wp:anchor distT="0" distB="0" distL="114300" distR="114300" simplePos="0" relativeHeight="251671552" behindDoc="0" locked="0" layoutInCell="1" allowOverlap="1">
                <wp:simplePos x="0" y="0"/>
                <wp:positionH relativeFrom="column">
                  <wp:posOffset>6168390</wp:posOffset>
                </wp:positionH>
                <wp:positionV relativeFrom="paragraph">
                  <wp:posOffset>3253105</wp:posOffset>
                </wp:positionV>
                <wp:extent cx="1028700" cy="325755"/>
                <wp:effectExtent l="42545" t="513080" r="14605" b="18415"/>
                <wp:wrapNone/>
                <wp:docPr id="67" name="圆角矩形标注 67"/>
                <wp:cNvGraphicFramePr/>
                <a:graphic xmlns:a="http://schemas.openxmlformats.org/drawingml/2006/main">
                  <a:graphicData uri="http://schemas.microsoft.com/office/word/2010/wordprocessingShape">
                    <wps:wsp>
                      <wps:cNvSpPr/>
                      <wps:spPr>
                        <a:xfrm>
                          <a:off x="6633845" y="3463925"/>
                          <a:ext cx="1028700" cy="325755"/>
                        </a:xfrm>
                        <a:prstGeom prst="wedgeRoundRectCallout">
                          <a:avLst>
                            <a:gd name="adj1" fmla="val -51912"/>
                            <a:gd name="adj2" fmla="val -196366"/>
                            <a:gd name="adj3" fmla="val 16667"/>
                          </a:avLst>
                        </a:prstGeom>
                        <a:solidFill>
                          <a:srgbClr val="00FFFF"/>
                        </a:solidFill>
                        <a:ln w="15875" cap="flat" cmpd="sng">
                          <a:solidFill>
                            <a:srgbClr val="33CCCC"/>
                          </a:solidFill>
                          <a:prstDash val="solid"/>
                          <a:miter/>
                          <a:headEnd type="none" w="med" len="med"/>
                          <a:tailEnd type="none" w="med" len="med"/>
                        </a:ln>
                        <a:effectLst/>
                      </wps:spPr>
                      <wps:txbx>
                        <w:txbxContent>
                          <w:p w14:paraId="1466D914">
                            <w:r>
                              <w:rPr>
                                <w:rFonts w:hint="eastAsia"/>
                              </w:rPr>
                              <w:t>本项目位置</w:t>
                            </w:r>
                          </w:p>
                        </w:txbxContent>
                      </wps:txbx>
                      <wps:bodyPr upright="1"/>
                    </wps:wsp>
                  </a:graphicData>
                </a:graphic>
              </wp:anchor>
            </w:drawing>
          </mc:Choice>
          <mc:Fallback>
            <w:pict>
              <v:shape id="_x0000_s1026" o:spid="_x0000_s1026" o:spt="62" type="#_x0000_t62" style="position:absolute;left:0pt;margin-left:485.7pt;margin-top:256.15pt;height:25.65pt;width:81pt;z-index:251671552;mso-width-relative:page;mso-height-relative:page;" fillcolor="#00FFFF" filled="t" stroked="t" coordsize="21600,21600" o:gfxdata="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KATbA2wAAAAwBAAAPAAAAAAAAAAEAIAAAACIAAABkcnMvZG93bnJldi54&#10;bWxQSwECFAAUAAAACACHTuJAHLYDFGkCAADbBAAADgAAAAAAAAABACAAAAAqAQAAZHJzL2Uyb0Rv&#10;Yy54bWxQSwUGAAAAAAYABgBZAQAABQYAAAAA&#10;" adj="-413,-31615,14400">
                <v:fill on="t" focussize="0,0"/>
                <v:stroke weight="1.25pt" color="#33CCCC" joinstyle="miter"/>
                <v:imagedata o:title=""/>
                <o:lock v:ext="edit" aspectratio="f"/>
                <v:textbox>
                  <w:txbxContent>
                    <w:p w14:paraId="1466D914">
                      <w:r>
                        <w:rPr>
                          <w:rFonts w:hint="eastAsia"/>
                        </w:rPr>
                        <w:t>本项目位置</w:t>
                      </w:r>
                    </w:p>
                  </w:txbxContent>
                </v:textbox>
              </v:shape>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6036310</wp:posOffset>
                </wp:positionH>
                <wp:positionV relativeFrom="paragraph">
                  <wp:posOffset>2642870</wp:posOffset>
                </wp:positionV>
                <wp:extent cx="142875" cy="114300"/>
                <wp:effectExtent l="17145" t="13335" r="30480" b="24765"/>
                <wp:wrapNone/>
                <wp:docPr id="69" name="五角星 69"/>
                <wp:cNvGraphicFramePr/>
                <a:graphic xmlns:a="http://schemas.openxmlformats.org/drawingml/2006/main">
                  <a:graphicData uri="http://schemas.microsoft.com/office/word/2010/wordprocessingShape">
                    <wps:wsp>
                      <wps:cNvSpPr/>
                      <wps:spPr>
                        <a:xfrm>
                          <a:off x="0" y="0"/>
                          <a:ext cx="142875" cy="114300"/>
                        </a:xfrm>
                        <a:prstGeom prst="star5">
                          <a:avLst/>
                        </a:prstGeom>
                        <a:solidFill>
                          <a:srgbClr val="C0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475.3pt;margin-top:208.1pt;height:9pt;width:11.25pt;z-index:251681792;mso-width-relative:page;mso-height-relative:page;" fillcolor="#C00000" filled="t" stroked="t" coordsize="142875,114300" o:gfxdata="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wKXQs9YAAAALAQAADwAAAAAAAAABACAAAAAiAAAAZHJz&#10;L2Rvd25yZXYueG1sUEsBAhQAFAAAAAgAh07iQMTLd4oGAgAAIwQAAA4AAAAAAAAAAQAgAAAAJQEA&#10;AGRycy9lMm9Eb2MueG1sUEsFBgAAAAAGAAYAWQEAAJ0FAAAAAA==&#10;" path="m0,43658l54573,43658,71437,0,88301,43658,142874,43658,98723,70640,115588,114299,71437,87316,27286,114299,44151,70640xe">
                <v:path o:connectlocs="71437,0;0,43658;27286,114299;115588,114299;142874,43658" o:connectangles="247,164,82,82,0"/>
                <v:fill on="t" focussize="0,0"/>
                <v:stroke color="#000000" joinstyle="miter"/>
                <v:imagedata o:title=""/>
                <o:lock v:ext="edit" aspectratio="f"/>
              </v:shape>
            </w:pict>
          </mc:Fallback>
        </mc:AlternateContent>
      </w:r>
      <w:r>
        <w:rPr>
          <w:rFonts w:ascii="宋体" w:hAnsi="宋体"/>
        </w:rPr>
        <w:drawing>
          <wp:anchor distT="0" distB="0" distL="114300" distR="114300" simplePos="0" relativeHeight="251665408" behindDoc="1" locked="0" layoutInCell="1" allowOverlap="1">
            <wp:simplePos x="0" y="0"/>
            <wp:positionH relativeFrom="column">
              <wp:posOffset>349250</wp:posOffset>
            </wp:positionH>
            <wp:positionV relativeFrom="paragraph">
              <wp:posOffset>23495</wp:posOffset>
            </wp:positionV>
            <wp:extent cx="8908415" cy="6476365"/>
            <wp:effectExtent l="12700" t="12700" r="13335" b="26035"/>
            <wp:wrapNone/>
            <wp:docPr id="103" name="图片 1" descr="C:\Users\Administrator\Documents\WeChat Files\wxid_7u0b87ep9z8122\FileStorage\Temp\16578573429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 descr="C:\Users\Administrator\Documents\WeChat Files\wxid_7u0b87ep9z8122\FileStorage\Temp\1657857342922.png"/>
                    <pic:cNvPicPr>
                      <a:picLocks noChangeAspect="1"/>
                    </pic:cNvPicPr>
                  </pic:nvPicPr>
                  <pic:blipFill>
                    <a:blip r:embed="rId26"/>
                    <a:stretch>
                      <a:fillRect/>
                    </a:stretch>
                  </pic:blipFill>
                  <pic:spPr>
                    <a:xfrm>
                      <a:off x="0" y="0"/>
                      <a:ext cx="8908415" cy="6476365"/>
                    </a:xfrm>
                    <a:prstGeom prst="rect">
                      <a:avLst/>
                    </a:prstGeom>
                    <a:noFill/>
                    <a:ln w="12700" cap="flat" cmpd="sng">
                      <a:solidFill>
                        <a:srgbClr val="000000"/>
                      </a:solidFill>
                      <a:prstDash val="solid"/>
                      <a:miter/>
                      <a:headEnd type="none" w="med" len="med"/>
                      <a:tailEnd type="none" w="med" len="med"/>
                    </a:ln>
                  </pic:spPr>
                </pic:pic>
              </a:graphicData>
            </a:graphic>
          </wp:anchor>
        </w:drawing>
      </w:r>
    </w:p>
    <w:p w14:paraId="344DB9E2">
      <w:pPr>
        <w:jc w:val="center"/>
        <w:rPr>
          <w:rFonts w:hint="eastAsia" w:eastAsia="宋体"/>
          <w:lang w:eastAsia="zh-CN"/>
        </w:rPr>
      </w:pPr>
      <w:r>
        <w:rPr>
          <w:rFonts w:ascii="宋体" w:hAnsi="宋体"/>
        </w:rPr>
        <w:drawing>
          <wp:anchor distT="0" distB="0" distL="114300" distR="114300" simplePos="0" relativeHeight="251672576" behindDoc="0" locked="0" layoutInCell="1" allowOverlap="1">
            <wp:simplePos x="0" y="0"/>
            <wp:positionH relativeFrom="column">
              <wp:posOffset>9210675</wp:posOffset>
            </wp:positionH>
            <wp:positionV relativeFrom="paragraph">
              <wp:posOffset>-14605</wp:posOffset>
            </wp:positionV>
            <wp:extent cx="638810" cy="664845"/>
            <wp:effectExtent l="9525" t="9525" r="22225" b="11430"/>
            <wp:wrapNone/>
            <wp:docPr id="7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
                    <pic:cNvPicPr>
                      <a:picLocks noChangeAspect="1"/>
                    </pic:cNvPicPr>
                  </pic:nvPicPr>
                  <pic:blipFill>
                    <a:blip r:embed="rId25"/>
                    <a:stretch>
                      <a:fillRect/>
                    </a:stretch>
                  </pic:blipFill>
                  <pic:spPr>
                    <a:xfrm>
                      <a:off x="0" y="0"/>
                      <a:ext cx="638810" cy="664845"/>
                    </a:xfrm>
                    <a:prstGeom prst="rect">
                      <a:avLst/>
                    </a:prstGeom>
                    <a:noFill/>
                    <a:ln w="9525" cap="flat" cmpd="sng">
                      <a:solidFill>
                        <a:srgbClr val="000000"/>
                      </a:solidFill>
                      <a:prstDash val="solid"/>
                      <a:miter/>
                      <a:headEnd type="none" w="med" len="med"/>
                      <a:tailEnd type="none" w="med" len="med"/>
                    </a:ln>
                  </pic:spPr>
                </pic:pic>
              </a:graphicData>
            </a:graphic>
          </wp:anchor>
        </w:drawing>
      </w:r>
      <w:r>
        <w:rPr>
          <w:sz w:val="21"/>
        </w:rPr>
        <mc:AlternateContent>
          <mc:Choice Requires="wps">
            <w:drawing>
              <wp:anchor distT="0" distB="0" distL="114300" distR="114300" simplePos="0" relativeHeight="251683840" behindDoc="0" locked="0" layoutInCell="1" allowOverlap="1">
                <wp:simplePos x="0" y="0"/>
                <wp:positionH relativeFrom="column">
                  <wp:posOffset>1703070</wp:posOffset>
                </wp:positionH>
                <wp:positionV relativeFrom="paragraph">
                  <wp:posOffset>-22860</wp:posOffset>
                </wp:positionV>
                <wp:extent cx="2686050" cy="1800225"/>
                <wp:effectExtent l="9525" t="9525" r="17145" b="19050"/>
                <wp:wrapNone/>
                <wp:docPr id="63" name="任意多边形 63"/>
                <wp:cNvGraphicFramePr/>
                <a:graphic xmlns:a="http://schemas.openxmlformats.org/drawingml/2006/main">
                  <a:graphicData uri="http://schemas.microsoft.com/office/word/2010/wordprocessingShape">
                    <wps:wsp>
                      <wps:cNvSpPr/>
                      <wps:spPr>
                        <a:xfrm>
                          <a:off x="0" y="0"/>
                          <a:ext cx="2686050" cy="1800225"/>
                        </a:xfrm>
                        <a:custGeom>
                          <a:avLst/>
                          <a:gdLst/>
                          <a:ahLst/>
                          <a:cxnLst/>
                          <a:pathLst>
                            <a:path w="4230" h="2835">
                              <a:moveTo>
                                <a:pt x="1155" y="30"/>
                              </a:moveTo>
                              <a:lnTo>
                                <a:pt x="1050" y="240"/>
                              </a:lnTo>
                              <a:lnTo>
                                <a:pt x="1035" y="600"/>
                              </a:lnTo>
                              <a:lnTo>
                                <a:pt x="855" y="765"/>
                              </a:lnTo>
                              <a:lnTo>
                                <a:pt x="435" y="915"/>
                              </a:lnTo>
                              <a:lnTo>
                                <a:pt x="60" y="1080"/>
                              </a:lnTo>
                              <a:lnTo>
                                <a:pt x="0" y="1440"/>
                              </a:lnTo>
                              <a:lnTo>
                                <a:pt x="30" y="2085"/>
                              </a:lnTo>
                              <a:lnTo>
                                <a:pt x="30" y="2475"/>
                              </a:lnTo>
                              <a:lnTo>
                                <a:pt x="585" y="2835"/>
                              </a:lnTo>
                              <a:lnTo>
                                <a:pt x="1230" y="2400"/>
                              </a:lnTo>
                              <a:lnTo>
                                <a:pt x="1380" y="2145"/>
                              </a:lnTo>
                              <a:lnTo>
                                <a:pt x="1890" y="2280"/>
                              </a:lnTo>
                              <a:lnTo>
                                <a:pt x="2100" y="2340"/>
                              </a:lnTo>
                              <a:lnTo>
                                <a:pt x="2655" y="2280"/>
                              </a:lnTo>
                              <a:lnTo>
                                <a:pt x="3120" y="2280"/>
                              </a:lnTo>
                              <a:lnTo>
                                <a:pt x="3420" y="2085"/>
                              </a:lnTo>
                              <a:lnTo>
                                <a:pt x="3960" y="2025"/>
                              </a:lnTo>
                              <a:lnTo>
                                <a:pt x="4095" y="1890"/>
                              </a:lnTo>
                              <a:lnTo>
                                <a:pt x="4230" y="1590"/>
                              </a:lnTo>
                              <a:lnTo>
                                <a:pt x="4140" y="1425"/>
                              </a:lnTo>
                              <a:lnTo>
                                <a:pt x="4095" y="1095"/>
                              </a:lnTo>
                              <a:lnTo>
                                <a:pt x="4110" y="810"/>
                              </a:lnTo>
                              <a:lnTo>
                                <a:pt x="4035" y="105"/>
                              </a:lnTo>
                              <a:lnTo>
                                <a:pt x="3765" y="0"/>
                              </a:lnTo>
                              <a:lnTo>
                                <a:pt x="1155" y="30"/>
                              </a:lnTo>
                              <a:close/>
                            </a:path>
                          </a:pathLst>
                        </a:custGeom>
                        <a:noFill/>
                        <a:ln w="19050"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34.1pt;margin-top:-1.8pt;height:141.75pt;width:211.5pt;z-index:251683840;mso-width-relative:page;mso-height-relative:page;" filled="f" stroked="t" coordsize="4230,2835" o:gfxdata="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" path="m1155,30l1050,240,1035,600,855,765,435,915,60,1080,0,1440,30,2085,30,2475,585,2835,1230,2400,1380,2145,1890,2280,2100,2340,2655,2280,3120,2280,3420,2085,3960,2025,4095,1890,4230,1590,4140,1425,4095,1095,4110,810,4035,105,3765,0,1155,30xe">
                <v:fill on="f" focussize="0,0"/>
                <v:stroke weight="1.5pt" color="#FFFF00" joinstyle="round"/>
                <v:imagedata o:title=""/>
                <o:lock v:ext="edit" aspectratio="f"/>
              </v:shape>
            </w:pict>
          </mc:Fallback>
        </mc:AlternateContent>
      </w:r>
      <w:r>
        <w:drawing>
          <wp:anchor distT="0" distB="0" distL="114300" distR="114300" simplePos="0" relativeHeight="251682816" behindDoc="0" locked="0" layoutInCell="1" allowOverlap="1">
            <wp:simplePos x="0" y="0"/>
            <wp:positionH relativeFrom="column">
              <wp:posOffset>29845</wp:posOffset>
            </wp:positionH>
            <wp:positionV relativeFrom="paragraph">
              <wp:posOffset>-19050</wp:posOffset>
            </wp:positionV>
            <wp:extent cx="9173210" cy="6721475"/>
            <wp:effectExtent l="0" t="0" r="8890" b="3175"/>
            <wp:wrapNone/>
            <wp:docPr id="6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0"/>
                    <pic:cNvPicPr>
                      <a:picLocks noChangeAspect="1"/>
                    </pic:cNvPicPr>
                  </pic:nvPicPr>
                  <pic:blipFill>
                    <a:blip r:embed="rId27"/>
                    <a:stretch>
                      <a:fillRect/>
                    </a:stretch>
                  </pic:blipFill>
                  <pic:spPr>
                    <a:xfrm>
                      <a:off x="0" y="0"/>
                      <a:ext cx="9173210" cy="6721475"/>
                    </a:xfrm>
                    <a:prstGeom prst="rect">
                      <a:avLst/>
                    </a:prstGeom>
                    <a:noFill/>
                    <a:ln>
                      <a:noFill/>
                    </a:ln>
                  </pic:spPr>
                </pic:pic>
              </a:graphicData>
            </a:graphic>
          </wp:anchor>
        </w:drawing>
      </w:r>
    </w:p>
    <w:p w14:paraId="59099729">
      <w:pPr>
        <w:jc w:val="center"/>
      </w:pPr>
      <w:r>
        <w:rPr>
          <w:sz w:val="21"/>
        </w:rPr>
        <mc:AlternateContent>
          <mc:Choice Requires="wps">
            <w:drawing>
              <wp:anchor distT="0" distB="0" distL="114300" distR="114300" simplePos="0" relativeHeight="251673600" behindDoc="0" locked="0" layoutInCell="1" allowOverlap="1">
                <wp:simplePos x="0" y="0"/>
                <wp:positionH relativeFrom="column">
                  <wp:posOffset>102870</wp:posOffset>
                </wp:positionH>
                <wp:positionV relativeFrom="paragraph">
                  <wp:posOffset>83820</wp:posOffset>
                </wp:positionV>
                <wp:extent cx="4133850" cy="2476500"/>
                <wp:effectExtent l="6350" t="6350" r="12700" b="12700"/>
                <wp:wrapNone/>
                <wp:docPr id="72" name="任意多边形 72"/>
                <wp:cNvGraphicFramePr/>
                <a:graphic xmlns:a="http://schemas.openxmlformats.org/drawingml/2006/main">
                  <a:graphicData uri="http://schemas.microsoft.com/office/word/2010/wordprocessingShape">
                    <wps:wsp>
                      <wps:cNvSpPr/>
                      <wps:spPr>
                        <a:xfrm>
                          <a:off x="0" y="0"/>
                          <a:ext cx="4133850" cy="2476500"/>
                        </a:xfrm>
                        <a:custGeom>
                          <a:avLst/>
                          <a:gdLst/>
                          <a:ahLst/>
                          <a:cxnLst/>
                          <a:pathLst>
                            <a:path w="6510" h="3900">
                              <a:moveTo>
                                <a:pt x="6510" y="15"/>
                              </a:moveTo>
                              <a:lnTo>
                                <a:pt x="6240" y="570"/>
                              </a:lnTo>
                              <a:lnTo>
                                <a:pt x="6045" y="855"/>
                              </a:lnTo>
                              <a:lnTo>
                                <a:pt x="5985" y="1575"/>
                              </a:lnTo>
                              <a:lnTo>
                                <a:pt x="5895" y="1920"/>
                              </a:lnTo>
                              <a:lnTo>
                                <a:pt x="5655" y="1935"/>
                              </a:lnTo>
                              <a:lnTo>
                                <a:pt x="5550" y="2370"/>
                              </a:lnTo>
                              <a:lnTo>
                                <a:pt x="5445" y="2925"/>
                              </a:lnTo>
                              <a:lnTo>
                                <a:pt x="5490" y="3375"/>
                              </a:lnTo>
                              <a:lnTo>
                                <a:pt x="5430" y="3660"/>
                              </a:lnTo>
                              <a:lnTo>
                                <a:pt x="5265" y="3855"/>
                              </a:lnTo>
                              <a:lnTo>
                                <a:pt x="4710" y="3840"/>
                              </a:lnTo>
                              <a:lnTo>
                                <a:pt x="4410" y="3735"/>
                              </a:lnTo>
                              <a:lnTo>
                                <a:pt x="4245" y="3570"/>
                              </a:lnTo>
                              <a:lnTo>
                                <a:pt x="3990" y="3630"/>
                              </a:lnTo>
                              <a:lnTo>
                                <a:pt x="3630" y="3645"/>
                              </a:lnTo>
                              <a:lnTo>
                                <a:pt x="3375" y="3720"/>
                              </a:lnTo>
                              <a:lnTo>
                                <a:pt x="3315" y="3900"/>
                              </a:lnTo>
                              <a:lnTo>
                                <a:pt x="2985" y="3675"/>
                              </a:lnTo>
                              <a:lnTo>
                                <a:pt x="2805" y="3375"/>
                              </a:lnTo>
                              <a:lnTo>
                                <a:pt x="2400" y="3285"/>
                              </a:lnTo>
                              <a:lnTo>
                                <a:pt x="2010" y="3210"/>
                              </a:lnTo>
                              <a:lnTo>
                                <a:pt x="1725" y="2625"/>
                              </a:lnTo>
                              <a:lnTo>
                                <a:pt x="1455" y="2505"/>
                              </a:lnTo>
                              <a:lnTo>
                                <a:pt x="1245" y="2580"/>
                              </a:lnTo>
                              <a:lnTo>
                                <a:pt x="975" y="2805"/>
                              </a:lnTo>
                              <a:lnTo>
                                <a:pt x="675" y="2670"/>
                              </a:lnTo>
                              <a:lnTo>
                                <a:pt x="180" y="2460"/>
                              </a:lnTo>
                              <a:lnTo>
                                <a:pt x="0" y="2325"/>
                              </a:lnTo>
                              <a:lnTo>
                                <a:pt x="30" y="0"/>
                              </a:lnTo>
                              <a:lnTo>
                                <a:pt x="6510" y="15"/>
                              </a:lnTo>
                              <a:close/>
                            </a:path>
                          </a:pathLst>
                        </a:custGeom>
                        <a:noFill/>
                        <a:ln w="12700"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8.1pt;margin-top:6.6pt;height:195pt;width:325.5pt;z-index:251673600;mso-width-relative:page;mso-height-relative:page;" filled="f" stroked="t" coordsize="6510,3900" o:gfxdata="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" path="m6510,15l6240,570,6045,855,5985,1575,5895,1920,5655,1935,5550,2370,5445,2925,5490,3375,5430,3660,5265,3855,4710,3840,4410,3735,4245,3570,3990,3630,3630,3645,3375,3720,3315,3900,2985,3675,2805,3375,2400,3285,2010,3210,1725,2625,1455,2505,1245,2580,975,2805,675,2670,180,2460,0,2325,30,0,6510,15xe">
                <v:fill on="f" focussize="0,0"/>
                <v:stroke weight="1pt" color="#FFFF00" joinstyle="round"/>
                <v:imagedata o:title=""/>
                <o:lock v:ext="edit" aspectratio="f"/>
              </v:shape>
            </w:pict>
          </mc:Fallback>
        </mc:AlternateContent>
      </w:r>
    </w:p>
    <w:p w14:paraId="32C9D12D">
      <w:pPr>
        <w:jc w:val="center"/>
      </w:pPr>
      <w:r>
        <w:rPr>
          <w:sz w:val="21"/>
        </w:rPr>
        <mc:AlternateContent>
          <mc:Choice Requires="wps">
            <w:drawing>
              <wp:anchor distT="0" distB="0" distL="114300" distR="114300" simplePos="0" relativeHeight="251687936" behindDoc="0" locked="0" layoutInCell="1" allowOverlap="1">
                <wp:simplePos x="0" y="0"/>
                <wp:positionH relativeFrom="column">
                  <wp:posOffset>2541270</wp:posOffset>
                </wp:positionH>
                <wp:positionV relativeFrom="paragraph">
                  <wp:posOffset>67310</wp:posOffset>
                </wp:positionV>
                <wp:extent cx="1161415" cy="617855"/>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1161415" cy="617855"/>
                        </a:xfrm>
                        <a:prstGeom prst="rect">
                          <a:avLst/>
                        </a:prstGeom>
                        <a:noFill/>
                        <a:ln>
                          <a:noFill/>
                        </a:ln>
                      </wps:spPr>
                      <wps:txbx>
                        <w:txbxContent>
                          <w:p w14:paraId="17766B2C">
                            <w:pPr>
                              <w:rPr>
                                <w:rFonts w:hint="default" w:eastAsia="宋体"/>
                                <w:b/>
                                <w:bCs/>
                                <w:color w:val="FFFF00"/>
                                <w:sz w:val="32"/>
                                <w:szCs w:val="40"/>
                                <w:lang w:val="en-US" w:eastAsia="zh-CN"/>
                              </w:rPr>
                            </w:pPr>
                            <w:r>
                              <w:rPr>
                                <w:rFonts w:hint="eastAsia"/>
                                <w:b/>
                                <w:bCs/>
                                <w:color w:val="FFFF00"/>
                                <w:sz w:val="32"/>
                                <w:szCs w:val="40"/>
                                <w:lang w:val="en-US" w:eastAsia="zh-CN"/>
                              </w:rPr>
                              <w:t>桑树贾村</w:t>
                            </w:r>
                          </w:p>
                        </w:txbxContent>
                      </wps:txbx>
                      <wps:bodyPr upright="1"/>
                    </wps:wsp>
                  </a:graphicData>
                </a:graphic>
              </wp:anchor>
            </w:drawing>
          </mc:Choice>
          <mc:Fallback>
            <w:pict>
              <v:shape id="_x0000_s1026" o:spid="_x0000_s1026" o:spt="202" type="#_x0000_t202" style="position:absolute;left:0pt;margin-left:200.1pt;margin-top:5.3pt;height:48.65pt;width:91.45pt;z-index:251687936;mso-width-relative:page;mso-height-relative:page;" filled="f" stroked="f" coordsize="21600,21600" o:gfxdata="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6GGxX1gAA&#10;AAoBAAAPAAAAAAAAAAEAIAAAACIAAABkcnMvZG93bnJldi54bWxQSwECFAAUAAAACACHTuJAukqR&#10;Xq4BAABQAwAADgAAAAAAAAABACAAAAAlAQAAZHJzL2Uyb0RvYy54bWxQSwUGAAAAAAYABgBZAQAA&#10;RQUAAAAA&#10;">
                <v:fill on="f" focussize="0,0"/>
                <v:stroke on="f"/>
                <v:imagedata o:title=""/>
                <o:lock v:ext="edit" aspectratio="f"/>
                <v:textbox>
                  <w:txbxContent>
                    <w:p w14:paraId="17766B2C">
                      <w:pPr>
                        <w:rPr>
                          <w:rFonts w:hint="default" w:eastAsia="宋体"/>
                          <w:b/>
                          <w:bCs/>
                          <w:color w:val="FFFF00"/>
                          <w:sz w:val="32"/>
                          <w:szCs w:val="40"/>
                          <w:lang w:val="en-US" w:eastAsia="zh-CN"/>
                        </w:rPr>
                      </w:pPr>
                      <w:r>
                        <w:rPr>
                          <w:rFonts w:hint="eastAsia"/>
                          <w:b/>
                          <w:bCs/>
                          <w:color w:val="FFFF00"/>
                          <w:sz w:val="32"/>
                          <w:szCs w:val="40"/>
                          <w:lang w:val="en-US" w:eastAsia="zh-CN"/>
                        </w:rPr>
                        <w:t>桑树贾村</w:t>
                      </w:r>
                    </w:p>
                  </w:txbxContent>
                </v:textbox>
              </v:shape>
            </w:pict>
          </mc:Fallback>
        </mc:AlternateContent>
      </w:r>
    </w:p>
    <w:p w14:paraId="67FEC3A7">
      <w:pPr>
        <w:jc w:val="center"/>
      </w:pPr>
    </w:p>
    <w:p w14:paraId="0FDB8A46">
      <w:pPr>
        <w:jc w:val="center"/>
      </w:pPr>
    </w:p>
    <w:p w14:paraId="5D97177A">
      <w:pPr>
        <w:jc w:val="center"/>
      </w:pPr>
      <w:r>
        <w:rPr>
          <w:sz w:val="21"/>
        </w:rPr>
        <mc:AlternateContent>
          <mc:Choice Requires="wps">
            <w:drawing>
              <wp:anchor distT="0" distB="0" distL="114300" distR="114300" simplePos="0" relativeHeight="251674624" behindDoc="0" locked="0" layoutInCell="1" allowOverlap="1">
                <wp:simplePos x="0" y="0"/>
                <wp:positionH relativeFrom="column">
                  <wp:posOffset>829310</wp:posOffset>
                </wp:positionH>
                <wp:positionV relativeFrom="paragraph">
                  <wp:posOffset>9525</wp:posOffset>
                </wp:positionV>
                <wp:extent cx="2724785" cy="466725"/>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2724785" cy="466725"/>
                        </a:xfrm>
                        <a:prstGeom prst="rect">
                          <a:avLst/>
                        </a:prstGeom>
                        <a:noFill/>
                        <a:ln>
                          <a:noFill/>
                        </a:ln>
                      </wps:spPr>
                      <wps:txbx>
                        <w:txbxContent>
                          <w:p w14:paraId="40387D22">
                            <w:pPr>
                              <w:jc w:val="center"/>
                              <w:rPr>
                                <w:rFonts w:hint="default"/>
                                <w:b/>
                                <w:bCs/>
                                <w:sz w:val="28"/>
                                <w:szCs w:val="36"/>
                                <w:highlight w:val="yellow"/>
                                <w:lang w:val="en-US" w:eastAsia="zh-CN"/>
                              </w:rPr>
                            </w:pPr>
                            <w:r>
                              <w:rPr>
                                <w:rFonts w:hint="eastAsia"/>
                                <w:b/>
                                <w:bCs/>
                                <w:sz w:val="28"/>
                                <w:szCs w:val="36"/>
                                <w:highlight w:val="yellow"/>
                                <w:lang w:val="en-US" w:eastAsia="zh-CN"/>
                              </w:rPr>
                              <w:t>小陈庄村</w:t>
                            </w:r>
                          </w:p>
                        </w:txbxContent>
                      </wps:txbx>
                      <wps:bodyPr upright="1"/>
                    </wps:wsp>
                  </a:graphicData>
                </a:graphic>
              </wp:anchor>
            </w:drawing>
          </mc:Choice>
          <mc:Fallback>
            <w:pict>
              <v:shape id="_x0000_s1026" o:spid="_x0000_s1026" o:spt="202" type="#_x0000_t202" style="position:absolute;left:0pt;margin-left:65.3pt;margin-top:0.75pt;height:36.75pt;width:214.55pt;z-index:251674624;mso-width-relative:page;mso-height-relative:page;" filled="f" stroked="f" coordsize="21600,21600" o:gfxdata="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6til01QAA&#10;AAgBAAAPAAAAAAAAAAEAIAAAACIAAABkcnMvZG93bnJldi54bWxQSwECFAAUAAAACACHTuJAqLYH&#10;3K8BAABQAwAADgAAAAAAAAABACAAAAAkAQAAZHJzL2Uyb0RvYy54bWxQSwUGAAAAAAYABgBZAQAA&#10;RQUAAAAA&#10;">
                <v:fill on="f" focussize="0,0"/>
                <v:stroke on="f"/>
                <v:imagedata o:title=""/>
                <o:lock v:ext="edit" aspectratio="f"/>
                <v:textbox>
                  <w:txbxContent>
                    <w:p w14:paraId="40387D22">
                      <w:pPr>
                        <w:jc w:val="center"/>
                        <w:rPr>
                          <w:rFonts w:hint="default"/>
                          <w:b/>
                          <w:bCs/>
                          <w:sz w:val="28"/>
                          <w:szCs w:val="36"/>
                          <w:highlight w:val="yellow"/>
                          <w:lang w:val="en-US" w:eastAsia="zh-CN"/>
                        </w:rPr>
                      </w:pPr>
                      <w:r>
                        <w:rPr>
                          <w:rFonts w:hint="eastAsia"/>
                          <w:b/>
                          <w:bCs/>
                          <w:sz w:val="28"/>
                          <w:szCs w:val="36"/>
                          <w:highlight w:val="yellow"/>
                          <w:lang w:val="en-US" w:eastAsia="zh-CN"/>
                        </w:rPr>
                        <w:t>小陈庄村</w:t>
                      </w:r>
                    </w:p>
                  </w:txbxContent>
                </v:textbox>
              </v:shape>
            </w:pict>
          </mc:Fallback>
        </mc:AlternateContent>
      </w:r>
    </w:p>
    <w:p w14:paraId="6BFFEBD3">
      <w:pPr>
        <w:jc w:val="center"/>
      </w:pPr>
    </w:p>
    <w:p w14:paraId="2CA4F769">
      <w:pPr>
        <w:jc w:val="center"/>
      </w:pPr>
      <w:r>
        <w:rPr>
          <w:sz w:val="21"/>
        </w:rPr>
        <mc:AlternateContent>
          <mc:Choice Requires="wps">
            <w:drawing>
              <wp:anchor distT="0" distB="0" distL="114300" distR="114300" simplePos="0" relativeHeight="251684864" behindDoc="0" locked="0" layoutInCell="1" allowOverlap="1">
                <wp:simplePos x="0" y="0"/>
                <wp:positionH relativeFrom="column">
                  <wp:posOffset>3674745</wp:posOffset>
                </wp:positionH>
                <wp:positionV relativeFrom="paragraph">
                  <wp:posOffset>47625</wp:posOffset>
                </wp:positionV>
                <wp:extent cx="1190625" cy="2552065"/>
                <wp:effectExtent l="9525" t="0" r="19050" b="8255"/>
                <wp:wrapNone/>
                <wp:docPr id="77" name="直接连接符 77"/>
                <wp:cNvGraphicFramePr/>
                <a:graphic xmlns:a="http://schemas.openxmlformats.org/drawingml/2006/main">
                  <a:graphicData uri="http://schemas.microsoft.com/office/word/2010/wordprocessingShape">
                    <wps:wsp>
                      <wps:cNvCnPr/>
                      <wps:spPr>
                        <a:xfrm flipH="1" flipV="1">
                          <a:off x="0" y="0"/>
                          <a:ext cx="1190625" cy="2552065"/>
                        </a:xfrm>
                        <a:prstGeom prst="line">
                          <a:avLst/>
                        </a:prstGeom>
                        <a:ln w="19050" cap="flat" cmpd="sng">
                          <a:solidFill>
                            <a:srgbClr val="FFFF00"/>
                          </a:solidFill>
                          <a:prstDash val="solid"/>
                          <a:headEnd type="none" w="med" len="med"/>
                          <a:tailEnd type="arrow" w="med" len="med"/>
                        </a:ln>
                      </wps:spPr>
                      <wps:bodyPr upright="1"/>
                    </wps:wsp>
                  </a:graphicData>
                </a:graphic>
              </wp:anchor>
            </w:drawing>
          </mc:Choice>
          <mc:Fallback>
            <w:pict>
              <v:line id="_x0000_s1026" o:spid="_x0000_s1026" o:spt="20" style="position:absolute;left:0pt;flip:x y;margin-left:289.35pt;margin-top:3.75pt;height:200.95pt;width:93.75pt;z-index:251684864;mso-width-relative:page;mso-height-relative:page;" filled="f" stroked="t" coordsize="21600,21600" o:gfxdata="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0zSjl9kAAAAJAQAADwAAAAAA&#10;AAABACAAAAAiAAAAZHJzL2Rvd25yZXYueG1sUEsBAhQAFAAAAAgAh07iQEU21UkSAgAAAgQAAA4A&#10;AAAAAAAAAQAgAAAAKAEAAGRycy9lMm9Eb2MueG1sUEsFBgAAAAAGAAYAWQEAAKwFAAAAAA==&#10;">
                <v:fill on="f" focussize="0,0"/>
                <v:stroke weight="1.5pt" color="#FFFF00" joinstyle="round" endarrow="open"/>
                <v:imagedata o:title=""/>
                <o:lock v:ext="edit" aspectratio="f"/>
              </v:line>
            </w:pict>
          </mc:Fallback>
        </mc:AlternateContent>
      </w:r>
    </w:p>
    <w:p w14:paraId="6AEA4694">
      <w:pPr>
        <w:jc w:val="center"/>
      </w:pPr>
    </w:p>
    <w:p w14:paraId="1AA85D6E">
      <w:pPr>
        <w:jc w:val="center"/>
      </w:pPr>
      <w:r>
        <w:rPr>
          <w:sz w:val="21"/>
        </w:rPr>
        <mc:AlternateContent>
          <mc:Choice Requires="wps">
            <w:drawing>
              <wp:anchor distT="0" distB="0" distL="114300" distR="114300" simplePos="0" relativeHeight="251679744" behindDoc="0" locked="0" layoutInCell="1" allowOverlap="1">
                <wp:simplePos x="0" y="0"/>
                <wp:positionH relativeFrom="column">
                  <wp:posOffset>6817995</wp:posOffset>
                </wp:positionH>
                <wp:positionV relativeFrom="paragraph">
                  <wp:posOffset>127635</wp:posOffset>
                </wp:positionV>
                <wp:extent cx="1133475" cy="400050"/>
                <wp:effectExtent l="4445" t="5080" r="5080" b="490220"/>
                <wp:wrapNone/>
                <wp:docPr id="83" name="圆角矩形标注 83"/>
                <wp:cNvGraphicFramePr/>
                <a:graphic xmlns:a="http://schemas.openxmlformats.org/drawingml/2006/main">
                  <a:graphicData uri="http://schemas.microsoft.com/office/word/2010/wordprocessingShape">
                    <wps:wsp>
                      <wps:cNvSpPr/>
                      <wps:spPr>
                        <a:xfrm>
                          <a:off x="0" y="0"/>
                          <a:ext cx="1133475" cy="400050"/>
                        </a:xfrm>
                        <a:prstGeom prst="wedgeRoundRectCallout">
                          <a:avLst>
                            <a:gd name="adj1" fmla="val -48880"/>
                            <a:gd name="adj2" fmla="val 167620"/>
                            <a:gd name="adj3" fmla="val 16667"/>
                          </a:avLst>
                        </a:prstGeom>
                        <a:noFill/>
                        <a:ln w="9525" cap="flat" cmpd="sng">
                          <a:solidFill>
                            <a:srgbClr val="C00000"/>
                          </a:solidFill>
                          <a:prstDash val="solid"/>
                          <a:miter/>
                          <a:headEnd type="none" w="med" len="med"/>
                          <a:tailEnd type="none" w="med" len="med"/>
                        </a:ln>
                      </wps:spPr>
                      <wps:txbx>
                        <w:txbxContent>
                          <w:p w14:paraId="7D51F622">
                            <w:pPr>
                              <w:rPr>
                                <w:rFonts w:hint="default" w:eastAsia="宋体"/>
                                <w:color w:val="C00000"/>
                                <w:lang w:val="en-US" w:eastAsia="zh-CN"/>
                              </w:rPr>
                            </w:pPr>
                            <w:r>
                              <w:rPr>
                                <w:rFonts w:hint="eastAsia"/>
                                <w:color w:val="C00000"/>
                                <w:lang w:val="en-US" w:eastAsia="zh-CN"/>
                              </w:rPr>
                              <w:t>瓦斯抽采泵站</w:t>
                            </w:r>
                          </w:p>
                        </w:txbxContent>
                      </wps:txbx>
                      <wps:bodyPr upright="1"/>
                    </wps:wsp>
                  </a:graphicData>
                </a:graphic>
              </wp:anchor>
            </w:drawing>
          </mc:Choice>
          <mc:Fallback>
            <w:pict>
              <v:shape id="_x0000_s1026" o:spid="_x0000_s1026" o:spt="62" type="#_x0000_t62" style="position:absolute;left:0pt;margin-left:536.85pt;margin-top:10.05pt;height:31.5pt;width:89.25pt;z-index:251679744;mso-width-relative:page;mso-height-relative:page;" filled="f" stroked="t" coordsize="21600,21600" o:gfxdata="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8Y25YNgAAAALAQAADwAA&#10;AAAAAAABACAAAAAiAAAAZHJzL2Rvd25yZXYueG1sUEsBAhQAFAAAAAgAh07iQIOLrN1PAgAAlgQA&#10;AA4AAAAAAAAAAQAgAAAAJwEAAGRycy9lMm9Eb2MueG1sUEsFBgAAAAAGAAYAWQEAAOgFAAAAAA==&#10;" adj="242,47006,14400">
                <v:fill on="f" focussize="0,0"/>
                <v:stroke color="#C00000" joinstyle="miter"/>
                <v:imagedata o:title=""/>
                <o:lock v:ext="edit" aspectratio="f"/>
                <v:textbox>
                  <w:txbxContent>
                    <w:p w14:paraId="7D51F622">
                      <w:pPr>
                        <w:rPr>
                          <w:rFonts w:hint="default" w:eastAsia="宋体"/>
                          <w:color w:val="C00000"/>
                          <w:lang w:val="en-US" w:eastAsia="zh-CN"/>
                        </w:rPr>
                      </w:pPr>
                      <w:r>
                        <w:rPr>
                          <w:rFonts w:hint="eastAsia"/>
                          <w:color w:val="C00000"/>
                          <w:lang w:val="en-US" w:eastAsia="zh-CN"/>
                        </w:rPr>
                        <w:t>瓦斯抽采泵站</w:t>
                      </w:r>
                    </w:p>
                  </w:txbxContent>
                </v:textbox>
              </v:shape>
            </w:pict>
          </mc:Fallback>
        </mc:AlternateContent>
      </w:r>
    </w:p>
    <w:p w14:paraId="39BD7609">
      <w:pPr>
        <w:jc w:val="center"/>
      </w:pPr>
    </w:p>
    <w:p w14:paraId="0E231142">
      <w:pPr>
        <w:jc w:val="center"/>
      </w:pPr>
    </w:p>
    <w:p w14:paraId="18701C5E">
      <w:pPr>
        <w:jc w:val="center"/>
      </w:pPr>
      <w:r>
        <w:rPr>
          <w:sz w:val="21"/>
        </w:rPr>
        <mc:AlternateContent>
          <mc:Choice Requires="wps">
            <w:drawing>
              <wp:anchor distT="0" distB="0" distL="114300" distR="114300" simplePos="0" relativeHeight="251686912" behindDoc="0" locked="0" layoutInCell="1" allowOverlap="1">
                <wp:simplePos x="0" y="0"/>
                <wp:positionH relativeFrom="column">
                  <wp:posOffset>4244340</wp:posOffset>
                </wp:positionH>
                <wp:positionV relativeFrom="paragraph">
                  <wp:posOffset>158115</wp:posOffset>
                </wp:positionV>
                <wp:extent cx="666750" cy="27559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666750" cy="275590"/>
                        </a:xfrm>
                        <a:prstGeom prst="rect">
                          <a:avLst/>
                        </a:prstGeom>
                        <a:noFill/>
                        <a:ln>
                          <a:noFill/>
                        </a:ln>
                      </wps:spPr>
                      <wps:txbx>
                        <w:txbxContent>
                          <w:p w14:paraId="63EA123C">
                            <w:pPr>
                              <w:rPr>
                                <w:rFonts w:hint="default" w:eastAsia="宋体"/>
                                <w:b/>
                                <w:bCs/>
                                <w:color w:val="FFFF00"/>
                                <w:lang w:val="en-US" w:eastAsia="zh-CN"/>
                              </w:rPr>
                            </w:pPr>
                            <w:r>
                              <w:rPr>
                                <w:rFonts w:hint="eastAsia"/>
                                <w:b/>
                                <w:bCs/>
                                <w:color w:val="FFFF00"/>
                                <w:lang w:val="en-US" w:eastAsia="zh-CN"/>
                              </w:rPr>
                              <w:t>420m</w:t>
                            </w:r>
                          </w:p>
                        </w:txbxContent>
                      </wps:txbx>
                      <wps:bodyPr upright="1"/>
                    </wps:wsp>
                  </a:graphicData>
                </a:graphic>
              </wp:anchor>
            </w:drawing>
          </mc:Choice>
          <mc:Fallback>
            <w:pict>
              <v:shape id="_x0000_s1026" o:spid="_x0000_s1026" o:spt="202" type="#_x0000_t202" style="position:absolute;left:0pt;margin-left:334.2pt;margin-top:12.45pt;height:21.7pt;width:52.5pt;z-index:251686912;mso-width-relative:page;mso-height-relative:page;" filled="f" stroked="f" coordsize="21600,21600" o:gfxdata="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2BhyxNcA&#10;AAAJAQAADwAAAAAAAAABACAAAAAiAAAAZHJzL2Rvd25yZXYueG1sUEsBAhQAFAAAAAgAh07iQKna&#10;jWeuAQAATwMAAA4AAAAAAAAAAQAgAAAAJgEAAGRycy9lMm9Eb2MueG1sUEsFBgAAAAAGAAYAWQEA&#10;AEYFAAAAAA==&#10;">
                <v:fill on="f" focussize="0,0"/>
                <v:stroke on="f"/>
                <v:imagedata o:title=""/>
                <o:lock v:ext="edit" aspectratio="f"/>
                <v:textbox>
                  <w:txbxContent>
                    <w:p w14:paraId="63EA123C">
                      <w:pPr>
                        <w:rPr>
                          <w:rFonts w:hint="default" w:eastAsia="宋体"/>
                          <w:b/>
                          <w:bCs/>
                          <w:color w:val="FFFF00"/>
                          <w:lang w:val="en-US" w:eastAsia="zh-CN"/>
                        </w:rPr>
                      </w:pPr>
                      <w:r>
                        <w:rPr>
                          <w:rFonts w:hint="eastAsia"/>
                          <w:b/>
                          <w:bCs/>
                          <w:color w:val="FFFF00"/>
                          <w:lang w:val="en-US" w:eastAsia="zh-CN"/>
                        </w:rPr>
                        <w:t>420m</w:t>
                      </w:r>
                    </w:p>
                  </w:txbxContent>
                </v:textbox>
              </v:shape>
            </w:pict>
          </mc:Fallback>
        </mc:AlternateContent>
      </w:r>
    </w:p>
    <w:p w14:paraId="0AEAF36F">
      <w:pPr>
        <w:jc w:val="center"/>
      </w:pPr>
      <w:r>
        <w:rPr>
          <w:sz w:val="21"/>
        </w:rPr>
        <mc:AlternateContent>
          <mc:Choice Requires="wps">
            <w:drawing>
              <wp:anchor distT="0" distB="0" distL="114300" distR="114300" simplePos="0" relativeHeight="251680768" behindDoc="0" locked="0" layoutInCell="1" allowOverlap="1">
                <wp:simplePos x="0" y="0"/>
                <wp:positionH relativeFrom="column">
                  <wp:posOffset>6760845</wp:posOffset>
                </wp:positionH>
                <wp:positionV relativeFrom="paragraph">
                  <wp:posOffset>173355</wp:posOffset>
                </wp:positionV>
                <wp:extent cx="142875" cy="114300"/>
                <wp:effectExtent l="17145" t="13335" r="30480" b="24765"/>
                <wp:wrapNone/>
                <wp:docPr id="91" name="五角星 91"/>
                <wp:cNvGraphicFramePr/>
                <a:graphic xmlns:a="http://schemas.openxmlformats.org/drawingml/2006/main">
                  <a:graphicData uri="http://schemas.microsoft.com/office/word/2010/wordprocessingShape">
                    <wps:wsp>
                      <wps:cNvSpPr/>
                      <wps:spPr>
                        <a:xfrm>
                          <a:off x="0" y="0"/>
                          <a:ext cx="142875" cy="114300"/>
                        </a:xfrm>
                        <a:prstGeom prst="star5">
                          <a:avLst/>
                        </a:prstGeom>
                        <a:solidFill>
                          <a:srgbClr val="C0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532.35pt;margin-top:13.65pt;height:9pt;width:11.25pt;z-index:251680768;mso-width-relative:page;mso-height-relative:page;" fillcolor="#C00000" filled="t" stroked="t" coordsize="142875,114300" o:gfxdata="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67hrd9YAAAALAQAADwAAAAAAAAABACAAAAAiAAAAZHJzL2Rv&#10;d25yZXYueG1sUEsBAhQAFAAAAAgAh07iQC9Bgh4DAgAAIwQAAA4AAAAAAAAAAQAgAAAAJQEAAGRy&#10;cy9lMm9Eb2MueG1sUEsFBgAAAAAGAAYAWQEAAJoFAAAAAA==&#10;" path="m0,43658l54573,43658,71437,0,88301,43658,142874,43658,98723,70640,115588,114299,71437,87316,27286,114299,44151,70640xe">
                <v:path o:connectlocs="71437,0;0,43658;27286,114299;115588,114299;142874,43658" o:connectangles="247,164,82,82,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676672" behindDoc="0" locked="0" layoutInCell="1" allowOverlap="1">
                <wp:simplePos x="0" y="0"/>
                <wp:positionH relativeFrom="column">
                  <wp:posOffset>7084695</wp:posOffset>
                </wp:positionH>
                <wp:positionV relativeFrom="paragraph">
                  <wp:posOffset>30480</wp:posOffset>
                </wp:positionV>
                <wp:extent cx="1285875" cy="381000"/>
                <wp:effectExtent l="85090" t="4445" r="19685" b="90805"/>
                <wp:wrapNone/>
                <wp:docPr id="89" name="圆角矩形标注 89"/>
                <wp:cNvGraphicFramePr/>
                <a:graphic xmlns:a="http://schemas.openxmlformats.org/drawingml/2006/main">
                  <a:graphicData uri="http://schemas.microsoft.com/office/word/2010/wordprocessingShape">
                    <wps:wsp>
                      <wps:cNvSpPr/>
                      <wps:spPr>
                        <a:xfrm>
                          <a:off x="0" y="0"/>
                          <a:ext cx="1285875" cy="381000"/>
                        </a:xfrm>
                        <a:prstGeom prst="wedgeRoundRectCallout">
                          <a:avLst>
                            <a:gd name="adj1" fmla="val -53694"/>
                            <a:gd name="adj2" fmla="val 70000"/>
                            <a:gd name="adj3" fmla="val 16667"/>
                          </a:avLst>
                        </a:prstGeom>
                        <a:noFill/>
                        <a:ln w="9525" cap="flat" cmpd="sng">
                          <a:solidFill>
                            <a:srgbClr val="C00000"/>
                          </a:solidFill>
                          <a:prstDash val="solid"/>
                          <a:miter/>
                          <a:headEnd type="none" w="med" len="med"/>
                          <a:tailEnd type="none" w="med" len="med"/>
                        </a:ln>
                      </wps:spPr>
                      <wps:txbx>
                        <w:txbxContent>
                          <w:p w14:paraId="4014A467">
                            <w:pPr>
                              <w:rPr>
                                <w:rFonts w:hint="default" w:eastAsia="宋体"/>
                                <w:color w:val="C00000"/>
                                <w:lang w:val="en-US" w:eastAsia="zh-CN"/>
                              </w:rPr>
                            </w:pPr>
                            <w:r>
                              <w:rPr>
                                <w:rFonts w:hint="eastAsia"/>
                                <w:color w:val="C00000"/>
                                <w:lang w:val="en-US" w:eastAsia="zh-CN"/>
                              </w:rPr>
                              <w:t>拟建项目所在地</w:t>
                            </w:r>
                          </w:p>
                        </w:txbxContent>
                      </wps:txbx>
                      <wps:bodyPr upright="1"/>
                    </wps:wsp>
                  </a:graphicData>
                </a:graphic>
              </wp:anchor>
            </w:drawing>
          </mc:Choice>
          <mc:Fallback>
            <w:pict>
              <v:shape id="_x0000_s1026" o:spid="_x0000_s1026" o:spt="62" type="#_x0000_t62" style="position:absolute;left:0pt;margin-left:557.85pt;margin-top:2.4pt;height:30pt;width:101.25pt;z-index:251676672;mso-width-relative:page;mso-height-relative:page;" filled="f" stroked="t" coordsize="21600,21600" o:gfxdata="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I/iEsrWAAAACgEAAA8AAAAA&#10;AAAAAQAgAAAAIgAAAGRycy9kb3ducmV2LnhtbFBLAQIUABQAAAAIAIdO4kCFJhZSTwIAAJUEAAAO&#10;AAAAAAAAAAEAIAAAACUBAABkcnMvZTJvRG9jLnhtbFBLBQYAAAAABgAGAFkBAADmBQAAAAA=&#10;" adj="-798,25920,14400">
                <v:fill on="f" focussize="0,0"/>
                <v:stroke color="#C00000" joinstyle="miter"/>
                <v:imagedata o:title=""/>
                <o:lock v:ext="edit" aspectratio="f"/>
                <v:textbox>
                  <w:txbxContent>
                    <w:p w14:paraId="4014A467">
                      <w:pPr>
                        <w:rPr>
                          <w:rFonts w:hint="default" w:eastAsia="宋体"/>
                          <w:color w:val="C00000"/>
                          <w:lang w:val="en-US" w:eastAsia="zh-CN"/>
                        </w:rPr>
                      </w:pPr>
                      <w:r>
                        <w:rPr>
                          <w:rFonts w:hint="eastAsia"/>
                          <w:color w:val="C00000"/>
                          <w:lang w:val="en-US" w:eastAsia="zh-CN"/>
                        </w:rPr>
                        <w:t>拟建项目所在地</w:t>
                      </w:r>
                    </w:p>
                  </w:txbxContent>
                </v:textbox>
              </v:shape>
            </w:pict>
          </mc:Fallback>
        </mc:AlternateContent>
      </w:r>
      <w:r>
        <w:rPr>
          <w:sz w:val="21"/>
        </w:rPr>
        <mc:AlternateContent>
          <mc:Choice Requires="wps">
            <w:drawing>
              <wp:anchor distT="0" distB="0" distL="114300" distR="114300" simplePos="0" relativeHeight="251677696" behindDoc="0" locked="0" layoutInCell="1" allowOverlap="1">
                <wp:simplePos x="0" y="0"/>
                <wp:positionH relativeFrom="column">
                  <wp:posOffset>3522345</wp:posOffset>
                </wp:positionH>
                <wp:positionV relativeFrom="paragraph">
                  <wp:posOffset>87630</wp:posOffset>
                </wp:positionV>
                <wp:extent cx="2914015" cy="942975"/>
                <wp:effectExtent l="0" t="20955" r="19685" b="7620"/>
                <wp:wrapNone/>
                <wp:docPr id="80" name="直接连接符 80"/>
                <wp:cNvGraphicFramePr/>
                <a:graphic xmlns:a="http://schemas.openxmlformats.org/drawingml/2006/main">
                  <a:graphicData uri="http://schemas.microsoft.com/office/word/2010/wordprocessingShape">
                    <wps:wsp>
                      <wps:cNvCnPr/>
                      <wps:spPr>
                        <a:xfrm flipH="1" flipV="1">
                          <a:off x="0" y="0"/>
                          <a:ext cx="2914015" cy="942975"/>
                        </a:xfrm>
                        <a:prstGeom prst="line">
                          <a:avLst/>
                        </a:prstGeom>
                        <a:ln w="9525" cap="flat" cmpd="sng">
                          <a:solidFill>
                            <a:srgbClr val="FFFF00"/>
                          </a:solidFill>
                          <a:prstDash val="solid"/>
                          <a:headEnd type="none" w="med" len="med"/>
                          <a:tailEnd type="arrow" w="med" len="med"/>
                        </a:ln>
                      </wps:spPr>
                      <wps:bodyPr upright="1"/>
                    </wps:wsp>
                  </a:graphicData>
                </a:graphic>
              </wp:anchor>
            </w:drawing>
          </mc:Choice>
          <mc:Fallback>
            <w:pict>
              <v:line id="_x0000_s1026" o:spid="_x0000_s1026" o:spt="20" style="position:absolute;left:0pt;flip:x y;margin-left:277.35pt;margin-top:6.9pt;height:74.25pt;width:229.45pt;z-index:251677696;mso-width-relative:page;mso-height-relative:page;" filled="f" stroked="t" coordsize="21600,21600" o:gfxdata="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zN+4l2QAAAAsBAAAPAAAAAAAAAAEA&#10;IAAAACIAAABkcnMvZG93bnJldi54bWxQSwECFAAUAAAACACHTuJAYFE3SA4CAAAABAAADgAAAAAA&#10;AAABACAAAAAoAQAAZHJzL2Uyb0RvYy54bWxQSwUGAAAAAAYABgBZAQAAqAUAAAAA&#10;">
                <v:fill on="f" focussize="0,0"/>
                <v:stroke color="#FFFF00" joinstyle="round" endarrow="open"/>
                <v:imagedata o:title=""/>
                <o:lock v:ext="edit" aspectratio="f"/>
              </v:line>
            </w:pict>
          </mc:Fallback>
        </mc:AlternateContent>
      </w:r>
    </w:p>
    <w:p w14:paraId="4F03B3C4">
      <w:pPr>
        <w:jc w:val="center"/>
      </w:pPr>
      <w:r>
        <w:rPr>
          <w:sz w:val="21"/>
        </w:rPr>
        <mc:AlternateContent>
          <mc:Choice Requires="wps">
            <w:drawing>
              <wp:anchor distT="0" distB="0" distL="114300" distR="114300" simplePos="0" relativeHeight="251688960" behindDoc="0" locked="0" layoutInCell="1" allowOverlap="1">
                <wp:simplePos x="0" y="0"/>
                <wp:positionH relativeFrom="column">
                  <wp:posOffset>4538345</wp:posOffset>
                </wp:positionH>
                <wp:positionV relativeFrom="paragraph">
                  <wp:posOffset>187960</wp:posOffset>
                </wp:positionV>
                <wp:extent cx="1161415" cy="739775"/>
                <wp:effectExtent l="0" t="0" r="0" b="0"/>
                <wp:wrapNone/>
                <wp:docPr id="81" name="文本框 81"/>
                <wp:cNvGraphicFramePr/>
                <a:graphic xmlns:a="http://schemas.openxmlformats.org/drawingml/2006/main">
                  <a:graphicData uri="http://schemas.microsoft.com/office/word/2010/wordprocessingShape">
                    <wps:wsp>
                      <wps:cNvSpPr txBox="1"/>
                      <wps:spPr>
                        <a:xfrm rot="-420000">
                          <a:off x="0" y="0"/>
                          <a:ext cx="1161415" cy="739775"/>
                        </a:xfrm>
                        <a:prstGeom prst="rect">
                          <a:avLst/>
                        </a:prstGeom>
                        <a:noFill/>
                        <a:ln>
                          <a:noFill/>
                        </a:ln>
                      </wps:spPr>
                      <wps:txbx>
                        <w:txbxContent>
                          <w:p w14:paraId="515AFEB3">
                            <w:pPr>
                              <w:rPr>
                                <w:rFonts w:hint="default"/>
                                <w:b/>
                                <w:bCs/>
                                <w:color w:val="FFFF00"/>
                                <w:lang w:val="en-US" w:eastAsia="zh-CN"/>
                              </w:rPr>
                            </w:pPr>
                            <w:r>
                              <w:rPr>
                                <w:rFonts w:hint="eastAsia" w:cs="Times New Roman"/>
                                <w:b/>
                                <w:bCs/>
                                <w:color w:val="FFFF00"/>
                                <w:sz w:val="24"/>
                                <w:szCs w:val="24"/>
                                <w:lang w:val="en-US" w:eastAsia="zh-CN"/>
                              </w:rPr>
                              <w:t>平顶山市天安煤业股份有限公司八矿</w:t>
                            </w:r>
                          </w:p>
                        </w:txbxContent>
                      </wps:txbx>
                      <wps:bodyPr upright="1"/>
                    </wps:wsp>
                  </a:graphicData>
                </a:graphic>
              </wp:anchor>
            </w:drawing>
          </mc:Choice>
          <mc:Fallback>
            <w:pict>
              <v:shape id="_x0000_s1026" o:spid="_x0000_s1026" o:spt="202" type="#_x0000_t202" style="position:absolute;left:0pt;margin-left:357.35pt;margin-top:14.8pt;height:58.25pt;width:91.45pt;rotation:-458752f;z-index:251688960;mso-width-relative:page;mso-height-relative:page;" filled="f" stroked="f" coordsize="21600,21600" o:gfxdata="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auEnaNgAAAAKAQAADwAAAAAAAAABACAAAAAiAAAAZHJzL2Rvd25yZXYueG1sUEsBAhQA&#10;FAAAAAgAh07iQJ0ZOh+5AQAAXgMAAA4AAAAAAAAAAQAgAAAAJwEAAGRycy9lMm9Eb2MueG1sUEsF&#10;BgAAAAAGAAYAWQEAAFIFAAAAAA==&#10;">
                <v:fill on="f" focussize="0,0"/>
                <v:stroke on="f"/>
                <v:imagedata o:title=""/>
                <o:lock v:ext="edit" aspectratio="f"/>
                <v:textbox>
                  <w:txbxContent>
                    <w:p w14:paraId="515AFEB3">
                      <w:pPr>
                        <w:rPr>
                          <w:rFonts w:hint="default"/>
                          <w:b/>
                          <w:bCs/>
                          <w:color w:val="FFFF00"/>
                          <w:lang w:val="en-US" w:eastAsia="zh-CN"/>
                        </w:rPr>
                      </w:pPr>
                      <w:r>
                        <w:rPr>
                          <w:rFonts w:hint="eastAsia" w:cs="Times New Roman"/>
                          <w:b/>
                          <w:bCs/>
                          <w:color w:val="FFFF00"/>
                          <w:sz w:val="24"/>
                          <w:szCs w:val="24"/>
                          <w:lang w:val="en-US" w:eastAsia="zh-CN"/>
                        </w:rPr>
                        <w:t>平顶山市天安煤业股份有限公司八矿</w:t>
                      </w:r>
                    </w:p>
                  </w:txbxContent>
                </v:textbox>
              </v:shape>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3922395</wp:posOffset>
                </wp:positionH>
                <wp:positionV relativeFrom="paragraph">
                  <wp:posOffset>27305</wp:posOffset>
                </wp:positionV>
                <wp:extent cx="1914525" cy="1476375"/>
                <wp:effectExtent l="9525" t="9525" r="11430" b="22860"/>
                <wp:wrapNone/>
                <wp:docPr id="75" name="任意多边形 75"/>
                <wp:cNvGraphicFramePr/>
                <a:graphic xmlns:a="http://schemas.openxmlformats.org/drawingml/2006/main">
                  <a:graphicData uri="http://schemas.microsoft.com/office/word/2010/wordprocessingShape">
                    <wps:wsp>
                      <wps:cNvSpPr/>
                      <wps:spPr>
                        <a:xfrm>
                          <a:off x="0" y="0"/>
                          <a:ext cx="1914525" cy="1476375"/>
                        </a:xfrm>
                        <a:custGeom>
                          <a:avLst/>
                          <a:gdLst/>
                          <a:ahLst/>
                          <a:cxnLst/>
                          <a:pathLst>
                            <a:path w="3015" h="2325">
                              <a:moveTo>
                                <a:pt x="750" y="2265"/>
                              </a:moveTo>
                              <a:lnTo>
                                <a:pt x="135" y="2325"/>
                              </a:lnTo>
                              <a:lnTo>
                                <a:pt x="0" y="360"/>
                              </a:lnTo>
                              <a:lnTo>
                                <a:pt x="2745" y="0"/>
                              </a:lnTo>
                              <a:lnTo>
                                <a:pt x="3015" y="2040"/>
                              </a:lnTo>
                              <a:lnTo>
                                <a:pt x="1785" y="2145"/>
                              </a:lnTo>
                              <a:lnTo>
                                <a:pt x="1725" y="1635"/>
                              </a:lnTo>
                              <a:lnTo>
                                <a:pt x="765" y="1695"/>
                              </a:lnTo>
                              <a:lnTo>
                                <a:pt x="810" y="2280"/>
                              </a:lnTo>
                              <a:lnTo>
                                <a:pt x="750" y="2265"/>
                              </a:lnTo>
                              <a:close/>
                            </a:path>
                          </a:pathLst>
                        </a:custGeom>
                        <a:noFill/>
                        <a:ln w="19050"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08.85pt;margin-top:2.15pt;height:116.25pt;width:150.75pt;z-index:251699200;mso-width-relative:page;mso-height-relative:page;" filled="f" stroked="t" coordsize="3015,2325" o:gfxdata="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DwRTnPa&#10;AAAACQEAAA8AAAAAAAAAAQAgAAAAIgAAAGRycy9kb3ducmV2LnhtbFBLAQIUABQAAAAIAIdO4kAo&#10;lrE0kAIAAOsFAAAOAAAAAAAAAAEAIAAAACkBAABkcnMvZTJvRG9jLnhtbFBLBQYAAAAABgAGAFkB&#10;AAArBgAAAAA=&#10;" path="m750,2265l135,2325,0,360,2745,0,3015,2040,1785,2145,1725,1635,765,1695,810,2280,750,2265xe">
                <v:fill on="f" focussize="0,0"/>
                <v:stroke weight="1.5pt" color="#FFFF00" joinstyle="round"/>
                <v:imagedata o:title=""/>
                <o:lock v:ext="edit" aspectratio="f"/>
              </v:shape>
            </w:pict>
          </mc:Fallback>
        </mc:AlternateContent>
      </w:r>
      <w:r>
        <w:rPr>
          <w:sz w:val="21"/>
        </w:rPr>
        <mc:AlternateContent>
          <mc:Choice Requires="wps">
            <w:drawing>
              <wp:anchor distT="0" distB="0" distL="114300" distR="114300" simplePos="0" relativeHeight="251678720" behindDoc="0" locked="0" layoutInCell="1" allowOverlap="1">
                <wp:simplePos x="0" y="0"/>
                <wp:positionH relativeFrom="column">
                  <wp:posOffset>3658235</wp:posOffset>
                </wp:positionH>
                <wp:positionV relativeFrom="paragraph">
                  <wp:posOffset>26670</wp:posOffset>
                </wp:positionV>
                <wp:extent cx="2724785" cy="466725"/>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2724785" cy="466725"/>
                        </a:xfrm>
                        <a:prstGeom prst="rect">
                          <a:avLst/>
                        </a:prstGeom>
                        <a:noFill/>
                        <a:ln>
                          <a:noFill/>
                        </a:ln>
                      </wps:spPr>
                      <wps:txbx>
                        <w:txbxContent>
                          <w:p w14:paraId="2C677A58">
                            <w:pPr>
                              <w:jc w:val="center"/>
                              <w:rPr>
                                <w:rFonts w:hint="default"/>
                                <w:b/>
                                <w:bCs/>
                                <w:color w:val="FFFF00"/>
                                <w:sz w:val="28"/>
                                <w:szCs w:val="36"/>
                                <w:highlight w:val="none"/>
                                <w:lang w:val="en-US" w:eastAsia="zh-CN"/>
                              </w:rPr>
                            </w:pPr>
                            <w:r>
                              <w:rPr>
                                <w:rFonts w:hint="eastAsia"/>
                                <w:b/>
                                <w:bCs/>
                                <w:color w:val="FFFF00"/>
                                <w:sz w:val="28"/>
                                <w:szCs w:val="36"/>
                                <w:highlight w:val="none"/>
                                <w:lang w:val="en-US" w:eastAsia="zh-CN"/>
                              </w:rPr>
                              <w:t>246m</w:t>
                            </w:r>
                          </w:p>
                        </w:txbxContent>
                      </wps:txbx>
                      <wps:bodyPr upright="1"/>
                    </wps:wsp>
                  </a:graphicData>
                </a:graphic>
              </wp:anchor>
            </w:drawing>
          </mc:Choice>
          <mc:Fallback>
            <w:pict>
              <v:shape id="_x0000_s1026" o:spid="_x0000_s1026" o:spt="202" type="#_x0000_t202" style="position:absolute;left:0pt;margin-left:288.05pt;margin-top:2.1pt;height:36.75pt;width:214.55pt;z-index:251678720;mso-width-relative:page;mso-height-relative:page;" filled="f" stroked="f" coordsize="21600,21600" o:gfxdata="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DSQj31gAA&#10;AAkBAAAPAAAAAAAAAAEAIAAAACIAAABkcnMvZG93bnJldi54bWxQSwECFAAUAAAACACHTuJAlEBy&#10;kq4BAABQAwAADgAAAAAAAAABACAAAAAlAQAAZHJzL2Uyb0RvYy54bWxQSwUGAAAAAAYABgBZAQAA&#10;RQUAAAAA&#10;">
                <v:fill on="f" focussize="0,0"/>
                <v:stroke on="f"/>
                <v:imagedata o:title=""/>
                <o:lock v:ext="edit" aspectratio="f"/>
                <v:textbox>
                  <w:txbxContent>
                    <w:p w14:paraId="2C677A58">
                      <w:pPr>
                        <w:jc w:val="center"/>
                        <w:rPr>
                          <w:rFonts w:hint="default"/>
                          <w:b/>
                          <w:bCs/>
                          <w:color w:val="FFFF00"/>
                          <w:sz w:val="28"/>
                          <w:szCs w:val="36"/>
                          <w:highlight w:val="none"/>
                          <w:lang w:val="en-US" w:eastAsia="zh-CN"/>
                        </w:rPr>
                      </w:pPr>
                      <w:r>
                        <w:rPr>
                          <w:rFonts w:hint="eastAsia"/>
                          <w:b/>
                          <w:bCs/>
                          <w:color w:val="FFFF00"/>
                          <w:sz w:val="28"/>
                          <w:szCs w:val="36"/>
                          <w:highlight w:val="none"/>
                          <w:lang w:val="en-US" w:eastAsia="zh-CN"/>
                        </w:rPr>
                        <w:t>246m</w:t>
                      </w:r>
                    </w:p>
                  </w:txbxContent>
                </v:textbox>
              </v:shape>
            </w:pict>
          </mc:Fallback>
        </mc:AlternateContent>
      </w:r>
      <w:r>
        <w:rPr>
          <w:rFonts w:hint="eastAsia"/>
          <w:lang w:val="en-US" w:eastAsia="zh-CN"/>
        </w:rPr>
        <w:t>见</w:t>
      </w:r>
    </w:p>
    <w:p w14:paraId="4DABB2ED">
      <w:pPr>
        <w:jc w:val="center"/>
      </w:pPr>
      <w:r>
        <w:rPr>
          <w:sz w:val="21"/>
        </w:rPr>
        <mc:AlternateContent>
          <mc:Choice Requires="wps">
            <w:drawing>
              <wp:anchor distT="0" distB="0" distL="114300" distR="114300" simplePos="0" relativeHeight="251675648" behindDoc="0" locked="0" layoutInCell="1" allowOverlap="1">
                <wp:simplePos x="0" y="0"/>
                <wp:positionH relativeFrom="column">
                  <wp:posOffset>6484620</wp:posOffset>
                </wp:positionH>
                <wp:positionV relativeFrom="paragraph">
                  <wp:posOffset>52070</wp:posOffset>
                </wp:positionV>
                <wp:extent cx="459740" cy="767715"/>
                <wp:effectExtent l="86360" t="47625" r="101600" b="60960"/>
                <wp:wrapNone/>
                <wp:docPr id="96" name="矩形 96"/>
                <wp:cNvGraphicFramePr/>
                <a:graphic xmlns:a="http://schemas.openxmlformats.org/drawingml/2006/main">
                  <a:graphicData uri="http://schemas.microsoft.com/office/word/2010/wordprocessingShape">
                    <wps:wsp>
                      <wps:cNvSpPr/>
                      <wps:spPr>
                        <a:xfrm rot="780000">
                          <a:off x="0" y="0"/>
                          <a:ext cx="459740" cy="767715"/>
                        </a:xfrm>
                        <a:prstGeom prst="rect">
                          <a:avLst/>
                        </a:prstGeom>
                        <a:noFill/>
                        <a:ln w="9525" cap="flat" cmpd="sng">
                          <a:solidFill>
                            <a:srgbClr val="C0504D"/>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10.6pt;margin-top:4.1pt;height:60.45pt;width:36.2pt;rotation:851968f;z-index:251675648;mso-width-relative:page;mso-height-relative:page;" filled="f" stroked="t" coordsize="21600,21600" o:gfxdata="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PmA4l3XAAAACwEAAA8AAAAAAAAAAQAgAAAAIgAAAGRycy9k&#10;b3ducmV2LnhtbFBLAQIUABQAAAAIAIdO4kBceypYAwIAAAMEAAAOAAAAAAAAAAEAIAAAACYBAABk&#10;cnMvZTJvRG9jLnhtbFBLBQYAAAAABgAGAFkBAACbBQAAAAA=&#10;">
                <v:fill on="f" focussize="0,0"/>
                <v:stroke color="#C0504D" joinstyle="miter"/>
                <v:imagedata o:title=""/>
                <o:lock v:ext="edit" aspectratio="f"/>
              </v:rect>
            </w:pict>
          </mc:Fallback>
        </mc:AlternateContent>
      </w:r>
    </w:p>
    <w:p w14:paraId="2AB0FED1">
      <w:pPr>
        <w:jc w:val="center"/>
      </w:pPr>
    </w:p>
    <w:p w14:paraId="6D2AA53D">
      <w:pPr>
        <w:jc w:val="center"/>
      </w:pPr>
    </w:p>
    <w:p w14:paraId="5F81C759">
      <w:pPr>
        <w:jc w:val="center"/>
      </w:pPr>
    </w:p>
    <w:p w14:paraId="637A6B81">
      <w:pPr>
        <w:jc w:val="center"/>
      </w:pPr>
      <w:r>
        <w:rPr>
          <w:sz w:val="21"/>
        </w:rPr>
        <mc:AlternateContent>
          <mc:Choice Requires="wps">
            <w:drawing>
              <wp:anchor distT="0" distB="0" distL="114300" distR="114300" simplePos="0" relativeHeight="251697152" behindDoc="0" locked="0" layoutInCell="1" allowOverlap="1">
                <wp:simplePos x="0" y="0"/>
                <wp:positionH relativeFrom="column">
                  <wp:posOffset>4455795</wp:posOffset>
                </wp:positionH>
                <wp:positionV relativeFrom="paragraph">
                  <wp:posOffset>196215</wp:posOffset>
                </wp:positionV>
                <wp:extent cx="283845" cy="253365"/>
                <wp:effectExtent l="27305" t="29210" r="39370" b="37465"/>
                <wp:wrapNone/>
                <wp:docPr id="97" name="矩形 97"/>
                <wp:cNvGraphicFramePr/>
                <a:graphic xmlns:a="http://schemas.openxmlformats.org/drawingml/2006/main">
                  <a:graphicData uri="http://schemas.microsoft.com/office/word/2010/wordprocessingShape">
                    <wps:wsp>
                      <wps:cNvSpPr/>
                      <wps:spPr>
                        <a:xfrm rot="-480000">
                          <a:off x="0" y="0"/>
                          <a:ext cx="283845" cy="253365"/>
                        </a:xfrm>
                        <a:prstGeom prst="rect">
                          <a:avLst/>
                        </a:prstGeom>
                        <a:noFill/>
                        <a:ln w="19050"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350.85pt;margin-top:15.45pt;height:19.95pt;width:22.35pt;rotation:-524288f;z-index:251697152;mso-width-relative:page;mso-height-relative:page;" filled="f" stroked="t" coordsize="21600,21600" o:gfxdata="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Lb1lz2gAAAAkBAAAPAAAAAAAAAAEAIAAAACIAAABk&#10;cnMvZG93bnJldi54bWxQSwECFAAUAAAACACHTuJAB70X8gQCAAAFBAAADgAAAAAAAAABACAAAAAp&#10;AQAAZHJzL2Uyb0RvYy54bWxQSwUGAAAAAAYABgBZAQAAnwUAAAAA&#10;">
                <v:fill on="f" focussize="0,0"/>
                <v:stroke weight="1.5pt" color="#FF0000" joinstyle="miter"/>
                <v:imagedata o:title=""/>
                <o:lock v:ext="edit" aspectratio="f"/>
              </v:rect>
            </w:pict>
          </mc:Fallback>
        </mc:AlternateContent>
      </w:r>
    </w:p>
    <w:p w14:paraId="0EE830F5">
      <w:pPr>
        <w:jc w:val="center"/>
      </w:pPr>
      <w:r>
        <w:rPr>
          <w:sz w:val="21"/>
        </w:rPr>
        <mc:AlternateContent>
          <mc:Choice Requires="wps">
            <w:drawing>
              <wp:anchor distT="0" distB="0" distL="114300" distR="114300" simplePos="0" relativeHeight="251685888" behindDoc="0" locked="0" layoutInCell="1" allowOverlap="1">
                <wp:simplePos x="0" y="0"/>
                <wp:positionH relativeFrom="column">
                  <wp:posOffset>4761230</wp:posOffset>
                </wp:positionH>
                <wp:positionV relativeFrom="paragraph">
                  <wp:posOffset>5715</wp:posOffset>
                </wp:positionV>
                <wp:extent cx="246380" cy="190500"/>
                <wp:effectExtent l="22860" t="26670" r="35560" b="41910"/>
                <wp:wrapNone/>
                <wp:docPr id="98" name="矩形 98"/>
                <wp:cNvGraphicFramePr/>
                <a:graphic xmlns:a="http://schemas.openxmlformats.org/drawingml/2006/main">
                  <a:graphicData uri="http://schemas.microsoft.com/office/word/2010/wordprocessingShape">
                    <wps:wsp>
                      <wps:cNvSpPr/>
                      <wps:spPr>
                        <a:xfrm rot="-480000">
                          <a:off x="0" y="0"/>
                          <a:ext cx="246380" cy="190500"/>
                        </a:xfrm>
                        <a:prstGeom prst="rect">
                          <a:avLst/>
                        </a:prstGeom>
                        <a:noFill/>
                        <a:ln w="19050"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374.9pt;margin-top:0.45pt;height:15pt;width:19.4pt;rotation:-524288f;z-index:251685888;mso-width-relative:page;mso-height-relative:page;" filled="f" stroked="t" coordsize="21600,21600" o:gfxdata="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4gVmb2QAAAAcBAAAPAAAAAAAAAAEAIAAAACIAAABkcnMvZG93&#10;bnJldi54bWxQSwECFAAUAAAACACHTuJAkhpYoP8BAAAFBAAADgAAAAAAAAABACAAAAAoAQAAZHJz&#10;L2Uyb0RvYy54bWxQSwUGAAAAAAYABgBZAQAAmQUAAAAA&#10;">
                <v:fill on="f" focussize="0,0"/>
                <v:stroke weight="1.5pt" color="#FF0000" joinstyle="miter"/>
                <v:imagedata o:title=""/>
                <o:lock v:ext="edit" aspectratio="f"/>
              </v:rect>
            </w:pict>
          </mc:Fallback>
        </mc:AlternateContent>
      </w:r>
    </w:p>
    <w:p w14:paraId="46894926">
      <w:pPr>
        <w:jc w:val="center"/>
      </w:pPr>
    </w:p>
    <w:p w14:paraId="69E5D4C8">
      <w:pPr>
        <w:jc w:val="center"/>
        <w:sectPr>
          <w:pgSz w:w="16838" w:h="11906" w:orient="landscape"/>
          <w:pgMar w:top="720" w:right="720" w:bottom="720" w:left="72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sz w:val="21"/>
        </w:rPr>
        <mc:AlternateContent>
          <mc:Choice Requires="wps">
            <w:drawing>
              <wp:anchor distT="0" distB="0" distL="114300" distR="114300" simplePos="0" relativeHeight="251667456" behindDoc="0" locked="0" layoutInCell="1" allowOverlap="1">
                <wp:simplePos x="0" y="0"/>
                <wp:positionH relativeFrom="column">
                  <wp:posOffset>3181350</wp:posOffset>
                </wp:positionH>
                <wp:positionV relativeFrom="paragraph">
                  <wp:posOffset>2268855</wp:posOffset>
                </wp:positionV>
                <wp:extent cx="4509770" cy="466725"/>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4509770" cy="466725"/>
                        </a:xfrm>
                        <a:prstGeom prst="rect">
                          <a:avLst/>
                        </a:prstGeom>
                        <a:noFill/>
                        <a:ln>
                          <a:noFill/>
                        </a:ln>
                      </wps:spPr>
                      <wps:txbx>
                        <w:txbxContent>
                          <w:p w14:paraId="25BE043D">
                            <w:pPr>
                              <w:rPr>
                                <w:rFonts w:hint="default"/>
                                <w:b/>
                                <w:bCs/>
                                <w:sz w:val="28"/>
                                <w:szCs w:val="28"/>
                                <w:lang w:val="en-US" w:eastAsia="zh-CN"/>
                              </w:rPr>
                            </w:pPr>
                            <w:r>
                              <w:rPr>
                                <w:rFonts w:hint="eastAsia"/>
                                <w:b/>
                                <w:bCs/>
                                <w:sz w:val="28"/>
                                <w:szCs w:val="28"/>
                                <w:lang w:val="en-US" w:eastAsia="zh-CN"/>
                              </w:rPr>
                              <w:t>附图二：项目周边环境图（比例尺：1:6000）</w:t>
                            </w:r>
                          </w:p>
                        </w:txbxContent>
                      </wps:txbx>
                      <wps:bodyPr upright="1"/>
                    </wps:wsp>
                  </a:graphicData>
                </a:graphic>
              </wp:anchor>
            </w:drawing>
          </mc:Choice>
          <mc:Fallback>
            <w:pict>
              <v:shape id="_x0000_s1026" o:spid="_x0000_s1026" o:spt="202" type="#_x0000_t202" style="position:absolute;left:0pt;margin-left:250.5pt;margin-top:178.65pt;height:36.75pt;width:355.1pt;z-index:251667456;mso-width-relative:page;mso-height-relative:page;" filled="f" stroked="f" coordsize="21600,21600" o:gfxdata="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u5Az&#10;fdkAAAAMAQAADwAAAAAAAAABACAAAAAiAAAAZHJzL2Rvd25yZXYueG1sUEsBAhQAFAAAAAgAh07i&#10;QEd1HmWvAQAAUAMAAA4AAAAAAAAAAQAgAAAAKAEAAGRycy9lMm9Eb2MueG1sUEsFBgAAAAAGAAYA&#10;WQEAAEkFAAAAAA==&#10;">
                <v:fill on="f" focussize="0,0"/>
                <v:stroke on="f"/>
                <v:imagedata o:title=""/>
                <o:lock v:ext="edit" aspectratio="f"/>
                <v:textbox>
                  <w:txbxContent>
                    <w:p w14:paraId="25BE043D">
                      <w:pPr>
                        <w:rPr>
                          <w:rFonts w:hint="default"/>
                          <w:b/>
                          <w:bCs/>
                          <w:sz w:val="28"/>
                          <w:szCs w:val="28"/>
                          <w:lang w:val="en-US" w:eastAsia="zh-CN"/>
                        </w:rPr>
                      </w:pPr>
                      <w:r>
                        <w:rPr>
                          <w:rFonts w:hint="eastAsia"/>
                          <w:b/>
                          <w:bCs/>
                          <w:sz w:val="28"/>
                          <w:szCs w:val="28"/>
                          <w:lang w:val="en-US" w:eastAsia="zh-CN"/>
                        </w:rPr>
                        <w:t>附图二：项目周边环境图（比例尺：1:6000）</w:t>
                      </w:r>
                    </w:p>
                  </w:txbxContent>
                </v:textbox>
              </v:shape>
            </w:pict>
          </mc:Fallback>
        </mc:AlternateContent>
      </w:r>
      <w:r>
        <w:rPr>
          <w:sz w:val="21"/>
        </w:rPr>
        <mc:AlternateContent>
          <mc:Choice Requires="wps">
            <w:drawing>
              <wp:anchor distT="0" distB="0" distL="114300" distR="114300" simplePos="0" relativeHeight="251696128" behindDoc="0" locked="0" layoutInCell="1" allowOverlap="1">
                <wp:simplePos x="0" y="0"/>
                <wp:positionH relativeFrom="column">
                  <wp:posOffset>3381375</wp:posOffset>
                </wp:positionH>
                <wp:positionV relativeFrom="paragraph">
                  <wp:posOffset>128905</wp:posOffset>
                </wp:positionV>
                <wp:extent cx="1052830" cy="295275"/>
                <wp:effectExtent l="4445" t="340995" r="100965" b="19050"/>
                <wp:wrapNone/>
                <wp:docPr id="82" name="圆角矩形标注 82"/>
                <wp:cNvGraphicFramePr/>
                <a:graphic xmlns:a="http://schemas.openxmlformats.org/drawingml/2006/main">
                  <a:graphicData uri="http://schemas.microsoft.com/office/word/2010/wordprocessingShape">
                    <wps:wsp>
                      <wps:cNvSpPr/>
                      <wps:spPr>
                        <a:xfrm rot="10800000">
                          <a:off x="0" y="0"/>
                          <a:ext cx="1052830" cy="295275"/>
                        </a:xfrm>
                        <a:prstGeom prst="wedgeRoundRectCallout">
                          <a:avLst>
                            <a:gd name="adj1" fmla="val -57111"/>
                            <a:gd name="adj2" fmla="val 159287"/>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01280F3B">
                            <w:pPr>
                              <w:rPr>
                                <w:rFonts w:hint="default" w:eastAsia="宋体"/>
                                <w:b/>
                                <w:bCs/>
                                <w:lang w:val="en-US" w:eastAsia="zh-CN"/>
                              </w:rPr>
                            </w:pPr>
                            <w:r>
                              <w:rPr>
                                <w:rFonts w:hint="eastAsia"/>
                                <w:b/>
                                <w:bCs/>
                                <w:lang w:val="en-US" w:eastAsia="zh-CN"/>
                              </w:rPr>
                              <w:t>瓦斯抽采泵站</w:t>
                            </w:r>
                          </w:p>
                        </w:txbxContent>
                      </wps:txbx>
                      <wps:bodyPr upright="1"/>
                    </wps:wsp>
                  </a:graphicData>
                </a:graphic>
              </wp:anchor>
            </w:drawing>
          </mc:Choice>
          <mc:Fallback>
            <w:pict>
              <v:shape id="_x0000_s1026" o:spid="_x0000_s1026" o:spt="62" type="#_x0000_t62" style="position:absolute;left:0pt;margin-left:266.25pt;margin-top:10.15pt;height:23.25pt;width:82.9pt;rotation:11796480f;z-index:251696128;mso-width-relative:page;mso-height-relative:page;" fillcolor="#FFFFFF" filled="t" stroked="t" coordsize="21600,21600" o:gfxdata="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dWu0q2QAAAAkBAAAPAAAAAAAAAAEAIAAAACIAAABkcnMvZG93bnJldi54bWxQSwECFAAUAAAA&#10;CACHTuJAU+NRVV8CAADOBAAADgAAAAAAAAABACAAAAAoAQAAZHJzL2Uyb0RvYy54bWxQSwUGAAAA&#10;AAYABgBZAQAA+QUAAAAA&#10;" adj="-1536,45206,14400">
                <v:fill on="t" focussize="0,0"/>
                <v:stroke color="#000000" joinstyle="miter"/>
                <v:imagedata o:title=""/>
                <o:lock v:ext="edit" aspectratio="f"/>
                <v:textbox>
                  <w:txbxContent>
                    <w:p w14:paraId="01280F3B">
                      <w:pPr>
                        <w:rPr>
                          <w:rFonts w:hint="default" w:eastAsia="宋体"/>
                          <w:b/>
                          <w:bCs/>
                          <w:lang w:val="en-US" w:eastAsia="zh-CN"/>
                        </w:rPr>
                      </w:pPr>
                      <w:r>
                        <w:rPr>
                          <w:rFonts w:hint="eastAsia"/>
                          <w:b/>
                          <w:bCs/>
                          <w:lang w:val="en-US" w:eastAsia="zh-CN"/>
                        </w:rPr>
                        <w:t>瓦斯抽采泵站</w:t>
                      </w:r>
                    </w:p>
                  </w:txbxContent>
                </v:textbox>
              </v:shape>
            </w:pict>
          </mc:Fallback>
        </mc:AlternateContent>
      </w:r>
      <w:r>
        <w:rPr>
          <w:sz w:val="21"/>
        </w:rPr>
        <mc:AlternateContent>
          <mc:Choice Requires="wps">
            <w:drawing>
              <wp:anchor distT="0" distB="0" distL="114300" distR="114300" simplePos="0" relativeHeight="251698176" behindDoc="0" locked="0" layoutInCell="1" allowOverlap="1">
                <wp:simplePos x="0" y="0"/>
                <wp:positionH relativeFrom="column">
                  <wp:posOffset>4961255</wp:posOffset>
                </wp:positionH>
                <wp:positionV relativeFrom="paragraph">
                  <wp:posOffset>99695</wp:posOffset>
                </wp:positionV>
                <wp:extent cx="1045210" cy="299085"/>
                <wp:effectExtent l="19685" t="354330" r="17145" b="17145"/>
                <wp:wrapNone/>
                <wp:docPr id="100" name="圆角矩形标注 100"/>
                <wp:cNvGraphicFramePr/>
                <a:graphic xmlns:a="http://schemas.openxmlformats.org/drawingml/2006/main">
                  <a:graphicData uri="http://schemas.microsoft.com/office/word/2010/wordprocessingShape">
                    <wps:wsp>
                      <wps:cNvSpPr/>
                      <wps:spPr>
                        <a:xfrm rot="10800000">
                          <a:off x="0" y="0"/>
                          <a:ext cx="1045210" cy="299085"/>
                        </a:xfrm>
                        <a:prstGeom prst="wedgeRoundRectCallout">
                          <a:avLst>
                            <a:gd name="adj1" fmla="val 50500"/>
                            <a:gd name="adj2" fmla="val 162856"/>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16DA3D06">
                            <w:pPr>
                              <w:rPr>
                                <w:rFonts w:hint="default" w:eastAsia="宋体"/>
                                <w:b/>
                                <w:bCs/>
                                <w:lang w:val="en-US" w:eastAsia="zh-CN"/>
                              </w:rPr>
                            </w:pPr>
                            <w:r>
                              <w:rPr>
                                <w:rFonts w:hint="eastAsia"/>
                                <w:b/>
                                <w:bCs/>
                                <w:lang w:val="en-US" w:eastAsia="zh-CN"/>
                              </w:rPr>
                              <w:t>本项目拟建地</w:t>
                            </w:r>
                          </w:p>
                        </w:txbxContent>
                      </wps:txbx>
                      <wps:bodyPr upright="1"/>
                    </wps:wsp>
                  </a:graphicData>
                </a:graphic>
              </wp:anchor>
            </w:drawing>
          </mc:Choice>
          <mc:Fallback>
            <w:pict>
              <v:shape id="_x0000_s1026" o:spid="_x0000_s1026" o:spt="62" type="#_x0000_t62" style="position:absolute;left:0pt;margin-left:390.65pt;margin-top:7.85pt;height:23.55pt;width:82.3pt;rotation:11796480f;z-index:251698176;mso-width-relative:page;mso-height-relative:page;" fillcolor="#FFFFFF" filled="t" stroked="t" coordsize="21600,21600" o:gfxdata="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y&#10;LDI51wAAAAkBAAAPAAAAAAAAAAEAIAAAACIAAABkcnMvZG93bnJldi54bWxQSwECFAAUAAAACACH&#10;TuJAK7yMFl4CAADPBAAADgAAAAAAAAABACAAAAAmAQAAZHJzL2Uyb0RvYy54bWxQSwUGAAAAAAYA&#10;BgBZAQAA9gUAAAAA&#10;" adj="21708,45977,14400">
                <v:fill on="t" focussize="0,0"/>
                <v:stroke color="#000000" joinstyle="miter"/>
                <v:imagedata o:title=""/>
                <o:lock v:ext="edit" aspectratio="f"/>
                <v:textbox>
                  <w:txbxContent>
                    <w:p w14:paraId="16DA3D06">
                      <w:pPr>
                        <w:rPr>
                          <w:rFonts w:hint="default" w:eastAsia="宋体"/>
                          <w:b/>
                          <w:bCs/>
                          <w:lang w:val="en-US" w:eastAsia="zh-CN"/>
                        </w:rPr>
                      </w:pPr>
                      <w:r>
                        <w:rPr>
                          <w:rFonts w:hint="eastAsia"/>
                          <w:b/>
                          <w:bCs/>
                          <w:lang w:val="en-US" w:eastAsia="zh-CN"/>
                        </w:rPr>
                        <w:t>本项目拟建地</w:t>
                      </w:r>
                    </w:p>
                  </w:txbxContent>
                </v:textbox>
              </v:shape>
            </w:pict>
          </mc:Fallback>
        </mc:AlternateContent>
      </w:r>
    </w:p>
    <w:p w14:paraId="795FED45">
      <w:pPr>
        <w:jc w:val="center"/>
        <w:rPr>
          <w:rFonts w:hint="default" w:eastAsia="宋体"/>
          <w:lang w:val="en-US" w:eastAsia="zh-CN"/>
        </w:rPr>
        <w:sectPr>
          <w:pgSz w:w="16838" w:h="11906" w:orient="landscape"/>
          <w:pgMar w:top="720" w:right="720" w:bottom="720" w:left="72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sz w:val="21"/>
        </w:rPr>
        <mc:AlternateContent>
          <mc:Choice Requires="wps">
            <w:drawing>
              <wp:anchor distT="0" distB="0" distL="114300" distR="114300" simplePos="0" relativeHeight="251701248" behindDoc="0" locked="0" layoutInCell="1" allowOverlap="1">
                <wp:simplePos x="0" y="0"/>
                <wp:positionH relativeFrom="column">
                  <wp:posOffset>3272155</wp:posOffset>
                </wp:positionH>
                <wp:positionV relativeFrom="paragraph">
                  <wp:posOffset>5937885</wp:posOffset>
                </wp:positionV>
                <wp:extent cx="3693160" cy="466725"/>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3693160" cy="466725"/>
                        </a:xfrm>
                        <a:prstGeom prst="rect">
                          <a:avLst/>
                        </a:prstGeom>
                        <a:noFill/>
                        <a:ln>
                          <a:noFill/>
                        </a:ln>
                      </wps:spPr>
                      <wps:txbx>
                        <w:txbxContent>
                          <w:p w14:paraId="29B6808D">
                            <w:pPr>
                              <w:jc w:val="center"/>
                              <w:rPr>
                                <w:rFonts w:hint="default"/>
                                <w:b/>
                                <w:bCs/>
                                <w:sz w:val="28"/>
                                <w:szCs w:val="28"/>
                                <w:lang w:val="en-US" w:eastAsia="zh-CN"/>
                              </w:rPr>
                            </w:pPr>
                            <w:r>
                              <w:rPr>
                                <w:rFonts w:hint="eastAsia"/>
                                <w:b/>
                                <w:bCs/>
                                <w:sz w:val="28"/>
                                <w:szCs w:val="28"/>
                                <w:lang w:val="en-US" w:eastAsia="zh-CN"/>
                              </w:rPr>
                              <w:t>附图三：项目平面布局图（比例1：150）</w:t>
                            </w:r>
                          </w:p>
                        </w:txbxContent>
                      </wps:txbx>
                      <wps:bodyPr upright="1"/>
                    </wps:wsp>
                  </a:graphicData>
                </a:graphic>
              </wp:anchor>
            </w:drawing>
          </mc:Choice>
          <mc:Fallback>
            <w:pict>
              <v:shape id="_x0000_s1026" o:spid="_x0000_s1026" o:spt="202" type="#_x0000_t202" style="position:absolute;left:0pt;margin-left:257.65pt;margin-top:467.55pt;height:36.75pt;width:290.8pt;z-index:251701248;mso-width-relative:page;mso-height-relative:page;" filled="f" stroked="f" coordsize="21600,21600" o:gfxdata="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B95eN&#10;2QAAAA0BAAAPAAAAAAAAAAEAIAAAACIAAABkcnMvZG93bnJldi54bWxQSwECFAAUAAAACACHTuJA&#10;eZKtF64BAABQAwAADgAAAAAAAAABACAAAAAoAQAAZHJzL2Uyb0RvYy54bWxQSwUGAAAAAAYABgBZ&#10;AQAASAUAAAAA&#10;">
                <v:fill on="f" focussize="0,0"/>
                <v:stroke on="f"/>
                <v:imagedata o:title=""/>
                <o:lock v:ext="edit" aspectratio="f"/>
                <v:textbox>
                  <w:txbxContent>
                    <w:p w14:paraId="29B6808D">
                      <w:pPr>
                        <w:jc w:val="center"/>
                        <w:rPr>
                          <w:rFonts w:hint="default"/>
                          <w:b/>
                          <w:bCs/>
                          <w:sz w:val="28"/>
                          <w:szCs w:val="28"/>
                          <w:lang w:val="en-US" w:eastAsia="zh-CN"/>
                        </w:rPr>
                      </w:pPr>
                      <w:r>
                        <w:rPr>
                          <w:rFonts w:hint="eastAsia"/>
                          <w:b/>
                          <w:bCs/>
                          <w:sz w:val="28"/>
                          <w:szCs w:val="28"/>
                          <w:lang w:val="en-US" w:eastAsia="zh-CN"/>
                        </w:rPr>
                        <w:t>附图三：项目平面布局图（比例1：150）</w:t>
                      </w:r>
                    </w:p>
                  </w:txbxContent>
                </v:textbox>
              </v:shape>
            </w:pict>
          </mc:Fallback>
        </mc:AlternateContent>
      </w:r>
      <w:r>
        <w:rPr>
          <w:sz w:val="21"/>
        </w:rPr>
        <mc:AlternateContent>
          <mc:Choice Requires="wps">
            <w:drawing>
              <wp:anchor distT="0" distB="0" distL="114300" distR="114300" simplePos="0" relativeHeight="251736064" behindDoc="0" locked="0" layoutInCell="1" allowOverlap="1">
                <wp:simplePos x="0" y="0"/>
                <wp:positionH relativeFrom="column">
                  <wp:posOffset>7296785</wp:posOffset>
                </wp:positionH>
                <wp:positionV relativeFrom="paragraph">
                  <wp:posOffset>5428615</wp:posOffset>
                </wp:positionV>
                <wp:extent cx="175895" cy="153670"/>
                <wp:effectExtent l="4445" t="4445" r="10160" b="13335"/>
                <wp:wrapNone/>
                <wp:docPr id="92" name="矩形 92"/>
                <wp:cNvGraphicFramePr/>
                <a:graphic xmlns:a="http://schemas.openxmlformats.org/drawingml/2006/main">
                  <a:graphicData uri="http://schemas.microsoft.com/office/word/2010/wordprocessingShape">
                    <wps:wsp>
                      <wps:cNvSpPr/>
                      <wps:spPr>
                        <a:xfrm>
                          <a:off x="0" y="0"/>
                          <a:ext cx="175895" cy="153670"/>
                        </a:xfrm>
                        <a:prstGeom prst="rect">
                          <a:avLst/>
                        </a:prstGeom>
                        <a:solidFill>
                          <a:srgbClr val="4F81BD"/>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74.55pt;margin-top:427.45pt;height:12.1pt;width:13.85pt;z-index:251736064;mso-width-relative:page;mso-height-relative:page;" fillcolor="#4F81BD" filled="t" stroked="t" coordsize="21600,21600" o:gfxdata="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ywKC3YAAAADQEAAA8AAAAAAAAAAQAgAAAAIgAAAGRycy9k&#10;b3ducmV2LnhtbFBLAQIUABQAAAAIAIdO4kDBFSO0AgIAAB8EAAAOAAAAAAAAAAEAIAAAACcBAABk&#10;cnMvZTJvRG9jLnhtbFBLBQYAAAAABgAGAFkBAACbBQAAAAA=&#10;">
                <v:fill on="t" focussize="0,0"/>
                <v:stroke color="#000000" joinstyle="miter"/>
                <v:imagedata o:title=""/>
                <o:lock v:ext="edit" aspectratio="f"/>
              </v:rect>
            </w:pict>
          </mc:Fallback>
        </mc:AlternateContent>
      </w:r>
      <w:r>
        <w:rPr>
          <w:sz w:val="21"/>
        </w:rPr>
        <mc:AlternateContent>
          <mc:Choice Requires="wps">
            <w:drawing>
              <wp:anchor distT="0" distB="0" distL="114300" distR="114300" simplePos="0" relativeHeight="251732992" behindDoc="0" locked="0" layoutInCell="1" allowOverlap="1">
                <wp:simplePos x="0" y="0"/>
                <wp:positionH relativeFrom="column">
                  <wp:posOffset>6990080</wp:posOffset>
                </wp:positionH>
                <wp:positionV relativeFrom="paragraph">
                  <wp:posOffset>5354955</wp:posOffset>
                </wp:positionV>
                <wp:extent cx="1884045" cy="593725"/>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1884045" cy="593725"/>
                        </a:xfrm>
                        <a:prstGeom prst="rect">
                          <a:avLst/>
                        </a:prstGeom>
                        <a:noFill/>
                        <a:ln>
                          <a:noFill/>
                        </a:ln>
                      </wps:spPr>
                      <wps:txbx>
                        <w:txbxContent>
                          <w:p w14:paraId="05E386ED">
                            <w:pPr>
                              <w:ind w:firstLine="630" w:firstLineChars="300"/>
                              <w:rPr>
                                <w:rFonts w:hint="default"/>
                                <w:lang w:val="en-US" w:eastAsia="zh-CN"/>
                              </w:rPr>
                            </w:pPr>
                            <w:r>
                              <w:rPr>
                                <w:rFonts w:hint="eastAsia"/>
                                <w:lang w:val="en-US" w:eastAsia="zh-CN"/>
                              </w:rPr>
                              <w:t>：重点防渗区</w:t>
                            </w:r>
                          </w:p>
                        </w:txbxContent>
                      </wps:txbx>
                      <wps:bodyPr upright="1"/>
                    </wps:wsp>
                  </a:graphicData>
                </a:graphic>
              </wp:anchor>
            </w:drawing>
          </mc:Choice>
          <mc:Fallback>
            <w:pict>
              <v:shape id="_x0000_s1026" o:spid="_x0000_s1026" o:spt="202" type="#_x0000_t202" style="position:absolute;left:0pt;margin-left:550.4pt;margin-top:421.65pt;height:46.75pt;width:148.35pt;z-index:251732992;mso-width-relative:page;mso-height-relative:page;" filled="f" stroked="f" coordsize="21600,21600" o:gfxdata="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AdMQ&#10;gNkAAAANAQAADwAAAAAAAAABACAAAAAiAAAAZHJzL2Rvd25yZXYueG1sUEsBAhQAFAAAAAgAh07i&#10;QMRtrzWvAQAAUAMAAA4AAAAAAAAAAQAgAAAAKAEAAGRycy9lMm9Eb2MueG1sUEsFBgAAAAAGAAYA&#10;WQEAAEkFAAAAAA==&#10;">
                <v:fill on="f" focussize="0,0"/>
                <v:stroke on="f"/>
                <v:imagedata o:title=""/>
                <o:lock v:ext="edit" aspectratio="f"/>
                <v:textbox>
                  <w:txbxContent>
                    <w:p w14:paraId="05E386ED">
                      <w:pPr>
                        <w:ind w:firstLine="630" w:firstLineChars="300"/>
                        <w:rPr>
                          <w:rFonts w:hint="default"/>
                          <w:lang w:val="en-US" w:eastAsia="zh-CN"/>
                        </w:rPr>
                      </w:pPr>
                      <w:r>
                        <w:rPr>
                          <w:rFonts w:hint="eastAsia"/>
                          <w:lang w:val="en-US" w:eastAsia="zh-CN"/>
                        </w:rPr>
                        <w:t>：重点防渗区</w:t>
                      </w:r>
                    </w:p>
                  </w:txbxContent>
                </v:textbox>
              </v:shape>
            </w:pict>
          </mc:Fallback>
        </mc:AlternateContent>
      </w:r>
      <w:r>
        <w:rPr>
          <w:sz w:val="21"/>
        </w:rPr>
        <mc:AlternateContent>
          <mc:Choice Requires="wps">
            <w:drawing>
              <wp:anchor distT="0" distB="0" distL="114300" distR="114300" simplePos="0" relativeHeight="251735040" behindDoc="0" locked="0" layoutInCell="1" allowOverlap="1">
                <wp:simplePos x="0" y="0"/>
                <wp:positionH relativeFrom="column">
                  <wp:posOffset>5510530</wp:posOffset>
                </wp:positionH>
                <wp:positionV relativeFrom="paragraph">
                  <wp:posOffset>4775835</wp:posOffset>
                </wp:positionV>
                <wp:extent cx="656590" cy="401955"/>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656590" cy="401955"/>
                        </a:xfrm>
                        <a:prstGeom prst="rect">
                          <a:avLst/>
                        </a:prstGeom>
                        <a:noFill/>
                        <a:ln>
                          <a:noFill/>
                        </a:ln>
                      </wps:spPr>
                      <wps:txbx>
                        <w:txbxContent>
                          <w:p w14:paraId="5120A660">
                            <w:pPr>
                              <w:rPr>
                                <w:rFonts w:hint="default" w:eastAsia="宋体"/>
                                <w:lang w:val="en-US" w:eastAsia="zh-CN"/>
                              </w:rPr>
                            </w:pPr>
                            <w:r>
                              <w:rPr>
                                <w:rFonts w:hint="eastAsia"/>
                                <w:lang w:val="en-US" w:eastAsia="zh-CN"/>
                              </w:rPr>
                              <w:t>危废间</w:t>
                            </w:r>
                          </w:p>
                        </w:txbxContent>
                      </wps:txbx>
                      <wps:bodyPr upright="1"/>
                    </wps:wsp>
                  </a:graphicData>
                </a:graphic>
              </wp:anchor>
            </w:drawing>
          </mc:Choice>
          <mc:Fallback>
            <w:pict>
              <v:shape id="_x0000_s1026" o:spid="_x0000_s1026" o:spt="202" type="#_x0000_t202" style="position:absolute;left:0pt;margin-left:433.9pt;margin-top:376.05pt;height:31.65pt;width:51.7pt;z-index:251735040;mso-width-relative:page;mso-height-relative:page;" filled="f" stroked="f" coordsize="21600,21600" o:gfxdata="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XVvIy9gA&#10;AAALAQAADwAAAAAAAAABACAAAAAiAAAAZHJzL2Rvd25yZXYueG1sUEsBAhQAFAAAAAgAh07iQPUB&#10;pwmtAQAATwMAAA4AAAAAAAAAAQAgAAAAJwEAAGRycy9lMm9Eb2MueG1sUEsFBgAAAAAGAAYAWQEA&#10;AEYFAAAAAA==&#10;">
                <v:fill on="f" focussize="0,0"/>
                <v:stroke on="f"/>
                <v:imagedata o:title=""/>
                <o:lock v:ext="edit" aspectratio="f"/>
                <v:textbox>
                  <w:txbxContent>
                    <w:p w14:paraId="5120A660">
                      <w:pPr>
                        <w:rPr>
                          <w:rFonts w:hint="default" w:eastAsia="宋体"/>
                          <w:lang w:val="en-US" w:eastAsia="zh-CN"/>
                        </w:rPr>
                      </w:pPr>
                      <w:r>
                        <w:rPr>
                          <w:rFonts w:hint="eastAsia"/>
                          <w:lang w:val="en-US" w:eastAsia="zh-CN"/>
                        </w:rPr>
                        <w:t>危废间</w:t>
                      </w:r>
                    </w:p>
                  </w:txbxContent>
                </v:textbox>
              </v:shape>
            </w:pict>
          </mc:Fallback>
        </mc:AlternateContent>
      </w:r>
      <w:r>
        <w:rPr>
          <w:sz w:val="21"/>
        </w:rPr>
        <mc:AlternateContent>
          <mc:Choice Requires="wps">
            <w:drawing>
              <wp:anchor distT="0" distB="0" distL="114300" distR="114300" simplePos="0" relativeHeight="251725824" behindDoc="0" locked="0" layoutInCell="1" allowOverlap="1">
                <wp:simplePos x="0" y="0"/>
                <wp:positionH relativeFrom="column">
                  <wp:posOffset>5690235</wp:posOffset>
                </wp:positionH>
                <wp:positionV relativeFrom="paragraph">
                  <wp:posOffset>4469130</wp:posOffset>
                </wp:positionV>
                <wp:extent cx="656590" cy="401955"/>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656590" cy="401955"/>
                        </a:xfrm>
                        <a:prstGeom prst="rect">
                          <a:avLst/>
                        </a:prstGeom>
                        <a:noFill/>
                        <a:ln>
                          <a:noFill/>
                        </a:ln>
                      </wps:spPr>
                      <wps:txbx>
                        <w:txbxContent>
                          <w:p w14:paraId="1F1A8549">
                            <w:pPr>
                              <w:rPr>
                                <w:rFonts w:hint="default" w:eastAsia="宋体"/>
                                <w:lang w:val="en-US" w:eastAsia="zh-CN"/>
                              </w:rPr>
                            </w:pPr>
                            <w:r>
                              <w:rPr>
                                <w:rFonts w:hint="eastAsia"/>
                                <w:lang w:val="en-US" w:eastAsia="zh-CN"/>
                              </w:rPr>
                              <w:t>材料库</w:t>
                            </w:r>
                          </w:p>
                        </w:txbxContent>
                      </wps:txbx>
                      <wps:bodyPr upright="1"/>
                    </wps:wsp>
                  </a:graphicData>
                </a:graphic>
              </wp:anchor>
            </w:drawing>
          </mc:Choice>
          <mc:Fallback>
            <w:pict>
              <v:shape id="_x0000_s1026" o:spid="_x0000_s1026" o:spt="202" type="#_x0000_t202" style="position:absolute;left:0pt;margin-left:448.05pt;margin-top:351.9pt;height:31.65pt;width:51.7pt;z-index:251725824;mso-width-relative:page;mso-height-relative:page;" filled="f" stroked="f" coordsize="21600,21600" o:gfxdata="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lnuc31wAA&#10;AAsBAAAPAAAAAAAAAAEAIAAAACIAAABkcnMvZG93bnJldi54bWxQSwECFAAUAAAACACHTuJACpVr&#10;3q0BAABPAwAADgAAAAAAAAABACAAAAAmAQAAZHJzL2Uyb0RvYy54bWxQSwUGAAAAAAYABgBZAQAA&#10;RQUAAAAA&#10;">
                <v:fill on="f" focussize="0,0"/>
                <v:stroke on="f"/>
                <v:imagedata o:title=""/>
                <o:lock v:ext="edit" aspectratio="f"/>
                <v:textbox>
                  <w:txbxContent>
                    <w:p w14:paraId="1F1A8549">
                      <w:pPr>
                        <w:rPr>
                          <w:rFonts w:hint="default" w:eastAsia="宋体"/>
                          <w:lang w:val="en-US" w:eastAsia="zh-CN"/>
                        </w:rPr>
                      </w:pPr>
                      <w:r>
                        <w:rPr>
                          <w:rFonts w:hint="eastAsia"/>
                          <w:lang w:val="en-US" w:eastAsia="zh-CN"/>
                        </w:rPr>
                        <w:t>材料库</w:t>
                      </w:r>
                    </w:p>
                  </w:txbxContent>
                </v:textbox>
              </v:shape>
            </w:pict>
          </mc:Fallback>
        </mc:AlternateContent>
      </w:r>
      <w:r>
        <w:rPr>
          <w:sz w:val="21"/>
        </w:rPr>
        <mc:AlternateContent>
          <mc:Choice Requires="wps">
            <w:drawing>
              <wp:anchor distT="0" distB="0" distL="114300" distR="114300" simplePos="0" relativeHeight="251734016" behindDoc="0" locked="0" layoutInCell="1" allowOverlap="1">
                <wp:simplePos x="0" y="0"/>
                <wp:positionH relativeFrom="column">
                  <wp:posOffset>5767070</wp:posOffset>
                </wp:positionH>
                <wp:positionV relativeFrom="paragraph">
                  <wp:posOffset>4701540</wp:posOffset>
                </wp:positionV>
                <wp:extent cx="213995" cy="400685"/>
                <wp:effectExtent l="32385" t="18415" r="39370" b="19050"/>
                <wp:wrapNone/>
                <wp:docPr id="101" name="矩形 101"/>
                <wp:cNvGraphicFramePr/>
                <a:graphic xmlns:a="http://schemas.openxmlformats.org/drawingml/2006/main">
                  <a:graphicData uri="http://schemas.microsoft.com/office/word/2010/wordprocessingShape">
                    <wps:wsp>
                      <wps:cNvSpPr/>
                      <wps:spPr>
                        <a:xfrm rot="-480000">
                          <a:off x="0" y="0"/>
                          <a:ext cx="213995" cy="400685"/>
                        </a:xfrm>
                        <a:prstGeom prst="rect">
                          <a:avLst/>
                        </a:prstGeom>
                        <a:solidFill>
                          <a:srgbClr val="4F81BD"/>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454.1pt;margin-top:370.2pt;height:31.55pt;width:16.85pt;rotation:-524288f;z-index:251734016;mso-width-relative:page;mso-height-relative:page;" fillcolor="#4F81BD" filled="t" stroked="t" coordsize="21600,21600" o:gfxdata="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Mk/tQDaAAAACwEAAA8AAAAAAAAAAQAgAAAA&#10;IgAAAGRycy9kb3ducmV2LnhtbFBLAQIUABQAAAAIAIdO4kDMHYJqCQIAAC8EAAAOAAAAAAAAAAEA&#10;IAAAACkBAABkcnMvZTJvRG9jLnhtbFBLBQYAAAAABgAGAFkBAACkBQAAAAA=&#10;">
                <v:fill on="t" focussize="0,0"/>
                <v:stroke color="#000000" joinstyle="miter"/>
                <v:imagedata o:title=""/>
                <o:lock v:ext="edit" aspectratio="f"/>
              </v:rect>
            </w:pict>
          </mc:Fallback>
        </mc:AlternateContent>
      </w:r>
      <w:r>
        <w:rPr>
          <w:sz w:val="21"/>
        </w:rPr>
        <mc:AlternateContent>
          <mc:Choice Requires="wps">
            <w:drawing>
              <wp:anchor distT="0" distB="0" distL="114300" distR="114300" simplePos="0" relativeHeight="251731968" behindDoc="0" locked="0" layoutInCell="1" allowOverlap="1">
                <wp:simplePos x="0" y="0"/>
                <wp:positionH relativeFrom="column">
                  <wp:posOffset>3329940</wp:posOffset>
                </wp:positionH>
                <wp:positionV relativeFrom="paragraph">
                  <wp:posOffset>4947285</wp:posOffset>
                </wp:positionV>
                <wp:extent cx="656590" cy="401955"/>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656590" cy="401955"/>
                        </a:xfrm>
                        <a:prstGeom prst="rect">
                          <a:avLst/>
                        </a:prstGeom>
                        <a:noFill/>
                        <a:ln>
                          <a:noFill/>
                        </a:ln>
                      </wps:spPr>
                      <wps:txbx>
                        <w:txbxContent>
                          <w:p w14:paraId="7AD0E519">
                            <w:pPr>
                              <w:rPr>
                                <w:rFonts w:hint="default" w:eastAsia="宋体"/>
                                <w:lang w:val="en-US" w:eastAsia="zh-CN"/>
                              </w:rPr>
                            </w:pPr>
                            <w:r>
                              <w:rPr>
                                <w:rFonts w:hint="eastAsia"/>
                                <w:lang w:val="en-US" w:eastAsia="zh-CN"/>
                              </w:rPr>
                              <w:t>大门</w:t>
                            </w:r>
                          </w:p>
                        </w:txbxContent>
                      </wps:txbx>
                      <wps:bodyPr upright="1"/>
                    </wps:wsp>
                  </a:graphicData>
                </a:graphic>
              </wp:anchor>
            </w:drawing>
          </mc:Choice>
          <mc:Fallback>
            <w:pict>
              <v:shape id="_x0000_s1026" o:spid="_x0000_s1026" o:spt="202" type="#_x0000_t202" style="position:absolute;left:0pt;margin-left:262.2pt;margin-top:389.55pt;height:31.65pt;width:51.7pt;z-index:251731968;mso-width-relative:page;mso-height-relative:page;" filled="f" stroked="f" coordsize="21600,21600" o:gfxdata="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N4EA5LZ&#10;AAAACwEAAA8AAAAAAAAAAQAgAAAAIgAAAGRycy9kb3ducmV2LnhtbFBLAQIUABQAAAAIAIdO4kDG&#10;gPoRrQEAAE8DAAAOAAAAAAAAAAEAIAAAACgBAABkcnMvZTJvRG9jLnhtbFBLBQYAAAAABgAGAFkB&#10;AABHBQAAAAA=&#10;">
                <v:fill on="f" focussize="0,0"/>
                <v:stroke on="f"/>
                <v:imagedata o:title=""/>
                <o:lock v:ext="edit" aspectratio="f"/>
                <v:textbox>
                  <w:txbxContent>
                    <w:p w14:paraId="7AD0E519">
                      <w:pPr>
                        <w:rPr>
                          <w:rFonts w:hint="default" w:eastAsia="宋体"/>
                          <w:lang w:val="en-US" w:eastAsia="zh-CN"/>
                        </w:rPr>
                      </w:pPr>
                      <w:r>
                        <w:rPr>
                          <w:rFonts w:hint="eastAsia"/>
                          <w:lang w:val="en-US" w:eastAsia="zh-CN"/>
                        </w:rPr>
                        <w:t>大门</w:t>
                      </w:r>
                    </w:p>
                  </w:txbxContent>
                </v:textbox>
              </v:shape>
            </w:pict>
          </mc:Fallback>
        </mc:AlternateContent>
      </w:r>
      <w:r>
        <w:rPr>
          <w:sz w:val="21"/>
        </w:rPr>
        <mc:AlternateContent>
          <mc:Choice Requires="wps">
            <w:drawing>
              <wp:anchor distT="0" distB="0" distL="114300" distR="114300" simplePos="0" relativeHeight="251724800" behindDoc="0" locked="0" layoutInCell="1" allowOverlap="1">
                <wp:simplePos x="0" y="0"/>
                <wp:positionH relativeFrom="column">
                  <wp:posOffset>6117590</wp:posOffset>
                </wp:positionH>
                <wp:positionV relativeFrom="paragraph">
                  <wp:posOffset>4618990</wp:posOffset>
                </wp:positionV>
                <wp:extent cx="656590" cy="401955"/>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656590" cy="401955"/>
                        </a:xfrm>
                        <a:prstGeom prst="rect">
                          <a:avLst/>
                        </a:prstGeom>
                        <a:noFill/>
                        <a:ln>
                          <a:noFill/>
                        </a:ln>
                      </wps:spPr>
                      <wps:txbx>
                        <w:txbxContent>
                          <w:p w14:paraId="3B40940C">
                            <w:pPr>
                              <w:rPr>
                                <w:rFonts w:hint="default" w:eastAsia="宋体"/>
                                <w:lang w:val="en-US" w:eastAsia="zh-CN"/>
                              </w:rPr>
                            </w:pPr>
                            <w:r>
                              <w:rPr>
                                <w:rFonts w:hint="eastAsia"/>
                                <w:lang w:val="en-US" w:eastAsia="zh-CN"/>
                              </w:rPr>
                              <w:t>机油库</w:t>
                            </w:r>
                          </w:p>
                        </w:txbxContent>
                      </wps:txbx>
                      <wps:bodyPr upright="1"/>
                    </wps:wsp>
                  </a:graphicData>
                </a:graphic>
              </wp:anchor>
            </w:drawing>
          </mc:Choice>
          <mc:Fallback>
            <w:pict>
              <v:shape id="_x0000_s1026" o:spid="_x0000_s1026" o:spt="202" type="#_x0000_t202" style="position:absolute;left:0pt;margin-left:481.7pt;margin-top:363.7pt;height:31.65pt;width:51.7pt;z-index:251724800;mso-width-relative:page;mso-height-relative:page;" filled="f" stroked="f" coordsize="21600,21600" o:gfxdata="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6K0l/2AAA&#10;AAwBAAAPAAAAAAAAAAEAIAAAACIAAABkcnMvZG93bnJldi54bWxQSwECFAAUAAAACACHTuJAewXu&#10;GqwBAABRAwAADgAAAAAAAAABACAAAAAnAQAAZHJzL2Uyb0RvYy54bWxQSwUGAAAAAAYABgBZAQAA&#10;RQUAAAAA&#10;">
                <v:fill on="f" focussize="0,0"/>
                <v:stroke on="f"/>
                <v:imagedata o:title=""/>
                <o:lock v:ext="edit" aspectratio="f"/>
                <v:textbox>
                  <w:txbxContent>
                    <w:p w14:paraId="3B40940C">
                      <w:pPr>
                        <w:rPr>
                          <w:rFonts w:hint="default" w:eastAsia="宋体"/>
                          <w:lang w:val="en-US" w:eastAsia="zh-CN"/>
                        </w:rPr>
                      </w:pPr>
                      <w:r>
                        <w:rPr>
                          <w:rFonts w:hint="eastAsia"/>
                          <w:lang w:val="en-US" w:eastAsia="zh-CN"/>
                        </w:rPr>
                        <w:t>机油库</w:t>
                      </w:r>
                    </w:p>
                  </w:txbxContent>
                </v:textbox>
              </v:shape>
            </w:pict>
          </mc:Fallback>
        </mc:AlternateContent>
      </w:r>
      <w:r>
        <w:rPr>
          <w:sz w:val="21"/>
        </w:rPr>
        <mc:AlternateContent>
          <mc:Choice Requires="wps">
            <w:drawing>
              <wp:anchor distT="0" distB="0" distL="114300" distR="114300" simplePos="0" relativeHeight="251730944" behindDoc="0" locked="0" layoutInCell="1" allowOverlap="1">
                <wp:simplePos x="0" y="0"/>
                <wp:positionH relativeFrom="column">
                  <wp:posOffset>6515735</wp:posOffset>
                </wp:positionH>
                <wp:positionV relativeFrom="paragraph">
                  <wp:posOffset>4576445</wp:posOffset>
                </wp:positionV>
                <wp:extent cx="656590" cy="401955"/>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656590" cy="401955"/>
                        </a:xfrm>
                        <a:prstGeom prst="rect">
                          <a:avLst/>
                        </a:prstGeom>
                        <a:noFill/>
                        <a:ln>
                          <a:noFill/>
                        </a:ln>
                      </wps:spPr>
                      <wps:txbx>
                        <w:txbxContent>
                          <w:p w14:paraId="687B0349">
                            <w:pPr>
                              <w:rPr>
                                <w:rFonts w:hint="default" w:eastAsia="宋体"/>
                                <w:lang w:val="en-US" w:eastAsia="zh-CN"/>
                              </w:rPr>
                            </w:pPr>
                            <w:r>
                              <w:rPr>
                                <w:rFonts w:hint="eastAsia"/>
                                <w:lang w:val="en-US" w:eastAsia="zh-CN"/>
                              </w:rPr>
                              <w:t>材料库</w:t>
                            </w:r>
                          </w:p>
                        </w:txbxContent>
                      </wps:txbx>
                      <wps:bodyPr upright="1"/>
                    </wps:wsp>
                  </a:graphicData>
                </a:graphic>
              </wp:anchor>
            </w:drawing>
          </mc:Choice>
          <mc:Fallback>
            <w:pict>
              <v:shape id="_x0000_s1026" o:spid="_x0000_s1026" o:spt="202" type="#_x0000_t202" style="position:absolute;left:0pt;margin-left:513.05pt;margin-top:360.35pt;height:31.65pt;width:51.7pt;z-index:251730944;mso-width-relative:page;mso-height-relative:page;" filled="f" stroked="f" coordsize="21600,21600" o:gfxdata="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BCJc1dgA&#10;AAANAQAADwAAAAAAAAABACAAAAAiAAAAZHJzL2Rvd25yZXYueG1sUEsBAhQAFAAAAAgAh07iQD7D&#10;0wqtAQAATwMAAA4AAAAAAAAAAQAgAAAAJwEAAGRycy9lMm9Eb2MueG1sUEsFBgAAAAAGAAYAWQEA&#10;AEYFAAAAAA==&#10;">
                <v:fill on="f" focussize="0,0"/>
                <v:stroke on="f"/>
                <v:imagedata o:title=""/>
                <o:lock v:ext="edit" aspectratio="f"/>
                <v:textbox>
                  <w:txbxContent>
                    <w:p w14:paraId="687B0349">
                      <w:pPr>
                        <w:rPr>
                          <w:rFonts w:hint="default" w:eastAsia="宋体"/>
                          <w:lang w:val="en-US" w:eastAsia="zh-CN"/>
                        </w:rPr>
                      </w:pPr>
                      <w:r>
                        <w:rPr>
                          <w:rFonts w:hint="eastAsia"/>
                          <w:lang w:val="en-US" w:eastAsia="zh-CN"/>
                        </w:rPr>
                        <w:t>材料库</w:t>
                      </w:r>
                    </w:p>
                  </w:txbxContent>
                </v:textbox>
              </v:shape>
            </w:pict>
          </mc:Fallback>
        </mc:AlternateContent>
      </w:r>
      <w:r>
        <w:rPr>
          <w:sz w:val="21"/>
        </w:rPr>
        <mc:AlternateContent>
          <mc:Choice Requires="wps">
            <w:drawing>
              <wp:anchor distT="0" distB="0" distL="114300" distR="114300" simplePos="0" relativeHeight="251728896" behindDoc="0" locked="0" layoutInCell="1" allowOverlap="1">
                <wp:simplePos x="0" y="0"/>
                <wp:positionH relativeFrom="column">
                  <wp:posOffset>6418580</wp:posOffset>
                </wp:positionH>
                <wp:positionV relativeFrom="paragraph">
                  <wp:posOffset>2428875</wp:posOffset>
                </wp:positionV>
                <wp:extent cx="623570" cy="254000"/>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623570" cy="254000"/>
                        </a:xfrm>
                        <a:prstGeom prst="rect">
                          <a:avLst/>
                        </a:prstGeom>
                        <a:noFill/>
                        <a:ln>
                          <a:noFill/>
                        </a:ln>
                      </wps:spPr>
                      <wps:txbx>
                        <w:txbxContent>
                          <w:p w14:paraId="279E16ED">
                            <w:pPr>
                              <w:rPr>
                                <w:rFonts w:hint="default" w:eastAsia="宋体"/>
                                <w:lang w:val="en-US" w:eastAsia="zh-CN"/>
                              </w:rPr>
                            </w:pPr>
                            <w:r>
                              <w:rPr>
                                <w:rFonts w:hint="eastAsia"/>
                                <w:lang w:val="en-US" w:eastAsia="zh-CN"/>
                              </w:rPr>
                              <w:t>DA003</w:t>
                            </w:r>
                          </w:p>
                        </w:txbxContent>
                      </wps:txbx>
                      <wps:bodyPr upright="1"/>
                    </wps:wsp>
                  </a:graphicData>
                </a:graphic>
              </wp:anchor>
            </w:drawing>
          </mc:Choice>
          <mc:Fallback>
            <w:pict>
              <v:shape id="_x0000_s1026" o:spid="_x0000_s1026" o:spt="202" type="#_x0000_t202" style="position:absolute;left:0pt;margin-left:505.4pt;margin-top:191.25pt;height:20pt;width:49.1pt;z-index:251728896;mso-width-relative:page;mso-height-relative:page;" filled="f" stroked="f" coordsize="21600,21600" o:gfxdata="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MseMw/Y&#10;AAAADQEAAA8AAAAAAAAAAQAgAAAAIgAAAGRycy9kb3ducmV2LnhtbFBLAQIUABQAAAAIAIdO4kBA&#10;/x6ArgEAAE8DAAAOAAAAAAAAAAEAIAAAACcBAABkcnMvZTJvRG9jLnhtbFBLBQYAAAAABgAGAFkB&#10;AABHBQAAAAA=&#10;">
                <v:fill on="f" focussize="0,0"/>
                <v:stroke on="f"/>
                <v:imagedata o:title=""/>
                <o:lock v:ext="edit" aspectratio="f"/>
                <v:textbox>
                  <w:txbxContent>
                    <w:p w14:paraId="279E16ED">
                      <w:pPr>
                        <w:rPr>
                          <w:rFonts w:hint="default" w:eastAsia="宋体"/>
                          <w:lang w:val="en-US" w:eastAsia="zh-CN"/>
                        </w:rPr>
                      </w:pPr>
                      <w:r>
                        <w:rPr>
                          <w:rFonts w:hint="eastAsia"/>
                          <w:lang w:val="en-US" w:eastAsia="zh-CN"/>
                        </w:rPr>
                        <w:t>DA003</w:t>
                      </w:r>
                    </w:p>
                  </w:txbxContent>
                </v:textbox>
              </v:shape>
            </w:pict>
          </mc:Fallback>
        </mc:AlternateContent>
      </w:r>
      <w:r>
        <w:rPr>
          <w:sz w:val="21"/>
        </w:rPr>
        <mc:AlternateContent>
          <mc:Choice Requires="wps">
            <w:drawing>
              <wp:anchor distT="0" distB="0" distL="114300" distR="114300" simplePos="0" relativeHeight="251666432" behindDoc="1" locked="0" layoutInCell="1" allowOverlap="1">
                <wp:simplePos x="0" y="0"/>
                <wp:positionH relativeFrom="column">
                  <wp:posOffset>6555740</wp:posOffset>
                </wp:positionH>
                <wp:positionV relativeFrom="paragraph">
                  <wp:posOffset>3519170</wp:posOffset>
                </wp:positionV>
                <wp:extent cx="623570" cy="25400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623570" cy="254000"/>
                        </a:xfrm>
                        <a:prstGeom prst="rect">
                          <a:avLst/>
                        </a:prstGeom>
                        <a:noFill/>
                        <a:ln>
                          <a:noFill/>
                        </a:ln>
                      </wps:spPr>
                      <wps:txbx>
                        <w:txbxContent>
                          <w:p w14:paraId="7763DB0C">
                            <w:pPr>
                              <w:rPr>
                                <w:rFonts w:hint="default" w:eastAsia="宋体"/>
                                <w:lang w:val="en-US" w:eastAsia="zh-CN"/>
                              </w:rPr>
                            </w:pPr>
                            <w:r>
                              <w:rPr>
                                <w:rFonts w:hint="eastAsia"/>
                                <w:lang w:val="en-US" w:eastAsia="zh-CN"/>
                              </w:rPr>
                              <w:t>DA001</w:t>
                            </w:r>
                          </w:p>
                        </w:txbxContent>
                      </wps:txbx>
                      <wps:bodyPr upright="1"/>
                    </wps:wsp>
                  </a:graphicData>
                </a:graphic>
              </wp:anchor>
            </w:drawing>
          </mc:Choice>
          <mc:Fallback>
            <w:pict>
              <v:shape id="_x0000_s1026" o:spid="_x0000_s1026" o:spt="202" type="#_x0000_t202" style="position:absolute;left:0pt;margin-left:516.2pt;margin-top:277.1pt;height:20pt;width:49.1pt;z-index:-251650048;mso-width-relative:page;mso-height-relative:page;" filled="f" stroked="f" coordsize="21600,21600" o:gfxdata="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idZ6S9gA&#10;AAANAQAADwAAAAAAAAABACAAAAAiAAAAZHJzL2Rvd25yZXYueG1sUEsBAhQAFAAAAAgAh07iQBV8&#10;+KitAQAATwMAAA4AAAAAAAAAAQAgAAAAJwEAAGRycy9lMm9Eb2MueG1sUEsFBgAAAAAGAAYAWQEA&#10;AEYFAAAAAA==&#10;">
                <v:fill on="f" focussize="0,0"/>
                <v:stroke on="f"/>
                <v:imagedata o:title=""/>
                <o:lock v:ext="edit" aspectratio="f"/>
                <v:textbox>
                  <w:txbxContent>
                    <w:p w14:paraId="7763DB0C">
                      <w:pPr>
                        <w:rPr>
                          <w:rFonts w:hint="default" w:eastAsia="宋体"/>
                          <w:lang w:val="en-US" w:eastAsia="zh-CN"/>
                        </w:rPr>
                      </w:pPr>
                      <w:r>
                        <w:rPr>
                          <w:rFonts w:hint="eastAsia"/>
                          <w:lang w:val="en-US" w:eastAsia="zh-CN"/>
                        </w:rPr>
                        <w:t>DA001</w:t>
                      </w:r>
                    </w:p>
                  </w:txbxContent>
                </v:textbox>
              </v:shape>
            </w:pict>
          </mc:Fallback>
        </mc:AlternateContent>
      </w:r>
      <w:r>
        <w:rPr>
          <w:sz w:val="21"/>
        </w:rPr>
        <mc:AlternateContent>
          <mc:Choice Requires="wps">
            <w:drawing>
              <wp:anchor distT="0" distB="0" distL="114300" distR="114300" simplePos="0" relativeHeight="251729920" behindDoc="0" locked="0" layoutInCell="1" allowOverlap="1">
                <wp:simplePos x="0" y="0"/>
                <wp:positionH relativeFrom="column">
                  <wp:posOffset>6492240</wp:posOffset>
                </wp:positionH>
                <wp:positionV relativeFrom="paragraph">
                  <wp:posOffset>3000375</wp:posOffset>
                </wp:positionV>
                <wp:extent cx="623570" cy="25400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623570" cy="254000"/>
                        </a:xfrm>
                        <a:prstGeom prst="rect">
                          <a:avLst/>
                        </a:prstGeom>
                        <a:noFill/>
                        <a:ln>
                          <a:noFill/>
                        </a:ln>
                      </wps:spPr>
                      <wps:txbx>
                        <w:txbxContent>
                          <w:p w14:paraId="2D59038B">
                            <w:pPr>
                              <w:rPr>
                                <w:rFonts w:hint="default" w:eastAsia="宋体"/>
                                <w:lang w:val="en-US" w:eastAsia="zh-CN"/>
                              </w:rPr>
                            </w:pPr>
                            <w:r>
                              <w:rPr>
                                <w:rFonts w:hint="eastAsia"/>
                                <w:lang w:val="en-US" w:eastAsia="zh-CN"/>
                              </w:rPr>
                              <w:t>DA002</w:t>
                            </w:r>
                          </w:p>
                        </w:txbxContent>
                      </wps:txbx>
                      <wps:bodyPr upright="1"/>
                    </wps:wsp>
                  </a:graphicData>
                </a:graphic>
              </wp:anchor>
            </w:drawing>
          </mc:Choice>
          <mc:Fallback>
            <w:pict>
              <v:shape id="_x0000_s1026" o:spid="_x0000_s1026" o:spt="202" type="#_x0000_t202" style="position:absolute;left:0pt;margin-left:511.2pt;margin-top:236.25pt;height:20pt;width:49.1pt;z-index:251729920;mso-width-relative:page;mso-height-relative:page;" filled="f" stroked="f" coordsize="21600,21600" o:gfxdata="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PdV0U1wAA&#10;AA0BAAAPAAAAAAAAAAEAIAAAACIAAABkcnMvZG93bnJldi54bWxQSwECFAAUAAAACACHTuJAOPAX&#10;D60BAABPAwAADgAAAAAAAAABACAAAAAmAQAAZHJzL2Uyb0RvYy54bWxQSwUGAAAAAAYABgBZAQAA&#10;RQUAAAAA&#10;">
                <v:fill on="f" focussize="0,0"/>
                <v:stroke on="f"/>
                <v:imagedata o:title=""/>
                <o:lock v:ext="edit" aspectratio="f"/>
                <v:textbox>
                  <w:txbxContent>
                    <w:p w14:paraId="2D59038B">
                      <w:pPr>
                        <w:rPr>
                          <w:rFonts w:hint="default" w:eastAsia="宋体"/>
                          <w:lang w:val="en-US" w:eastAsia="zh-CN"/>
                        </w:rPr>
                      </w:pPr>
                      <w:r>
                        <w:rPr>
                          <w:rFonts w:hint="eastAsia"/>
                          <w:lang w:val="en-US" w:eastAsia="zh-CN"/>
                        </w:rPr>
                        <w:t>DA002</w:t>
                      </w:r>
                    </w:p>
                  </w:txbxContent>
                </v:textbox>
              </v:shape>
            </w:pict>
          </mc:Fallback>
        </mc:AlternateContent>
      </w:r>
      <w:r>
        <w:rPr>
          <w:sz w:val="21"/>
        </w:rPr>
        <mc:AlternateContent>
          <mc:Choice Requires="wps">
            <w:drawing>
              <wp:anchor distT="0" distB="0" distL="114300" distR="114300" simplePos="0" relativeHeight="251727872" behindDoc="0" locked="0" layoutInCell="1" allowOverlap="1">
                <wp:simplePos x="0" y="0"/>
                <wp:positionH relativeFrom="column">
                  <wp:posOffset>6376035</wp:posOffset>
                </wp:positionH>
                <wp:positionV relativeFrom="paragraph">
                  <wp:posOffset>1814830</wp:posOffset>
                </wp:positionV>
                <wp:extent cx="623570" cy="254000"/>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623570" cy="254000"/>
                        </a:xfrm>
                        <a:prstGeom prst="rect">
                          <a:avLst/>
                        </a:prstGeom>
                        <a:noFill/>
                        <a:ln>
                          <a:noFill/>
                        </a:ln>
                      </wps:spPr>
                      <wps:txbx>
                        <w:txbxContent>
                          <w:p w14:paraId="123A171C">
                            <w:pPr>
                              <w:rPr>
                                <w:rFonts w:hint="default" w:eastAsia="宋体"/>
                                <w:lang w:val="en-US" w:eastAsia="zh-CN"/>
                              </w:rPr>
                            </w:pPr>
                            <w:r>
                              <w:rPr>
                                <w:rFonts w:hint="eastAsia"/>
                                <w:lang w:val="en-US" w:eastAsia="zh-CN"/>
                              </w:rPr>
                              <w:t>DA004</w:t>
                            </w:r>
                          </w:p>
                        </w:txbxContent>
                      </wps:txbx>
                      <wps:bodyPr upright="1"/>
                    </wps:wsp>
                  </a:graphicData>
                </a:graphic>
              </wp:anchor>
            </w:drawing>
          </mc:Choice>
          <mc:Fallback>
            <w:pict>
              <v:shape id="_x0000_s1026" o:spid="_x0000_s1026" o:spt="202" type="#_x0000_t202" style="position:absolute;left:0pt;margin-left:502.05pt;margin-top:142.9pt;height:20pt;width:49.1pt;z-index:251727872;mso-width-relative:page;mso-height-relative:page;" filled="f" stroked="f" coordsize="21600,21600" o:gfxdata="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4iHD49gA&#10;AAANAQAADwAAAAAAAAABACAAAAAiAAAAZHJzL2Rvd25yZXYueG1sUEsBAhQAFAAAAAgAh07iQD8n&#10;8sOtAQAATwMAAA4AAAAAAAAAAQAgAAAAJwEAAGRycy9lMm9Eb2MueG1sUEsFBgAAAAAGAAYAWQEA&#10;AEYFAAAAAA==&#10;">
                <v:fill on="f" focussize="0,0"/>
                <v:stroke on="f"/>
                <v:imagedata o:title=""/>
                <o:lock v:ext="edit" aspectratio="f"/>
                <v:textbox>
                  <w:txbxContent>
                    <w:p w14:paraId="123A171C">
                      <w:pPr>
                        <w:rPr>
                          <w:rFonts w:hint="default" w:eastAsia="宋体"/>
                          <w:lang w:val="en-US" w:eastAsia="zh-CN"/>
                        </w:rPr>
                      </w:pPr>
                      <w:r>
                        <w:rPr>
                          <w:rFonts w:hint="eastAsia"/>
                          <w:lang w:val="en-US" w:eastAsia="zh-CN"/>
                        </w:rPr>
                        <w:t>DA004</w:t>
                      </w:r>
                    </w:p>
                  </w:txbxContent>
                </v:textbox>
              </v:shape>
            </w:pict>
          </mc:Fallback>
        </mc:AlternateContent>
      </w:r>
      <w:r>
        <w:rPr>
          <w:sz w:val="21"/>
        </w:rPr>
        <mc:AlternateContent>
          <mc:Choice Requires="wps">
            <w:drawing>
              <wp:anchor distT="0" distB="0" distL="114300" distR="114300" simplePos="0" relativeHeight="251726848" behindDoc="0" locked="0" layoutInCell="1" allowOverlap="1">
                <wp:simplePos x="0" y="0"/>
                <wp:positionH relativeFrom="column">
                  <wp:posOffset>5034280</wp:posOffset>
                </wp:positionH>
                <wp:positionV relativeFrom="paragraph">
                  <wp:posOffset>2489835</wp:posOffset>
                </wp:positionV>
                <wp:extent cx="898525" cy="401955"/>
                <wp:effectExtent l="0" t="0" r="0" b="0"/>
                <wp:wrapNone/>
                <wp:docPr id="119" name="文本框 119"/>
                <wp:cNvGraphicFramePr/>
                <a:graphic xmlns:a="http://schemas.openxmlformats.org/drawingml/2006/main">
                  <a:graphicData uri="http://schemas.microsoft.com/office/word/2010/wordprocessingShape">
                    <wps:wsp>
                      <wps:cNvSpPr txBox="1"/>
                      <wps:spPr>
                        <a:xfrm rot="-420000">
                          <a:off x="0" y="0"/>
                          <a:ext cx="898525" cy="401955"/>
                        </a:xfrm>
                        <a:prstGeom prst="rect">
                          <a:avLst/>
                        </a:prstGeom>
                        <a:noFill/>
                        <a:ln>
                          <a:noFill/>
                        </a:ln>
                      </wps:spPr>
                      <wps:txbx>
                        <w:txbxContent>
                          <w:p w14:paraId="027CD002">
                            <w:pPr>
                              <w:rPr>
                                <w:rFonts w:hint="default" w:eastAsia="宋体"/>
                                <w:lang w:val="en-US" w:eastAsia="zh-CN"/>
                              </w:rPr>
                            </w:pPr>
                            <w:r>
                              <w:rPr>
                                <w:rFonts w:hint="eastAsia"/>
                                <w:lang w:val="en-US" w:eastAsia="zh-CN"/>
                              </w:rPr>
                              <w:t>3#发电机组</w:t>
                            </w:r>
                          </w:p>
                        </w:txbxContent>
                      </wps:txbx>
                      <wps:bodyPr upright="1"/>
                    </wps:wsp>
                  </a:graphicData>
                </a:graphic>
              </wp:anchor>
            </w:drawing>
          </mc:Choice>
          <mc:Fallback>
            <w:pict>
              <v:shape id="_x0000_s1026" o:spid="_x0000_s1026" o:spt="202" type="#_x0000_t202" style="position:absolute;left:0pt;margin-left:396.4pt;margin-top:196.05pt;height:31.65pt;width:70.75pt;rotation:-458752f;z-index:251726848;mso-width-relative:page;mso-height-relative:page;" filled="f" stroked="f" coordsize="21600,21600" o:gfxdata="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r8DOY9kAAAALAQAADwAAAAAAAAABACAAAAAiAAAAZHJzL2Rvd25yZXYueG1sUEsBAhQA&#10;FAAAAAgAh07iQCnRnBi4AQAAXwMAAA4AAAAAAAAAAQAgAAAAKAEAAGRycy9lMm9Eb2MueG1sUEsF&#10;BgAAAAAGAAYAWQEAAFIFAAAAAA==&#10;">
                <v:fill on="f" focussize="0,0"/>
                <v:stroke on="f"/>
                <v:imagedata o:title=""/>
                <o:lock v:ext="edit" aspectratio="f"/>
                <v:textbox>
                  <w:txbxContent>
                    <w:p w14:paraId="027CD002">
                      <w:pPr>
                        <w:rPr>
                          <w:rFonts w:hint="default" w:eastAsia="宋体"/>
                          <w:lang w:val="en-US" w:eastAsia="zh-CN"/>
                        </w:rPr>
                      </w:pPr>
                      <w:r>
                        <w:rPr>
                          <w:rFonts w:hint="eastAsia"/>
                          <w:lang w:val="en-US" w:eastAsia="zh-CN"/>
                        </w:rPr>
                        <w:t>3#发电机组</w:t>
                      </w:r>
                    </w:p>
                  </w:txbxContent>
                </v:textbox>
              </v:shape>
            </w:pict>
          </mc:Fallback>
        </mc:AlternateContent>
      </w:r>
      <w:r>
        <w:rPr>
          <w:sz w:val="21"/>
        </w:rPr>
        <mc:AlternateContent>
          <mc:Choice Requires="wps">
            <w:drawing>
              <wp:anchor distT="0" distB="0" distL="114300" distR="114300" simplePos="0" relativeHeight="251721728" behindDoc="0" locked="0" layoutInCell="1" allowOverlap="1">
                <wp:simplePos x="0" y="0"/>
                <wp:positionH relativeFrom="column">
                  <wp:posOffset>4936490</wp:posOffset>
                </wp:positionH>
                <wp:positionV relativeFrom="paragraph">
                  <wp:posOffset>1950085</wp:posOffset>
                </wp:positionV>
                <wp:extent cx="913765" cy="401955"/>
                <wp:effectExtent l="0" t="0" r="0" b="0"/>
                <wp:wrapNone/>
                <wp:docPr id="112" name="文本框 112"/>
                <wp:cNvGraphicFramePr/>
                <a:graphic xmlns:a="http://schemas.openxmlformats.org/drawingml/2006/main">
                  <a:graphicData uri="http://schemas.microsoft.com/office/word/2010/wordprocessingShape">
                    <wps:wsp>
                      <wps:cNvSpPr txBox="1"/>
                      <wps:spPr>
                        <a:xfrm rot="-420000">
                          <a:off x="0" y="0"/>
                          <a:ext cx="913765" cy="401955"/>
                        </a:xfrm>
                        <a:prstGeom prst="rect">
                          <a:avLst/>
                        </a:prstGeom>
                        <a:noFill/>
                        <a:ln>
                          <a:noFill/>
                        </a:ln>
                      </wps:spPr>
                      <wps:txbx>
                        <w:txbxContent>
                          <w:p w14:paraId="03E0C4C8">
                            <w:pPr>
                              <w:rPr>
                                <w:rFonts w:hint="default" w:eastAsia="宋体"/>
                                <w:lang w:val="en-US" w:eastAsia="zh-CN"/>
                              </w:rPr>
                            </w:pPr>
                            <w:r>
                              <w:rPr>
                                <w:rFonts w:hint="eastAsia"/>
                                <w:lang w:val="en-US" w:eastAsia="zh-CN"/>
                              </w:rPr>
                              <w:t>4#发电机组</w:t>
                            </w:r>
                          </w:p>
                        </w:txbxContent>
                      </wps:txbx>
                      <wps:bodyPr upright="1"/>
                    </wps:wsp>
                  </a:graphicData>
                </a:graphic>
              </wp:anchor>
            </w:drawing>
          </mc:Choice>
          <mc:Fallback>
            <w:pict>
              <v:shape id="_x0000_s1026" o:spid="_x0000_s1026" o:spt="202" type="#_x0000_t202" style="position:absolute;left:0pt;margin-left:388.7pt;margin-top:153.55pt;height:31.65pt;width:71.95pt;rotation:-458752f;z-index:251721728;mso-width-relative:page;mso-height-relative:page;" filled="f" stroked="f" coordsize="21600,21600" o:gfxdata="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Nbl1gNgAAAALAQAADwAAAAAAAAABACAAAAAiAAAAZHJzL2Rvd25yZXYueG1sUEsBAhQA&#10;FAAAAAgAh07iQFrMVuu5AQAAXwMAAA4AAAAAAAAAAQAgAAAAJwEAAGRycy9lMm9Eb2MueG1sUEsF&#10;BgAAAAAGAAYAWQEAAFIFAAAAAA==&#10;">
                <v:fill on="f" focussize="0,0"/>
                <v:stroke on="f"/>
                <v:imagedata o:title=""/>
                <o:lock v:ext="edit" aspectratio="f"/>
                <v:textbox>
                  <w:txbxContent>
                    <w:p w14:paraId="03E0C4C8">
                      <w:pPr>
                        <w:rPr>
                          <w:rFonts w:hint="default" w:eastAsia="宋体"/>
                          <w:lang w:val="en-US" w:eastAsia="zh-CN"/>
                        </w:rPr>
                      </w:pPr>
                      <w:r>
                        <w:rPr>
                          <w:rFonts w:hint="eastAsia"/>
                          <w:lang w:val="en-US" w:eastAsia="zh-CN"/>
                        </w:rPr>
                        <w:t>4#发电机组</w:t>
                      </w:r>
                    </w:p>
                  </w:txbxContent>
                </v:textbox>
              </v:shape>
            </w:pict>
          </mc:Fallback>
        </mc:AlternateContent>
      </w:r>
      <w:r>
        <w:rPr>
          <w:sz w:val="21"/>
        </w:rPr>
        <mc:AlternateContent>
          <mc:Choice Requires="wps">
            <w:drawing>
              <wp:anchor distT="0" distB="0" distL="114300" distR="114300" simplePos="0" relativeHeight="251722752" behindDoc="0" locked="0" layoutInCell="1" allowOverlap="1">
                <wp:simplePos x="0" y="0"/>
                <wp:positionH relativeFrom="column">
                  <wp:posOffset>5067300</wp:posOffset>
                </wp:positionH>
                <wp:positionV relativeFrom="paragraph">
                  <wp:posOffset>3061335</wp:posOffset>
                </wp:positionV>
                <wp:extent cx="898525" cy="401955"/>
                <wp:effectExtent l="0" t="0" r="0" b="0"/>
                <wp:wrapNone/>
                <wp:docPr id="116" name="文本框 116"/>
                <wp:cNvGraphicFramePr/>
                <a:graphic xmlns:a="http://schemas.openxmlformats.org/drawingml/2006/main">
                  <a:graphicData uri="http://schemas.microsoft.com/office/word/2010/wordprocessingShape">
                    <wps:wsp>
                      <wps:cNvSpPr txBox="1"/>
                      <wps:spPr>
                        <a:xfrm rot="-420000">
                          <a:off x="0" y="0"/>
                          <a:ext cx="898525" cy="401955"/>
                        </a:xfrm>
                        <a:prstGeom prst="rect">
                          <a:avLst/>
                        </a:prstGeom>
                        <a:noFill/>
                        <a:ln>
                          <a:noFill/>
                        </a:ln>
                      </wps:spPr>
                      <wps:txbx>
                        <w:txbxContent>
                          <w:p w14:paraId="38023FA1">
                            <w:pPr>
                              <w:rPr>
                                <w:rFonts w:hint="default" w:eastAsia="宋体"/>
                                <w:lang w:val="en-US" w:eastAsia="zh-CN"/>
                              </w:rPr>
                            </w:pPr>
                            <w:r>
                              <w:rPr>
                                <w:rFonts w:hint="eastAsia"/>
                                <w:lang w:val="en-US" w:eastAsia="zh-CN"/>
                              </w:rPr>
                              <w:t>2#发电机组</w:t>
                            </w:r>
                          </w:p>
                        </w:txbxContent>
                      </wps:txbx>
                      <wps:bodyPr upright="1"/>
                    </wps:wsp>
                  </a:graphicData>
                </a:graphic>
              </wp:anchor>
            </w:drawing>
          </mc:Choice>
          <mc:Fallback>
            <w:pict>
              <v:shape id="_x0000_s1026" o:spid="_x0000_s1026" o:spt="202" type="#_x0000_t202" style="position:absolute;left:0pt;margin-left:399pt;margin-top:241.05pt;height:31.65pt;width:70.75pt;rotation:-458752f;z-index:251722752;mso-width-relative:page;mso-height-relative:page;" filled="f" stroked="f" coordsize="21600,21600" o:gfxdata="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bD73p9kAAAALAQAADwAAAAAAAAABACAAAAAiAAAAZHJzL2Rvd25yZXYueG1sUEsBAhQA&#10;FAAAAAgAh07iQEnkAKy4AQAAXwMAAA4AAAAAAAAAAQAgAAAAKAEAAGRycy9lMm9Eb2MueG1sUEsF&#10;BgAAAAAGAAYAWQEAAFIFAAAAAA==&#10;">
                <v:fill on="f" focussize="0,0"/>
                <v:stroke on="f"/>
                <v:imagedata o:title=""/>
                <o:lock v:ext="edit" aspectratio="f"/>
                <v:textbox>
                  <w:txbxContent>
                    <w:p w14:paraId="38023FA1">
                      <w:pPr>
                        <w:rPr>
                          <w:rFonts w:hint="default" w:eastAsia="宋体"/>
                          <w:lang w:val="en-US" w:eastAsia="zh-CN"/>
                        </w:rPr>
                      </w:pPr>
                      <w:r>
                        <w:rPr>
                          <w:rFonts w:hint="eastAsia"/>
                          <w:lang w:val="en-US" w:eastAsia="zh-CN"/>
                        </w:rPr>
                        <w:t>2#发电机组</w:t>
                      </w:r>
                    </w:p>
                  </w:txbxContent>
                </v:textbox>
              </v:shape>
            </w:pict>
          </mc:Fallback>
        </mc:AlternateContent>
      </w:r>
      <w:r>
        <w:rPr>
          <w:sz w:val="21"/>
        </w:rPr>
        <mc:AlternateContent>
          <mc:Choice Requires="wps">
            <w:drawing>
              <wp:anchor distT="0" distB="0" distL="114300" distR="114300" simplePos="0" relativeHeight="251723776" behindDoc="0" locked="0" layoutInCell="1" allowOverlap="1">
                <wp:simplePos x="0" y="0"/>
                <wp:positionH relativeFrom="column">
                  <wp:posOffset>5210810</wp:posOffset>
                </wp:positionH>
                <wp:positionV relativeFrom="paragraph">
                  <wp:posOffset>3643630</wp:posOffset>
                </wp:positionV>
                <wp:extent cx="922020" cy="401955"/>
                <wp:effectExtent l="0" t="0" r="0" b="0"/>
                <wp:wrapNone/>
                <wp:docPr id="120" name="文本框 120"/>
                <wp:cNvGraphicFramePr/>
                <a:graphic xmlns:a="http://schemas.openxmlformats.org/drawingml/2006/main">
                  <a:graphicData uri="http://schemas.microsoft.com/office/word/2010/wordprocessingShape">
                    <wps:wsp>
                      <wps:cNvSpPr txBox="1"/>
                      <wps:spPr>
                        <a:xfrm rot="-420000">
                          <a:off x="0" y="0"/>
                          <a:ext cx="922020" cy="401955"/>
                        </a:xfrm>
                        <a:prstGeom prst="rect">
                          <a:avLst/>
                        </a:prstGeom>
                        <a:noFill/>
                        <a:ln>
                          <a:noFill/>
                        </a:ln>
                      </wps:spPr>
                      <wps:txbx>
                        <w:txbxContent>
                          <w:p w14:paraId="434ACD3C">
                            <w:pPr>
                              <w:rPr>
                                <w:rFonts w:hint="default" w:eastAsia="宋体"/>
                                <w:lang w:val="en-US" w:eastAsia="zh-CN"/>
                              </w:rPr>
                            </w:pPr>
                            <w:r>
                              <w:rPr>
                                <w:rFonts w:hint="eastAsia"/>
                                <w:lang w:val="en-US" w:eastAsia="zh-CN"/>
                              </w:rPr>
                              <w:t>1#发电机组</w:t>
                            </w:r>
                          </w:p>
                        </w:txbxContent>
                      </wps:txbx>
                      <wps:bodyPr upright="1"/>
                    </wps:wsp>
                  </a:graphicData>
                </a:graphic>
              </wp:anchor>
            </w:drawing>
          </mc:Choice>
          <mc:Fallback>
            <w:pict>
              <v:shape id="_x0000_s1026" o:spid="_x0000_s1026" o:spt="202" type="#_x0000_t202" style="position:absolute;left:0pt;margin-left:410.3pt;margin-top:286.9pt;height:31.65pt;width:72.6pt;rotation:-458752f;z-index:251723776;mso-width-relative:page;mso-height-relative:page;" filled="f" stroked="f" coordsize="21600,21600" o:gfxdata="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GiAcIXZAAAACwEAAA8AAAAAAAAAAQAgAAAAIgAAAGRycy9kb3ducmV2LnhtbFBLAQIUABQA&#10;AAAIAIdO4kChWxOItgEAAF8DAAAOAAAAAAAAAAEAIAAAACgBAABkcnMvZTJvRG9jLnhtbFBLBQYA&#10;AAAABgAGAFkBAABQBQAAAAA=&#10;">
                <v:fill on="f" focussize="0,0"/>
                <v:stroke on="f"/>
                <v:imagedata o:title=""/>
                <o:lock v:ext="edit" aspectratio="f"/>
                <v:textbox>
                  <w:txbxContent>
                    <w:p w14:paraId="434ACD3C">
                      <w:pPr>
                        <w:rPr>
                          <w:rFonts w:hint="default" w:eastAsia="宋体"/>
                          <w:lang w:val="en-US" w:eastAsia="zh-CN"/>
                        </w:rPr>
                      </w:pPr>
                      <w:r>
                        <w:rPr>
                          <w:rFonts w:hint="eastAsia"/>
                          <w:lang w:val="en-US" w:eastAsia="zh-CN"/>
                        </w:rPr>
                        <w:t>1#发电机组</w:t>
                      </w:r>
                    </w:p>
                  </w:txbxContent>
                </v:textbox>
              </v:shape>
            </w:pict>
          </mc:Fallback>
        </mc:AlternateContent>
      </w:r>
      <w:r>
        <w:rPr>
          <w:sz w:val="21"/>
        </w:rPr>
        <mc:AlternateContent>
          <mc:Choice Requires="wps">
            <w:drawing>
              <wp:anchor distT="0" distB="0" distL="114300" distR="114300" simplePos="0" relativeHeight="251720704" behindDoc="0" locked="0" layoutInCell="1" allowOverlap="1">
                <wp:simplePos x="0" y="0"/>
                <wp:positionH relativeFrom="column">
                  <wp:posOffset>3541395</wp:posOffset>
                </wp:positionH>
                <wp:positionV relativeFrom="paragraph">
                  <wp:posOffset>3105785</wp:posOffset>
                </wp:positionV>
                <wp:extent cx="656590" cy="401955"/>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656590" cy="401955"/>
                        </a:xfrm>
                        <a:prstGeom prst="rect">
                          <a:avLst/>
                        </a:prstGeom>
                        <a:noFill/>
                        <a:ln>
                          <a:noFill/>
                        </a:ln>
                      </wps:spPr>
                      <wps:txbx>
                        <w:txbxContent>
                          <w:p w14:paraId="41431AB4">
                            <w:pPr>
                              <w:rPr>
                                <w:rFonts w:hint="eastAsia" w:eastAsia="宋体"/>
                                <w:lang w:val="en-US" w:eastAsia="zh-CN"/>
                              </w:rPr>
                            </w:pPr>
                            <w:r>
                              <w:rPr>
                                <w:rFonts w:hint="eastAsia"/>
                                <w:lang w:val="en-US" w:eastAsia="zh-CN"/>
                              </w:rPr>
                              <w:t>配电室</w:t>
                            </w:r>
                          </w:p>
                        </w:txbxContent>
                      </wps:txbx>
                      <wps:bodyPr upright="1"/>
                    </wps:wsp>
                  </a:graphicData>
                </a:graphic>
              </wp:anchor>
            </w:drawing>
          </mc:Choice>
          <mc:Fallback>
            <w:pict>
              <v:shape id="_x0000_s1026" o:spid="_x0000_s1026" o:spt="202" type="#_x0000_t202" style="position:absolute;left:0pt;margin-left:278.85pt;margin-top:244.55pt;height:31.65pt;width:51.7pt;z-index:251720704;mso-width-relative:page;mso-height-relative:page;" filled="f" stroked="f" coordsize="21600,21600" o:gfxdata="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3/uGGdgA&#10;AAALAQAADwAAAAAAAAABACAAAAAiAAAAZHJzL2Rvd25yZXYueG1sUEsBAhQAFAAAAAgAh07iQNPz&#10;XxCtAQAAUQMAAA4AAAAAAAAAAQAgAAAAJwEAAGRycy9lMm9Eb2MueG1sUEsFBgAAAAAGAAYAWQEA&#10;AEYFAAAAAA==&#10;">
                <v:fill on="f" focussize="0,0"/>
                <v:stroke on="f"/>
                <v:imagedata o:title=""/>
                <o:lock v:ext="edit" aspectratio="f"/>
                <v:textbox>
                  <w:txbxContent>
                    <w:p w14:paraId="41431AB4">
                      <w:pPr>
                        <w:rPr>
                          <w:rFonts w:hint="eastAsia" w:eastAsia="宋体"/>
                          <w:lang w:val="en-US" w:eastAsia="zh-CN"/>
                        </w:rPr>
                      </w:pPr>
                      <w:r>
                        <w:rPr>
                          <w:rFonts w:hint="eastAsia"/>
                          <w:lang w:val="en-US" w:eastAsia="zh-CN"/>
                        </w:rPr>
                        <w:t>配电室</w:t>
                      </w:r>
                    </w:p>
                  </w:txbxContent>
                </v:textbox>
              </v:shape>
            </w:pict>
          </mc:Fallback>
        </mc:AlternateContent>
      </w:r>
      <w:r>
        <w:rPr>
          <w:sz w:val="21"/>
        </w:rPr>
        <mc:AlternateContent>
          <mc:Choice Requires="wps">
            <w:drawing>
              <wp:anchor distT="0" distB="0" distL="114300" distR="114300" simplePos="0" relativeHeight="251719680" behindDoc="0" locked="0" layoutInCell="1" allowOverlap="1">
                <wp:simplePos x="0" y="0"/>
                <wp:positionH relativeFrom="column">
                  <wp:posOffset>3531870</wp:posOffset>
                </wp:positionH>
                <wp:positionV relativeFrom="paragraph">
                  <wp:posOffset>1988820</wp:posOffset>
                </wp:positionV>
                <wp:extent cx="649605" cy="2922905"/>
                <wp:effectExtent l="205740" t="36195" r="211455" b="50800"/>
                <wp:wrapNone/>
                <wp:docPr id="121" name="矩形 121"/>
                <wp:cNvGraphicFramePr/>
                <a:graphic xmlns:a="http://schemas.openxmlformats.org/drawingml/2006/main">
                  <a:graphicData uri="http://schemas.microsoft.com/office/word/2010/wordprocessingShape">
                    <wps:wsp>
                      <wps:cNvSpPr/>
                      <wps:spPr>
                        <a:xfrm rot="-480000">
                          <a:off x="0" y="0"/>
                          <a:ext cx="649605" cy="292290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78.1pt;margin-top:156.6pt;height:230.15pt;width:51.15pt;rotation:-524288f;z-index:251719680;mso-width-relative:page;mso-height-relative:page;" fillcolor="#FFFFFF" filled="t" stroked="t" coordsize="21600,21600" o:gfxdata="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FaxO5fZAAAACwEAAA8AAAAAAAAAAQAgAAAAIgAA&#10;AGRycy9kb3ducmV2LnhtbFBLAQIUABQAAAAIAIdO4kCTfEQWBwIAADAEAAAOAAAAAAAAAAEAIAAA&#10;ACgBAABkcnMvZTJvRG9jLnhtbFBLBQYAAAAABgAGAFkBAAChBQAAAAA=&#10;">
                <v:fill on="t" focussize="0,0"/>
                <v:stroke color="#000000" joinstyle="miter"/>
                <v:imagedata o:title=""/>
                <o:lock v:ext="edit" aspectratio="f"/>
              </v:rect>
            </w:pict>
          </mc:Fallback>
        </mc:AlternateContent>
      </w:r>
      <w:r>
        <w:rPr>
          <w:sz w:val="21"/>
        </w:rPr>
        <mc:AlternateContent>
          <mc:Choice Requires="wps">
            <w:drawing>
              <wp:anchor distT="0" distB="0" distL="114300" distR="114300" simplePos="0" relativeHeight="251715584" behindDoc="0" locked="0" layoutInCell="1" allowOverlap="1">
                <wp:simplePos x="0" y="0"/>
                <wp:positionH relativeFrom="column">
                  <wp:posOffset>6376670</wp:posOffset>
                </wp:positionH>
                <wp:positionV relativeFrom="paragraph">
                  <wp:posOffset>2513330</wp:posOffset>
                </wp:positionV>
                <wp:extent cx="106045" cy="95250"/>
                <wp:effectExtent l="4445" t="4445" r="22860" b="14605"/>
                <wp:wrapNone/>
                <wp:docPr id="106" name="椭圆 106"/>
                <wp:cNvGraphicFramePr/>
                <a:graphic xmlns:a="http://schemas.openxmlformats.org/drawingml/2006/main">
                  <a:graphicData uri="http://schemas.microsoft.com/office/word/2010/wordprocessingShape">
                    <wps:wsp>
                      <wps:cNvSpPr/>
                      <wps:spPr>
                        <a:xfrm>
                          <a:off x="0" y="0"/>
                          <a:ext cx="106045" cy="95250"/>
                        </a:xfrm>
                        <a:prstGeom prst="ellipse">
                          <a:avLst/>
                        </a:prstGeom>
                        <a:solidFill>
                          <a:srgbClr val="C00000"/>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502.1pt;margin-top:197.9pt;height:7.5pt;width:8.35pt;z-index:251715584;mso-width-relative:page;mso-height-relative:page;" fillcolor="#C00000" filled="t" stroked="t" coordsize="21600,21600" o:gfxdata="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KF+14TbAAAADQEAAA8AAAAAAAAAAQAgAAAAIgAAAGRycy9kb3ducmV2Lnht&#10;bFBLAQIUABQAAAAIAIdO4kA/Nj6z9gEAABkEAAAOAAAAAAAAAAEAIAAAACoBAABkcnMvZTJvRG9j&#10;LnhtbFBLBQYAAAAABgAGAFkBAACSBQAAAAA=&#10;">
                <v:fill on="t"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718656" behindDoc="0" locked="0" layoutInCell="1" allowOverlap="1">
                <wp:simplePos x="0" y="0"/>
                <wp:positionH relativeFrom="column">
                  <wp:posOffset>6301740</wp:posOffset>
                </wp:positionH>
                <wp:positionV relativeFrom="paragraph">
                  <wp:posOffset>1931670</wp:posOffset>
                </wp:positionV>
                <wp:extent cx="106045" cy="95250"/>
                <wp:effectExtent l="4445" t="4445" r="22860" b="14605"/>
                <wp:wrapNone/>
                <wp:docPr id="114" name="椭圆 114"/>
                <wp:cNvGraphicFramePr/>
                <a:graphic xmlns:a="http://schemas.openxmlformats.org/drawingml/2006/main">
                  <a:graphicData uri="http://schemas.microsoft.com/office/word/2010/wordprocessingShape">
                    <wps:wsp>
                      <wps:cNvSpPr/>
                      <wps:spPr>
                        <a:xfrm>
                          <a:off x="0" y="0"/>
                          <a:ext cx="106045" cy="95250"/>
                        </a:xfrm>
                        <a:prstGeom prst="ellipse">
                          <a:avLst/>
                        </a:prstGeom>
                        <a:solidFill>
                          <a:srgbClr val="C00000"/>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496.2pt;margin-top:152.1pt;height:7.5pt;width:8.35pt;z-index:251718656;mso-width-relative:page;mso-height-relative:page;" fillcolor="#C00000" filled="t" stroked="t" coordsize="21600,21600" o:gfxdata="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HxSXy2gAAAAwBAAAPAAAAAAAAAAEAIAAAACIAAABkcnMvZG93bnJldi54&#10;bWxQSwECFAAUAAAACACHTuJAjnyk8vgBAAAZBAAADgAAAAAAAAABACAAAAApAQAAZHJzL2Uyb0Rv&#10;Yy54bWxQSwUGAAAAAAYABgBZAQAAkwUAAAAA&#10;">
                <v:fill on="t"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717632" behindDoc="0" locked="0" layoutInCell="1" allowOverlap="1">
                <wp:simplePos x="0" y="0"/>
                <wp:positionH relativeFrom="column">
                  <wp:posOffset>6513830</wp:posOffset>
                </wp:positionH>
                <wp:positionV relativeFrom="paragraph">
                  <wp:posOffset>3646170</wp:posOffset>
                </wp:positionV>
                <wp:extent cx="106045" cy="95250"/>
                <wp:effectExtent l="4445" t="4445" r="22860" b="14605"/>
                <wp:wrapNone/>
                <wp:docPr id="107" name="椭圆 107"/>
                <wp:cNvGraphicFramePr/>
                <a:graphic xmlns:a="http://schemas.openxmlformats.org/drawingml/2006/main">
                  <a:graphicData uri="http://schemas.microsoft.com/office/word/2010/wordprocessingShape">
                    <wps:wsp>
                      <wps:cNvSpPr/>
                      <wps:spPr>
                        <a:xfrm>
                          <a:off x="0" y="0"/>
                          <a:ext cx="106045" cy="95250"/>
                        </a:xfrm>
                        <a:prstGeom prst="ellipse">
                          <a:avLst/>
                        </a:prstGeom>
                        <a:solidFill>
                          <a:srgbClr val="C00000"/>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512.9pt;margin-top:287.1pt;height:7.5pt;width:8.35pt;z-index:251717632;mso-width-relative:page;mso-height-relative:page;" fillcolor="#C00000" filled="t" stroked="t" coordsize="21600,21600" o:gfxdata="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ZvKDNNsAAAANAQAADwAAAAAAAAABACAAAAAiAAAAZHJzL2Rvd25yZXYu&#10;eG1sUEsBAhQAFAAAAAgAh07iQO5nNev4AQAAGQQAAA4AAAAAAAAAAQAgAAAAKgEAAGRycy9lMm9E&#10;b2MueG1sUEsFBgAAAAAGAAYAWQEAAJQFAAAAAA==&#10;">
                <v:fill on="t"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716608" behindDoc="0" locked="0" layoutInCell="1" allowOverlap="1">
                <wp:simplePos x="0" y="0"/>
                <wp:positionH relativeFrom="column">
                  <wp:posOffset>6450330</wp:posOffset>
                </wp:positionH>
                <wp:positionV relativeFrom="paragraph">
                  <wp:posOffset>3095625</wp:posOffset>
                </wp:positionV>
                <wp:extent cx="106045" cy="95250"/>
                <wp:effectExtent l="4445" t="4445" r="22860" b="14605"/>
                <wp:wrapNone/>
                <wp:docPr id="115" name="椭圆 115"/>
                <wp:cNvGraphicFramePr/>
                <a:graphic xmlns:a="http://schemas.openxmlformats.org/drawingml/2006/main">
                  <a:graphicData uri="http://schemas.microsoft.com/office/word/2010/wordprocessingShape">
                    <wps:wsp>
                      <wps:cNvSpPr/>
                      <wps:spPr>
                        <a:xfrm>
                          <a:off x="0" y="0"/>
                          <a:ext cx="106045" cy="95250"/>
                        </a:xfrm>
                        <a:prstGeom prst="ellipse">
                          <a:avLst/>
                        </a:prstGeom>
                        <a:solidFill>
                          <a:srgbClr val="C00000"/>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507.9pt;margin-top:243.75pt;height:7.5pt;width:8.35pt;z-index:251716608;mso-width-relative:page;mso-height-relative:page;" fillcolor="#C00000" filled="t" stroked="t" coordsize="21600,21600" o:gfxdata="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LE2HDvaAAAADQEAAA8AAAAAAAAAAQAgAAAAIgAAAGRycy9kb3ducmV2Lnht&#10;bFBLAQIUABQAAAAIAIdO4kBfLa+q9wEAABkEAAAOAAAAAAAAAAEAIAAAACkBAABkcnMvZTJvRG9j&#10;LnhtbFBLBQYAAAAABgAGAFkBAACSBQAAAAA=&#10;">
                <v:fill on="t"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712512" behindDoc="0" locked="0" layoutInCell="1" allowOverlap="1">
                <wp:simplePos x="0" y="0"/>
                <wp:positionH relativeFrom="column">
                  <wp:posOffset>6607175</wp:posOffset>
                </wp:positionH>
                <wp:positionV relativeFrom="paragraph">
                  <wp:posOffset>4555490</wp:posOffset>
                </wp:positionV>
                <wp:extent cx="410845" cy="400685"/>
                <wp:effectExtent l="31115" t="31750" r="34290" b="43815"/>
                <wp:wrapNone/>
                <wp:docPr id="117" name="矩形 117"/>
                <wp:cNvGraphicFramePr/>
                <a:graphic xmlns:a="http://schemas.openxmlformats.org/drawingml/2006/main">
                  <a:graphicData uri="http://schemas.microsoft.com/office/word/2010/wordprocessingShape">
                    <wps:wsp>
                      <wps:cNvSpPr/>
                      <wps:spPr>
                        <a:xfrm rot="-480000">
                          <a:off x="0" y="0"/>
                          <a:ext cx="410845" cy="40068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20.25pt;margin-top:358.7pt;height:31.55pt;width:32.35pt;rotation:-524288f;z-index:251712512;mso-width-relative:page;mso-height-relative:page;" fillcolor="#FFFFFF" filled="t" stroked="t" coordsize="21600,21600" o:gfxdata="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Ne5Tu2AAAAA0BAAAPAAAAAAAAAAEAIAAAACIAAABk&#10;cnMvZG93bnJldi54bWxQSwECFAAUAAAACACHTuJAtr4u9QYCAAAvBAAADgAAAAAAAAABACAAAAAn&#10;AQAAZHJzL2Uyb0RvYy54bWxQSwUGAAAAAAYABgBZAQAAnwUAAAAA&#10;">
                <v:fill on="t" focussize="0,0"/>
                <v:stroke color="#000000" joinstyle="miter"/>
                <v:imagedata o:title=""/>
                <o:lock v:ext="edit" aspectratio="f"/>
              </v:rect>
            </w:pict>
          </mc:Fallback>
        </mc:AlternateContent>
      </w:r>
      <w:r>
        <w:rPr>
          <w:sz w:val="21"/>
        </w:rPr>
        <mc:AlternateContent>
          <mc:Choice Requires="wps">
            <w:drawing>
              <wp:anchor distT="0" distB="0" distL="114300" distR="114300" simplePos="0" relativeHeight="251714560" behindDoc="0" locked="0" layoutInCell="1" allowOverlap="1">
                <wp:simplePos x="0" y="0"/>
                <wp:positionH relativeFrom="column">
                  <wp:posOffset>5989320</wp:posOffset>
                </wp:positionH>
                <wp:positionV relativeFrom="paragraph">
                  <wp:posOffset>4658995</wp:posOffset>
                </wp:positionV>
                <wp:extent cx="213995" cy="400685"/>
                <wp:effectExtent l="32385" t="18415" r="39370" b="19050"/>
                <wp:wrapNone/>
                <wp:docPr id="109" name="矩形 109"/>
                <wp:cNvGraphicFramePr/>
                <a:graphic xmlns:a="http://schemas.openxmlformats.org/drawingml/2006/main">
                  <a:graphicData uri="http://schemas.microsoft.com/office/word/2010/wordprocessingShape">
                    <wps:wsp>
                      <wps:cNvSpPr/>
                      <wps:spPr>
                        <a:xfrm rot="-480000">
                          <a:off x="0" y="0"/>
                          <a:ext cx="213995" cy="40068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471.6pt;margin-top:366.85pt;height:31.55pt;width:16.85pt;rotation:-524288f;z-index:251714560;mso-width-relative:page;mso-height-relative:page;" fillcolor="#FFFFFF" filled="t" stroked="t" coordsize="21600,21600" o:gfxdata="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B7soDPZAAAACwEAAA8AAAAAAAAAAQAgAAAAIgAA&#10;AGRycy9kb3ducmV2LnhtbFBLAQIUABQAAAAIAIdO4kCYkYMoBwIAAC8EAAAOAAAAAAAAAAEAIAAA&#10;ACgBAABkcnMvZTJvRG9jLnhtbFBLBQYAAAAABgAGAFkBAAChBQAAAAA=&#10;">
                <v:fill on="t" focussize="0,0"/>
                <v:stroke color="#000000" joinstyle="miter"/>
                <v:imagedata o:title=""/>
                <o:lock v:ext="edit" aspectratio="f"/>
              </v:rect>
            </w:pict>
          </mc:Fallback>
        </mc:AlternateContent>
      </w:r>
      <w:r>
        <w:rPr>
          <w:sz w:val="21"/>
        </w:rPr>
        <mc:AlternateContent>
          <mc:Choice Requires="wps">
            <w:drawing>
              <wp:anchor distT="0" distB="0" distL="114300" distR="114300" simplePos="0" relativeHeight="251713536" behindDoc="0" locked="0" layoutInCell="1" allowOverlap="1">
                <wp:simplePos x="0" y="0"/>
                <wp:positionH relativeFrom="column">
                  <wp:posOffset>6216015</wp:posOffset>
                </wp:positionH>
                <wp:positionV relativeFrom="paragraph">
                  <wp:posOffset>4609465</wp:posOffset>
                </wp:positionV>
                <wp:extent cx="410845" cy="400685"/>
                <wp:effectExtent l="31115" t="31750" r="34290" b="43815"/>
                <wp:wrapNone/>
                <wp:docPr id="122" name="矩形 122"/>
                <wp:cNvGraphicFramePr/>
                <a:graphic xmlns:a="http://schemas.openxmlformats.org/drawingml/2006/main">
                  <a:graphicData uri="http://schemas.microsoft.com/office/word/2010/wordprocessingShape">
                    <wps:wsp>
                      <wps:cNvSpPr/>
                      <wps:spPr>
                        <a:xfrm rot="-480000">
                          <a:off x="0" y="0"/>
                          <a:ext cx="410845" cy="400685"/>
                        </a:xfrm>
                        <a:prstGeom prst="rect">
                          <a:avLst/>
                        </a:prstGeom>
                        <a:solidFill>
                          <a:srgbClr val="4F81BD"/>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489.45pt;margin-top:362.95pt;height:31.55pt;width:32.35pt;rotation:-524288f;z-index:251713536;mso-width-relative:page;mso-height-relative:page;" fillcolor="#4F81BD" filled="t" stroked="t" coordsize="21600,21600" o:gfxdata="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2HKsjaAAAADAEAAA8AAAAAAAAAAQAgAAAA&#10;IgAAAGRycy9kb3ducmV2LnhtbFBLAQIUABQAAAAIAIdO4kDn04NtCQIAAC8EAAAOAAAAAAAAAAEA&#10;IAAAACkBAABkcnMvZTJvRG9jLnhtbFBLBQYAAAAABgAGAFkBAACkBQAAAAA=&#10;">
                <v:fill on="t" focussize="0,0"/>
                <v:stroke color="#000000" joinstyle="miter"/>
                <v:imagedata o:title=""/>
                <o:lock v:ext="edit" aspectratio="f"/>
              </v:rect>
            </w:pict>
          </mc:Fallback>
        </mc:AlternateContent>
      </w:r>
      <w:r>
        <w:rPr>
          <w:sz w:val="21"/>
        </w:rPr>
        <mc:AlternateContent>
          <mc:Choice Requires="wps">
            <w:drawing>
              <wp:anchor distT="0" distB="0" distL="114300" distR="114300" simplePos="0" relativeHeight="251711488" behindDoc="0" locked="0" layoutInCell="1" allowOverlap="1">
                <wp:simplePos x="0" y="0"/>
                <wp:positionH relativeFrom="column">
                  <wp:posOffset>6101080</wp:posOffset>
                </wp:positionH>
                <wp:positionV relativeFrom="paragraph">
                  <wp:posOffset>1804670</wp:posOffset>
                </wp:positionV>
                <wp:extent cx="200660" cy="391795"/>
                <wp:effectExtent l="31750" t="17145" r="34290" b="29210"/>
                <wp:wrapNone/>
                <wp:docPr id="110" name="矩形 110"/>
                <wp:cNvGraphicFramePr/>
                <a:graphic xmlns:a="http://schemas.openxmlformats.org/drawingml/2006/main">
                  <a:graphicData uri="http://schemas.microsoft.com/office/word/2010/wordprocessingShape">
                    <wps:wsp>
                      <wps:cNvSpPr/>
                      <wps:spPr>
                        <a:xfrm rot="-480000">
                          <a:off x="0" y="0"/>
                          <a:ext cx="200660" cy="39179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480.4pt;margin-top:142.1pt;height:30.85pt;width:15.8pt;rotation:-524288f;z-index:251711488;mso-width-relative:page;mso-height-relative:page;" fillcolor="#FFFFFF" filled="t" stroked="t" coordsize="21600,21600" o:gfxdata="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8e6nadkAAAALAQAADwAAAAAAAAABACAAAAAiAAAA&#10;ZHJzL2Rvd25yZXYueG1sUEsBAhQAFAAAAAgAh07iQPxbjoUGAgAALwQAAA4AAAAAAAAAAQAgAAAA&#10;KAEAAGRycy9lMm9Eb2MueG1sUEsFBgAAAAAGAAYAWQEAAKAFAAAAAA==&#10;">
                <v:fill on="t" focussize="0,0"/>
                <v:stroke color="#000000" joinstyle="miter"/>
                <v:imagedata o:title=""/>
                <o:lock v:ext="edit" aspectratio="f"/>
              </v:rect>
            </w:pict>
          </mc:Fallback>
        </mc:AlternateContent>
      </w:r>
      <w:r>
        <w:rPr>
          <w:sz w:val="21"/>
        </w:rPr>
        <mc:AlternateContent>
          <mc:Choice Requires="wps">
            <w:drawing>
              <wp:anchor distT="0" distB="0" distL="114300" distR="114300" simplePos="0" relativeHeight="251710464" behindDoc="0" locked="0" layoutInCell="1" allowOverlap="1">
                <wp:simplePos x="0" y="0"/>
                <wp:positionH relativeFrom="column">
                  <wp:posOffset>6302375</wp:posOffset>
                </wp:positionH>
                <wp:positionV relativeFrom="paragraph">
                  <wp:posOffset>3519170</wp:posOffset>
                </wp:positionV>
                <wp:extent cx="200660" cy="391795"/>
                <wp:effectExtent l="31750" t="17145" r="34290" b="29210"/>
                <wp:wrapNone/>
                <wp:docPr id="108" name="矩形 108"/>
                <wp:cNvGraphicFramePr/>
                <a:graphic xmlns:a="http://schemas.openxmlformats.org/drawingml/2006/main">
                  <a:graphicData uri="http://schemas.microsoft.com/office/word/2010/wordprocessingShape">
                    <wps:wsp>
                      <wps:cNvSpPr/>
                      <wps:spPr>
                        <a:xfrm rot="-480000">
                          <a:off x="0" y="0"/>
                          <a:ext cx="200660" cy="39179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496.25pt;margin-top:277.1pt;height:30.85pt;width:15.8pt;rotation:-524288f;z-index:251710464;mso-width-relative:page;mso-height-relative:page;" fillcolor="#FFFFFF" filled="t" stroked="t" coordsize="21600,21600" o:gfxdata="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v8zgsdkAAAAMAQAADwAAAAAAAAABACAAAAAiAAAA&#10;ZHJzL2Rvd25yZXYueG1sUEsBAhQAFAAAAAgAh07iQExFfTQGAgAALwQAAA4AAAAAAAAAAQAgAAAA&#10;KAEAAGRycy9lMm9Eb2MueG1sUEsFBgAAAAAGAAYAWQEAAKAFAAAAAA==&#10;">
                <v:fill on="t" focussize="0,0"/>
                <v:stroke color="#000000" joinstyle="miter"/>
                <v:imagedata o:title=""/>
                <o:lock v:ext="edit" aspectratio="f"/>
              </v:rect>
            </w:pict>
          </mc:Fallback>
        </mc:AlternateContent>
      </w:r>
      <w:r>
        <w:rPr>
          <w:sz w:val="21"/>
        </w:rPr>
        <mc:AlternateContent>
          <mc:Choice Requires="wps">
            <w:drawing>
              <wp:anchor distT="0" distB="0" distL="114300" distR="114300" simplePos="0" relativeHeight="251709440" behindDoc="0" locked="0" layoutInCell="1" allowOverlap="1">
                <wp:simplePos x="0" y="0"/>
                <wp:positionH relativeFrom="column">
                  <wp:posOffset>6228080</wp:posOffset>
                </wp:positionH>
                <wp:positionV relativeFrom="paragraph">
                  <wp:posOffset>2957830</wp:posOffset>
                </wp:positionV>
                <wp:extent cx="200660" cy="391795"/>
                <wp:effectExtent l="31750" t="17145" r="34290" b="29210"/>
                <wp:wrapNone/>
                <wp:docPr id="105" name="矩形 105"/>
                <wp:cNvGraphicFramePr/>
                <a:graphic xmlns:a="http://schemas.openxmlformats.org/drawingml/2006/main">
                  <a:graphicData uri="http://schemas.microsoft.com/office/word/2010/wordprocessingShape">
                    <wps:wsp>
                      <wps:cNvSpPr/>
                      <wps:spPr>
                        <a:xfrm rot="-480000">
                          <a:off x="0" y="0"/>
                          <a:ext cx="200660" cy="39179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490.4pt;margin-top:232.9pt;height:30.85pt;width:15.8pt;rotation:-524288f;z-index:251709440;mso-width-relative:page;mso-height-relative:page;" fillcolor="#FFFFFF" filled="t" stroked="t" coordsize="21600,21600" o:gfxdata="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PdT97toAAAAMAQAADwAAAAAAAAABACAAAAAi&#10;AAAAZHJzL2Rvd25yZXYueG1sUEsBAhQAFAAAAAgAh07iQKaH6S4IAgAALwQAAA4AAAAAAAAAAQAg&#10;AAAAKQEAAGRycy9lMm9Eb2MueG1sUEsFBgAAAAAGAAYAWQEAAKMFAAAAAA==&#10;">
                <v:fill on="t" focussize="0,0"/>
                <v:stroke color="#000000" joinstyle="miter"/>
                <v:imagedata o:title=""/>
                <o:lock v:ext="edit" aspectratio="f"/>
              </v:rect>
            </w:pict>
          </mc:Fallback>
        </mc:AlternateContent>
      </w:r>
      <w:r>
        <w:rPr>
          <w:sz w:val="21"/>
        </w:rPr>
        <mc:AlternateContent>
          <mc:Choice Requires="wps">
            <w:drawing>
              <wp:anchor distT="0" distB="0" distL="114300" distR="114300" simplePos="0" relativeHeight="251708416" behindDoc="0" locked="0" layoutInCell="1" allowOverlap="1">
                <wp:simplePos x="0" y="0"/>
                <wp:positionH relativeFrom="column">
                  <wp:posOffset>6164580</wp:posOffset>
                </wp:positionH>
                <wp:positionV relativeFrom="paragraph">
                  <wp:posOffset>2385695</wp:posOffset>
                </wp:positionV>
                <wp:extent cx="200660" cy="391795"/>
                <wp:effectExtent l="31750" t="17145" r="34290" b="29210"/>
                <wp:wrapNone/>
                <wp:docPr id="111" name="矩形 111"/>
                <wp:cNvGraphicFramePr/>
                <a:graphic xmlns:a="http://schemas.openxmlformats.org/drawingml/2006/main">
                  <a:graphicData uri="http://schemas.microsoft.com/office/word/2010/wordprocessingShape">
                    <wps:wsp>
                      <wps:cNvSpPr/>
                      <wps:spPr>
                        <a:xfrm rot="-480000">
                          <a:off x="0" y="0"/>
                          <a:ext cx="200660" cy="39179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485.4pt;margin-top:187.85pt;height:30.85pt;width:15.8pt;rotation:-524288f;z-index:251708416;mso-width-relative:page;mso-height-relative:page;" fillcolor="#FFFFFF" filled="t" stroked="t" coordsize="21600,21600" o:gfxdata="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j5CIzdkAAAAMAQAADwAAAAAAAAABACAAAAAiAAAA&#10;ZHJzL2Rvd25yZXYueG1sUEsBAhQAFAAAAAgAh07iQCmatPsGAgAALwQAAA4AAAAAAAAAAQAgAAAA&#10;KAEAAGRycy9lMm9Eb2MueG1sUEsFBgAAAAAGAAYAWQEAAKAFAAAAAA==&#10;">
                <v:fill on="t" focussize="0,0"/>
                <v:stroke color="#000000" joinstyle="miter"/>
                <v:imagedata o:title=""/>
                <o:lock v:ext="edit" aspectratio="f"/>
              </v:rect>
            </w:pict>
          </mc:Fallback>
        </mc:AlternateContent>
      </w:r>
      <w:r>
        <w:rPr>
          <w:sz w:val="21"/>
        </w:rPr>
        <mc:AlternateContent>
          <mc:Choice Requires="wps">
            <w:drawing>
              <wp:anchor distT="0" distB="0" distL="114300" distR="114300" simplePos="0" relativeHeight="251707392" behindDoc="0" locked="0" layoutInCell="1" allowOverlap="1">
                <wp:simplePos x="0" y="0"/>
                <wp:positionH relativeFrom="column">
                  <wp:posOffset>5074920</wp:posOffset>
                </wp:positionH>
                <wp:positionV relativeFrom="paragraph">
                  <wp:posOffset>3615055</wp:posOffset>
                </wp:positionV>
                <wp:extent cx="1168400" cy="374015"/>
                <wp:effectExtent l="23495" t="74930" r="27305" b="84455"/>
                <wp:wrapNone/>
                <wp:docPr id="118" name="矩形 118"/>
                <wp:cNvGraphicFramePr/>
                <a:graphic xmlns:a="http://schemas.openxmlformats.org/drawingml/2006/main">
                  <a:graphicData uri="http://schemas.microsoft.com/office/word/2010/wordprocessingShape">
                    <wps:wsp>
                      <wps:cNvSpPr/>
                      <wps:spPr>
                        <a:xfrm rot="-420000">
                          <a:off x="0" y="0"/>
                          <a:ext cx="1168400" cy="374015"/>
                        </a:xfrm>
                        <a:prstGeom prst="rect">
                          <a:avLst/>
                        </a:prstGeom>
                        <a:solidFill>
                          <a:srgbClr val="4F81BD"/>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399.6pt;margin-top:284.65pt;height:29.45pt;width:92pt;rotation:-458752f;z-index:251707392;mso-width-relative:page;mso-height-relative:page;" fillcolor="#4F81BD" filled="t" stroked="t" coordsize="21600,21600" o:gfxdata="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BfghnHYAAAACwEAAA8AAAAAAAAAAQAgAAAA&#10;IgAAAGRycy9kb3ducmV2LnhtbFBLAQIUABQAAAAIAIdO4kB2iAqgCwIAADAEAAAOAAAAAAAAAAEA&#10;IAAAACcBAABkcnMvZTJvRG9jLnhtbFBLBQYAAAAABgAGAFkBAACkBQAAAAA=&#10;">
                <v:fill on="t" focussize="0,0"/>
                <v:stroke color="#000000" joinstyle="miter"/>
                <v:imagedata o:title=""/>
                <o:lock v:ext="edit" aspectratio="f"/>
              </v:rect>
            </w:pict>
          </mc:Fallback>
        </mc:AlternateContent>
      </w:r>
      <w:r>
        <w:rPr>
          <w:sz w:val="21"/>
        </w:rPr>
        <mc:AlternateContent>
          <mc:Choice Requires="wps">
            <w:drawing>
              <wp:anchor distT="0" distB="0" distL="114300" distR="114300" simplePos="0" relativeHeight="251706368" behindDoc="0" locked="0" layoutInCell="1" allowOverlap="1">
                <wp:simplePos x="0" y="0"/>
                <wp:positionH relativeFrom="column">
                  <wp:posOffset>4969510</wp:posOffset>
                </wp:positionH>
                <wp:positionV relativeFrom="paragraph">
                  <wp:posOffset>3053080</wp:posOffset>
                </wp:positionV>
                <wp:extent cx="1168400" cy="374015"/>
                <wp:effectExtent l="23495" t="74930" r="27305" b="84455"/>
                <wp:wrapNone/>
                <wp:docPr id="62" name="矩形 62"/>
                <wp:cNvGraphicFramePr/>
                <a:graphic xmlns:a="http://schemas.openxmlformats.org/drawingml/2006/main">
                  <a:graphicData uri="http://schemas.microsoft.com/office/word/2010/wordprocessingShape">
                    <wps:wsp>
                      <wps:cNvSpPr/>
                      <wps:spPr>
                        <a:xfrm rot="-420000">
                          <a:off x="0" y="0"/>
                          <a:ext cx="1168400" cy="374015"/>
                        </a:xfrm>
                        <a:prstGeom prst="rect">
                          <a:avLst/>
                        </a:prstGeom>
                        <a:solidFill>
                          <a:srgbClr val="4F81BD"/>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391.3pt;margin-top:240.4pt;height:29.45pt;width:92pt;rotation:-458752f;z-index:251706368;mso-width-relative:page;mso-height-relative:page;" fillcolor="#4F81BD" filled="t" stroked="t" coordsize="21600,21600" o:gfxdata="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DC8ibYAAAACwEAAA8AAAAAAAAAAQAgAAAA&#10;IgAAAGRycy9kb3ducmV2LnhtbFBLAQIUABQAAAAIAIdO4kDTMRyqCwIAAC4EAAAOAAAAAAAAAAEA&#10;IAAAACcBAABkcnMvZTJvRG9jLnhtbFBLBQYAAAAABgAGAFkBAACkBQAAAAA=&#10;">
                <v:fill on="t" focussize="0,0"/>
                <v:stroke color="#000000" joinstyle="miter"/>
                <v:imagedata o:title=""/>
                <o:lock v:ext="edit" aspectratio="f"/>
              </v:rect>
            </w:pict>
          </mc:Fallback>
        </mc:AlternateContent>
      </w:r>
      <w:r>
        <w:rPr>
          <w:sz w:val="21"/>
        </w:rPr>
        <mc:AlternateContent>
          <mc:Choice Requires="wps">
            <w:drawing>
              <wp:anchor distT="0" distB="0" distL="114300" distR="114300" simplePos="0" relativeHeight="251705344" behindDoc="0" locked="0" layoutInCell="1" allowOverlap="1">
                <wp:simplePos x="0" y="0"/>
                <wp:positionH relativeFrom="column">
                  <wp:posOffset>4885055</wp:posOffset>
                </wp:positionH>
                <wp:positionV relativeFrom="paragraph">
                  <wp:posOffset>2470150</wp:posOffset>
                </wp:positionV>
                <wp:extent cx="1168400" cy="374015"/>
                <wp:effectExtent l="23495" t="74930" r="27305" b="84455"/>
                <wp:wrapNone/>
                <wp:docPr id="48" name="矩形 48"/>
                <wp:cNvGraphicFramePr/>
                <a:graphic xmlns:a="http://schemas.openxmlformats.org/drawingml/2006/main">
                  <a:graphicData uri="http://schemas.microsoft.com/office/word/2010/wordprocessingShape">
                    <wps:wsp>
                      <wps:cNvSpPr/>
                      <wps:spPr>
                        <a:xfrm rot="-420000">
                          <a:off x="0" y="0"/>
                          <a:ext cx="1168400" cy="374015"/>
                        </a:xfrm>
                        <a:prstGeom prst="rect">
                          <a:avLst/>
                        </a:prstGeom>
                        <a:solidFill>
                          <a:srgbClr val="4F81BD"/>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384.65pt;margin-top:194.5pt;height:29.45pt;width:92pt;rotation:-458752f;z-index:251705344;mso-width-relative:page;mso-height-relative:page;" fillcolor="#4F81BD" filled="t" stroked="t" coordsize="21600,21600" o:gfxdata="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AIABRjYAAAACwEAAA8AAAAAAAAAAQAgAAAA&#10;IgAAAGRycy9kb3ducmV2LnhtbFBLAQIUABQAAAAIAIdO4kDILdibCwIAAC4EAAAOAAAAAAAAAAEA&#10;IAAAACcBAABkcnMvZTJvRG9jLnhtbFBLBQYAAAAABgAGAFkBAACkBQAAAAA=&#10;">
                <v:fill on="t" focussize="0,0"/>
                <v:stroke color="#000000" joinstyle="miter"/>
                <v:imagedata o:title=""/>
                <o:lock v:ext="edit" aspectratio="f"/>
              </v:rect>
            </w:pict>
          </mc:Fallback>
        </mc:AlternateContent>
      </w:r>
      <w:r>
        <w:rPr>
          <w:sz w:val="21"/>
        </w:rPr>
        <mc:AlternateContent>
          <mc:Choice Requires="wps">
            <w:drawing>
              <wp:anchor distT="0" distB="0" distL="114300" distR="114300" simplePos="0" relativeHeight="251704320" behindDoc="0" locked="0" layoutInCell="1" allowOverlap="1">
                <wp:simplePos x="0" y="0"/>
                <wp:positionH relativeFrom="column">
                  <wp:posOffset>4821555</wp:posOffset>
                </wp:positionH>
                <wp:positionV relativeFrom="paragraph">
                  <wp:posOffset>1908810</wp:posOffset>
                </wp:positionV>
                <wp:extent cx="1168400" cy="374015"/>
                <wp:effectExtent l="23495" t="74930" r="27305" b="84455"/>
                <wp:wrapNone/>
                <wp:docPr id="46" name="矩形 46"/>
                <wp:cNvGraphicFramePr/>
                <a:graphic xmlns:a="http://schemas.openxmlformats.org/drawingml/2006/main">
                  <a:graphicData uri="http://schemas.microsoft.com/office/word/2010/wordprocessingShape">
                    <wps:wsp>
                      <wps:cNvSpPr/>
                      <wps:spPr>
                        <a:xfrm rot="-420000">
                          <a:off x="0" y="0"/>
                          <a:ext cx="1168400" cy="374015"/>
                        </a:xfrm>
                        <a:prstGeom prst="rect">
                          <a:avLst/>
                        </a:prstGeom>
                        <a:solidFill>
                          <a:srgbClr val="4F81BD"/>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379.65pt;margin-top:150.3pt;height:29.45pt;width:92pt;rotation:-458752f;z-index:251704320;mso-width-relative:page;mso-height-relative:page;" fillcolor="#4F81BD" filled="t" stroked="t" coordsize="21600,21600" o:gfxdata="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PHnX21gAAAAsBAAAPAAAAAAAAAAEAIAAAACIA&#10;AABkcnMvZG93bnJldi54bWxQSwECFAAUAAAACACHTuJAaCYGVQsCAAAuBAAADgAAAAAAAAABACAA&#10;AAAlAQAAZHJzL2Uyb0RvYy54bWxQSwUGAAAAAAYABgBZAQAAogUAAAAA&#10;">
                <v:fill on="t" focussize="0,0"/>
                <v:stroke color="#000000" joinstyle="miter"/>
                <v:imagedata o:title=""/>
                <o:lock v:ext="edit" aspectratio="f"/>
              </v:rect>
            </w:pict>
          </mc:Fallback>
        </mc:AlternateContent>
      </w:r>
      <w:r>
        <w:rPr>
          <w:sz w:val="21"/>
        </w:rPr>
        <mc:AlternateContent>
          <mc:Choice Requires="wps">
            <w:drawing>
              <wp:anchor distT="0" distB="0" distL="114300" distR="114300" simplePos="0" relativeHeight="251703296" behindDoc="0" locked="0" layoutInCell="1" allowOverlap="1">
                <wp:simplePos x="0" y="0"/>
                <wp:positionH relativeFrom="column">
                  <wp:posOffset>3105785</wp:posOffset>
                </wp:positionH>
                <wp:positionV relativeFrom="paragraph">
                  <wp:posOffset>1243330</wp:posOffset>
                </wp:positionV>
                <wp:extent cx="4011295" cy="4307205"/>
                <wp:effectExtent l="4445" t="4445" r="22860" b="12700"/>
                <wp:wrapNone/>
                <wp:docPr id="40" name="任意多边形 40"/>
                <wp:cNvGraphicFramePr/>
                <a:graphic xmlns:a="http://schemas.openxmlformats.org/drawingml/2006/main">
                  <a:graphicData uri="http://schemas.microsoft.com/office/word/2010/wordprocessingShape">
                    <wps:wsp>
                      <wps:cNvSpPr/>
                      <wps:spPr>
                        <a:xfrm>
                          <a:off x="0" y="0"/>
                          <a:ext cx="4011295" cy="4307205"/>
                        </a:xfrm>
                        <a:custGeom>
                          <a:avLst/>
                          <a:gdLst/>
                          <a:ahLst/>
                          <a:cxnLst/>
                          <a:pathLst>
                            <a:path w="6050" h="6783">
                              <a:moveTo>
                                <a:pt x="717" y="5950"/>
                              </a:moveTo>
                              <a:lnTo>
                                <a:pt x="0" y="800"/>
                              </a:lnTo>
                              <a:lnTo>
                                <a:pt x="133" y="616"/>
                              </a:lnTo>
                              <a:lnTo>
                                <a:pt x="1250" y="483"/>
                              </a:lnTo>
                              <a:lnTo>
                                <a:pt x="1600" y="750"/>
                              </a:lnTo>
                              <a:lnTo>
                                <a:pt x="2750" y="583"/>
                              </a:lnTo>
                              <a:lnTo>
                                <a:pt x="3017" y="250"/>
                              </a:lnTo>
                              <a:lnTo>
                                <a:pt x="5383" y="0"/>
                              </a:lnTo>
                              <a:lnTo>
                                <a:pt x="6050" y="6133"/>
                              </a:lnTo>
                              <a:lnTo>
                                <a:pt x="2117" y="6600"/>
                              </a:lnTo>
                              <a:lnTo>
                                <a:pt x="800" y="6783"/>
                              </a:lnTo>
                              <a:lnTo>
                                <a:pt x="767" y="625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244.55pt;margin-top:97.9pt;height:339.15pt;width:315.85pt;z-index:251703296;mso-width-relative:page;mso-height-relative:page;" filled="f" stroked="t" coordsize="6050,6783" o:gfxdata="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aavKHNoAAAAMAQAADwAAAAAAAAABACAAAAAiAAAAZHJzL2Rvd25y&#10;ZXYueG1sUEsBAhQAFAAAAAgAh07iQNcg2ganAgAAMAYAAA4AAAAAAAAAAQAgAAAAKQEAAGRycy9l&#10;Mm9Eb2MueG1sUEsFBgAAAAAGAAYAWQEAAEIGAAAAAA==&#10;" path="m717,5950l0,800,133,616,1250,483,1600,750,2750,583,3017,250,5383,0,6050,6133,2117,6600,800,6783,767,6250e">
                <v:fill on="f" focussize="0,0"/>
                <v:stroke color="#000000" joinstyle="round"/>
                <v:imagedata o:title=""/>
                <o:lock v:ext="edit" aspectratio="f"/>
              </v:shape>
            </w:pict>
          </mc:Fallback>
        </mc:AlternateContent>
      </w:r>
      <w:r>
        <w:rPr>
          <w:rFonts w:ascii="宋体" w:hAnsi="宋体"/>
        </w:rPr>
        <w:drawing>
          <wp:anchor distT="0" distB="0" distL="114300" distR="114300" simplePos="0" relativeHeight="251702272" behindDoc="0" locked="0" layoutInCell="1" allowOverlap="1">
            <wp:simplePos x="0" y="0"/>
            <wp:positionH relativeFrom="column">
              <wp:posOffset>8768715</wp:posOffset>
            </wp:positionH>
            <wp:positionV relativeFrom="paragraph">
              <wp:posOffset>33020</wp:posOffset>
            </wp:positionV>
            <wp:extent cx="673100" cy="659765"/>
            <wp:effectExtent l="9525" t="9525" r="18415" b="16510"/>
            <wp:wrapNone/>
            <wp:docPr id="4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4"/>
                    <pic:cNvPicPr>
                      <a:picLocks noChangeAspect="1"/>
                    </pic:cNvPicPr>
                  </pic:nvPicPr>
                  <pic:blipFill>
                    <a:blip r:embed="rId25"/>
                    <a:stretch>
                      <a:fillRect/>
                    </a:stretch>
                  </pic:blipFill>
                  <pic:spPr>
                    <a:xfrm>
                      <a:off x="0" y="0"/>
                      <a:ext cx="673100" cy="659765"/>
                    </a:xfrm>
                    <a:prstGeom prst="rect">
                      <a:avLst/>
                    </a:prstGeom>
                    <a:noFill/>
                    <a:ln w="9525" cap="flat" cmpd="sng">
                      <a:solidFill>
                        <a:srgbClr val="000000"/>
                      </a:solidFill>
                      <a:prstDash val="solid"/>
                      <a:miter/>
                      <a:headEnd type="none" w="med" len="med"/>
                      <a:tailEnd type="none" w="med" len="med"/>
                    </a:ln>
                  </pic:spPr>
                </pic:pic>
              </a:graphicData>
            </a:graphic>
          </wp:anchor>
        </w:drawing>
      </w:r>
    </w:p>
    <w:p w14:paraId="09F5893D">
      <w:pPr>
        <w:jc w:val="both"/>
        <w:rPr>
          <w:rFonts w:hint="eastAsia" w:eastAsia="宋体"/>
          <w:lang w:eastAsia="zh-CN"/>
        </w:rPr>
        <w:sectPr>
          <w:pgSz w:w="16838" w:h="11906" w:orient="landscape"/>
          <w:pgMar w:top="720" w:right="720" w:bottom="720" w:left="72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sz w:val="21"/>
        </w:rPr>
        <mc:AlternateContent>
          <mc:Choice Requires="wps">
            <w:drawing>
              <wp:anchor distT="0" distB="0" distL="114300" distR="114300" simplePos="0" relativeHeight="251695104" behindDoc="0" locked="0" layoutInCell="1" allowOverlap="1">
                <wp:simplePos x="0" y="0"/>
                <wp:positionH relativeFrom="column">
                  <wp:posOffset>3391535</wp:posOffset>
                </wp:positionH>
                <wp:positionV relativeFrom="paragraph">
                  <wp:posOffset>6582410</wp:posOffset>
                </wp:positionV>
                <wp:extent cx="3015615" cy="404495"/>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3015615" cy="404495"/>
                        </a:xfrm>
                        <a:prstGeom prst="rect">
                          <a:avLst/>
                        </a:prstGeom>
                        <a:noFill/>
                        <a:ln>
                          <a:noFill/>
                        </a:ln>
                      </wps:spPr>
                      <wps:txbx>
                        <w:txbxContent>
                          <w:p w14:paraId="4148BBA8">
                            <w:pPr>
                              <w:jc w:val="center"/>
                              <w:rPr>
                                <w:rFonts w:hint="default"/>
                                <w:b/>
                                <w:bCs/>
                                <w:sz w:val="28"/>
                                <w:szCs w:val="28"/>
                                <w:lang w:val="en-US" w:eastAsia="zh-CN"/>
                              </w:rPr>
                            </w:pPr>
                            <w:r>
                              <w:rPr>
                                <w:rFonts w:hint="eastAsia"/>
                                <w:b/>
                                <w:bCs/>
                                <w:sz w:val="28"/>
                                <w:szCs w:val="28"/>
                                <w:lang w:val="en-US" w:eastAsia="zh-CN"/>
                              </w:rPr>
                              <w:t>附图四：项目选址周围环境现状图</w:t>
                            </w:r>
                          </w:p>
                        </w:txbxContent>
                      </wps:txbx>
                      <wps:bodyPr upright="1"/>
                    </wps:wsp>
                  </a:graphicData>
                </a:graphic>
              </wp:anchor>
            </w:drawing>
          </mc:Choice>
          <mc:Fallback>
            <w:pict>
              <v:shape id="_x0000_s1026" o:spid="_x0000_s1026" o:spt="202" type="#_x0000_t202" style="position:absolute;left:0pt;margin-left:267.05pt;margin-top:518.3pt;height:31.85pt;width:237.45pt;z-index:251695104;mso-width-relative:page;mso-height-relative:page;" filled="f" stroked="f" coordsize="21600,21600" o:gfxdata="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Qd8aW&#10;2AAAAA4BAAAPAAAAAAAAAAEAIAAAACIAAABkcnMvZG93bnJldi54bWxQSwECFAAUAAAACACHTuJA&#10;nBgjAa8BAABQAwAADgAAAAAAAAABACAAAAAnAQAAZHJzL2Uyb0RvYy54bWxQSwUGAAAAAAYABgBZ&#10;AQAASAUAAAAA&#10;">
                <v:fill on="f" focussize="0,0"/>
                <v:stroke on="f"/>
                <v:imagedata o:title=""/>
                <o:lock v:ext="edit" aspectratio="f"/>
                <v:textbox>
                  <w:txbxContent>
                    <w:p w14:paraId="4148BBA8">
                      <w:pPr>
                        <w:jc w:val="center"/>
                        <w:rPr>
                          <w:rFonts w:hint="default"/>
                          <w:b/>
                          <w:bCs/>
                          <w:sz w:val="28"/>
                          <w:szCs w:val="28"/>
                          <w:lang w:val="en-US" w:eastAsia="zh-CN"/>
                        </w:rPr>
                      </w:pPr>
                      <w:r>
                        <w:rPr>
                          <w:rFonts w:hint="eastAsia"/>
                          <w:b/>
                          <w:bCs/>
                          <w:sz w:val="28"/>
                          <w:szCs w:val="28"/>
                          <w:lang w:val="en-US" w:eastAsia="zh-CN"/>
                        </w:rPr>
                        <w:t>附图四：项目选址周围环境现状图</w:t>
                      </w:r>
                    </w:p>
                  </w:txbxContent>
                </v:textbox>
              </v:shape>
            </w:pict>
          </mc:Fallback>
        </mc:AlternateContent>
      </w:r>
      <w:r>
        <w:rPr>
          <w:sz w:val="21"/>
        </w:rPr>
        <mc:AlternateContent>
          <mc:Choice Requires="wps">
            <w:drawing>
              <wp:anchor distT="0" distB="0" distL="114300" distR="114300" simplePos="0" relativeHeight="251740160" behindDoc="0" locked="0" layoutInCell="1" allowOverlap="1">
                <wp:simplePos x="0" y="0"/>
                <wp:positionH relativeFrom="column">
                  <wp:posOffset>6292215</wp:posOffset>
                </wp:positionH>
                <wp:positionV relativeFrom="paragraph">
                  <wp:posOffset>6535420</wp:posOffset>
                </wp:positionV>
                <wp:extent cx="2067560" cy="348615"/>
                <wp:effectExtent l="0" t="0" r="0" b="0"/>
                <wp:wrapNone/>
                <wp:docPr id="4" name="文本框 4"/>
                <wp:cNvGraphicFramePr/>
                <a:graphic xmlns:a="http://schemas.openxmlformats.org/drawingml/2006/main">
                  <a:graphicData uri="http://schemas.microsoft.com/office/word/2010/wordprocessingShape">
                    <wps:wsp>
                      <wps:cNvSpPr txBox="1"/>
                      <wps:spPr>
                        <a:xfrm>
                          <a:off x="0" y="0"/>
                          <a:ext cx="2067560" cy="348615"/>
                        </a:xfrm>
                        <a:prstGeom prst="rect">
                          <a:avLst/>
                        </a:prstGeom>
                        <a:noFill/>
                        <a:ln>
                          <a:noFill/>
                        </a:ln>
                      </wps:spPr>
                      <wps:txbx>
                        <w:txbxContent>
                          <w:p w14:paraId="2E16BD6E">
                            <w:pPr>
                              <w:jc w:val="center"/>
                              <w:rPr>
                                <w:rFonts w:hint="default"/>
                                <w:b/>
                                <w:bCs/>
                                <w:sz w:val="24"/>
                                <w:szCs w:val="24"/>
                                <w:lang w:val="en-US" w:eastAsia="zh-CN"/>
                              </w:rPr>
                            </w:pPr>
                            <w:r>
                              <w:rPr>
                                <w:rFonts w:hint="eastAsia"/>
                                <w:b/>
                                <w:bCs/>
                                <w:sz w:val="24"/>
                                <w:szCs w:val="24"/>
                                <w:lang w:val="en-US" w:eastAsia="zh-CN"/>
                              </w:rPr>
                              <w:t>北侧</w:t>
                            </w:r>
                          </w:p>
                        </w:txbxContent>
                      </wps:txbx>
                      <wps:bodyPr upright="1"/>
                    </wps:wsp>
                  </a:graphicData>
                </a:graphic>
              </wp:anchor>
            </w:drawing>
          </mc:Choice>
          <mc:Fallback>
            <w:pict>
              <v:shape id="_x0000_s1026" o:spid="_x0000_s1026" o:spt="202" type="#_x0000_t202" style="position:absolute;left:0pt;margin-left:495.45pt;margin-top:514.6pt;height:27.45pt;width:162.8pt;z-index:251740160;mso-width-relative:page;mso-height-relative:page;" filled="f" stroked="f" coordsize="21600,21600" o:gfxdata="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PyptZnZ&#10;AAAADgEAAA8AAAAAAAAAAQAgAAAAIgAAAGRycy9kb3ducmV2LnhtbFBLAQIUABQAAAAIAIdO4kAB&#10;hpfUrQEAAE4DAAAOAAAAAAAAAAEAIAAAACgBAABkcnMvZTJvRG9jLnhtbFBLBQYAAAAABgAGAFkB&#10;AABHBQAAAAA=&#10;">
                <v:fill on="f" focussize="0,0"/>
                <v:stroke on="f"/>
                <v:imagedata o:title=""/>
                <o:lock v:ext="edit" aspectratio="f"/>
                <v:textbox>
                  <w:txbxContent>
                    <w:p w14:paraId="2E16BD6E">
                      <w:pPr>
                        <w:jc w:val="center"/>
                        <w:rPr>
                          <w:rFonts w:hint="default"/>
                          <w:b/>
                          <w:bCs/>
                          <w:sz w:val="24"/>
                          <w:szCs w:val="24"/>
                          <w:lang w:val="en-US" w:eastAsia="zh-CN"/>
                        </w:rPr>
                      </w:pPr>
                      <w:r>
                        <w:rPr>
                          <w:rFonts w:hint="eastAsia"/>
                          <w:b/>
                          <w:bCs/>
                          <w:sz w:val="24"/>
                          <w:szCs w:val="24"/>
                          <w:lang w:val="en-US" w:eastAsia="zh-CN"/>
                        </w:rPr>
                        <w:t>北侧</w:t>
                      </w:r>
                    </w:p>
                  </w:txbxContent>
                </v:textbox>
              </v:shape>
            </w:pict>
          </mc:Fallback>
        </mc:AlternateContent>
      </w:r>
      <w:r>
        <w:rPr>
          <w:sz w:val="21"/>
        </w:rPr>
        <mc:AlternateContent>
          <mc:Choice Requires="wps">
            <w:drawing>
              <wp:anchor distT="0" distB="0" distL="114300" distR="114300" simplePos="0" relativeHeight="251739136" behindDoc="0" locked="0" layoutInCell="1" allowOverlap="1">
                <wp:simplePos x="0" y="0"/>
                <wp:positionH relativeFrom="column">
                  <wp:posOffset>1263015</wp:posOffset>
                </wp:positionH>
                <wp:positionV relativeFrom="paragraph">
                  <wp:posOffset>6562090</wp:posOffset>
                </wp:positionV>
                <wp:extent cx="2067560" cy="348615"/>
                <wp:effectExtent l="0" t="0" r="0" b="0"/>
                <wp:wrapNone/>
                <wp:docPr id="2" name="文本框 2"/>
                <wp:cNvGraphicFramePr/>
                <a:graphic xmlns:a="http://schemas.openxmlformats.org/drawingml/2006/main">
                  <a:graphicData uri="http://schemas.microsoft.com/office/word/2010/wordprocessingShape">
                    <wps:wsp>
                      <wps:cNvSpPr txBox="1"/>
                      <wps:spPr>
                        <a:xfrm>
                          <a:off x="0" y="0"/>
                          <a:ext cx="2067560" cy="348615"/>
                        </a:xfrm>
                        <a:prstGeom prst="rect">
                          <a:avLst/>
                        </a:prstGeom>
                        <a:noFill/>
                        <a:ln>
                          <a:noFill/>
                        </a:ln>
                      </wps:spPr>
                      <wps:txbx>
                        <w:txbxContent>
                          <w:p w14:paraId="082C7762">
                            <w:pPr>
                              <w:jc w:val="center"/>
                              <w:rPr>
                                <w:rFonts w:hint="default"/>
                                <w:b/>
                                <w:bCs/>
                                <w:sz w:val="24"/>
                                <w:szCs w:val="24"/>
                                <w:lang w:val="en-US" w:eastAsia="zh-CN"/>
                              </w:rPr>
                            </w:pPr>
                            <w:r>
                              <w:rPr>
                                <w:rFonts w:hint="eastAsia"/>
                                <w:b/>
                                <w:bCs/>
                                <w:sz w:val="24"/>
                                <w:szCs w:val="24"/>
                                <w:lang w:val="en-US" w:eastAsia="zh-CN"/>
                              </w:rPr>
                              <w:t>西侧</w:t>
                            </w:r>
                          </w:p>
                        </w:txbxContent>
                      </wps:txbx>
                      <wps:bodyPr upright="1"/>
                    </wps:wsp>
                  </a:graphicData>
                </a:graphic>
              </wp:anchor>
            </w:drawing>
          </mc:Choice>
          <mc:Fallback>
            <w:pict>
              <v:shape id="_x0000_s1026" o:spid="_x0000_s1026" o:spt="202" type="#_x0000_t202" style="position:absolute;left:0pt;margin-left:99.45pt;margin-top:516.7pt;height:27.45pt;width:162.8pt;z-index:251739136;mso-width-relative:page;mso-height-relative:page;" filled="f" stroked="f" coordsize="21600,21600" o:gfxdata="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pAnT29gA&#10;AAANAQAADwAAAAAAAAABACAAAAAiAAAAZHJzL2Rvd25yZXYueG1sUEsBAhQAFAAAAAgAh07iQHG1&#10;alatAQAATgMAAA4AAAAAAAAAAQAgAAAAJwEAAGRycy9lMm9Eb2MueG1sUEsFBgAAAAAGAAYAWQEA&#10;AEYFAAAAAA==&#10;">
                <v:fill on="f" focussize="0,0"/>
                <v:stroke on="f"/>
                <v:imagedata o:title=""/>
                <o:lock v:ext="edit" aspectratio="f"/>
                <v:textbox>
                  <w:txbxContent>
                    <w:p w14:paraId="082C7762">
                      <w:pPr>
                        <w:jc w:val="center"/>
                        <w:rPr>
                          <w:rFonts w:hint="default"/>
                          <w:b/>
                          <w:bCs/>
                          <w:sz w:val="24"/>
                          <w:szCs w:val="24"/>
                          <w:lang w:val="en-US" w:eastAsia="zh-CN"/>
                        </w:rPr>
                      </w:pPr>
                      <w:r>
                        <w:rPr>
                          <w:rFonts w:hint="eastAsia"/>
                          <w:b/>
                          <w:bCs/>
                          <w:sz w:val="24"/>
                          <w:szCs w:val="24"/>
                          <w:lang w:val="en-US" w:eastAsia="zh-CN"/>
                        </w:rPr>
                        <w:t>西侧</w:t>
                      </w:r>
                    </w:p>
                  </w:txbxContent>
                </v:textbox>
              </v:shape>
            </w:pict>
          </mc:Fallback>
        </mc:AlternateContent>
      </w:r>
      <w:r>
        <w:rPr>
          <w:sz w:val="21"/>
        </w:rPr>
        <mc:AlternateContent>
          <mc:Choice Requires="wps">
            <w:drawing>
              <wp:anchor distT="0" distB="0" distL="114300" distR="114300" simplePos="0" relativeHeight="251741184" behindDoc="0" locked="0" layoutInCell="1" allowOverlap="1">
                <wp:simplePos x="0" y="0"/>
                <wp:positionH relativeFrom="column">
                  <wp:posOffset>1568450</wp:posOffset>
                </wp:positionH>
                <wp:positionV relativeFrom="paragraph">
                  <wp:posOffset>3133725</wp:posOffset>
                </wp:positionV>
                <wp:extent cx="2067560" cy="348615"/>
                <wp:effectExtent l="0" t="0" r="0" b="0"/>
                <wp:wrapNone/>
                <wp:docPr id="5" name="文本框 5"/>
                <wp:cNvGraphicFramePr/>
                <a:graphic xmlns:a="http://schemas.openxmlformats.org/drawingml/2006/main">
                  <a:graphicData uri="http://schemas.microsoft.com/office/word/2010/wordprocessingShape">
                    <wps:wsp>
                      <wps:cNvSpPr txBox="1"/>
                      <wps:spPr>
                        <a:xfrm>
                          <a:off x="0" y="0"/>
                          <a:ext cx="2067560" cy="348615"/>
                        </a:xfrm>
                        <a:prstGeom prst="rect">
                          <a:avLst/>
                        </a:prstGeom>
                        <a:noFill/>
                        <a:ln>
                          <a:noFill/>
                        </a:ln>
                      </wps:spPr>
                      <wps:txbx>
                        <w:txbxContent>
                          <w:p w14:paraId="05313258">
                            <w:pPr>
                              <w:jc w:val="center"/>
                              <w:rPr>
                                <w:rFonts w:hint="default"/>
                                <w:b/>
                                <w:bCs/>
                                <w:sz w:val="24"/>
                                <w:szCs w:val="24"/>
                                <w:lang w:val="en-US" w:eastAsia="zh-CN"/>
                              </w:rPr>
                            </w:pPr>
                            <w:r>
                              <w:rPr>
                                <w:rFonts w:hint="eastAsia"/>
                                <w:b/>
                                <w:bCs/>
                                <w:sz w:val="24"/>
                                <w:szCs w:val="24"/>
                                <w:lang w:val="en-US" w:eastAsia="zh-CN"/>
                              </w:rPr>
                              <w:t>南侧</w:t>
                            </w:r>
                          </w:p>
                        </w:txbxContent>
                      </wps:txbx>
                      <wps:bodyPr upright="1"/>
                    </wps:wsp>
                  </a:graphicData>
                </a:graphic>
              </wp:anchor>
            </w:drawing>
          </mc:Choice>
          <mc:Fallback>
            <w:pict>
              <v:shape id="_x0000_s1026" o:spid="_x0000_s1026" o:spt="202" type="#_x0000_t202" style="position:absolute;left:0pt;margin-left:123.5pt;margin-top:246.75pt;height:27.45pt;width:162.8pt;z-index:251741184;mso-width-relative:page;mso-height-relative:page;" filled="f" stroked="f" coordsize="21600,21600" o:gfxdata="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KEpDYvZ&#10;AAAACwEAAA8AAAAAAAAAAQAgAAAAIgAAAGRycy9kb3ducmV2LnhtbFBLAQIUABQAAAAIAIdO4kBp&#10;8b3rrQEAAE4DAAAOAAAAAAAAAAEAIAAAACgBAABkcnMvZTJvRG9jLnhtbFBLBQYAAAAABgAGAFkB&#10;AABHBQAAAAA=&#10;">
                <v:fill on="f" focussize="0,0"/>
                <v:stroke on="f"/>
                <v:imagedata o:title=""/>
                <o:lock v:ext="edit" aspectratio="f"/>
                <v:textbox>
                  <w:txbxContent>
                    <w:p w14:paraId="05313258">
                      <w:pPr>
                        <w:jc w:val="center"/>
                        <w:rPr>
                          <w:rFonts w:hint="default"/>
                          <w:b/>
                          <w:bCs/>
                          <w:sz w:val="24"/>
                          <w:szCs w:val="24"/>
                          <w:lang w:val="en-US" w:eastAsia="zh-CN"/>
                        </w:rPr>
                      </w:pPr>
                      <w:r>
                        <w:rPr>
                          <w:rFonts w:hint="eastAsia"/>
                          <w:b/>
                          <w:bCs/>
                          <w:sz w:val="24"/>
                          <w:szCs w:val="24"/>
                          <w:lang w:val="en-US" w:eastAsia="zh-CN"/>
                        </w:rPr>
                        <w:t>南侧</w:t>
                      </w:r>
                    </w:p>
                  </w:txbxContent>
                </v:textbox>
              </v:shape>
            </w:pict>
          </mc:Fallback>
        </mc:AlternateContent>
      </w:r>
      <w:r>
        <w:rPr>
          <w:sz w:val="21"/>
        </w:rPr>
        <mc:AlternateContent>
          <mc:Choice Requires="wps">
            <w:drawing>
              <wp:anchor distT="0" distB="0" distL="114300" distR="114300" simplePos="0" relativeHeight="251694080" behindDoc="0" locked="0" layoutInCell="1" allowOverlap="1">
                <wp:simplePos x="0" y="0"/>
                <wp:positionH relativeFrom="column">
                  <wp:posOffset>6181725</wp:posOffset>
                </wp:positionH>
                <wp:positionV relativeFrom="paragraph">
                  <wp:posOffset>3126740</wp:posOffset>
                </wp:positionV>
                <wp:extent cx="2067560" cy="348615"/>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2067560" cy="348615"/>
                        </a:xfrm>
                        <a:prstGeom prst="rect">
                          <a:avLst/>
                        </a:prstGeom>
                        <a:noFill/>
                        <a:ln>
                          <a:noFill/>
                        </a:ln>
                      </wps:spPr>
                      <wps:txbx>
                        <w:txbxContent>
                          <w:p w14:paraId="3E5BD9D6">
                            <w:pPr>
                              <w:jc w:val="center"/>
                              <w:rPr>
                                <w:rFonts w:hint="default"/>
                                <w:b/>
                                <w:bCs/>
                                <w:sz w:val="24"/>
                                <w:szCs w:val="24"/>
                                <w:lang w:val="en-US" w:eastAsia="zh-CN"/>
                              </w:rPr>
                            </w:pPr>
                            <w:r>
                              <w:rPr>
                                <w:rFonts w:hint="eastAsia"/>
                                <w:b/>
                                <w:bCs/>
                                <w:sz w:val="24"/>
                                <w:szCs w:val="24"/>
                                <w:lang w:val="en-US" w:eastAsia="zh-CN"/>
                              </w:rPr>
                              <w:t>东侧</w:t>
                            </w:r>
                          </w:p>
                        </w:txbxContent>
                      </wps:txbx>
                      <wps:bodyPr upright="1"/>
                    </wps:wsp>
                  </a:graphicData>
                </a:graphic>
              </wp:anchor>
            </w:drawing>
          </mc:Choice>
          <mc:Fallback>
            <w:pict>
              <v:shape id="_x0000_s1026" o:spid="_x0000_s1026" o:spt="202" type="#_x0000_t202" style="position:absolute;left:0pt;margin-left:486.75pt;margin-top:246.2pt;height:27.45pt;width:162.8pt;z-index:251694080;mso-width-relative:page;mso-height-relative:page;" filled="f" stroked="f" coordsize="21600,21600" o:gfxdata="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Ab5pMvZ&#10;AAAADAEAAA8AAAAAAAAAAQAgAAAAIgAAAGRycy9kb3ducmV2LnhtbFBLAQIUABQAAAAIAIdO4kCi&#10;eoHwrQEAAFADAAAOAAAAAAAAAAEAIAAAACgBAABkcnMvZTJvRG9jLnhtbFBLBQYAAAAABgAGAFkB&#10;AABHBQAAAAA=&#10;">
                <v:fill on="f" focussize="0,0"/>
                <v:stroke on="f"/>
                <v:imagedata o:title=""/>
                <o:lock v:ext="edit" aspectratio="f"/>
                <v:textbox>
                  <w:txbxContent>
                    <w:p w14:paraId="3E5BD9D6">
                      <w:pPr>
                        <w:jc w:val="center"/>
                        <w:rPr>
                          <w:rFonts w:hint="default"/>
                          <w:b/>
                          <w:bCs/>
                          <w:sz w:val="24"/>
                          <w:szCs w:val="24"/>
                          <w:lang w:val="en-US" w:eastAsia="zh-CN"/>
                        </w:rPr>
                      </w:pPr>
                      <w:r>
                        <w:rPr>
                          <w:rFonts w:hint="eastAsia"/>
                          <w:b/>
                          <w:bCs/>
                          <w:sz w:val="24"/>
                          <w:szCs w:val="24"/>
                          <w:lang w:val="en-US" w:eastAsia="zh-CN"/>
                        </w:rPr>
                        <w:t>东侧</w:t>
                      </w:r>
                    </w:p>
                  </w:txbxContent>
                </v:textbox>
              </v:shape>
            </w:pict>
          </mc:Fallback>
        </mc:AlternateContent>
      </w:r>
      <w:r>
        <w:rPr>
          <w:rFonts w:hint="eastAsia" w:eastAsia="宋体"/>
          <w:lang w:eastAsia="zh-CN"/>
        </w:rPr>
        <w:drawing>
          <wp:anchor distT="0" distB="0" distL="114300" distR="114300" simplePos="0" relativeHeight="251691008" behindDoc="0" locked="0" layoutInCell="1" allowOverlap="1">
            <wp:simplePos x="0" y="0"/>
            <wp:positionH relativeFrom="column">
              <wp:posOffset>367030</wp:posOffset>
            </wp:positionH>
            <wp:positionV relativeFrom="paragraph">
              <wp:posOffset>3363595</wp:posOffset>
            </wp:positionV>
            <wp:extent cx="4344670" cy="3260725"/>
            <wp:effectExtent l="0" t="0" r="13970" b="635"/>
            <wp:wrapNone/>
            <wp:docPr id="57" name="图片 74" descr="77e50b3e74e5768b7f45be78991c0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74" descr="77e50b3e74e5768b7f45be78991c0b9"/>
                    <pic:cNvPicPr>
                      <a:picLocks noChangeAspect="1"/>
                    </pic:cNvPicPr>
                  </pic:nvPicPr>
                  <pic:blipFill>
                    <a:blip r:embed="rId28"/>
                    <a:stretch>
                      <a:fillRect/>
                    </a:stretch>
                  </pic:blipFill>
                  <pic:spPr>
                    <a:xfrm>
                      <a:off x="0" y="0"/>
                      <a:ext cx="4344670" cy="3260725"/>
                    </a:xfrm>
                    <a:prstGeom prst="rect">
                      <a:avLst/>
                    </a:prstGeom>
                    <a:noFill/>
                    <a:ln>
                      <a:noFill/>
                    </a:ln>
                  </pic:spPr>
                </pic:pic>
              </a:graphicData>
            </a:graphic>
          </wp:anchor>
        </w:drawing>
      </w:r>
      <w:r>
        <w:rPr>
          <w:rFonts w:hint="eastAsia" w:eastAsia="宋体"/>
          <w:lang w:eastAsia="zh-CN"/>
        </w:rPr>
        <w:drawing>
          <wp:anchor distT="0" distB="0" distL="114300" distR="114300" simplePos="0" relativeHeight="251692032" behindDoc="0" locked="0" layoutInCell="1" allowOverlap="1">
            <wp:simplePos x="0" y="0"/>
            <wp:positionH relativeFrom="column">
              <wp:posOffset>344805</wp:posOffset>
            </wp:positionH>
            <wp:positionV relativeFrom="paragraph">
              <wp:posOffset>-13970</wp:posOffset>
            </wp:positionV>
            <wp:extent cx="4427220" cy="3205480"/>
            <wp:effectExtent l="0" t="0" r="7620" b="10160"/>
            <wp:wrapNone/>
            <wp:docPr id="44" name="图片 68" descr="58597b46dfcd536a015a4a25dcd4d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8" descr="58597b46dfcd536a015a4a25dcd4deb"/>
                    <pic:cNvPicPr>
                      <a:picLocks noChangeAspect="1"/>
                    </pic:cNvPicPr>
                  </pic:nvPicPr>
                  <pic:blipFill>
                    <a:blip r:embed="rId29"/>
                    <a:stretch>
                      <a:fillRect/>
                    </a:stretch>
                  </pic:blipFill>
                  <pic:spPr>
                    <a:xfrm>
                      <a:off x="0" y="0"/>
                      <a:ext cx="4427220" cy="3205480"/>
                    </a:xfrm>
                    <a:prstGeom prst="rect">
                      <a:avLst/>
                    </a:prstGeom>
                    <a:noFill/>
                    <a:ln>
                      <a:noFill/>
                    </a:ln>
                  </pic:spPr>
                </pic:pic>
              </a:graphicData>
            </a:graphic>
          </wp:anchor>
        </w:drawing>
      </w:r>
      <w:r>
        <w:rPr>
          <w:rFonts w:hint="eastAsia" w:eastAsia="宋体"/>
          <w:lang w:eastAsia="zh-CN"/>
        </w:rPr>
        <w:drawing>
          <wp:anchor distT="0" distB="0" distL="114300" distR="114300" simplePos="0" relativeHeight="251693056" behindDoc="0" locked="0" layoutInCell="1" allowOverlap="1">
            <wp:simplePos x="0" y="0"/>
            <wp:positionH relativeFrom="column">
              <wp:posOffset>5144135</wp:posOffset>
            </wp:positionH>
            <wp:positionV relativeFrom="paragraph">
              <wp:posOffset>3375660</wp:posOffset>
            </wp:positionV>
            <wp:extent cx="4375150" cy="3216910"/>
            <wp:effectExtent l="0" t="0" r="13970" b="13970"/>
            <wp:wrapNone/>
            <wp:docPr id="50" name="图片 73" descr="a17b252a9cc59c6b766227f83ee2d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3" descr="a17b252a9cc59c6b766227f83ee2dfc"/>
                    <pic:cNvPicPr>
                      <a:picLocks noChangeAspect="1"/>
                    </pic:cNvPicPr>
                  </pic:nvPicPr>
                  <pic:blipFill>
                    <a:blip r:embed="rId30"/>
                    <a:stretch>
                      <a:fillRect/>
                    </a:stretch>
                  </pic:blipFill>
                  <pic:spPr>
                    <a:xfrm>
                      <a:off x="0" y="0"/>
                      <a:ext cx="4375150" cy="3216910"/>
                    </a:xfrm>
                    <a:prstGeom prst="rect">
                      <a:avLst/>
                    </a:prstGeom>
                    <a:noFill/>
                    <a:ln>
                      <a:noFill/>
                    </a:ln>
                  </pic:spPr>
                </pic:pic>
              </a:graphicData>
            </a:graphic>
          </wp:anchor>
        </w:drawing>
      </w:r>
      <w:r>
        <w:rPr>
          <w:rFonts w:hint="eastAsia" w:eastAsia="宋体"/>
          <w:lang w:eastAsia="zh-CN"/>
        </w:rPr>
        <w:drawing>
          <wp:anchor distT="0" distB="0" distL="114300" distR="114300" simplePos="0" relativeHeight="251689984" behindDoc="0" locked="0" layoutInCell="1" allowOverlap="1">
            <wp:simplePos x="0" y="0"/>
            <wp:positionH relativeFrom="column">
              <wp:posOffset>5149215</wp:posOffset>
            </wp:positionH>
            <wp:positionV relativeFrom="paragraph">
              <wp:posOffset>11430</wp:posOffset>
            </wp:positionV>
            <wp:extent cx="4288155" cy="3145155"/>
            <wp:effectExtent l="0" t="0" r="9525" b="9525"/>
            <wp:wrapNone/>
            <wp:docPr id="61" name="图片 75" descr="b616ded1d31fb9cf7c5a6fc7be61e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75" descr="b616ded1d31fb9cf7c5a6fc7be61e8b"/>
                    <pic:cNvPicPr>
                      <a:picLocks noChangeAspect="1"/>
                    </pic:cNvPicPr>
                  </pic:nvPicPr>
                  <pic:blipFill>
                    <a:blip r:embed="rId31"/>
                    <a:stretch>
                      <a:fillRect/>
                    </a:stretch>
                  </pic:blipFill>
                  <pic:spPr>
                    <a:xfrm>
                      <a:off x="0" y="0"/>
                      <a:ext cx="4288155" cy="3145155"/>
                    </a:xfrm>
                    <a:prstGeom prst="rect">
                      <a:avLst/>
                    </a:prstGeom>
                    <a:noFill/>
                    <a:ln>
                      <a:noFill/>
                    </a:ln>
                  </pic:spPr>
                </pic:pic>
              </a:graphicData>
            </a:graphic>
          </wp:anchor>
        </w:drawing>
      </w:r>
    </w:p>
    <w:p w14:paraId="6674551B">
      <w:pPr>
        <w:rPr>
          <w:rFonts w:hint="eastAsia"/>
          <w:lang w:val="en-US" w:eastAsia="zh-CN"/>
        </w:rPr>
        <w:sectPr>
          <w:pgSz w:w="16838" w:h="11906" w:orient="landscape"/>
          <w:pgMar w:top="720" w:right="720" w:bottom="720" w:left="72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sz w:val="21"/>
        </w:rPr>
        <mc:AlternateContent>
          <mc:Choice Requires="wps">
            <w:drawing>
              <wp:anchor distT="0" distB="0" distL="114300" distR="114300" simplePos="0" relativeHeight="251747328" behindDoc="0" locked="0" layoutInCell="1" allowOverlap="1">
                <wp:simplePos x="0" y="0"/>
                <wp:positionH relativeFrom="column">
                  <wp:posOffset>9485630</wp:posOffset>
                </wp:positionH>
                <wp:positionV relativeFrom="paragraph">
                  <wp:posOffset>0</wp:posOffset>
                </wp:positionV>
                <wp:extent cx="353695" cy="429260"/>
                <wp:effectExtent l="0" t="0" r="0" b="0"/>
                <wp:wrapNone/>
                <wp:docPr id="27" name="文本框 27"/>
                <wp:cNvGraphicFramePr/>
                <a:graphic xmlns:a="http://schemas.openxmlformats.org/drawingml/2006/main">
                  <a:graphicData uri="http://schemas.microsoft.com/office/word/2010/wordprocessingShape">
                    <wps:wsp>
                      <wps:cNvSpPr txBox="1"/>
                      <wps:spPr>
                        <a:xfrm>
                          <a:off x="9527540" y="367665"/>
                          <a:ext cx="353695" cy="4292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E5E2B2">
                            <w:pPr>
                              <w:rPr>
                                <w:rFonts w:hint="eastAsia" w:eastAsia="宋体"/>
                                <w:b/>
                                <w:bCs/>
                                <w:sz w:val="32"/>
                                <w:szCs w:val="32"/>
                                <w:lang w:val="en-US" w:eastAsia="zh-CN"/>
                              </w:rPr>
                            </w:pPr>
                            <w:r>
                              <w:rPr>
                                <w:rFonts w:hint="eastAsia"/>
                                <w:b/>
                                <w:bCs/>
                                <w:sz w:val="32"/>
                                <w:szCs w:val="32"/>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46.9pt;margin-top:0pt;height:33.8pt;width:27.85pt;z-index:251747328;mso-width-relative:page;mso-height-relative:page;" filled="f" stroked="f" coordsize="21600,21600" o:gfxdata="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1A8mG2gAAAAkBAAAPAAAAAAAA&#10;AAEAIAAAACIAAABkcnMvZG93bnJldi54bWxQSwECFAAUAAAACACHTuJARBFfWUkCAAByBAAADgAA&#10;AAAAAAABACAAAAApAQAAZHJzL2Uyb0RvYy54bWxQSwUGAAAAAAYABgBZAQAA5AUAAAAA&#10;">
                <v:fill on="f" focussize="0,0"/>
                <v:stroke on="f" weight="0.5pt"/>
                <v:imagedata o:title=""/>
                <o:lock v:ext="edit" aspectratio="f"/>
                <v:textbox>
                  <w:txbxContent>
                    <w:p w14:paraId="66E5E2B2">
                      <w:pPr>
                        <w:rPr>
                          <w:rFonts w:hint="eastAsia" w:eastAsia="宋体"/>
                          <w:b/>
                          <w:bCs/>
                          <w:sz w:val="32"/>
                          <w:szCs w:val="32"/>
                          <w:lang w:val="en-US" w:eastAsia="zh-CN"/>
                        </w:rPr>
                      </w:pPr>
                      <w:r>
                        <w:rPr>
                          <w:rFonts w:hint="eastAsia"/>
                          <w:b/>
                          <w:bCs/>
                          <w:sz w:val="32"/>
                          <w:szCs w:val="32"/>
                          <w:lang w:val="en-US" w:eastAsia="zh-CN"/>
                        </w:rPr>
                        <w:t>N</w:t>
                      </w:r>
                    </w:p>
                  </w:txbxContent>
                </v:textbox>
              </v:shape>
            </w:pict>
          </mc:Fallback>
        </mc:AlternateContent>
      </w:r>
      <w:r>
        <w:rPr>
          <w:sz w:val="21"/>
        </w:rPr>
        <mc:AlternateContent>
          <mc:Choice Requires="wps">
            <w:drawing>
              <wp:anchor distT="0" distB="0" distL="114300" distR="114300" simplePos="0" relativeHeight="251746304" behindDoc="0" locked="0" layoutInCell="1" allowOverlap="1">
                <wp:simplePos x="0" y="0"/>
                <wp:positionH relativeFrom="column">
                  <wp:posOffset>9589770</wp:posOffset>
                </wp:positionH>
                <wp:positionV relativeFrom="paragraph">
                  <wp:posOffset>332105</wp:posOffset>
                </wp:positionV>
                <wp:extent cx="166370" cy="326390"/>
                <wp:effectExtent l="15240" t="8890" r="16510" b="15240"/>
                <wp:wrapNone/>
                <wp:docPr id="26" name="上箭头 26"/>
                <wp:cNvGraphicFramePr/>
                <a:graphic xmlns:a="http://schemas.openxmlformats.org/drawingml/2006/main">
                  <a:graphicData uri="http://schemas.microsoft.com/office/word/2010/wordprocessingShape">
                    <wps:wsp>
                      <wps:cNvSpPr/>
                      <wps:spPr>
                        <a:xfrm>
                          <a:off x="9769475" y="796925"/>
                          <a:ext cx="166370" cy="326390"/>
                        </a:xfrm>
                        <a:prstGeom prst="upArrow">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755.1pt;margin-top:26.15pt;height:25.7pt;width:13.1pt;z-index:251746304;v-text-anchor:middle;mso-width-relative:page;mso-height-relative:page;" fillcolor="#000000 [3213]" filled="t" stroked="t" coordsize="21600,21600" o:gfxdata="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8FeGUtoAAAAMAQAADwAAAAAAAAAB&#10;ACAAAAAiAAAAZHJzL2Rvd25yZXYueG1sUEsBAhQAFAAAAAgAh07iQI0FukqAAgAABgUAAA4AAAAA&#10;AAAAAQAgAAAAKQEAAGRycy9lMm9Eb2MueG1sUEsFBgAAAAAGAAYAWQEAABsGAAAAAA==&#10;" adj="5505,540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700224" behindDoc="0" locked="0" layoutInCell="1" allowOverlap="1">
                <wp:simplePos x="0" y="0"/>
                <wp:positionH relativeFrom="column">
                  <wp:posOffset>2705735</wp:posOffset>
                </wp:positionH>
                <wp:positionV relativeFrom="paragraph">
                  <wp:posOffset>6115685</wp:posOffset>
                </wp:positionV>
                <wp:extent cx="4686300" cy="470535"/>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4686300" cy="470535"/>
                        </a:xfrm>
                        <a:prstGeom prst="rect">
                          <a:avLst/>
                        </a:prstGeom>
                        <a:noFill/>
                        <a:ln>
                          <a:noFill/>
                        </a:ln>
                      </wps:spPr>
                      <wps:txbx>
                        <w:txbxContent>
                          <w:p w14:paraId="51B06FE9">
                            <w:pPr>
                              <w:jc w:val="center"/>
                              <w:rPr>
                                <w:rFonts w:hint="default"/>
                                <w:b/>
                                <w:bCs/>
                                <w:sz w:val="28"/>
                                <w:szCs w:val="28"/>
                                <w:lang w:val="en-US" w:eastAsia="zh-CN"/>
                              </w:rPr>
                            </w:pPr>
                            <w:r>
                              <w:rPr>
                                <w:rFonts w:hint="eastAsia" w:ascii="Times New Roman" w:hAnsi="Times New Roman" w:cs="Times New Roman"/>
                                <w:b/>
                                <w:sz w:val="28"/>
                                <w:szCs w:val="28"/>
                                <w:lang w:val="en-US" w:eastAsia="zh-CN"/>
                              </w:rPr>
                              <w:t>附图</w:t>
                            </w:r>
                            <w:r>
                              <w:rPr>
                                <w:rFonts w:hint="eastAsia" w:cs="Times New Roman"/>
                                <w:b/>
                                <w:sz w:val="28"/>
                                <w:szCs w:val="28"/>
                                <w:lang w:val="en-US" w:eastAsia="zh-CN"/>
                              </w:rPr>
                              <w:t>五：</w:t>
                            </w:r>
                            <w:r>
                              <w:rPr>
                                <w:rFonts w:hint="eastAsia" w:ascii="Times New Roman" w:hAnsi="Times New Roman" w:cs="Times New Roman"/>
                                <w:b/>
                                <w:sz w:val="28"/>
                                <w:szCs w:val="28"/>
                                <w:lang w:val="en-US" w:eastAsia="zh-CN"/>
                              </w:rPr>
                              <w:t>项目在生态环境管控单元位置关系图</w:t>
                            </w:r>
                          </w:p>
                        </w:txbxContent>
                      </wps:txbx>
                      <wps:bodyPr upright="1"/>
                    </wps:wsp>
                  </a:graphicData>
                </a:graphic>
              </wp:anchor>
            </w:drawing>
          </mc:Choice>
          <mc:Fallback>
            <w:pict>
              <v:shape id="_x0000_s1026" o:spid="_x0000_s1026" o:spt="202" type="#_x0000_t202" style="position:absolute;left:0pt;margin-left:213.05pt;margin-top:481.55pt;height:37.05pt;width:369pt;z-index:251700224;mso-width-relative:page;mso-height-relative:page;" filled="f" stroked="f" coordsize="21600,21600" o:gfxdata="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PwcBRzY&#10;AAAADQEAAA8AAAAAAAAAAQAgAAAAIgAAAGRycy9kb3ducmV2LnhtbFBLAQIUABQAAAAIAIdO4kCy&#10;A1EfrgEAAFADAAAOAAAAAAAAAAEAIAAAACcBAABkcnMvZTJvRG9jLnhtbFBLBQYAAAAABgAGAFkB&#10;AABHBQAAAAA=&#10;">
                <v:fill on="f" focussize="0,0"/>
                <v:stroke on="f"/>
                <v:imagedata o:title=""/>
                <o:lock v:ext="edit" aspectratio="f"/>
                <v:textbox>
                  <w:txbxContent>
                    <w:p w14:paraId="51B06FE9">
                      <w:pPr>
                        <w:jc w:val="center"/>
                        <w:rPr>
                          <w:rFonts w:hint="default"/>
                          <w:b/>
                          <w:bCs/>
                          <w:sz w:val="28"/>
                          <w:szCs w:val="28"/>
                          <w:lang w:val="en-US" w:eastAsia="zh-CN"/>
                        </w:rPr>
                      </w:pPr>
                      <w:r>
                        <w:rPr>
                          <w:rFonts w:hint="eastAsia" w:ascii="Times New Roman" w:hAnsi="Times New Roman" w:cs="Times New Roman"/>
                          <w:b/>
                          <w:sz w:val="28"/>
                          <w:szCs w:val="28"/>
                          <w:lang w:val="en-US" w:eastAsia="zh-CN"/>
                        </w:rPr>
                        <w:t>附图</w:t>
                      </w:r>
                      <w:r>
                        <w:rPr>
                          <w:rFonts w:hint="eastAsia" w:cs="Times New Roman"/>
                          <w:b/>
                          <w:sz w:val="28"/>
                          <w:szCs w:val="28"/>
                          <w:lang w:val="en-US" w:eastAsia="zh-CN"/>
                        </w:rPr>
                        <w:t>五：</w:t>
                      </w:r>
                      <w:r>
                        <w:rPr>
                          <w:rFonts w:hint="eastAsia" w:ascii="Times New Roman" w:hAnsi="Times New Roman" w:cs="Times New Roman"/>
                          <w:b/>
                          <w:sz w:val="28"/>
                          <w:szCs w:val="28"/>
                          <w:lang w:val="en-US" w:eastAsia="zh-CN"/>
                        </w:rPr>
                        <w:t>项目在生态环境管控单元位置关系图</w:t>
                      </w:r>
                    </w:p>
                  </w:txbxContent>
                </v:textbox>
              </v:shape>
            </w:pict>
          </mc:Fallback>
        </mc:AlternateContent>
      </w:r>
      <w:r>
        <w:rPr>
          <w:sz w:val="21"/>
        </w:rPr>
        <mc:AlternateContent>
          <mc:Choice Requires="wps">
            <w:drawing>
              <wp:anchor distT="0" distB="0" distL="114300" distR="114300" simplePos="0" relativeHeight="251745280" behindDoc="0" locked="0" layoutInCell="1" allowOverlap="1">
                <wp:simplePos x="0" y="0"/>
                <wp:positionH relativeFrom="column">
                  <wp:posOffset>4886960</wp:posOffset>
                </wp:positionH>
                <wp:positionV relativeFrom="paragraph">
                  <wp:posOffset>4055110</wp:posOffset>
                </wp:positionV>
                <wp:extent cx="1046480" cy="311785"/>
                <wp:effectExtent l="6350" t="231775" r="13970" b="20320"/>
                <wp:wrapNone/>
                <wp:docPr id="25" name="圆角矩形标注 25"/>
                <wp:cNvGraphicFramePr/>
                <a:graphic xmlns:a="http://schemas.openxmlformats.org/drawingml/2006/main">
                  <a:graphicData uri="http://schemas.microsoft.com/office/word/2010/wordprocessingShape">
                    <wps:wsp>
                      <wps:cNvSpPr/>
                      <wps:spPr>
                        <a:xfrm>
                          <a:off x="5412740" y="4284345"/>
                          <a:ext cx="1046480" cy="311785"/>
                        </a:xfrm>
                        <a:prstGeom prst="wedgeRoundRectCallout">
                          <a:avLst>
                            <a:gd name="adj1" fmla="val -40716"/>
                            <a:gd name="adj2" fmla="val -119450"/>
                            <a:gd name="adj3" fmla="val 1666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25D0306">
                            <w:pPr>
                              <w:jc w:val="center"/>
                              <w:rPr>
                                <w:rFonts w:hint="default" w:eastAsia="宋体"/>
                                <w:color w:val="FF0000"/>
                                <w:lang w:val="en-US" w:eastAsia="zh-CN"/>
                              </w:rPr>
                            </w:pPr>
                            <w:r>
                              <w:rPr>
                                <w:rFonts w:hint="eastAsia"/>
                                <w:color w:val="FF0000"/>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84.8pt;margin-top:319.3pt;height:24.55pt;width:82.4pt;z-index:251745280;v-text-anchor:middle;mso-width-relative:page;mso-height-relative:page;" filled="f" stroked="t" coordsize="21600,21600" o:gfxdata="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Bv876T2wAAAAsBAAAPAAAAAAAAAAEAIAAAACIAAABkcnMvZG93bnJldi54bWxQSwECFAAU&#10;AAAACACHTuJAynG3rdICAAB5BQAADgAAAAAAAAABACAAAAAqAQAAZHJzL2Uyb0RvYy54bWxQSwUG&#10;AAAAAAYABgBZAQAAbgYAAAAA&#10;" adj="2005,-15001,14400">
                <v:fill on="f" focussize="0,0"/>
                <v:stroke weight="1pt" color="#FF0000 [2404]" miterlimit="8" joinstyle="miter"/>
                <v:imagedata o:title=""/>
                <o:lock v:ext="edit" aspectratio="f"/>
                <v:textbox>
                  <w:txbxContent>
                    <w:p w14:paraId="225D0306">
                      <w:pPr>
                        <w:jc w:val="center"/>
                        <w:rPr>
                          <w:rFonts w:hint="default" w:eastAsia="宋体"/>
                          <w:color w:val="FF0000"/>
                          <w:lang w:val="en-US" w:eastAsia="zh-CN"/>
                        </w:rPr>
                      </w:pPr>
                      <w:r>
                        <w:rPr>
                          <w:rFonts w:hint="eastAsia"/>
                          <w:color w:val="FF0000"/>
                          <w:lang w:val="en-US" w:eastAsia="zh-CN"/>
                        </w:rPr>
                        <w:t>本项目位置</w:t>
                      </w:r>
                    </w:p>
                  </w:txbxContent>
                </v:textbox>
              </v:shape>
            </w:pict>
          </mc:Fallback>
        </mc:AlternateContent>
      </w:r>
      <w:r>
        <w:rPr>
          <w:sz w:val="21"/>
        </w:rPr>
        <mc:AlternateContent>
          <mc:Choice Requires="wps">
            <w:drawing>
              <wp:anchor distT="0" distB="0" distL="114300" distR="114300" simplePos="0" relativeHeight="251744256" behindDoc="0" locked="0" layoutInCell="1" allowOverlap="1">
                <wp:simplePos x="0" y="0"/>
                <wp:positionH relativeFrom="column">
                  <wp:posOffset>4886325</wp:posOffset>
                </wp:positionH>
                <wp:positionV relativeFrom="paragraph">
                  <wp:posOffset>3758565</wp:posOffset>
                </wp:positionV>
                <wp:extent cx="138430" cy="111125"/>
                <wp:effectExtent l="33655" t="26670" r="41275" b="29845"/>
                <wp:wrapNone/>
                <wp:docPr id="24" name="五角星 24"/>
                <wp:cNvGraphicFramePr/>
                <a:graphic xmlns:a="http://schemas.openxmlformats.org/drawingml/2006/main">
                  <a:graphicData uri="http://schemas.microsoft.com/office/word/2010/wordprocessingShape">
                    <wps:wsp>
                      <wps:cNvSpPr/>
                      <wps:spPr>
                        <a:xfrm>
                          <a:off x="5329555" y="4236085"/>
                          <a:ext cx="138430" cy="111125"/>
                        </a:xfrm>
                        <a:prstGeom prst="star5">
                          <a:avLst/>
                        </a:prstGeom>
                        <a:solidFill>
                          <a:srgbClr val="FF0000"/>
                        </a:solid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84.75pt;margin-top:295.95pt;height:8.75pt;width:10.9pt;z-index:251744256;v-text-anchor:middle;mso-width-relative:page;mso-height-relative:page;" fillcolor="#FF0000" filled="t" stroked="t" coordsize="138430,111125" o:gfxdata="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inX7s2QAAAAsBAAAPAAAAAAAAAAEA&#10;IAAAACIAAABkcnMvZG93bnJldi54bWxQSwECFAAUAAAACACHTuJATbx+6oACAAAFBQAADgAAAAAA&#10;AAABACAAAAAoAQAAZHJzL2Uyb0RvYy54bWxQSwUGAAAAAAYABgBZAQAAGgYAAAAA&#10;" path="m0,42445l52875,42446,69215,0,85554,42446,138429,42445,95652,68678,111992,111124,69215,84891,26437,111124,42777,68678xe">
                <v:path o:connectlocs="69215,0;0,42445;26437,111124;111992,111124;138429,42445" o:connectangles="247,164,82,82,0"/>
                <v:fill on="t" focussize="0,0"/>
                <v:stroke weight="1.5pt" color="#FF0000 [2404]" miterlimit="8" joinstyle="miter"/>
                <v:imagedata o:title=""/>
                <o:lock v:ext="edit" aspectratio="f"/>
              </v:shape>
            </w:pict>
          </mc:Fallback>
        </mc:AlternateContent>
      </w:r>
      <w:r>
        <w:drawing>
          <wp:inline distT="0" distB="0" distL="114300" distR="114300">
            <wp:extent cx="9995535" cy="5970270"/>
            <wp:effectExtent l="0" t="0" r="1905" b="3810"/>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32"/>
                    <a:stretch>
                      <a:fillRect/>
                    </a:stretch>
                  </pic:blipFill>
                  <pic:spPr>
                    <a:xfrm>
                      <a:off x="0" y="0"/>
                      <a:ext cx="9995535" cy="5970270"/>
                    </a:xfrm>
                    <a:prstGeom prst="rect">
                      <a:avLst/>
                    </a:prstGeom>
                    <a:noFill/>
                    <a:ln>
                      <a:noFill/>
                    </a:ln>
                  </pic:spPr>
                </pic:pic>
              </a:graphicData>
            </a:graphic>
          </wp:inline>
        </w:drawing>
      </w:r>
    </w:p>
    <w:p w14:paraId="38449086">
      <w:pPr>
        <w:rPr>
          <w:rFonts w:hint="default" w:ascii="Times New Roman" w:hAnsi="Times New Roman" w:eastAsia="宋体" w:cs="Times New Roman"/>
          <w:b/>
          <w:sz w:val="28"/>
          <w:szCs w:val="28"/>
          <w:lang w:val="en-US" w:eastAsia="zh-CN"/>
        </w:rPr>
      </w:pPr>
      <w:r>
        <w:rPr>
          <w:rFonts w:hint="eastAsia" w:ascii="Times New Roman" w:hAnsi="Times New Roman" w:eastAsia="宋体" w:cs="Times New Roman"/>
          <w:b/>
          <w:sz w:val="28"/>
          <w:szCs w:val="28"/>
          <w:lang w:val="en-US" w:eastAsia="zh-CN"/>
        </w:rPr>
        <w:t>附件1</w:t>
      </w:r>
      <w:r>
        <w:rPr>
          <w:rFonts w:hint="eastAsia" w:cs="Times New Roman"/>
          <w:b/>
          <w:sz w:val="28"/>
          <w:szCs w:val="28"/>
          <w:lang w:val="en-US" w:eastAsia="zh-CN"/>
        </w:rPr>
        <w:t>：</w:t>
      </w:r>
      <w:r>
        <w:rPr>
          <w:rFonts w:hint="eastAsia" w:ascii="Times New Roman" w:hAnsi="Times New Roman" w:eastAsia="宋体" w:cs="Times New Roman"/>
          <w:b/>
          <w:sz w:val="28"/>
          <w:szCs w:val="28"/>
          <w:lang w:val="en-US" w:eastAsia="zh-CN"/>
        </w:rPr>
        <w:t>立项文件</w:t>
      </w:r>
    </w:p>
    <w:p w14:paraId="2A2FA8B9">
      <w:pPr>
        <w:jc w:val="center"/>
        <w:rPr>
          <w:rFonts w:hint="eastAsia"/>
          <w:lang w:eastAsia="zh-CN"/>
        </w:rPr>
      </w:pPr>
      <w:r>
        <w:drawing>
          <wp:anchor distT="0" distB="0" distL="114300" distR="114300" simplePos="0" relativeHeight="251738112" behindDoc="0" locked="0" layoutInCell="1" allowOverlap="1">
            <wp:simplePos x="0" y="0"/>
            <wp:positionH relativeFrom="column">
              <wp:posOffset>152400</wp:posOffset>
            </wp:positionH>
            <wp:positionV relativeFrom="paragraph">
              <wp:posOffset>45720</wp:posOffset>
            </wp:positionV>
            <wp:extent cx="5867400" cy="8296275"/>
            <wp:effectExtent l="0" t="0" r="0" b="9525"/>
            <wp:wrapNone/>
            <wp:docPr id="151"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79"/>
                    <pic:cNvPicPr>
                      <a:picLocks noChangeAspect="1"/>
                    </pic:cNvPicPr>
                  </pic:nvPicPr>
                  <pic:blipFill>
                    <a:blip r:embed="rId33"/>
                    <a:stretch>
                      <a:fillRect/>
                    </a:stretch>
                  </pic:blipFill>
                  <pic:spPr>
                    <a:xfrm>
                      <a:off x="0" y="0"/>
                      <a:ext cx="5867400" cy="8296275"/>
                    </a:xfrm>
                    <a:prstGeom prst="rect">
                      <a:avLst/>
                    </a:prstGeom>
                    <a:noFill/>
                    <a:ln>
                      <a:noFill/>
                    </a:ln>
                  </pic:spPr>
                </pic:pic>
              </a:graphicData>
            </a:graphic>
          </wp:anchor>
        </w:drawing>
      </w:r>
    </w:p>
    <w:p w14:paraId="6EC082D2">
      <w:pPr>
        <w:jc w:val="center"/>
        <w:rPr>
          <w:rFonts w:hint="eastAsia"/>
          <w:lang w:eastAsia="zh-CN"/>
        </w:rPr>
      </w:pPr>
    </w:p>
    <w:p w14:paraId="05A88E5E">
      <w:pPr>
        <w:pStyle w:val="2"/>
        <w:rPr>
          <w:rFonts w:hint="eastAsia"/>
          <w:lang w:eastAsia="zh-CN"/>
        </w:rPr>
      </w:pPr>
    </w:p>
    <w:p w14:paraId="40DA7732">
      <w:pPr>
        <w:rPr>
          <w:rFonts w:hint="eastAsia"/>
          <w:lang w:eastAsia="zh-CN"/>
        </w:rPr>
      </w:pPr>
    </w:p>
    <w:p w14:paraId="7D6CA1EE">
      <w:pPr>
        <w:rPr>
          <w:rFonts w:hint="eastAsia"/>
          <w:lang w:eastAsia="zh-CN"/>
        </w:rPr>
      </w:pPr>
    </w:p>
    <w:p w14:paraId="45220486">
      <w:pPr>
        <w:rPr>
          <w:rFonts w:hint="eastAsia" w:ascii="Times New Roman" w:hAnsi="Times New Roman" w:eastAsia="宋体" w:cs="Times New Roman"/>
          <w:b/>
          <w:sz w:val="28"/>
          <w:szCs w:val="28"/>
          <w:lang w:val="en-US" w:eastAsia="zh-CN"/>
        </w:rPr>
      </w:pPr>
    </w:p>
    <w:p w14:paraId="42201968">
      <w:pPr>
        <w:rPr>
          <w:rFonts w:hint="eastAsia" w:ascii="Times New Roman" w:hAnsi="Times New Roman" w:eastAsia="宋体" w:cs="Times New Roman"/>
          <w:b/>
          <w:sz w:val="28"/>
          <w:szCs w:val="28"/>
          <w:lang w:val="en-US" w:eastAsia="zh-CN"/>
        </w:rPr>
      </w:pPr>
    </w:p>
    <w:p w14:paraId="10BAE382">
      <w:pPr>
        <w:rPr>
          <w:rFonts w:hint="eastAsia" w:ascii="Times New Roman" w:hAnsi="Times New Roman" w:eastAsia="宋体" w:cs="Times New Roman"/>
          <w:b/>
          <w:sz w:val="28"/>
          <w:szCs w:val="28"/>
          <w:lang w:val="en-US" w:eastAsia="zh-CN"/>
        </w:rPr>
      </w:pPr>
    </w:p>
    <w:p w14:paraId="7067E479">
      <w:pPr>
        <w:rPr>
          <w:rFonts w:hint="eastAsia" w:ascii="Times New Roman" w:hAnsi="Times New Roman" w:eastAsia="宋体" w:cs="Times New Roman"/>
          <w:b/>
          <w:sz w:val="28"/>
          <w:szCs w:val="28"/>
          <w:lang w:val="en-US" w:eastAsia="zh-CN"/>
        </w:rPr>
      </w:pPr>
    </w:p>
    <w:p w14:paraId="457CF1D2">
      <w:pPr>
        <w:rPr>
          <w:rFonts w:hint="eastAsia" w:ascii="Times New Roman" w:hAnsi="Times New Roman" w:eastAsia="宋体" w:cs="Times New Roman"/>
          <w:b/>
          <w:sz w:val="28"/>
          <w:szCs w:val="28"/>
          <w:lang w:val="en-US" w:eastAsia="zh-CN"/>
        </w:rPr>
      </w:pPr>
    </w:p>
    <w:p w14:paraId="45142FAD">
      <w:pPr>
        <w:rPr>
          <w:rFonts w:hint="eastAsia" w:ascii="Times New Roman" w:hAnsi="Times New Roman" w:eastAsia="宋体" w:cs="Times New Roman"/>
          <w:b/>
          <w:sz w:val="28"/>
          <w:szCs w:val="28"/>
          <w:lang w:val="en-US" w:eastAsia="zh-CN"/>
        </w:rPr>
      </w:pPr>
    </w:p>
    <w:p w14:paraId="07DB9DED">
      <w:pPr>
        <w:rPr>
          <w:rFonts w:hint="eastAsia" w:ascii="Times New Roman" w:hAnsi="Times New Roman" w:eastAsia="宋体" w:cs="Times New Roman"/>
          <w:b/>
          <w:sz w:val="28"/>
          <w:szCs w:val="28"/>
          <w:lang w:val="en-US" w:eastAsia="zh-CN"/>
        </w:rPr>
      </w:pPr>
    </w:p>
    <w:p w14:paraId="6B4ED9B1">
      <w:pPr>
        <w:rPr>
          <w:rFonts w:hint="eastAsia" w:ascii="Times New Roman" w:hAnsi="Times New Roman" w:eastAsia="宋体" w:cs="Times New Roman"/>
          <w:b/>
          <w:sz w:val="28"/>
          <w:szCs w:val="28"/>
          <w:lang w:val="en-US" w:eastAsia="zh-CN"/>
        </w:rPr>
      </w:pPr>
    </w:p>
    <w:p w14:paraId="3F4A366C">
      <w:pPr>
        <w:rPr>
          <w:rFonts w:hint="eastAsia" w:ascii="Times New Roman" w:hAnsi="Times New Roman" w:eastAsia="宋体" w:cs="Times New Roman"/>
          <w:b/>
          <w:sz w:val="28"/>
          <w:szCs w:val="28"/>
          <w:lang w:val="en-US" w:eastAsia="zh-CN"/>
        </w:rPr>
      </w:pPr>
    </w:p>
    <w:p w14:paraId="6860D90F">
      <w:pPr>
        <w:rPr>
          <w:rFonts w:hint="eastAsia" w:ascii="Times New Roman" w:hAnsi="Times New Roman" w:eastAsia="宋体" w:cs="Times New Roman"/>
          <w:b/>
          <w:sz w:val="28"/>
          <w:szCs w:val="28"/>
          <w:lang w:val="en-US" w:eastAsia="zh-CN"/>
        </w:rPr>
      </w:pPr>
    </w:p>
    <w:p w14:paraId="3FD28D6A">
      <w:pPr>
        <w:rPr>
          <w:rFonts w:hint="eastAsia" w:ascii="Times New Roman" w:hAnsi="Times New Roman" w:eastAsia="宋体" w:cs="Times New Roman"/>
          <w:b/>
          <w:sz w:val="28"/>
          <w:szCs w:val="28"/>
          <w:lang w:val="en-US" w:eastAsia="zh-CN"/>
        </w:rPr>
      </w:pPr>
    </w:p>
    <w:p w14:paraId="3966608E">
      <w:pPr>
        <w:rPr>
          <w:rFonts w:hint="eastAsia" w:ascii="Times New Roman" w:hAnsi="Times New Roman" w:eastAsia="宋体" w:cs="Times New Roman"/>
          <w:b/>
          <w:sz w:val="28"/>
          <w:szCs w:val="28"/>
          <w:lang w:val="en-US" w:eastAsia="zh-CN"/>
        </w:rPr>
      </w:pPr>
    </w:p>
    <w:p w14:paraId="67A32D9F">
      <w:pPr>
        <w:rPr>
          <w:rFonts w:hint="eastAsia" w:ascii="Times New Roman" w:hAnsi="Times New Roman" w:eastAsia="宋体" w:cs="Times New Roman"/>
          <w:b/>
          <w:sz w:val="28"/>
          <w:szCs w:val="28"/>
          <w:lang w:val="en-US" w:eastAsia="zh-CN"/>
        </w:rPr>
      </w:pPr>
    </w:p>
    <w:p w14:paraId="31299993">
      <w:pPr>
        <w:rPr>
          <w:rFonts w:hint="eastAsia" w:ascii="Times New Roman" w:hAnsi="Times New Roman" w:eastAsia="宋体" w:cs="Times New Roman"/>
          <w:b/>
          <w:sz w:val="28"/>
          <w:szCs w:val="28"/>
          <w:lang w:val="en-US" w:eastAsia="zh-CN"/>
        </w:rPr>
      </w:pPr>
    </w:p>
    <w:p w14:paraId="7B1C07EB">
      <w:pPr>
        <w:rPr>
          <w:rFonts w:hint="eastAsia" w:ascii="Times New Roman" w:hAnsi="Times New Roman" w:eastAsia="宋体" w:cs="Times New Roman"/>
          <w:b/>
          <w:sz w:val="28"/>
          <w:szCs w:val="28"/>
          <w:lang w:val="en-US" w:eastAsia="zh-CN"/>
        </w:rPr>
      </w:pPr>
    </w:p>
    <w:p w14:paraId="12FACD36">
      <w:pPr>
        <w:rPr>
          <w:rFonts w:hint="eastAsia" w:ascii="Times New Roman" w:hAnsi="Times New Roman" w:eastAsia="宋体" w:cs="Times New Roman"/>
          <w:b/>
          <w:sz w:val="28"/>
          <w:szCs w:val="28"/>
          <w:lang w:val="en-US" w:eastAsia="zh-CN"/>
        </w:rPr>
      </w:pPr>
    </w:p>
    <w:p w14:paraId="25730359">
      <w:pPr>
        <w:rPr>
          <w:rFonts w:hint="eastAsia" w:ascii="Times New Roman" w:hAnsi="Times New Roman" w:eastAsia="宋体" w:cs="Times New Roman"/>
          <w:b/>
          <w:sz w:val="28"/>
          <w:szCs w:val="28"/>
          <w:lang w:val="en-US" w:eastAsia="zh-CN"/>
        </w:rPr>
      </w:pPr>
    </w:p>
    <w:p w14:paraId="48C15BF7">
      <w:pPr>
        <w:rPr>
          <w:rFonts w:hint="eastAsia" w:ascii="Times New Roman" w:hAnsi="Times New Roman" w:eastAsia="宋体" w:cs="Times New Roman"/>
          <w:b/>
          <w:sz w:val="28"/>
          <w:szCs w:val="28"/>
          <w:lang w:val="en-US" w:eastAsia="zh-CN"/>
        </w:rPr>
      </w:pPr>
    </w:p>
    <w:p w14:paraId="4BA73257">
      <w:pPr>
        <w:rPr>
          <w:rFonts w:hint="eastAsia" w:ascii="Times New Roman" w:hAnsi="Times New Roman" w:eastAsia="宋体" w:cs="Times New Roman"/>
          <w:b/>
          <w:sz w:val="28"/>
          <w:szCs w:val="28"/>
          <w:lang w:val="en-US" w:eastAsia="zh-CN"/>
        </w:rPr>
      </w:pPr>
    </w:p>
    <w:p w14:paraId="4A25644B">
      <w:pPr>
        <w:rPr>
          <w:rFonts w:hint="eastAsia" w:ascii="Times New Roman" w:hAnsi="Times New Roman" w:eastAsia="宋体" w:cs="Times New Roman"/>
          <w:b/>
          <w:sz w:val="28"/>
          <w:szCs w:val="28"/>
          <w:lang w:val="en-US" w:eastAsia="zh-CN"/>
        </w:rPr>
      </w:pPr>
    </w:p>
    <w:p w14:paraId="50453B9C">
      <w:pPr>
        <w:rPr>
          <w:rFonts w:hint="eastAsia" w:ascii="Times New Roman" w:hAnsi="Times New Roman" w:eastAsia="宋体" w:cs="Times New Roman"/>
          <w:b/>
          <w:sz w:val="28"/>
          <w:szCs w:val="28"/>
          <w:lang w:val="en-US" w:eastAsia="zh-CN"/>
        </w:rPr>
      </w:pPr>
    </w:p>
    <w:p w14:paraId="16C1DC75">
      <w:pPr>
        <w:rPr>
          <w:rFonts w:hint="eastAsia" w:ascii="Times New Roman" w:hAnsi="Times New Roman" w:eastAsia="宋体" w:cs="Times New Roman"/>
          <w:b/>
          <w:sz w:val="28"/>
          <w:szCs w:val="28"/>
          <w:lang w:val="en-US" w:eastAsia="zh-CN"/>
        </w:rPr>
      </w:pPr>
    </w:p>
    <w:p w14:paraId="3BC20F14">
      <w:pPr>
        <w:rPr>
          <w:rFonts w:hint="eastAsia" w:ascii="Times New Roman" w:hAnsi="Times New Roman" w:eastAsia="宋体" w:cs="Times New Roman"/>
          <w:b/>
          <w:sz w:val="28"/>
          <w:szCs w:val="28"/>
          <w:lang w:val="en-US" w:eastAsia="zh-CN"/>
        </w:rPr>
      </w:pPr>
    </w:p>
    <w:p w14:paraId="12C8065F">
      <w:pPr>
        <w:rPr>
          <w:rFonts w:hint="eastAsia" w:ascii="Times New Roman" w:hAnsi="Times New Roman" w:eastAsia="宋体" w:cs="Times New Roman"/>
          <w:b/>
          <w:sz w:val="28"/>
          <w:szCs w:val="28"/>
          <w:lang w:val="en-US" w:eastAsia="zh-CN"/>
        </w:rPr>
      </w:pPr>
    </w:p>
    <w:p w14:paraId="44CA52AF">
      <w:pPr>
        <w:rPr>
          <w:rFonts w:hint="eastAsia" w:ascii="Times New Roman" w:hAnsi="Times New Roman" w:eastAsia="宋体" w:cs="Times New Roman"/>
          <w:b/>
          <w:sz w:val="28"/>
          <w:szCs w:val="28"/>
          <w:lang w:val="en-US" w:eastAsia="zh-CN"/>
        </w:rPr>
      </w:pPr>
    </w:p>
    <w:p w14:paraId="4D2112F5">
      <w:pPr>
        <w:rPr>
          <w:rFonts w:hint="eastAsia" w:ascii="Times New Roman" w:hAnsi="Times New Roman" w:eastAsia="宋体" w:cs="Times New Roman"/>
          <w:b/>
          <w:sz w:val="28"/>
          <w:szCs w:val="28"/>
          <w:lang w:val="en-US" w:eastAsia="zh-CN"/>
        </w:rPr>
      </w:pPr>
    </w:p>
    <w:p w14:paraId="17321329">
      <w:pPr>
        <w:rPr>
          <w:rFonts w:hint="eastAsia" w:ascii="Times New Roman" w:hAnsi="Times New Roman" w:eastAsia="宋体" w:cs="Times New Roman"/>
          <w:b/>
          <w:sz w:val="28"/>
          <w:szCs w:val="28"/>
          <w:lang w:val="en-US" w:eastAsia="zh-CN"/>
        </w:rPr>
      </w:pPr>
    </w:p>
    <w:p w14:paraId="2C781E89">
      <w:pPr>
        <w:rPr>
          <w:rFonts w:hint="eastAsia" w:ascii="Times New Roman" w:hAnsi="Times New Roman" w:eastAsia="宋体" w:cs="Times New Roman"/>
          <w:b/>
          <w:sz w:val="28"/>
          <w:szCs w:val="28"/>
          <w:lang w:val="en-US" w:eastAsia="zh-CN"/>
        </w:rPr>
      </w:pPr>
    </w:p>
    <w:p w14:paraId="4623B17C">
      <w:pPr>
        <w:rPr>
          <w:rFonts w:hint="eastAsia" w:ascii="Times New Roman" w:hAnsi="Times New Roman" w:eastAsia="宋体" w:cs="Times New Roman"/>
          <w:b/>
          <w:sz w:val="28"/>
          <w:szCs w:val="28"/>
          <w:lang w:val="en-US" w:eastAsia="zh-CN"/>
        </w:rPr>
      </w:pPr>
    </w:p>
    <w:p w14:paraId="7D819123">
      <w:pPr>
        <w:rPr>
          <w:rFonts w:hint="eastAsia" w:ascii="Times New Roman" w:hAnsi="Times New Roman" w:eastAsia="宋体" w:cs="Times New Roman"/>
          <w:b/>
          <w:sz w:val="28"/>
          <w:szCs w:val="28"/>
          <w:lang w:val="en-US" w:eastAsia="zh-CN"/>
        </w:rPr>
      </w:pPr>
    </w:p>
    <w:p w14:paraId="74FB84C9">
      <w:pPr>
        <w:rPr>
          <w:rFonts w:hint="eastAsia" w:ascii="Times New Roman" w:hAnsi="Times New Roman" w:eastAsia="宋体" w:cs="Times New Roman"/>
          <w:b/>
          <w:sz w:val="28"/>
          <w:szCs w:val="28"/>
          <w:lang w:val="en-US" w:eastAsia="zh-CN"/>
        </w:rPr>
      </w:pPr>
    </w:p>
    <w:p w14:paraId="5ABE5459">
      <w:pPr>
        <w:rPr>
          <w:rFonts w:hint="eastAsia" w:ascii="Times New Roman" w:hAnsi="Times New Roman" w:eastAsia="宋体" w:cs="Times New Roman"/>
          <w:b/>
          <w:sz w:val="28"/>
          <w:szCs w:val="28"/>
          <w:lang w:val="en-US" w:eastAsia="zh-CN"/>
        </w:rPr>
      </w:pPr>
    </w:p>
    <w:p w14:paraId="1A774AB2">
      <w:pPr>
        <w:rPr>
          <w:rFonts w:hint="eastAsia" w:ascii="Times New Roman" w:hAnsi="Times New Roman" w:eastAsia="宋体" w:cs="Times New Roman"/>
          <w:b/>
          <w:sz w:val="28"/>
          <w:szCs w:val="28"/>
          <w:lang w:val="en-US" w:eastAsia="zh-CN"/>
        </w:rPr>
      </w:pPr>
    </w:p>
    <w:p w14:paraId="6CF079AE">
      <w:pPr>
        <w:rPr>
          <w:rFonts w:hint="eastAsia" w:ascii="Times New Roman" w:hAnsi="Times New Roman" w:eastAsia="宋体" w:cs="Times New Roman"/>
          <w:b/>
          <w:sz w:val="28"/>
          <w:szCs w:val="28"/>
          <w:lang w:val="en-US" w:eastAsia="zh-CN"/>
        </w:rPr>
      </w:pPr>
    </w:p>
    <w:p w14:paraId="6CC4B890">
      <w:pPr>
        <w:rPr>
          <w:rFonts w:hint="eastAsia" w:ascii="Times New Roman" w:hAnsi="Times New Roman" w:eastAsia="宋体" w:cs="Times New Roman"/>
          <w:b/>
          <w:sz w:val="28"/>
          <w:szCs w:val="28"/>
          <w:lang w:val="en-US" w:eastAsia="zh-CN"/>
        </w:rPr>
      </w:pPr>
    </w:p>
    <w:p w14:paraId="4E3005D4">
      <w:pPr>
        <w:rPr>
          <w:rFonts w:hint="eastAsia" w:ascii="Times New Roman" w:hAnsi="Times New Roman" w:eastAsia="宋体" w:cs="Times New Roman"/>
          <w:b/>
          <w:sz w:val="28"/>
          <w:szCs w:val="28"/>
          <w:lang w:val="en-US" w:eastAsia="zh-CN"/>
        </w:rPr>
      </w:pPr>
    </w:p>
    <w:p w14:paraId="24C9082B">
      <w:pPr>
        <w:ind w:left="0" w:leftChars="0" w:firstLine="0" w:firstLineChars="0"/>
        <w:rPr>
          <w:rFonts w:hint="eastAsia" w:ascii="Times New Roman" w:hAnsi="Times New Roman" w:eastAsia="宋体" w:cs="Times New Roman"/>
          <w:b/>
          <w:sz w:val="28"/>
          <w:szCs w:val="28"/>
          <w:highlight w:val="cyan"/>
          <w:lang w:val="en-US" w:eastAsia="zh-CN"/>
        </w:rPr>
      </w:pPr>
    </w:p>
    <w:p w14:paraId="15EDABFD">
      <w:pPr>
        <w:ind w:left="0" w:leftChars="0" w:firstLine="0" w:firstLineChars="0"/>
        <w:rPr>
          <w:rFonts w:hint="eastAsia" w:ascii="Times New Roman" w:hAnsi="Times New Roman" w:eastAsia="宋体" w:cs="Times New Roman"/>
          <w:b/>
          <w:sz w:val="28"/>
          <w:szCs w:val="28"/>
          <w:highlight w:val="none"/>
          <w:lang w:val="en-US" w:eastAsia="zh-CN"/>
        </w:rPr>
      </w:pPr>
      <w:r>
        <w:rPr>
          <w:rFonts w:hint="eastAsia" w:ascii="Times New Roman" w:hAnsi="Times New Roman" w:eastAsia="宋体" w:cs="Times New Roman"/>
          <w:b/>
          <w:sz w:val="28"/>
          <w:szCs w:val="28"/>
          <w:highlight w:val="none"/>
          <w:lang w:val="en-US" w:eastAsia="zh-CN"/>
        </w:rPr>
        <w:t>附件2</w:t>
      </w:r>
      <w:r>
        <w:rPr>
          <w:rFonts w:hint="eastAsia" w:cs="Times New Roman"/>
          <w:b/>
          <w:sz w:val="28"/>
          <w:szCs w:val="28"/>
          <w:highlight w:val="none"/>
          <w:lang w:val="en-US" w:eastAsia="zh-CN"/>
        </w:rPr>
        <w:t>：</w:t>
      </w:r>
      <w:r>
        <w:rPr>
          <w:rFonts w:hint="eastAsia" w:ascii="Times New Roman" w:hAnsi="Times New Roman" w:eastAsia="宋体" w:cs="Times New Roman"/>
          <w:b/>
          <w:sz w:val="28"/>
          <w:szCs w:val="28"/>
          <w:highlight w:val="none"/>
          <w:lang w:val="en-US" w:eastAsia="zh-CN"/>
        </w:rPr>
        <w:t>委托书</w:t>
      </w:r>
    </w:p>
    <w:p w14:paraId="0E1CC405">
      <w:pPr>
        <w:keepNext w:val="0"/>
        <w:keepLines w:val="0"/>
        <w:widowControl w:val="0"/>
        <w:suppressLineNumbers w:val="0"/>
        <w:spacing w:before="0" w:beforeAutospacing="0" w:after="0" w:afterAutospacing="0" w:line="360" w:lineRule="auto"/>
        <w:ind w:left="0" w:right="0" w:firstLine="0" w:firstLineChars="0"/>
        <w:jc w:val="center"/>
        <w:rPr>
          <w:rFonts w:hint="eastAsia" w:ascii="宋体" w:hAnsi="宋体" w:eastAsia="宋体" w:cs="宋体"/>
          <w:b/>
          <w:bCs/>
          <w:kern w:val="0"/>
          <w:sz w:val="44"/>
          <w:szCs w:val="44"/>
          <w:lang w:val="en-US" w:eastAsia="zh-CN" w:bidi="ar"/>
        </w:rPr>
      </w:pPr>
    </w:p>
    <w:p w14:paraId="77FAA0E2">
      <w:pPr>
        <w:keepNext w:val="0"/>
        <w:keepLines w:val="0"/>
        <w:widowControl w:val="0"/>
        <w:suppressLineNumbers w:val="0"/>
        <w:spacing w:before="0" w:beforeAutospacing="0" w:after="0" w:afterAutospacing="0" w:line="360" w:lineRule="auto"/>
        <w:ind w:left="0" w:right="0" w:firstLine="0" w:firstLineChars="0"/>
        <w:jc w:val="center"/>
        <w:rPr>
          <w:rFonts w:hint="eastAsia" w:ascii="宋体" w:hAnsi="宋体" w:eastAsia="宋体" w:cs="宋体"/>
          <w:b/>
          <w:bCs/>
          <w:kern w:val="0"/>
          <w:sz w:val="44"/>
          <w:szCs w:val="44"/>
          <w:lang w:val="en-US" w:eastAsia="zh-CN" w:bidi="ar"/>
        </w:rPr>
      </w:pPr>
    </w:p>
    <w:p w14:paraId="2A829EEF">
      <w:pPr>
        <w:keepNext w:val="0"/>
        <w:keepLines w:val="0"/>
        <w:widowControl w:val="0"/>
        <w:suppressLineNumbers w:val="0"/>
        <w:spacing w:before="0" w:beforeAutospacing="0" w:after="0" w:afterAutospacing="0" w:line="360" w:lineRule="auto"/>
        <w:ind w:left="0" w:right="0" w:firstLine="0" w:firstLineChars="0"/>
        <w:jc w:val="center"/>
        <w:rPr>
          <w:rFonts w:hint="eastAsia" w:ascii="宋体" w:hAnsi="宋体" w:eastAsia="宋体" w:cs="宋体"/>
          <w:b/>
          <w:bCs/>
          <w:sz w:val="44"/>
          <w:szCs w:val="44"/>
        </w:rPr>
      </w:pPr>
      <w:r>
        <w:rPr>
          <w:rFonts w:hint="eastAsia" w:ascii="宋体" w:hAnsi="宋体" w:eastAsia="宋体" w:cs="宋体"/>
          <w:b/>
          <w:bCs/>
          <w:kern w:val="0"/>
          <w:sz w:val="44"/>
          <w:szCs w:val="44"/>
          <w:lang w:val="en-US" w:eastAsia="zh-CN" w:bidi="ar"/>
        </w:rPr>
        <w:t>委托书</w:t>
      </w:r>
    </w:p>
    <w:p w14:paraId="55D72605">
      <w:pPr>
        <w:keepNext w:val="0"/>
        <w:keepLines w:val="0"/>
        <w:widowControl w:val="0"/>
        <w:suppressLineNumbers w:val="0"/>
        <w:spacing w:before="0" w:beforeAutospacing="0" w:after="0" w:afterAutospacing="0" w:line="360" w:lineRule="auto"/>
        <w:ind w:left="0" w:right="0" w:firstLine="0" w:firstLineChars="0"/>
        <w:jc w:val="both"/>
        <w:rPr>
          <w:rFonts w:hint="eastAsia" w:ascii="仿宋_GB2312" w:hAnsi="Times New Roman" w:eastAsia="仿宋_GB2312" w:cs="仿宋_GB2312"/>
          <w:kern w:val="0"/>
          <w:sz w:val="28"/>
          <w:szCs w:val="28"/>
          <w:lang w:val="en-US" w:eastAsia="zh-CN" w:bidi="ar"/>
        </w:rPr>
      </w:pPr>
    </w:p>
    <w:p w14:paraId="47D84AF9">
      <w:pPr>
        <w:keepNext w:val="0"/>
        <w:keepLines w:val="0"/>
        <w:widowControl w:val="0"/>
        <w:suppressLineNumbers w:val="0"/>
        <w:spacing w:before="0" w:beforeAutospacing="0" w:after="0" w:afterAutospacing="0" w:line="360" w:lineRule="auto"/>
        <w:ind w:left="0" w:right="0" w:firstLine="0" w:firstLineChars="0"/>
        <w:jc w:val="both"/>
        <w:rPr>
          <w:rFonts w:hint="default" w:ascii="Times New Roman" w:hAnsi="Times New Roman" w:eastAsia="仿宋_GB2312" w:cs="Times New Roman"/>
          <w:sz w:val="28"/>
          <w:szCs w:val="28"/>
        </w:rPr>
      </w:pPr>
      <w:r>
        <w:rPr>
          <w:rFonts w:hint="eastAsia" w:ascii="仿宋_GB2312" w:hAnsi="Times New Roman" w:eastAsia="仿宋_GB2312" w:cs="仿宋_GB2312"/>
          <w:kern w:val="0"/>
          <w:sz w:val="28"/>
          <w:szCs w:val="28"/>
          <w:lang w:val="en-US" w:eastAsia="zh-CN" w:bidi="ar"/>
        </w:rPr>
        <w:t>河南橦华生态环境设计院有限公司：</w:t>
      </w:r>
    </w:p>
    <w:p w14:paraId="6F5C2BC6">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default" w:ascii="Times New Roman" w:hAnsi="Times New Roman" w:eastAsia="仿宋_GB2312" w:cs="Times New Roman"/>
          <w:sz w:val="28"/>
          <w:szCs w:val="28"/>
        </w:rPr>
      </w:pPr>
      <w:r>
        <w:rPr>
          <w:rFonts w:hint="eastAsia" w:ascii="仿宋_GB2312" w:hAnsi="Times New Roman" w:eastAsia="仿宋_GB2312" w:cs="仿宋_GB2312"/>
          <w:kern w:val="0"/>
          <w:sz w:val="28"/>
          <w:szCs w:val="28"/>
          <w:lang w:val="en-US" w:eastAsia="zh-CN" w:bidi="ar"/>
        </w:rPr>
        <w:t>按照建设项目有关环保政策要求，“平煤煌龙新能源有限公司</w:t>
      </w:r>
      <w:r>
        <w:rPr>
          <w:rFonts w:hint="eastAsia" w:ascii="仿宋_GB2312" w:eastAsia="仿宋_GB2312" w:cs="仿宋_GB2312"/>
          <w:kern w:val="0"/>
          <w:sz w:val="28"/>
          <w:szCs w:val="28"/>
          <w:lang w:val="en-US" w:eastAsia="zh-CN" w:bidi="ar"/>
        </w:rPr>
        <w:t>八</w:t>
      </w:r>
      <w:r>
        <w:rPr>
          <w:rFonts w:hint="eastAsia" w:ascii="仿宋_GB2312" w:hAnsi="Times New Roman" w:eastAsia="仿宋_GB2312" w:cs="仿宋_GB2312"/>
          <w:kern w:val="0"/>
          <w:sz w:val="28"/>
          <w:szCs w:val="28"/>
          <w:lang w:val="en-US" w:eastAsia="zh-CN" w:bidi="ar"/>
        </w:rPr>
        <w:t>矿</w:t>
      </w:r>
      <w:r>
        <w:rPr>
          <w:rFonts w:hint="eastAsia" w:ascii="仿宋_GB2312" w:eastAsia="仿宋_GB2312" w:cs="仿宋_GB2312"/>
          <w:kern w:val="0"/>
          <w:sz w:val="28"/>
          <w:szCs w:val="28"/>
          <w:lang w:val="en-US" w:eastAsia="zh-CN" w:bidi="ar"/>
        </w:rPr>
        <w:t>二井</w:t>
      </w:r>
      <w:r>
        <w:rPr>
          <w:rFonts w:hint="eastAsia" w:ascii="仿宋_GB2312" w:hAnsi="Times New Roman" w:eastAsia="仿宋_GB2312" w:cs="仿宋_GB2312"/>
          <w:kern w:val="0"/>
          <w:sz w:val="28"/>
          <w:szCs w:val="28"/>
          <w:lang w:val="en-US" w:eastAsia="zh-CN" w:bidi="ar"/>
        </w:rPr>
        <w:t>瓦斯发电</w:t>
      </w:r>
      <w:r>
        <w:rPr>
          <w:rFonts w:hint="eastAsia" w:ascii="仿宋_GB2312" w:eastAsia="仿宋_GB2312" w:cs="仿宋_GB2312"/>
          <w:kern w:val="0"/>
          <w:sz w:val="28"/>
          <w:szCs w:val="28"/>
          <w:lang w:val="en-US" w:eastAsia="zh-CN" w:bidi="ar"/>
        </w:rPr>
        <w:t>站新建</w:t>
      </w:r>
      <w:r>
        <w:rPr>
          <w:rFonts w:hint="eastAsia" w:ascii="仿宋_GB2312" w:hAnsi="Times New Roman" w:eastAsia="仿宋_GB2312" w:cs="仿宋_GB2312"/>
          <w:kern w:val="0"/>
          <w:sz w:val="28"/>
          <w:szCs w:val="28"/>
          <w:lang w:val="en-US" w:eastAsia="zh-CN" w:bidi="ar"/>
        </w:rPr>
        <w:t>项目”需要进行环境影响报告的编制，平煤煌龙新能源有限公司于</w:t>
      </w:r>
      <w:r>
        <w:rPr>
          <w:rFonts w:hint="default" w:ascii="Times New Roman" w:hAnsi="Times New Roman" w:eastAsia="仿宋_GB2312" w:cs="Times New Roman"/>
          <w:kern w:val="0"/>
          <w:sz w:val="28"/>
          <w:szCs w:val="28"/>
          <w:lang w:val="en-US" w:eastAsia="zh-CN" w:bidi="ar"/>
        </w:rPr>
        <w:t>2023</w:t>
      </w:r>
      <w:r>
        <w:rPr>
          <w:rFonts w:hint="eastAsia" w:ascii="仿宋_GB2312" w:hAnsi="Times New Roman" w:eastAsia="仿宋_GB2312" w:cs="仿宋_GB2312"/>
          <w:kern w:val="0"/>
          <w:sz w:val="28"/>
          <w:szCs w:val="28"/>
          <w:lang w:val="en-US" w:eastAsia="zh-CN" w:bidi="ar"/>
        </w:rPr>
        <w:t>年委托贵公司承担该工作，</w:t>
      </w:r>
      <w:r>
        <w:rPr>
          <w:rFonts w:hint="default" w:ascii="Times New Roman" w:hAnsi="Times New Roman" w:eastAsia="仿宋_GB2312" w:cs="Times New Roman"/>
          <w:kern w:val="0"/>
          <w:sz w:val="28"/>
          <w:szCs w:val="28"/>
          <w:lang w:val="en-US" w:eastAsia="zh-CN" w:bidi="ar"/>
        </w:rPr>
        <w:t>2024</w:t>
      </w:r>
      <w:r>
        <w:rPr>
          <w:rFonts w:hint="eastAsia" w:ascii="仿宋_GB2312" w:hAnsi="Times New Roman" w:eastAsia="仿宋_GB2312" w:cs="仿宋_GB2312"/>
          <w:kern w:val="0"/>
          <w:sz w:val="28"/>
          <w:szCs w:val="28"/>
          <w:lang w:val="en-US" w:eastAsia="zh-CN" w:bidi="ar"/>
        </w:rPr>
        <w:t>年</w:t>
      </w:r>
      <w:r>
        <w:rPr>
          <w:rFonts w:hint="default" w:ascii="Times New Roman" w:hAnsi="Times New Roman" w:eastAsia="仿宋_GB2312" w:cs="Times New Roman"/>
          <w:kern w:val="0"/>
          <w:sz w:val="28"/>
          <w:szCs w:val="28"/>
          <w:lang w:val="en-US" w:eastAsia="zh-CN" w:bidi="ar"/>
        </w:rPr>
        <w:t>5</w:t>
      </w:r>
      <w:r>
        <w:rPr>
          <w:rFonts w:hint="eastAsia" w:ascii="仿宋_GB2312" w:hAnsi="Times New Roman" w:eastAsia="仿宋_GB2312" w:cs="仿宋_GB2312"/>
          <w:kern w:val="0"/>
          <w:sz w:val="28"/>
          <w:szCs w:val="28"/>
          <w:lang w:val="en-US" w:eastAsia="zh-CN" w:bidi="ar"/>
        </w:rPr>
        <w:t>月</w:t>
      </w:r>
      <w:r>
        <w:rPr>
          <w:rFonts w:hint="default" w:ascii="Times New Roman" w:hAnsi="Times New Roman" w:eastAsia="仿宋_GB2312" w:cs="Times New Roman"/>
          <w:kern w:val="0"/>
          <w:sz w:val="28"/>
          <w:szCs w:val="28"/>
          <w:lang w:val="en-US" w:eastAsia="zh-CN" w:bidi="ar"/>
        </w:rPr>
        <w:t>31</w:t>
      </w:r>
      <w:r>
        <w:rPr>
          <w:rFonts w:hint="eastAsia" w:ascii="仿宋_GB2312" w:hAnsi="Times New Roman" w:eastAsia="仿宋_GB2312" w:cs="仿宋_GB2312"/>
          <w:kern w:val="0"/>
          <w:sz w:val="28"/>
          <w:szCs w:val="28"/>
          <w:lang w:val="en-US" w:eastAsia="zh-CN" w:bidi="ar"/>
        </w:rPr>
        <w:t>日，平煤煌龙新能源有限公司被河南超蓝能源科技有限公司吸收合并，平煤煌龙新能源有限公司注销，其债权债务由我公司承继。</w:t>
      </w:r>
    </w:p>
    <w:p w14:paraId="4711E179">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default" w:ascii="Times New Roman" w:hAnsi="Times New Roman" w:eastAsia="仿宋_GB2312" w:cs="Times New Roman"/>
          <w:sz w:val="28"/>
          <w:szCs w:val="28"/>
        </w:rPr>
      </w:pPr>
      <w:r>
        <w:rPr>
          <w:rFonts w:hint="eastAsia" w:ascii="仿宋_GB2312" w:hAnsi="Times New Roman" w:eastAsia="仿宋_GB2312" w:cs="仿宋_GB2312"/>
          <w:kern w:val="0"/>
          <w:sz w:val="28"/>
          <w:szCs w:val="28"/>
          <w:lang w:val="en-US" w:eastAsia="zh-CN" w:bidi="ar"/>
        </w:rPr>
        <w:t>现委托贵单位按照国家环保方面的有关法律、法规及技术要求，继续开展《平煤煌龙新能源有限公司</w:t>
      </w:r>
      <w:r>
        <w:rPr>
          <w:rFonts w:hint="eastAsia" w:ascii="仿宋_GB2312" w:eastAsia="仿宋_GB2312" w:cs="仿宋_GB2312"/>
          <w:kern w:val="0"/>
          <w:sz w:val="28"/>
          <w:szCs w:val="28"/>
          <w:lang w:val="en-US" w:eastAsia="zh-CN" w:bidi="ar"/>
        </w:rPr>
        <w:t>八</w:t>
      </w:r>
      <w:r>
        <w:rPr>
          <w:rFonts w:hint="eastAsia" w:ascii="仿宋_GB2312" w:hAnsi="Times New Roman" w:eastAsia="仿宋_GB2312" w:cs="仿宋_GB2312"/>
          <w:kern w:val="0"/>
          <w:sz w:val="28"/>
          <w:szCs w:val="28"/>
          <w:lang w:val="en-US" w:eastAsia="zh-CN" w:bidi="ar"/>
        </w:rPr>
        <w:t>矿</w:t>
      </w:r>
      <w:r>
        <w:rPr>
          <w:rFonts w:hint="eastAsia" w:ascii="仿宋_GB2312" w:eastAsia="仿宋_GB2312" w:cs="仿宋_GB2312"/>
          <w:kern w:val="0"/>
          <w:sz w:val="28"/>
          <w:szCs w:val="28"/>
          <w:lang w:val="en-US" w:eastAsia="zh-CN" w:bidi="ar"/>
        </w:rPr>
        <w:t>二井</w:t>
      </w:r>
      <w:r>
        <w:rPr>
          <w:rFonts w:hint="eastAsia" w:ascii="仿宋_GB2312" w:hAnsi="Times New Roman" w:eastAsia="仿宋_GB2312" w:cs="仿宋_GB2312"/>
          <w:kern w:val="0"/>
          <w:sz w:val="28"/>
          <w:szCs w:val="28"/>
          <w:lang w:val="en-US" w:eastAsia="zh-CN" w:bidi="ar"/>
        </w:rPr>
        <w:t>瓦斯发电</w:t>
      </w:r>
      <w:r>
        <w:rPr>
          <w:rFonts w:hint="eastAsia" w:ascii="仿宋_GB2312" w:eastAsia="仿宋_GB2312" w:cs="仿宋_GB2312"/>
          <w:kern w:val="0"/>
          <w:sz w:val="28"/>
          <w:szCs w:val="28"/>
          <w:lang w:val="en-US" w:eastAsia="zh-CN" w:bidi="ar"/>
        </w:rPr>
        <w:t>站新建</w:t>
      </w:r>
      <w:r>
        <w:rPr>
          <w:rFonts w:hint="eastAsia" w:ascii="仿宋_GB2312" w:hAnsi="Times New Roman" w:eastAsia="仿宋_GB2312" w:cs="仿宋_GB2312"/>
          <w:kern w:val="0"/>
          <w:sz w:val="28"/>
          <w:szCs w:val="28"/>
          <w:lang w:val="en-US" w:eastAsia="zh-CN" w:bidi="ar"/>
        </w:rPr>
        <w:t>项目环境影响报告表》的编制工作。</w:t>
      </w:r>
    </w:p>
    <w:p w14:paraId="18D511DC">
      <w:pPr>
        <w:keepNext w:val="0"/>
        <w:keepLines w:val="0"/>
        <w:widowControl w:val="0"/>
        <w:suppressLineNumbers w:val="0"/>
        <w:spacing w:before="0" w:beforeAutospacing="0" w:after="0" w:afterAutospacing="0" w:line="360" w:lineRule="auto"/>
        <w:ind w:left="0" w:right="0" w:firstLine="560" w:firstLineChars="200"/>
        <w:jc w:val="both"/>
        <w:rPr>
          <w:rFonts w:hint="default" w:ascii="Times New Roman" w:hAnsi="Times New Roman" w:eastAsia="仿宋_GB2312" w:cs="Times New Roman"/>
          <w:sz w:val="28"/>
          <w:szCs w:val="28"/>
        </w:rPr>
      </w:pPr>
      <w:r>
        <w:rPr>
          <w:rFonts w:hint="default" w:ascii="Times New Roman" w:hAnsi="Times New Roman" w:eastAsia="仿宋_GB2312" w:cs="Times New Roman"/>
          <w:kern w:val="0"/>
          <w:sz w:val="28"/>
          <w:szCs w:val="28"/>
          <w:lang w:val="en-US" w:eastAsia="zh-CN" w:bidi="ar"/>
        </w:rPr>
        <w:t xml:space="preserve"> </w:t>
      </w:r>
    </w:p>
    <w:p w14:paraId="0FB84CC3">
      <w:pPr>
        <w:keepNext w:val="0"/>
        <w:keepLines w:val="0"/>
        <w:widowControl w:val="0"/>
        <w:suppressLineNumbers w:val="0"/>
        <w:spacing w:before="0" w:beforeAutospacing="0" w:after="0" w:afterAutospacing="0" w:line="360" w:lineRule="auto"/>
        <w:ind w:left="0" w:right="0" w:firstLine="560" w:firstLineChars="200"/>
        <w:jc w:val="both"/>
        <w:rPr>
          <w:rFonts w:hint="default" w:ascii="Times New Roman" w:hAnsi="Times New Roman" w:eastAsia="仿宋_GB2312" w:cs="Times New Roman"/>
          <w:bCs/>
          <w:sz w:val="28"/>
          <w:szCs w:val="28"/>
        </w:rPr>
      </w:pPr>
      <w:r>
        <w:rPr>
          <w:rFonts w:hint="default" w:ascii="Times New Roman" w:hAnsi="Times New Roman" w:eastAsia="仿宋_GB2312" w:cs="Times New Roman"/>
          <w:bCs/>
          <w:kern w:val="0"/>
          <w:sz w:val="28"/>
          <w:szCs w:val="28"/>
          <w:lang w:val="en-US" w:eastAsia="zh-CN" w:bidi="ar"/>
        </w:rPr>
        <w:t xml:space="preserve"> </w:t>
      </w:r>
    </w:p>
    <w:p w14:paraId="34CFA042">
      <w:pPr>
        <w:keepNext w:val="0"/>
        <w:keepLines w:val="0"/>
        <w:widowControl w:val="0"/>
        <w:suppressLineNumbers w:val="0"/>
        <w:spacing w:before="0" w:beforeAutospacing="0" w:after="0" w:afterAutospacing="0" w:line="360" w:lineRule="auto"/>
        <w:ind w:left="0" w:right="0" w:firstLine="560" w:firstLineChars="200"/>
        <w:jc w:val="both"/>
        <w:rPr>
          <w:rFonts w:hint="default" w:ascii="Times New Roman" w:hAnsi="Times New Roman" w:eastAsia="仿宋_GB2312" w:cs="Times New Roman"/>
          <w:bCs/>
          <w:sz w:val="28"/>
          <w:szCs w:val="28"/>
        </w:rPr>
      </w:pPr>
      <w:r>
        <w:rPr>
          <w:rFonts w:hint="default" w:ascii="Times New Roman" w:hAnsi="Times New Roman" w:eastAsia="仿宋_GB2312" w:cs="Times New Roman"/>
          <w:bCs/>
          <w:kern w:val="0"/>
          <w:sz w:val="28"/>
          <w:szCs w:val="28"/>
          <w:lang w:val="en-US" w:eastAsia="zh-CN" w:bidi="ar"/>
        </w:rPr>
        <w:t xml:space="preserve"> </w:t>
      </w:r>
    </w:p>
    <w:p w14:paraId="566C627D">
      <w:pPr>
        <w:keepNext w:val="0"/>
        <w:keepLines w:val="0"/>
        <w:widowControl w:val="0"/>
        <w:suppressLineNumbers w:val="0"/>
        <w:adjustRightInd w:val="0"/>
        <w:snapToGrid w:val="0"/>
        <w:spacing w:before="0" w:beforeAutospacing="0" w:after="0" w:afterAutospacing="0" w:line="360" w:lineRule="auto"/>
        <w:ind w:left="0" w:right="0" w:firstLine="560" w:firstLineChars="200"/>
        <w:jc w:val="right"/>
        <w:rPr>
          <w:rFonts w:hint="eastAsia" w:ascii="Times New Roman" w:hAnsi="Times New Roman" w:eastAsia="仿宋_GB2312" w:cs="Times New Roman"/>
          <w:sz w:val="28"/>
          <w:szCs w:val="28"/>
        </w:rPr>
      </w:pPr>
      <w:r>
        <w:rPr>
          <w:rFonts w:hint="eastAsia" w:ascii="仿宋_GB2312" w:hAnsi="Times New Roman" w:eastAsia="仿宋_GB2312" w:cs="仿宋_GB2312"/>
          <w:kern w:val="0"/>
          <w:sz w:val="28"/>
          <w:szCs w:val="28"/>
          <w:lang w:val="en-US" w:eastAsia="zh-CN" w:bidi="ar"/>
        </w:rPr>
        <w:t>单位（盖章）：河南超蓝能源科技有限公司</w:t>
      </w:r>
    </w:p>
    <w:p w14:paraId="7BB5D760">
      <w:pPr>
        <w:keepNext w:val="0"/>
        <w:keepLines w:val="0"/>
        <w:widowControl w:val="0"/>
        <w:suppressLineNumbers w:val="0"/>
        <w:adjustRightInd w:val="0"/>
        <w:snapToGrid w:val="0"/>
        <w:spacing w:before="0" w:beforeAutospacing="0" w:after="0" w:afterAutospacing="0" w:line="360" w:lineRule="auto"/>
        <w:ind w:left="0" w:right="0" w:firstLine="560" w:firstLineChars="200"/>
        <w:jc w:val="right"/>
        <w:rPr>
          <w:rFonts w:hint="default" w:ascii="Times New Roman" w:hAnsi="Times New Roman" w:eastAsia="仿宋_GB2312" w:cs="Times New Roman"/>
          <w:sz w:val="28"/>
          <w:szCs w:val="28"/>
        </w:rPr>
      </w:pPr>
      <w:r>
        <w:rPr>
          <w:rFonts w:hint="default" w:ascii="Times New Roman" w:hAnsi="Times New Roman" w:eastAsia="仿宋_GB2312" w:cs="Times New Roman"/>
          <w:kern w:val="0"/>
          <w:sz w:val="28"/>
          <w:szCs w:val="28"/>
          <w:lang w:val="en-US" w:eastAsia="zh-CN" w:bidi="ar"/>
        </w:rPr>
        <w:t>2024年</w:t>
      </w:r>
      <w:r>
        <w:rPr>
          <w:rFonts w:hint="eastAsia" w:eastAsia="仿宋_GB2312" w:cs="Times New Roman"/>
          <w:kern w:val="0"/>
          <w:sz w:val="28"/>
          <w:szCs w:val="28"/>
          <w:lang w:val="en-US" w:eastAsia="zh-CN" w:bidi="ar"/>
        </w:rPr>
        <w:t>8</w:t>
      </w:r>
      <w:r>
        <w:rPr>
          <w:rFonts w:hint="default" w:ascii="Times New Roman" w:hAnsi="Times New Roman" w:eastAsia="仿宋_GB2312" w:cs="Times New Roman"/>
          <w:kern w:val="0"/>
          <w:sz w:val="28"/>
          <w:szCs w:val="28"/>
          <w:lang w:val="en-US" w:eastAsia="zh-CN" w:bidi="ar"/>
        </w:rPr>
        <w:t>月1日</w:t>
      </w:r>
    </w:p>
    <w:p w14:paraId="23D8802C">
      <w:pPr>
        <w:pStyle w:val="2"/>
        <w:jc w:val="center"/>
        <w:rPr>
          <w:rFonts w:hint="eastAsia"/>
          <w:sz w:val="28"/>
          <w:szCs w:val="28"/>
          <w:lang w:val="en-US" w:eastAsia="zh-CN"/>
        </w:rPr>
      </w:pPr>
    </w:p>
    <w:p w14:paraId="67743BEB">
      <w:pPr>
        <w:rPr>
          <w:rFonts w:hint="eastAsia" w:ascii="Times New Roman" w:hAnsi="Times New Roman" w:eastAsia="宋体" w:cs="Times New Roman"/>
          <w:b/>
          <w:sz w:val="28"/>
          <w:szCs w:val="28"/>
          <w:lang w:val="en-US" w:eastAsia="zh-CN"/>
        </w:rPr>
      </w:pPr>
    </w:p>
    <w:p w14:paraId="3525CE9F">
      <w:pPr>
        <w:rPr>
          <w:rFonts w:hint="eastAsia" w:ascii="Times New Roman" w:hAnsi="Times New Roman" w:eastAsia="宋体" w:cs="Times New Roman"/>
          <w:b/>
          <w:sz w:val="28"/>
          <w:szCs w:val="28"/>
          <w:lang w:val="en-US" w:eastAsia="zh-CN"/>
        </w:rPr>
      </w:pPr>
    </w:p>
    <w:p w14:paraId="5988644B">
      <w:pPr>
        <w:rPr>
          <w:rFonts w:hint="eastAsia" w:ascii="Times New Roman" w:hAnsi="Times New Roman" w:eastAsia="宋体" w:cs="Times New Roman"/>
          <w:b/>
          <w:sz w:val="28"/>
          <w:szCs w:val="28"/>
          <w:lang w:val="en-US" w:eastAsia="zh-CN"/>
        </w:rPr>
      </w:pPr>
    </w:p>
    <w:p w14:paraId="435D02A8">
      <w:pPr>
        <w:rPr>
          <w:rFonts w:hint="eastAsia" w:ascii="Times New Roman" w:hAnsi="Times New Roman" w:eastAsia="宋体" w:cs="Times New Roman"/>
          <w:b/>
          <w:sz w:val="28"/>
          <w:szCs w:val="28"/>
          <w:lang w:val="en-US" w:eastAsia="zh-CN"/>
        </w:rPr>
      </w:pPr>
    </w:p>
    <w:p w14:paraId="1A6CBAA1">
      <w:pPr>
        <w:rPr>
          <w:rFonts w:hint="eastAsia" w:ascii="Times New Roman" w:hAnsi="Times New Roman" w:eastAsia="宋体" w:cs="Times New Roman"/>
          <w:b/>
          <w:sz w:val="28"/>
          <w:szCs w:val="28"/>
          <w:lang w:val="en-US" w:eastAsia="zh-CN"/>
        </w:rPr>
      </w:pPr>
    </w:p>
    <w:p w14:paraId="5BC09ED3">
      <w:pPr>
        <w:rPr>
          <w:rFonts w:hint="eastAsia" w:ascii="Times New Roman" w:hAnsi="Times New Roman" w:eastAsia="宋体" w:cs="Times New Roman"/>
          <w:b/>
          <w:sz w:val="28"/>
          <w:szCs w:val="28"/>
          <w:lang w:val="en-US" w:eastAsia="zh-CN"/>
        </w:rPr>
      </w:pPr>
    </w:p>
    <w:p w14:paraId="4283DEA1">
      <w:pPr>
        <w:rPr>
          <w:rFonts w:hint="eastAsia" w:ascii="Times New Roman" w:hAnsi="Times New Roman" w:eastAsia="宋体" w:cs="Times New Roman"/>
          <w:b/>
          <w:sz w:val="28"/>
          <w:szCs w:val="28"/>
          <w:lang w:val="en-US" w:eastAsia="zh-CN"/>
        </w:rPr>
      </w:pPr>
    </w:p>
    <w:p w14:paraId="7E50E025">
      <w:pPr>
        <w:rPr>
          <w:rFonts w:hint="eastAsia" w:ascii="Times New Roman" w:hAnsi="Times New Roman" w:eastAsia="宋体" w:cs="Times New Roman"/>
          <w:b/>
          <w:sz w:val="28"/>
          <w:szCs w:val="28"/>
          <w:lang w:val="en-US" w:eastAsia="zh-CN"/>
        </w:rPr>
      </w:pPr>
      <w:r>
        <w:drawing>
          <wp:anchor distT="0" distB="0" distL="114300" distR="114300" simplePos="0" relativeHeight="251742208" behindDoc="0" locked="0" layoutInCell="1" allowOverlap="1">
            <wp:simplePos x="0" y="0"/>
            <wp:positionH relativeFrom="column">
              <wp:posOffset>-1471930</wp:posOffset>
            </wp:positionH>
            <wp:positionV relativeFrom="paragraph">
              <wp:posOffset>1635125</wp:posOffset>
            </wp:positionV>
            <wp:extent cx="9256395" cy="6537960"/>
            <wp:effectExtent l="0" t="0" r="0" b="9525"/>
            <wp:wrapNone/>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34"/>
                    <a:stretch>
                      <a:fillRect/>
                    </a:stretch>
                  </pic:blipFill>
                  <pic:spPr>
                    <a:xfrm rot="16200000">
                      <a:off x="0" y="0"/>
                      <a:ext cx="9256395" cy="6537960"/>
                    </a:xfrm>
                    <a:prstGeom prst="rect">
                      <a:avLst/>
                    </a:prstGeom>
                    <a:noFill/>
                    <a:ln>
                      <a:noFill/>
                    </a:ln>
                  </pic:spPr>
                </pic:pic>
              </a:graphicData>
            </a:graphic>
          </wp:anchor>
        </w:drawing>
      </w:r>
      <w:r>
        <w:rPr>
          <w:rFonts w:hint="eastAsia" w:ascii="Times New Roman" w:hAnsi="Times New Roman" w:eastAsia="宋体" w:cs="Times New Roman"/>
          <w:b/>
          <w:sz w:val="28"/>
          <w:szCs w:val="28"/>
          <w:lang w:val="en-US" w:eastAsia="zh-CN"/>
        </w:rPr>
        <w:t>附件3</w:t>
      </w:r>
      <w:r>
        <w:rPr>
          <w:rFonts w:hint="eastAsia" w:cs="Times New Roman"/>
          <w:b/>
          <w:sz w:val="28"/>
          <w:szCs w:val="28"/>
          <w:lang w:val="en-US" w:eastAsia="zh-CN"/>
        </w:rPr>
        <w:t>：</w:t>
      </w:r>
      <w:r>
        <w:rPr>
          <w:rFonts w:hint="eastAsia" w:ascii="Times New Roman" w:hAnsi="Times New Roman" w:eastAsia="宋体" w:cs="Times New Roman"/>
          <w:b/>
          <w:sz w:val="28"/>
          <w:szCs w:val="28"/>
          <w:lang w:val="en-US" w:eastAsia="zh-CN"/>
        </w:rPr>
        <w:t>营业执照</w:t>
      </w:r>
    </w:p>
    <w:p w14:paraId="23CC894B">
      <w:pPr>
        <w:pStyle w:val="2"/>
        <w:ind w:left="0" w:leftChars="0" w:firstLine="0" w:firstLineChars="0"/>
        <w:jc w:val="both"/>
        <w:rPr>
          <w:rFonts w:hint="eastAsia" w:ascii="Times New Roman" w:hAnsi="Times New Roman" w:eastAsia="宋体" w:cs="Times New Roman"/>
          <w:b/>
          <w:kern w:val="2"/>
          <w:sz w:val="28"/>
          <w:szCs w:val="28"/>
          <w:lang w:val="en-US" w:eastAsia="zh-CN" w:bidi="ar-SA"/>
        </w:rPr>
      </w:pPr>
    </w:p>
    <w:p w14:paraId="0020905B">
      <w:pPr>
        <w:rPr>
          <w:rFonts w:hint="eastAsia" w:ascii="Times New Roman" w:hAnsi="Times New Roman" w:eastAsia="宋体" w:cs="Times New Roman"/>
          <w:b/>
          <w:kern w:val="2"/>
          <w:sz w:val="28"/>
          <w:szCs w:val="28"/>
          <w:lang w:val="en-US" w:eastAsia="zh-CN" w:bidi="ar-SA"/>
        </w:rPr>
      </w:pPr>
    </w:p>
    <w:p w14:paraId="59FFF3B3">
      <w:pPr>
        <w:pStyle w:val="31"/>
        <w:rPr>
          <w:rFonts w:hint="eastAsia" w:ascii="Times New Roman" w:hAnsi="Times New Roman" w:eastAsia="宋体" w:cs="Times New Roman"/>
          <w:b/>
          <w:kern w:val="2"/>
          <w:sz w:val="28"/>
          <w:szCs w:val="28"/>
          <w:lang w:val="en-US" w:eastAsia="zh-CN" w:bidi="ar-SA"/>
        </w:rPr>
      </w:pPr>
    </w:p>
    <w:p w14:paraId="4A43C3A0">
      <w:pPr>
        <w:rPr>
          <w:rFonts w:hint="eastAsia" w:ascii="Times New Roman" w:hAnsi="Times New Roman" w:eastAsia="宋体" w:cs="Times New Roman"/>
          <w:b/>
          <w:kern w:val="2"/>
          <w:sz w:val="28"/>
          <w:szCs w:val="28"/>
          <w:lang w:val="en-US" w:eastAsia="zh-CN" w:bidi="ar-SA"/>
        </w:rPr>
      </w:pPr>
    </w:p>
    <w:p w14:paraId="712316D4">
      <w:pPr>
        <w:pStyle w:val="31"/>
        <w:rPr>
          <w:rFonts w:hint="eastAsia" w:ascii="Times New Roman" w:hAnsi="Times New Roman" w:eastAsia="宋体" w:cs="Times New Roman"/>
          <w:b/>
          <w:kern w:val="2"/>
          <w:sz w:val="28"/>
          <w:szCs w:val="28"/>
          <w:lang w:val="en-US" w:eastAsia="zh-CN" w:bidi="ar-SA"/>
        </w:rPr>
      </w:pPr>
    </w:p>
    <w:p w14:paraId="46AAE1E7">
      <w:pPr>
        <w:rPr>
          <w:rFonts w:hint="eastAsia" w:ascii="Times New Roman" w:hAnsi="Times New Roman" w:eastAsia="宋体" w:cs="Times New Roman"/>
          <w:b/>
          <w:kern w:val="2"/>
          <w:sz w:val="28"/>
          <w:szCs w:val="28"/>
          <w:lang w:val="en-US" w:eastAsia="zh-CN" w:bidi="ar-SA"/>
        </w:rPr>
      </w:pPr>
    </w:p>
    <w:p w14:paraId="0E00D0CA">
      <w:pPr>
        <w:pStyle w:val="31"/>
        <w:rPr>
          <w:rFonts w:hint="eastAsia" w:ascii="Times New Roman" w:hAnsi="Times New Roman" w:eastAsia="宋体" w:cs="Times New Roman"/>
          <w:b/>
          <w:kern w:val="2"/>
          <w:sz w:val="28"/>
          <w:szCs w:val="28"/>
          <w:lang w:val="en-US" w:eastAsia="zh-CN" w:bidi="ar-SA"/>
        </w:rPr>
      </w:pPr>
    </w:p>
    <w:p w14:paraId="36D9A975">
      <w:pPr>
        <w:rPr>
          <w:rFonts w:hint="eastAsia" w:ascii="Times New Roman" w:hAnsi="Times New Roman" w:eastAsia="宋体" w:cs="Times New Roman"/>
          <w:b/>
          <w:kern w:val="2"/>
          <w:sz w:val="28"/>
          <w:szCs w:val="28"/>
          <w:lang w:val="en-US" w:eastAsia="zh-CN" w:bidi="ar-SA"/>
        </w:rPr>
      </w:pPr>
    </w:p>
    <w:p w14:paraId="3DD95F27">
      <w:pPr>
        <w:pStyle w:val="31"/>
        <w:rPr>
          <w:rFonts w:hint="eastAsia" w:ascii="Times New Roman" w:hAnsi="Times New Roman" w:eastAsia="宋体" w:cs="Times New Roman"/>
          <w:b/>
          <w:kern w:val="2"/>
          <w:sz w:val="28"/>
          <w:szCs w:val="28"/>
          <w:lang w:val="en-US" w:eastAsia="zh-CN" w:bidi="ar-SA"/>
        </w:rPr>
      </w:pPr>
    </w:p>
    <w:p w14:paraId="04EC9B20">
      <w:pPr>
        <w:rPr>
          <w:rFonts w:hint="eastAsia" w:ascii="Times New Roman" w:hAnsi="Times New Roman" w:eastAsia="宋体" w:cs="Times New Roman"/>
          <w:b/>
          <w:kern w:val="2"/>
          <w:sz w:val="28"/>
          <w:szCs w:val="28"/>
          <w:lang w:val="en-US" w:eastAsia="zh-CN" w:bidi="ar-SA"/>
        </w:rPr>
      </w:pPr>
    </w:p>
    <w:p w14:paraId="01693F12">
      <w:pPr>
        <w:pStyle w:val="31"/>
        <w:rPr>
          <w:rFonts w:hint="eastAsia" w:ascii="Times New Roman" w:hAnsi="Times New Roman" w:eastAsia="宋体" w:cs="Times New Roman"/>
          <w:b/>
          <w:kern w:val="2"/>
          <w:sz w:val="28"/>
          <w:szCs w:val="28"/>
          <w:lang w:val="en-US" w:eastAsia="zh-CN" w:bidi="ar-SA"/>
        </w:rPr>
      </w:pPr>
    </w:p>
    <w:p w14:paraId="7832B7CB">
      <w:pPr>
        <w:rPr>
          <w:rFonts w:hint="eastAsia" w:ascii="Times New Roman" w:hAnsi="Times New Roman" w:eastAsia="宋体" w:cs="Times New Roman"/>
          <w:b/>
          <w:kern w:val="2"/>
          <w:sz w:val="28"/>
          <w:szCs w:val="28"/>
          <w:lang w:val="en-US" w:eastAsia="zh-CN" w:bidi="ar-SA"/>
        </w:rPr>
      </w:pPr>
    </w:p>
    <w:p w14:paraId="4D3994B4">
      <w:pPr>
        <w:pStyle w:val="31"/>
        <w:rPr>
          <w:rFonts w:hint="eastAsia" w:ascii="Times New Roman" w:hAnsi="Times New Roman" w:eastAsia="宋体" w:cs="Times New Roman"/>
          <w:b/>
          <w:kern w:val="2"/>
          <w:sz w:val="28"/>
          <w:szCs w:val="28"/>
          <w:lang w:val="en-US" w:eastAsia="zh-CN" w:bidi="ar-SA"/>
        </w:rPr>
      </w:pPr>
    </w:p>
    <w:p w14:paraId="0E665546">
      <w:pPr>
        <w:rPr>
          <w:rFonts w:hint="eastAsia" w:ascii="Times New Roman" w:hAnsi="Times New Roman" w:eastAsia="宋体" w:cs="Times New Roman"/>
          <w:b/>
          <w:kern w:val="2"/>
          <w:sz w:val="28"/>
          <w:szCs w:val="28"/>
          <w:lang w:val="en-US" w:eastAsia="zh-CN" w:bidi="ar-SA"/>
        </w:rPr>
      </w:pPr>
    </w:p>
    <w:p w14:paraId="2C9A52FB">
      <w:pPr>
        <w:pStyle w:val="31"/>
        <w:rPr>
          <w:rFonts w:hint="eastAsia" w:ascii="Times New Roman" w:hAnsi="Times New Roman" w:eastAsia="宋体" w:cs="Times New Roman"/>
          <w:b/>
          <w:kern w:val="2"/>
          <w:sz w:val="28"/>
          <w:szCs w:val="28"/>
          <w:lang w:val="en-US" w:eastAsia="zh-CN" w:bidi="ar-SA"/>
        </w:rPr>
      </w:pPr>
    </w:p>
    <w:p w14:paraId="37348602">
      <w:pPr>
        <w:rPr>
          <w:rFonts w:hint="eastAsia" w:ascii="Times New Roman" w:hAnsi="Times New Roman" w:eastAsia="宋体" w:cs="Times New Roman"/>
          <w:b/>
          <w:kern w:val="2"/>
          <w:sz w:val="28"/>
          <w:szCs w:val="28"/>
          <w:lang w:val="en-US" w:eastAsia="zh-CN" w:bidi="ar-SA"/>
        </w:rPr>
      </w:pPr>
    </w:p>
    <w:p w14:paraId="0A3C9FD6">
      <w:pPr>
        <w:pStyle w:val="31"/>
        <w:rPr>
          <w:rFonts w:hint="eastAsia" w:ascii="Times New Roman" w:hAnsi="Times New Roman" w:eastAsia="宋体" w:cs="Times New Roman"/>
          <w:b/>
          <w:kern w:val="2"/>
          <w:sz w:val="28"/>
          <w:szCs w:val="28"/>
          <w:lang w:val="en-US" w:eastAsia="zh-CN" w:bidi="ar-SA"/>
        </w:rPr>
      </w:pPr>
    </w:p>
    <w:p w14:paraId="10BF5399">
      <w:pPr>
        <w:rPr>
          <w:rFonts w:hint="eastAsia" w:ascii="Times New Roman" w:hAnsi="Times New Roman" w:eastAsia="宋体" w:cs="Times New Roman"/>
          <w:b/>
          <w:kern w:val="2"/>
          <w:sz w:val="28"/>
          <w:szCs w:val="28"/>
          <w:lang w:val="en-US" w:eastAsia="zh-CN" w:bidi="ar-SA"/>
        </w:rPr>
      </w:pPr>
    </w:p>
    <w:p w14:paraId="385A757B">
      <w:pPr>
        <w:pStyle w:val="31"/>
        <w:rPr>
          <w:rFonts w:hint="eastAsia" w:ascii="Times New Roman" w:hAnsi="Times New Roman" w:eastAsia="宋体" w:cs="Times New Roman"/>
          <w:b/>
          <w:kern w:val="2"/>
          <w:sz w:val="28"/>
          <w:szCs w:val="28"/>
          <w:lang w:val="en-US" w:eastAsia="zh-CN" w:bidi="ar-SA"/>
        </w:rPr>
      </w:pPr>
    </w:p>
    <w:p w14:paraId="068316A8">
      <w:pPr>
        <w:rPr>
          <w:rFonts w:hint="eastAsia" w:ascii="Times New Roman" w:hAnsi="Times New Roman" w:eastAsia="宋体" w:cs="Times New Roman"/>
          <w:b/>
          <w:kern w:val="2"/>
          <w:sz w:val="28"/>
          <w:szCs w:val="28"/>
          <w:lang w:val="en-US" w:eastAsia="zh-CN" w:bidi="ar-SA"/>
        </w:rPr>
      </w:pPr>
    </w:p>
    <w:p w14:paraId="21F0BF1E">
      <w:pPr>
        <w:pStyle w:val="31"/>
        <w:rPr>
          <w:rFonts w:hint="eastAsia" w:ascii="Times New Roman" w:hAnsi="Times New Roman" w:eastAsia="宋体" w:cs="Times New Roman"/>
          <w:b/>
          <w:kern w:val="2"/>
          <w:sz w:val="28"/>
          <w:szCs w:val="28"/>
          <w:lang w:val="en-US" w:eastAsia="zh-CN" w:bidi="ar-SA"/>
        </w:rPr>
      </w:pPr>
    </w:p>
    <w:p w14:paraId="1D08CBA8">
      <w:pPr>
        <w:rPr>
          <w:rFonts w:hint="eastAsia" w:ascii="Times New Roman" w:hAnsi="Times New Roman" w:eastAsia="宋体" w:cs="Times New Roman"/>
          <w:b/>
          <w:kern w:val="2"/>
          <w:sz w:val="28"/>
          <w:szCs w:val="28"/>
          <w:lang w:val="en-US" w:eastAsia="zh-CN" w:bidi="ar-SA"/>
        </w:rPr>
      </w:pPr>
    </w:p>
    <w:p w14:paraId="08EEC310">
      <w:pPr>
        <w:pStyle w:val="31"/>
        <w:rPr>
          <w:rFonts w:hint="eastAsia" w:ascii="Times New Roman" w:hAnsi="Times New Roman" w:eastAsia="宋体" w:cs="Times New Roman"/>
          <w:b/>
          <w:kern w:val="2"/>
          <w:sz w:val="28"/>
          <w:szCs w:val="28"/>
          <w:lang w:val="en-US" w:eastAsia="zh-CN" w:bidi="ar-SA"/>
        </w:rPr>
      </w:pPr>
    </w:p>
    <w:p w14:paraId="377EF714">
      <w:pPr>
        <w:rPr>
          <w:rFonts w:hint="eastAsia" w:ascii="Times New Roman" w:hAnsi="Times New Roman" w:eastAsia="宋体" w:cs="Times New Roman"/>
          <w:b/>
          <w:kern w:val="2"/>
          <w:sz w:val="28"/>
          <w:szCs w:val="28"/>
          <w:lang w:val="en-US" w:eastAsia="zh-CN" w:bidi="ar-SA"/>
        </w:rPr>
      </w:pPr>
    </w:p>
    <w:p w14:paraId="058BA15A">
      <w:pPr>
        <w:pStyle w:val="31"/>
        <w:rPr>
          <w:rFonts w:hint="eastAsia" w:ascii="Times New Roman" w:hAnsi="Times New Roman" w:eastAsia="宋体" w:cs="Times New Roman"/>
          <w:b/>
          <w:kern w:val="2"/>
          <w:sz w:val="28"/>
          <w:szCs w:val="28"/>
          <w:lang w:val="en-US" w:eastAsia="zh-CN" w:bidi="ar-SA"/>
        </w:rPr>
      </w:pPr>
    </w:p>
    <w:p w14:paraId="1897B764">
      <w:pPr>
        <w:rPr>
          <w:rFonts w:hint="eastAsia" w:ascii="Times New Roman" w:hAnsi="Times New Roman" w:eastAsia="宋体" w:cs="Times New Roman"/>
          <w:b/>
          <w:kern w:val="2"/>
          <w:sz w:val="28"/>
          <w:szCs w:val="28"/>
          <w:lang w:val="en-US" w:eastAsia="zh-CN" w:bidi="ar-SA"/>
        </w:rPr>
      </w:pPr>
    </w:p>
    <w:p w14:paraId="55A2395E">
      <w:pPr>
        <w:pStyle w:val="31"/>
        <w:rPr>
          <w:rFonts w:hint="eastAsia" w:ascii="Times New Roman" w:hAnsi="Times New Roman" w:eastAsia="宋体" w:cs="Times New Roman"/>
          <w:b/>
          <w:kern w:val="2"/>
          <w:sz w:val="28"/>
          <w:szCs w:val="28"/>
          <w:lang w:val="en-US" w:eastAsia="zh-CN" w:bidi="ar-SA"/>
        </w:rPr>
      </w:pPr>
    </w:p>
    <w:p w14:paraId="4D8884C0">
      <w:pPr>
        <w:rPr>
          <w:rFonts w:hint="eastAsia" w:ascii="Times New Roman" w:hAnsi="Times New Roman" w:eastAsia="宋体" w:cs="Times New Roman"/>
          <w:b/>
          <w:kern w:val="2"/>
          <w:sz w:val="28"/>
          <w:szCs w:val="28"/>
          <w:lang w:val="en-US" w:eastAsia="zh-CN" w:bidi="ar-SA"/>
        </w:rPr>
      </w:pPr>
    </w:p>
    <w:p w14:paraId="4F127FEF">
      <w:pPr>
        <w:pStyle w:val="31"/>
        <w:rPr>
          <w:rFonts w:hint="eastAsia" w:ascii="Times New Roman" w:hAnsi="Times New Roman" w:eastAsia="宋体" w:cs="Times New Roman"/>
          <w:b/>
          <w:kern w:val="2"/>
          <w:sz w:val="28"/>
          <w:szCs w:val="28"/>
          <w:lang w:val="en-US" w:eastAsia="zh-CN" w:bidi="ar-SA"/>
        </w:rPr>
      </w:pPr>
    </w:p>
    <w:p w14:paraId="7DB30D5E">
      <w:pPr>
        <w:rPr>
          <w:rFonts w:hint="eastAsia" w:ascii="Times New Roman" w:hAnsi="Times New Roman" w:eastAsia="宋体" w:cs="Times New Roman"/>
          <w:b/>
          <w:kern w:val="2"/>
          <w:sz w:val="28"/>
          <w:szCs w:val="28"/>
          <w:lang w:val="en-US" w:eastAsia="zh-CN" w:bidi="ar-SA"/>
        </w:rPr>
      </w:pPr>
    </w:p>
    <w:p w14:paraId="066B50DA">
      <w:pPr>
        <w:pStyle w:val="31"/>
        <w:rPr>
          <w:rFonts w:hint="eastAsia" w:ascii="Times New Roman" w:hAnsi="Times New Roman" w:eastAsia="宋体" w:cs="Times New Roman"/>
          <w:b/>
          <w:kern w:val="2"/>
          <w:sz w:val="28"/>
          <w:szCs w:val="28"/>
          <w:lang w:val="en-US" w:eastAsia="zh-CN" w:bidi="ar-SA"/>
        </w:rPr>
      </w:pPr>
    </w:p>
    <w:p w14:paraId="4E065F0B">
      <w:pPr>
        <w:rPr>
          <w:rFonts w:hint="eastAsia" w:ascii="Times New Roman" w:hAnsi="Times New Roman" w:eastAsia="宋体" w:cs="Times New Roman"/>
          <w:b/>
          <w:kern w:val="2"/>
          <w:sz w:val="28"/>
          <w:szCs w:val="28"/>
          <w:lang w:val="en-US" w:eastAsia="zh-CN" w:bidi="ar-SA"/>
        </w:rPr>
      </w:pPr>
    </w:p>
    <w:p w14:paraId="0C6946FD">
      <w:pPr>
        <w:pStyle w:val="31"/>
        <w:rPr>
          <w:rFonts w:hint="eastAsia" w:ascii="Times New Roman" w:hAnsi="Times New Roman" w:eastAsia="宋体" w:cs="Times New Roman"/>
          <w:b/>
          <w:kern w:val="2"/>
          <w:sz w:val="28"/>
          <w:szCs w:val="28"/>
          <w:lang w:val="en-US" w:eastAsia="zh-CN" w:bidi="ar-SA"/>
        </w:rPr>
      </w:pPr>
    </w:p>
    <w:p w14:paraId="7F967A6B">
      <w:pPr>
        <w:rPr>
          <w:rFonts w:hint="eastAsia" w:ascii="Times New Roman" w:hAnsi="Times New Roman" w:eastAsia="宋体" w:cs="Times New Roman"/>
          <w:b/>
          <w:kern w:val="2"/>
          <w:sz w:val="28"/>
          <w:szCs w:val="28"/>
          <w:lang w:val="en-US" w:eastAsia="zh-CN" w:bidi="ar-SA"/>
        </w:rPr>
      </w:pPr>
    </w:p>
    <w:p w14:paraId="416E4A7D">
      <w:pPr>
        <w:pStyle w:val="31"/>
        <w:rPr>
          <w:rFonts w:hint="eastAsia"/>
          <w:lang w:val="en-US" w:eastAsia="zh-CN"/>
        </w:rPr>
      </w:pPr>
    </w:p>
    <w:p w14:paraId="301F3D46">
      <w:pPr>
        <w:pStyle w:val="2"/>
        <w:ind w:left="0" w:leftChars="0" w:firstLine="0" w:firstLineChars="0"/>
        <w:jc w:val="both"/>
        <w:rPr>
          <w:rFonts w:hint="default" w:ascii="Times New Roman" w:hAnsi="Times New Roman" w:eastAsia="宋体" w:cs="Times New Roman"/>
          <w:b/>
          <w:kern w:val="2"/>
          <w:sz w:val="28"/>
          <w:szCs w:val="28"/>
          <w:lang w:val="en-US" w:eastAsia="zh-CN" w:bidi="ar-SA"/>
        </w:rPr>
      </w:pPr>
      <w:r>
        <w:rPr>
          <w:rFonts w:hint="eastAsia" w:ascii="Times New Roman" w:hAnsi="Times New Roman" w:eastAsia="宋体" w:cs="Times New Roman"/>
          <w:b/>
          <w:kern w:val="2"/>
          <w:sz w:val="28"/>
          <w:szCs w:val="28"/>
          <w:lang w:val="en-US" w:eastAsia="zh-CN" w:bidi="ar-SA"/>
        </w:rPr>
        <w:t>附件4</w:t>
      </w:r>
      <w:r>
        <w:rPr>
          <w:rFonts w:hint="eastAsia" w:eastAsia="宋体" w:cs="Times New Roman"/>
          <w:b/>
          <w:kern w:val="2"/>
          <w:sz w:val="28"/>
          <w:szCs w:val="28"/>
          <w:lang w:val="en-US" w:eastAsia="zh-CN" w:bidi="ar-SA"/>
        </w:rPr>
        <w:t>：</w:t>
      </w:r>
      <w:r>
        <w:rPr>
          <w:rFonts w:hint="eastAsia" w:ascii="Times New Roman" w:hAnsi="Times New Roman" w:eastAsia="宋体" w:cs="Times New Roman"/>
          <w:b/>
          <w:kern w:val="2"/>
          <w:sz w:val="28"/>
          <w:szCs w:val="28"/>
          <w:lang w:val="en-US" w:eastAsia="zh-CN" w:bidi="ar-SA"/>
        </w:rPr>
        <w:t>土地文件</w:t>
      </w:r>
    </w:p>
    <w:p w14:paraId="45E04532">
      <w:pPr>
        <w:jc w:val="both"/>
        <w:rPr>
          <w:rFonts w:hint="eastAsia" w:ascii="Times New Roman" w:hAnsi="Times New Roman" w:eastAsia="宋体" w:cs="Times New Roman"/>
          <w:b/>
          <w:kern w:val="2"/>
          <w:sz w:val="28"/>
          <w:szCs w:val="28"/>
          <w:lang w:val="en-US" w:eastAsia="zh-CN" w:bidi="ar-SA"/>
        </w:rPr>
        <w:sectPr>
          <w:pgSz w:w="11910" w:h="16840"/>
          <w:pgMar w:top="1440" w:right="1080" w:bottom="1440" w:left="1080" w:header="720" w:footer="720" w:gutter="0"/>
          <w:pgBorders>
            <w:top w:val="none" w:sz="0" w:space="0"/>
            <w:left w:val="none" w:sz="0" w:space="0"/>
            <w:bottom w:val="none" w:sz="0" w:space="0"/>
            <w:right w:val="none" w:sz="0" w:space="0"/>
          </w:pgBorders>
          <w:pgNumType w:fmt="decimal"/>
          <w:cols w:space="720" w:num="1"/>
        </w:sectPr>
      </w:pPr>
      <w:r>
        <w:rPr>
          <w:rFonts w:hint="eastAsia" w:ascii="仿宋_GB2312" w:hAnsi="宋体" w:eastAsia="仿宋_GB2312" w:cs="宋体"/>
          <w:color w:val="000000"/>
          <w:kern w:val="0"/>
          <w:sz w:val="32"/>
          <w:szCs w:val="32"/>
        </w:rPr>
        <w:drawing>
          <wp:anchor distT="0" distB="0" distL="114300" distR="114300" simplePos="0" relativeHeight="251737088" behindDoc="0" locked="0" layoutInCell="1" allowOverlap="1">
            <wp:simplePos x="0" y="0"/>
            <wp:positionH relativeFrom="column">
              <wp:posOffset>-95250</wp:posOffset>
            </wp:positionH>
            <wp:positionV relativeFrom="paragraph">
              <wp:posOffset>37465</wp:posOffset>
            </wp:positionV>
            <wp:extent cx="6256020" cy="8699500"/>
            <wp:effectExtent l="0" t="0" r="0" b="0"/>
            <wp:wrapNone/>
            <wp:docPr id="129" name="图片 5" descr="e2a858498a85086fa08370a6b23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5" descr="e2a858498a85086fa08370a6b236585"/>
                    <pic:cNvPicPr>
                      <a:picLocks noChangeAspect="1"/>
                    </pic:cNvPicPr>
                  </pic:nvPicPr>
                  <pic:blipFill>
                    <a:blip r:embed="rId35"/>
                    <a:srcRect b="3765"/>
                    <a:stretch>
                      <a:fillRect/>
                    </a:stretch>
                  </pic:blipFill>
                  <pic:spPr>
                    <a:xfrm>
                      <a:off x="0" y="0"/>
                      <a:ext cx="6256020" cy="8699500"/>
                    </a:xfrm>
                    <a:prstGeom prst="rect">
                      <a:avLst/>
                    </a:prstGeom>
                    <a:noFill/>
                    <a:ln>
                      <a:noFill/>
                    </a:ln>
                  </pic:spPr>
                </pic:pic>
              </a:graphicData>
            </a:graphic>
          </wp:anchor>
        </w:drawing>
      </w:r>
    </w:p>
    <w:p w14:paraId="434DB45C">
      <w:pPr>
        <w:jc w:val="center"/>
        <w:rPr>
          <w:rFonts w:hint="eastAsia" w:ascii="Times New Roman" w:hAnsi="Times New Roman" w:eastAsia="宋体" w:cs="Times New Roman"/>
          <w:b/>
          <w:kern w:val="2"/>
          <w:sz w:val="28"/>
          <w:szCs w:val="28"/>
          <w:lang w:val="en-US" w:eastAsia="zh-CN" w:bidi="ar-SA"/>
        </w:rPr>
        <w:sectPr>
          <w:pgSz w:w="11910" w:h="16840"/>
          <w:pgMar w:top="1440" w:right="1080" w:bottom="1440" w:left="1080" w:header="720" w:footer="720" w:gutter="0"/>
          <w:pgBorders>
            <w:top w:val="none" w:sz="0" w:space="0"/>
            <w:left w:val="none" w:sz="0" w:space="0"/>
            <w:bottom w:val="none" w:sz="0" w:space="0"/>
            <w:right w:val="none" w:sz="0" w:space="0"/>
          </w:pgBorders>
          <w:pgNumType w:fmt="decimal"/>
          <w:cols w:space="720" w:num="1"/>
        </w:sectPr>
      </w:pPr>
      <w:r>
        <w:rPr>
          <w:rFonts w:hint="eastAsia" w:ascii="Times New Roman" w:hAnsi="Times New Roman" w:eastAsia="宋体" w:cs="Times New Roman"/>
          <w:b/>
          <w:kern w:val="2"/>
          <w:sz w:val="28"/>
          <w:szCs w:val="28"/>
          <w:lang w:val="en-US" w:eastAsia="zh-CN" w:bidi="ar-SA"/>
        </w:rPr>
        <w:drawing>
          <wp:inline distT="0" distB="0" distL="114300" distR="114300">
            <wp:extent cx="6102985" cy="8667115"/>
            <wp:effectExtent l="0" t="0" r="8255" b="4445"/>
            <wp:docPr id="125" name="图片 10" descr="1692665913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0" descr="1692665913806"/>
                    <pic:cNvPicPr>
                      <a:picLocks noChangeAspect="1"/>
                    </pic:cNvPicPr>
                  </pic:nvPicPr>
                  <pic:blipFill>
                    <a:blip r:embed="rId36"/>
                    <a:stretch>
                      <a:fillRect/>
                    </a:stretch>
                  </pic:blipFill>
                  <pic:spPr>
                    <a:xfrm>
                      <a:off x="0" y="0"/>
                      <a:ext cx="6102985" cy="8667115"/>
                    </a:xfrm>
                    <a:prstGeom prst="rect">
                      <a:avLst/>
                    </a:prstGeom>
                    <a:noFill/>
                    <a:ln>
                      <a:noFill/>
                    </a:ln>
                  </pic:spPr>
                </pic:pic>
              </a:graphicData>
            </a:graphic>
          </wp:inline>
        </w:drawing>
      </w:r>
    </w:p>
    <w:p w14:paraId="78F7D9A6">
      <w:pPr>
        <w:jc w:val="both"/>
        <w:rPr>
          <w:rFonts w:hint="eastAsia" w:cs="Times New Roman"/>
          <w:b/>
          <w:kern w:val="2"/>
          <w:sz w:val="28"/>
          <w:szCs w:val="28"/>
          <w:lang w:val="en-US" w:eastAsia="zh-CN" w:bidi="ar-SA"/>
        </w:rPr>
      </w:pPr>
      <w:r>
        <w:rPr>
          <w:rFonts w:hint="eastAsia" w:cs="Times New Roman"/>
          <w:b/>
          <w:kern w:val="2"/>
          <w:sz w:val="28"/>
          <w:szCs w:val="28"/>
          <w:lang w:val="en-US" w:eastAsia="zh-CN" w:bidi="ar-SA"/>
        </w:rPr>
        <w:t>附件5：承诺书</w:t>
      </w:r>
    </w:p>
    <w:p w14:paraId="02EA31FF">
      <w:pPr>
        <w:pStyle w:val="28"/>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b/>
          <w:bCs/>
          <w:kern w:val="2"/>
          <w:sz w:val="36"/>
          <w:szCs w:val="36"/>
          <w:lang w:val="en-US" w:eastAsia="zh-CN" w:bidi="ar"/>
        </w:rPr>
      </w:pPr>
    </w:p>
    <w:p w14:paraId="3838E7A4">
      <w:pPr>
        <w:pStyle w:val="28"/>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b/>
          <w:bCs/>
          <w:kern w:val="2"/>
          <w:sz w:val="36"/>
          <w:szCs w:val="36"/>
          <w:lang w:val="en-US" w:eastAsia="zh-CN" w:bidi="ar"/>
        </w:rPr>
      </w:pPr>
    </w:p>
    <w:p w14:paraId="0A111623">
      <w:pPr>
        <w:pStyle w:val="28"/>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b/>
          <w:bCs/>
          <w:kern w:val="2"/>
          <w:sz w:val="36"/>
          <w:szCs w:val="36"/>
        </w:rPr>
      </w:pPr>
      <w:r>
        <w:rPr>
          <w:rFonts w:hint="eastAsia" w:ascii="宋体" w:hAnsi="宋体" w:eastAsia="宋体" w:cs="宋体"/>
          <w:b/>
          <w:bCs/>
          <w:kern w:val="2"/>
          <w:sz w:val="36"/>
          <w:szCs w:val="36"/>
          <w:lang w:val="en-US" w:eastAsia="zh-CN" w:bidi="ar"/>
        </w:rPr>
        <w:t>建设单位责任声明及承诺书</w:t>
      </w:r>
    </w:p>
    <w:p w14:paraId="4178F955">
      <w:pPr>
        <w:keepNext w:val="0"/>
        <w:keepLines w:val="0"/>
        <w:widowControl w:val="0"/>
        <w:suppressLineNumbers w:val="0"/>
        <w:adjustRightInd w:val="0"/>
        <w:snapToGrid w:val="0"/>
        <w:spacing w:before="0" w:beforeAutospacing="0" w:after="0" w:afterAutospacing="0" w:line="360" w:lineRule="auto"/>
        <w:ind w:left="0" w:right="0" w:firstLine="640" w:firstLineChars="200"/>
        <w:jc w:val="both"/>
        <w:rPr>
          <w:rFonts w:hint="default" w:ascii="Times New Roman" w:hAnsi="Times New Roman" w:eastAsia="仿宋_GB2312" w:cs="Times New Roman"/>
          <w:kern w:val="0"/>
          <w:sz w:val="32"/>
          <w:szCs w:val="32"/>
          <w:lang w:val="en-US" w:eastAsia="zh-CN" w:bidi="ar"/>
        </w:rPr>
      </w:pPr>
    </w:p>
    <w:p w14:paraId="575C8178">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Times New Roman" w:hAnsi="Times New Roman" w:eastAsia="仿宋_GB2312" w:cs="Times New Roman"/>
          <w:sz w:val="28"/>
          <w:szCs w:val="28"/>
        </w:rPr>
      </w:pPr>
      <w:r>
        <w:rPr>
          <w:rFonts w:hint="default" w:ascii="Times New Roman" w:hAnsi="Times New Roman" w:eastAsia="仿宋_GB2312" w:cs="Times New Roman"/>
          <w:kern w:val="0"/>
          <w:sz w:val="28"/>
          <w:szCs w:val="28"/>
          <w:lang w:val="en-US" w:eastAsia="zh-CN" w:bidi="ar"/>
        </w:rPr>
        <w:t>2024</w:t>
      </w:r>
      <w:r>
        <w:rPr>
          <w:rFonts w:hint="eastAsia" w:ascii="仿宋_GB2312" w:hAnsi="Times New Roman" w:eastAsia="仿宋_GB2312" w:cs="仿宋_GB2312"/>
          <w:kern w:val="0"/>
          <w:sz w:val="28"/>
          <w:szCs w:val="28"/>
          <w:lang w:val="en-US" w:eastAsia="zh-CN" w:bidi="ar"/>
        </w:rPr>
        <w:t>年</w:t>
      </w:r>
      <w:r>
        <w:rPr>
          <w:rFonts w:hint="eastAsia" w:ascii="仿宋_GB2312" w:eastAsia="仿宋_GB2312" w:cs="仿宋_GB2312"/>
          <w:kern w:val="0"/>
          <w:sz w:val="28"/>
          <w:szCs w:val="28"/>
          <w:lang w:val="en-US" w:eastAsia="zh-CN" w:bidi="ar"/>
        </w:rPr>
        <w:t>12</w:t>
      </w:r>
      <w:r>
        <w:rPr>
          <w:rFonts w:hint="eastAsia" w:ascii="仿宋_GB2312" w:hAnsi="Times New Roman" w:eastAsia="仿宋_GB2312" w:cs="仿宋_GB2312"/>
          <w:kern w:val="0"/>
          <w:sz w:val="28"/>
          <w:szCs w:val="28"/>
          <w:lang w:val="en-US" w:eastAsia="zh-CN" w:bidi="ar"/>
        </w:rPr>
        <w:t>月，我公司委托河南橦华生态环境设计院有限公司编制《平煤煌龙新能源有限公司</w:t>
      </w:r>
      <w:r>
        <w:rPr>
          <w:rFonts w:hint="eastAsia" w:ascii="仿宋_GB2312" w:eastAsia="仿宋_GB2312" w:cs="仿宋_GB2312"/>
          <w:kern w:val="0"/>
          <w:sz w:val="28"/>
          <w:szCs w:val="28"/>
          <w:lang w:val="en-US" w:eastAsia="zh-CN" w:bidi="ar"/>
        </w:rPr>
        <w:t>八</w:t>
      </w:r>
      <w:r>
        <w:rPr>
          <w:rFonts w:hint="eastAsia" w:ascii="仿宋_GB2312" w:hAnsi="Times New Roman" w:eastAsia="仿宋_GB2312" w:cs="仿宋_GB2312"/>
          <w:kern w:val="0"/>
          <w:sz w:val="28"/>
          <w:szCs w:val="28"/>
          <w:lang w:val="en-US" w:eastAsia="zh-CN" w:bidi="ar"/>
        </w:rPr>
        <w:t>矿</w:t>
      </w:r>
      <w:r>
        <w:rPr>
          <w:rFonts w:hint="eastAsia" w:ascii="仿宋_GB2312" w:eastAsia="仿宋_GB2312" w:cs="仿宋_GB2312"/>
          <w:kern w:val="0"/>
          <w:sz w:val="28"/>
          <w:szCs w:val="28"/>
          <w:lang w:val="en-US" w:eastAsia="zh-CN" w:bidi="ar"/>
        </w:rPr>
        <w:t>二井</w:t>
      </w:r>
      <w:r>
        <w:rPr>
          <w:rFonts w:hint="eastAsia" w:ascii="仿宋_GB2312" w:hAnsi="Times New Roman" w:eastAsia="仿宋_GB2312" w:cs="仿宋_GB2312"/>
          <w:kern w:val="0"/>
          <w:sz w:val="28"/>
          <w:szCs w:val="28"/>
          <w:lang w:val="en-US" w:eastAsia="zh-CN" w:bidi="ar"/>
        </w:rPr>
        <w:t>瓦斯发电</w:t>
      </w:r>
      <w:r>
        <w:rPr>
          <w:rFonts w:hint="eastAsia" w:ascii="仿宋_GB2312" w:eastAsia="仿宋_GB2312" w:cs="仿宋_GB2312"/>
          <w:kern w:val="0"/>
          <w:sz w:val="28"/>
          <w:szCs w:val="28"/>
          <w:lang w:val="en-US" w:eastAsia="zh-CN" w:bidi="ar"/>
        </w:rPr>
        <w:t>站新建</w:t>
      </w:r>
      <w:r>
        <w:rPr>
          <w:rFonts w:hint="eastAsia" w:ascii="仿宋_GB2312" w:hAnsi="Times New Roman" w:eastAsia="仿宋_GB2312" w:cs="仿宋_GB2312"/>
          <w:kern w:val="0"/>
          <w:sz w:val="28"/>
          <w:szCs w:val="28"/>
          <w:lang w:val="en-US" w:eastAsia="zh-CN" w:bidi="ar"/>
        </w:rPr>
        <w:t>项目环境影响报告表》。报告表编制完成以后，我公司对报告表内容进行了审查。相关责任声明及承诺如下：</w:t>
      </w:r>
    </w:p>
    <w:p w14:paraId="6E91065E">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Times New Roman" w:hAnsi="Times New Roman" w:eastAsia="仿宋_GB2312" w:cs="Times New Roman"/>
          <w:sz w:val="28"/>
          <w:szCs w:val="28"/>
        </w:rPr>
      </w:pPr>
      <w:r>
        <w:rPr>
          <w:rFonts w:hint="default" w:ascii="Times New Roman" w:hAnsi="Times New Roman" w:eastAsia="仿宋_GB2312" w:cs="Times New Roman"/>
          <w:kern w:val="0"/>
          <w:sz w:val="28"/>
          <w:szCs w:val="28"/>
          <w:lang w:val="en-US" w:eastAsia="zh-CN" w:bidi="ar"/>
        </w:rPr>
        <w:t>1</w:t>
      </w:r>
      <w:r>
        <w:rPr>
          <w:rFonts w:hint="eastAsia" w:ascii="仿宋_GB2312" w:hAnsi="Times New Roman" w:eastAsia="仿宋_GB2312" w:cs="仿宋_GB2312"/>
          <w:kern w:val="0"/>
          <w:sz w:val="28"/>
          <w:szCs w:val="28"/>
          <w:lang w:val="en-US" w:eastAsia="zh-CN" w:bidi="ar"/>
        </w:rPr>
        <w:t>、环评报告中生产工艺、设备、原辅材料、产品、平面布置等项目基本信息均由我单位提供，与公司建设内容一致，我公司对项目基本信息真实性负责。</w:t>
      </w:r>
    </w:p>
    <w:p w14:paraId="34233D84">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Times New Roman" w:hAnsi="Times New Roman" w:eastAsia="仿宋_GB2312" w:cs="Times New Roman"/>
          <w:sz w:val="28"/>
          <w:szCs w:val="28"/>
        </w:rPr>
      </w:pPr>
      <w:r>
        <w:rPr>
          <w:rFonts w:hint="default" w:ascii="Times New Roman" w:hAnsi="Times New Roman" w:eastAsia="仿宋_GB2312" w:cs="Times New Roman"/>
          <w:kern w:val="0"/>
          <w:sz w:val="28"/>
          <w:szCs w:val="28"/>
          <w:lang w:val="en-US" w:eastAsia="zh-CN" w:bidi="ar"/>
        </w:rPr>
        <w:t>2</w:t>
      </w:r>
      <w:r>
        <w:rPr>
          <w:rFonts w:hint="eastAsia" w:ascii="仿宋_GB2312" w:hAnsi="Times New Roman" w:eastAsia="仿宋_GB2312" w:cs="仿宋_GB2312"/>
          <w:kern w:val="0"/>
          <w:sz w:val="28"/>
          <w:szCs w:val="28"/>
          <w:lang w:val="en-US" w:eastAsia="zh-CN" w:bidi="ar"/>
        </w:rPr>
        <w:t>、我公司承诺对环评文件的内容和结论负责，对公众参与真实性负责。</w:t>
      </w:r>
    </w:p>
    <w:p w14:paraId="136A01AA">
      <w:pPr>
        <w:keepNext w:val="0"/>
        <w:keepLines w:val="0"/>
        <w:widowControl w:val="0"/>
        <w:suppressLineNumbers w:val="0"/>
        <w:adjustRightInd w:val="0"/>
        <w:snapToGrid w:val="0"/>
        <w:spacing w:before="0" w:beforeAutospacing="0" w:after="0" w:afterAutospacing="0" w:line="360" w:lineRule="auto"/>
        <w:ind w:left="0" w:right="0" w:firstLine="560" w:firstLineChars="200"/>
        <w:jc w:val="both"/>
        <w:rPr>
          <w:rFonts w:hint="eastAsia" w:ascii="Times New Roman" w:hAnsi="Times New Roman" w:eastAsia="仿宋_GB2312" w:cs="Times New Roman"/>
          <w:sz w:val="28"/>
          <w:szCs w:val="28"/>
        </w:rPr>
      </w:pPr>
      <w:r>
        <w:rPr>
          <w:rFonts w:hint="default" w:ascii="Times New Roman" w:hAnsi="Times New Roman" w:eastAsia="仿宋_GB2312" w:cs="Times New Roman"/>
          <w:kern w:val="0"/>
          <w:sz w:val="28"/>
          <w:szCs w:val="28"/>
          <w:lang w:val="en-US" w:eastAsia="zh-CN" w:bidi="ar"/>
        </w:rPr>
        <w:t>3</w:t>
      </w:r>
      <w:r>
        <w:rPr>
          <w:rFonts w:hint="eastAsia" w:ascii="仿宋_GB2312" w:hAnsi="Times New Roman" w:eastAsia="仿宋_GB2312" w:cs="仿宋_GB2312"/>
          <w:kern w:val="0"/>
          <w:sz w:val="28"/>
          <w:szCs w:val="28"/>
          <w:lang w:val="en-US" w:eastAsia="zh-CN" w:bidi="ar"/>
        </w:rPr>
        <w:t>、我公司已了解环评报告中提出的环保措施和环境管理要求，并承诺按照相关要求进行落实。</w:t>
      </w:r>
    </w:p>
    <w:p w14:paraId="7CFE82D3">
      <w:pPr>
        <w:pStyle w:val="28"/>
        <w:keepNext w:val="0"/>
        <w:keepLines w:val="0"/>
        <w:widowControl w:val="0"/>
        <w:suppressLineNumbers w:val="0"/>
        <w:spacing w:before="0" w:beforeAutospacing="0" w:after="0" w:afterAutospacing="0" w:line="360" w:lineRule="auto"/>
        <w:ind w:left="0" w:right="0" w:firstLine="560" w:firstLineChars="200"/>
        <w:jc w:val="both"/>
        <w:rPr>
          <w:rFonts w:hint="eastAsia" w:ascii="Times New Roman" w:hAnsi="Times New Roman" w:eastAsia="宋体" w:cs="黑体"/>
          <w:kern w:val="2"/>
          <w:sz w:val="28"/>
          <w:szCs w:val="28"/>
        </w:rPr>
      </w:pPr>
      <w:r>
        <w:rPr>
          <w:rFonts w:hint="eastAsia" w:ascii="Times New Roman" w:hAnsi="Times New Roman" w:eastAsia="宋体" w:cs="黑体"/>
          <w:kern w:val="2"/>
          <w:sz w:val="28"/>
          <w:szCs w:val="28"/>
          <w:lang w:val="en-US" w:eastAsia="zh-CN" w:bidi="ar"/>
        </w:rPr>
        <w:t xml:space="preserve"> </w:t>
      </w:r>
    </w:p>
    <w:p w14:paraId="7A5F071B">
      <w:pPr>
        <w:pStyle w:val="28"/>
        <w:keepNext w:val="0"/>
        <w:keepLines w:val="0"/>
        <w:widowControl w:val="0"/>
        <w:suppressLineNumbers w:val="0"/>
        <w:spacing w:before="0" w:beforeAutospacing="0" w:after="0" w:afterAutospacing="0" w:line="360" w:lineRule="auto"/>
        <w:ind w:left="0" w:right="0" w:firstLine="560" w:firstLineChars="200"/>
        <w:jc w:val="both"/>
        <w:rPr>
          <w:rFonts w:hint="eastAsia" w:ascii="Times New Roman" w:hAnsi="Times New Roman" w:eastAsia="宋体" w:cs="黑体"/>
          <w:kern w:val="2"/>
          <w:sz w:val="28"/>
          <w:szCs w:val="28"/>
        </w:rPr>
      </w:pPr>
      <w:r>
        <w:rPr>
          <w:rFonts w:hint="eastAsia" w:ascii="Times New Roman" w:hAnsi="Times New Roman" w:eastAsia="宋体" w:cs="黑体"/>
          <w:kern w:val="2"/>
          <w:sz w:val="28"/>
          <w:szCs w:val="28"/>
          <w:lang w:val="en-US" w:eastAsia="zh-CN" w:bidi="ar"/>
        </w:rPr>
        <w:t xml:space="preserve"> </w:t>
      </w:r>
    </w:p>
    <w:p w14:paraId="5FCDA847">
      <w:pPr>
        <w:keepNext w:val="0"/>
        <w:keepLines w:val="0"/>
        <w:widowControl w:val="0"/>
        <w:suppressLineNumbers w:val="0"/>
        <w:adjustRightInd w:val="0"/>
        <w:snapToGrid w:val="0"/>
        <w:spacing w:before="0" w:beforeAutospacing="0" w:after="0" w:afterAutospacing="0" w:line="360" w:lineRule="auto"/>
        <w:ind w:left="0" w:right="0" w:firstLine="560" w:firstLineChars="200"/>
        <w:jc w:val="center"/>
        <w:rPr>
          <w:rFonts w:hint="eastAsia" w:ascii="仿宋_GB2312" w:hAnsi="Times New Roman" w:eastAsia="仿宋_GB2312" w:cs="仿宋_GB2312"/>
          <w:kern w:val="0"/>
          <w:sz w:val="28"/>
          <w:szCs w:val="28"/>
          <w:lang w:val="en-US" w:eastAsia="zh-CN" w:bidi="ar"/>
        </w:rPr>
      </w:pPr>
    </w:p>
    <w:p w14:paraId="63B4DF67">
      <w:pPr>
        <w:pStyle w:val="31"/>
        <w:rPr>
          <w:rFonts w:hint="eastAsia"/>
          <w:lang w:val="en-US" w:eastAsia="zh-CN"/>
        </w:rPr>
      </w:pPr>
    </w:p>
    <w:p w14:paraId="53190FD7">
      <w:pPr>
        <w:keepNext w:val="0"/>
        <w:keepLines w:val="0"/>
        <w:widowControl w:val="0"/>
        <w:suppressLineNumbers w:val="0"/>
        <w:adjustRightInd w:val="0"/>
        <w:snapToGrid w:val="0"/>
        <w:spacing w:before="0" w:beforeAutospacing="0" w:after="0" w:afterAutospacing="0" w:line="360" w:lineRule="auto"/>
        <w:ind w:left="0" w:right="0" w:firstLine="560" w:firstLineChars="200"/>
        <w:jc w:val="right"/>
        <w:rPr>
          <w:rFonts w:hint="eastAsia" w:ascii="Times New Roman" w:hAnsi="Times New Roman" w:eastAsia="仿宋_GB2312" w:cs="Times New Roman"/>
          <w:sz w:val="28"/>
          <w:szCs w:val="28"/>
        </w:rPr>
      </w:pPr>
      <w:r>
        <w:rPr>
          <w:rFonts w:hint="eastAsia" w:ascii="仿宋_GB2312" w:hAnsi="Times New Roman" w:eastAsia="仿宋_GB2312" w:cs="仿宋_GB2312"/>
          <w:kern w:val="0"/>
          <w:sz w:val="28"/>
          <w:szCs w:val="28"/>
          <w:lang w:val="en-US" w:eastAsia="zh-CN" w:bidi="ar"/>
        </w:rPr>
        <w:t>单位（盖章）：河南超蓝能源科技有限公司</w:t>
      </w:r>
    </w:p>
    <w:p w14:paraId="4B17C135">
      <w:pPr>
        <w:keepNext w:val="0"/>
        <w:keepLines w:val="0"/>
        <w:widowControl w:val="0"/>
        <w:suppressLineNumbers w:val="0"/>
        <w:adjustRightInd w:val="0"/>
        <w:snapToGrid w:val="0"/>
        <w:spacing w:before="0" w:beforeAutospacing="0" w:after="0" w:afterAutospacing="0" w:line="360" w:lineRule="auto"/>
        <w:ind w:left="0" w:right="0" w:firstLine="560" w:firstLineChars="200"/>
        <w:jc w:val="right"/>
        <w:rPr>
          <w:rFonts w:hint="default" w:ascii="Times New Roman" w:hAnsi="Times New Roman" w:eastAsia="仿宋_GB2312" w:cs="Times New Roman"/>
          <w:sz w:val="28"/>
          <w:szCs w:val="28"/>
        </w:rPr>
      </w:pPr>
      <w:r>
        <w:rPr>
          <w:rFonts w:hint="default" w:ascii="Times New Roman" w:hAnsi="Times New Roman" w:eastAsia="仿宋_GB2312" w:cs="Times New Roman"/>
          <w:kern w:val="0"/>
          <w:sz w:val="28"/>
          <w:szCs w:val="28"/>
          <w:lang w:val="en-US" w:eastAsia="zh-CN" w:bidi="ar"/>
        </w:rPr>
        <w:t>2024年</w:t>
      </w:r>
      <w:r>
        <w:rPr>
          <w:rFonts w:hint="eastAsia" w:eastAsia="仿宋_GB2312" w:cs="Times New Roman"/>
          <w:kern w:val="0"/>
          <w:sz w:val="28"/>
          <w:szCs w:val="28"/>
          <w:lang w:val="en-US" w:eastAsia="zh-CN" w:bidi="ar"/>
        </w:rPr>
        <w:t>12</w:t>
      </w:r>
      <w:r>
        <w:rPr>
          <w:rFonts w:hint="default" w:ascii="Times New Roman" w:hAnsi="Times New Roman" w:eastAsia="仿宋_GB2312" w:cs="Times New Roman"/>
          <w:kern w:val="0"/>
          <w:sz w:val="28"/>
          <w:szCs w:val="28"/>
          <w:lang w:val="en-US" w:eastAsia="zh-CN" w:bidi="ar"/>
        </w:rPr>
        <w:t>月1</w:t>
      </w:r>
      <w:r>
        <w:rPr>
          <w:rFonts w:hint="eastAsia" w:eastAsia="仿宋_GB2312" w:cs="Times New Roman"/>
          <w:kern w:val="0"/>
          <w:sz w:val="28"/>
          <w:szCs w:val="28"/>
          <w:lang w:val="en-US" w:eastAsia="zh-CN" w:bidi="ar"/>
        </w:rPr>
        <w:t>1</w:t>
      </w:r>
      <w:r>
        <w:rPr>
          <w:rFonts w:hint="default" w:ascii="Times New Roman" w:hAnsi="Times New Roman" w:eastAsia="仿宋_GB2312" w:cs="Times New Roman"/>
          <w:kern w:val="0"/>
          <w:sz w:val="28"/>
          <w:szCs w:val="28"/>
          <w:lang w:val="en-US" w:eastAsia="zh-CN" w:bidi="ar"/>
        </w:rPr>
        <w:t>日</w:t>
      </w:r>
    </w:p>
    <w:p w14:paraId="27CFB0CB">
      <w:pPr>
        <w:pStyle w:val="31"/>
        <w:ind w:left="0" w:leftChars="0" w:firstLine="0" w:firstLineChars="0"/>
        <w:rPr>
          <w:rFonts w:hint="default"/>
          <w:lang w:val="en-US" w:eastAsia="zh-CN"/>
        </w:rPr>
      </w:pPr>
    </w:p>
    <w:p w14:paraId="33558064">
      <w:pPr>
        <w:pStyle w:val="2"/>
        <w:jc w:val="both"/>
        <w:rPr>
          <w:rFonts w:hint="default" w:ascii="Times New Roman" w:hAnsi="Times New Roman" w:eastAsia="宋体" w:cs="Times New Roman"/>
          <w:b/>
          <w:kern w:val="2"/>
          <w:sz w:val="28"/>
          <w:szCs w:val="28"/>
          <w:lang w:val="en-US" w:eastAsia="zh-CN" w:bidi="ar-SA"/>
        </w:rPr>
      </w:pPr>
      <w:r>
        <w:rPr>
          <w:rFonts w:hint="eastAsia" w:ascii="Times New Roman" w:hAnsi="Times New Roman" w:eastAsia="宋体" w:cs="Times New Roman"/>
          <w:b/>
          <w:kern w:val="2"/>
          <w:sz w:val="28"/>
          <w:szCs w:val="28"/>
          <w:lang w:val="en-US" w:eastAsia="zh-CN" w:bidi="ar-SA"/>
        </w:rPr>
        <w:t>附件6</w:t>
      </w:r>
      <w:r>
        <w:rPr>
          <w:rFonts w:hint="eastAsia" w:eastAsia="宋体" w:cs="Times New Roman"/>
          <w:b/>
          <w:kern w:val="2"/>
          <w:sz w:val="28"/>
          <w:szCs w:val="28"/>
          <w:lang w:val="en-US" w:eastAsia="zh-CN" w:bidi="ar-SA"/>
        </w:rPr>
        <w:t>：检测</w:t>
      </w:r>
      <w:r>
        <w:rPr>
          <w:rFonts w:hint="eastAsia" w:ascii="Times New Roman" w:hAnsi="Times New Roman" w:eastAsia="宋体" w:cs="Times New Roman"/>
          <w:b/>
          <w:kern w:val="2"/>
          <w:sz w:val="28"/>
          <w:szCs w:val="28"/>
          <w:lang w:val="en-US" w:eastAsia="zh-CN" w:bidi="ar-SA"/>
        </w:rPr>
        <w:t>报告</w:t>
      </w:r>
    </w:p>
    <w:p w14:paraId="772DD5DE">
      <w:pPr>
        <w:spacing w:line="240" w:lineRule="auto"/>
        <w:ind w:right="0"/>
        <w:jc w:val="center"/>
        <w:rPr>
          <w:rFonts w:hint="eastAsia" w:eastAsia="宋体"/>
          <w:sz w:val="20"/>
          <w:lang w:eastAsia="zh-CN"/>
        </w:rPr>
      </w:pPr>
      <w:r>
        <w:rPr>
          <w:rFonts w:hint="eastAsia" w:eastAsia="宋体"/>
          <w:sz w:val="20"/>
          <w:lang w:eastAsia="zh-CN"/>
        </w:rPr>
        <w:drawing>
          <wp:inline distT="0" distB="0" distL="114300" distR="114300">
            <wp:extent cx="6014085" cy="8503920"/>
            <wp:effectExtent l="0" t="0" r="5715" b="0"/>
            <wp:docPr id="130" name="图片 11" descr="1690883116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1" descr="1690883116064"/>
                    <pic:cNvPicPr>
                      <a:picLocks noChangeAspect="1"/>
                    </pic:cNvPicPr>
                  </pic:nvPicPr>
                  <pic:blipFill>
                    <a:blip r:embed="rId37"/>
                    <a:stretch>
                      <a:fillRect/>
                    </a:stretch>
                  </pic:blipFill>
                  <pic:spPr>
                    <a:xfrm>
                      <a:off x="0" y="0"/>
                      <a:ext cx="6014085" cy="8503920"/>
                    </a:xfrm>
                    <a:prstGeom prst="rect">
                      <a:avLst/>
                    </a:prstGeom>
                    <a:noFill/>
                    <a:ln>
                      <a:noFill/>
                    </a:ln>
                  </pic:spPr>
                </pic:pic>
              </a:graphicData>
            </a:graphic>
          </wp:inline>
        </w:drawing>
      </w:r>
    </w:p>
    <w:p w14:paraId="4857742C">
      <w:pPr>
        <w:spacing w:after="0" w:line="240" w:lineRule="auto"/>
        <w:rPr>
          <w:sz w:val="20"/>
        </w:rPr>
        <w:sectPr>
          <w:pgSz w:w="11910" w:h="16840"/>
          <w:pgMar w:top="1440" w:right="1080" w:bottom="1440" w:left="1080" w:header="720" w:footer="720" w:gutter="0"/>
          <w:pgBorders>
            <w:top w:val="none" w:sz="0" w:space="0"/>
            <w:left w:val="none" w:sz="0" w:space="0"/>
            <w:bottom w:val="none" w:sz="0" w:space="0"/>
            <w:right w:val="none" w:sz="0" w:space="0"/>
          </w:pgBorders>
          <w:pgNumType w:fmt="decimal"/>
          <w:cols w:space="720" w:num="1"/>
        </w:sectPr>
      </w:pPr>
    </w:p>
    <w:p w14:paraId="7F54C7A1">
      <w:pPr>
        <w:spacing w:line="240" w:lineRule="auto"/>
        <w:ind w:left="115" w:right="0" w:firstLine="0"/>
        <w:jc w:val="center"/>
        <w:rPr>
          <w:sz w:val="20"/>
        </w:rPr>
      </w:pPr>
      <w:r>
        <w:rPr>
          <w:sz w:val="20"/>
        </w:rPr>
        <w:drawing>
          <wp:inline distT="0" distB="0" distL="114300" distR="114300">
            <wp:extent cx="6119495" cy="8745220"/>
            <wp:effectExtent l="0" t="0" r="14605" b="17780"/>
            <wp:docPr id="13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2"/>
                    <pic:cNvPicPr>
                      <a:picLocks noChangeAspect="1"/>
                    </pic:cNvPicPr>
                  </pic:nvPicPr>
                  <pic:blipFill>
                    <a:blip r:embed="rId38"/>
                    <a:stretch>
                      <a:fillRect/>
                    </a:stretch>
                  </pic:blipFill>
                  <pic:spPr>
                    <a:xfrm>
                      <a:off x="0" y="0"/>
                      <a:ext cx="6119495" cy="8745220"/>
                    </a:xfrm>
                    <a:prstGeom prst="rect">
                      <a:avLst/>
                    </a:prstGeom>
                    <a:noFill/>
                    <a:ln>
                      <a:noFill/>
                    </a:ln>
                  </pic:spPr>
                </pic:pic>
              </a:graphicData>
            </a:graphic>
          </wp:inline>
        </w:drawing>
      </w:r>
    </w:p>
    <w:p w14:paraId="79309B20">
      <w:pPr>
        <w:spacing w:after="0" w:line="240" w:lineRule="auto"/>
        <w:rPr>
          <w:sz w:val="20"/>
        </w:rPr>
        <w:sectPr>
          <w:pgSz w:w="11910" w:h="16840"/>
          <w:pgMar w:top="1440" w:right="1080" w:bottom="1440" w:left="1080" w:header="720" w:footer="720" w:gutter="0"/>
          <w:pgBorders>
            <w:top w:val="none" w:sz="0" w:space="0"/>
            <w:left w:val="none" w:sz="0" w:space="0"/>
            <w:bottom w:val="none" w:sz="0" w:space="0"/>
            <w:right w:val="none" w:sz="0" w:space="0"/>
          </w:pgBorders>
          <w:pgNumType w:fmt="decimal"/>
          <w:cols w:space="720" w:num="1"/>
        </w:sectPr>
      </w:pPr>
    </w:p>
    <w:p w14:paraId="5B49C1A1">
      <w:pPr>
        <w:spacing w:line="240" w:lineRule="auto"/>
        <w:ind w:left="115" w:right="0" w:firstLine="0"/>
        <w:rPr>
          <w:rFonts w:hint="eastAsia" w:eastAsia="宋体"/>
          <w:sz w:val="20"/>
          <w:lang w:eastAsia="zh-CN"/>
        </w:rPr>
      </w:pPr>
      <w:r>
        <w:rPr>
          <w:rFonts w:hint="eastAsia" w:eastAsia="宋体"/>
          <w:sz w:val="20"/>
          <w:lang w:eastAsia="zh-CN"/>
        </w:rPr>
        <w:drawing>
          <wp:inline distT="0" distB="0" distL="114300" distR="114300">
            <wp:extent cx="6195060" cy="8813165"/>
            <wp:effectExtent l="0" t="0" r="7620" b="10795"/>
            <wp:docPr id="127" name="图片 13" descr="1690883080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3" descr="1690883080421"/>
                    <pic:cNvPicPr>
                      <a:picLocks noChangeAspect="1"/>
                    </pic:cNvPicPr>
                  </pic:nvPicPr>
                  <pic:blipFill>
                    <a:blip r:embed="rId39"/>
                    <a:stretch>
                      <a:fillRect/>
                    </a:stretch>
                  </pic:blipFill>
                  <pic:spPr>
                    <a:xfrm>
                      <a:off x="0" y="0"/>
                      <a:ext cx="6195060" cy="8813165"/>
                    </a:xfrm>
                    <a:prstGeom prst="rect">
                      <a:avLst/>
                    </a:prstGeom>
                    <a:noFill/>
                    <a:ln>
                      <a:noFill/>
                    </a:ln>
                  </pic:spPr>
                </pic:pic>
              </a:graphicData>
            </a:graphic>
          </wp:inline>
        </w:drawing>
      </w:r>
    </w:p>
    <w:p w14:paraId="183DADEC">
      <w:pPr>
        <w:spacing w:after="0" w:line="240" w:lineRule="auto"/>
        <w:rPr>
          <w:sz w:val="20"/>
        </w:rPr>
        <w:sectPr>
          <w:pgSz w:w="11910" w:h="16840"/>
          <w:pgMar w:top="1440" w:right="1080" w:bottom="1440" w:left="1080" w:header="720" w:footer="720" w:gutter="0"/>
          <w:pgBorders>
            <w:top w:val="none" w:sz="0" w:space="0"/>
            <w:left w:val="none" w:sz="0" w:space="0"/>
            <w:bottom w:val="none" w:sz="0" w:space="0"/>
            <w:right w:val="none" w:sz="0" w:space="0"/>
          </w:pgBorders>
          <w:pgNumType w:fmt="decimal"/>
          <w:cols w:space="720" w:num="1"/>
        </w:sectPr>
      </w:pPr>
    </w:p>
    <w:p w14:paraId="15FF43E4">
      <w:pPr>
        <w:spacing w:line="240" w:lineRule="auto"/>
        <w:ind w:left="115" w:right="0" w:firstLine="0"/>
        <w:rPr>
          <w:rFonts w:hint="eastAsia" w:eastAsia="宋体"/>
          <w:lang w:val="en-US" w:eastAsia="zh-CN"/>
        </w:rPr>
      </w:pPr>
      <w:r>
        <w:rPr>
          <w:rFonts w:hint="eastAsia" w:eastAsia="宋体"/>
          <w:lang w:val="en-US" w:eastAsia="zh-CN"/>
        </w:rPr>
        <w:drawing>
          <wp:inline distT="0" distB="0" distL="114300" distR="114300">
            <wp:extent cx="6181725" cy="8781415"/>
            <wp:effectExtent l="0" t="0" r="9525" b="635"/>
            <wp:docPr id="132" name="图片 14" descr="1690883035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4" descr="1690883035737"/>
                    <pic:cNvPicPr>
                      <a:picLocks noChangeAspect="1"/>
                    </pic:cNvPicPr>
                  </pic:nvPicPr>
                  <pic:blipFill>
                    <a:blip r:embed="rId40"/>
                    <a:stretch>
                      <a:fillRect/>
                    </a:stretch>
                  </pic:blipFill>
                  <pic:spPr>
                    <a:xfrm>
                      <a:off x="0" y="0"/>
                      <a:ext cx="6181725" cy="8781415"/>
                    </a:xfrm>
                    <a:prstGeom prst="rect">
                      <a:avLst/>
                    </a:prstGeom>
                    <a:noFill/>
                    <a:ln>
                      <a:noFill/>
                    </a:ln>
                  </pic:spPr>
                </pic:pic>
              </a:graphicData>
            </a:graphic>
          </wp:inline>
        </w:drawing>
      </w:r>
    </w:p>
    <w:p w14:paraId="0E1B958E">
      <w:pPr>
        <w:pStyle w:val="2"/>
        <w:rPr>
          <w:rFonts w:hint="eastAsia" w:eastAsia="宋体"/>
          <w:lang w:val="en-US" w:eastAsia="zh-CN"/>
        </w:rP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4A13C3D">
      <w:pPr>
        <w:pStyle w:val="25"/>
        <w:ind w:left="0" w:leftChars="0" w:firstLine="0" w:firstLineChars="0"/>
        <w:jc w:val="center"/>
        <w:rPr>
          <w:rFonts w:ascii="宋体" w:hAnsi="宋体" w:cs="宋体"/>
          <w:b/>
          <w:bCs/>
          <w:kern w:val="2"/>
        </w:rPr>
        <w:sectPr>
          <w:pgSz w:w="11906" w:h="16838"/>
          <w:pgMar w:top="720" w:right="720" w:bottom="720" w:left="72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ascii="宋体" w:hAnsi="宋体" w:cs="宋体"/>
          <w:b/>
          <w:bCs/>
          <w:kern w:val="2"/>
        </w:rPr>
        <w:drawing>
          <wp:inline distT="0" distB="0" distL="114300" distR="114300">
            <wp:extent cx="6577330" cy="8897620"/>
            <wp:effectExtent l="0" t="0" r="6350" b="2540"/>
            <wp:docPr id="124" name="图片 15" descr="168171839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5" descr="1681718393407"/>
                    <pic:cNvPicPr>
                      <a:picLocks noChangeAspect="1"/>
                    </pic:cNvPicPr>
                  </pic:nvPicPr>
                  <pic:blipFill>
                    <a:blip r:embed="rId41"/>
                    <a:stretch>
                      <a:fillRect/>
                    </a:stretch>
                  </pic:blipFill>
                  <pic:spPr>
                    <a:xfrm>
                      <a:off x="0" y="0"/>
                      <a:ext cx="6577330" cy="8897620"/>
                    </a:xfrm>
                    <a:prstGeom prst="rect">
                      <a:avLst/>
                    </a:prstGeom>
                    <a:noFill/>
                    <a:ln>
                      <a:noFill/>
                    </a:ln>
                  </pic:spPr>
                </pic:pic>
              </a:graphicData>
            </a:graphic>
          </wp:inline>
        </w:drawing>
      </w:r>
    </w:p>
    <w:p w14:paraId="7D35E216">
      <w:pPr>
        <w:pStyle w:val="25"/>
        <w:jc w:val="center"/>
      </w:pPr>
      <w:r>
        <w:drawing>
          <wp:inline distT="0" distB="0" distL="114300" distR="114300">
            <wp:extent cx="6846570" cy="9470390"/>
            <wp:effectExtent l="0" t="0" r="11430" b="8890"/>
            <wp:docPr id="139" name="图片 16" descr="1681718419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6" descr="1681718419317"/>
                    <pic:cNvPicPr>
                      <a:picLocks noChangeAspect="1"/>
                    </pic:cNvPicPr>
                  </pic:nvPicPr>
                  <pic:blipFill>
                    <a:blip r:embed="rId42"/>
                    <a:stretch>
                      <a:fillRect/>
                    </a:stretch>
                  </pic:blipFill>
                  <pic:spPr>
                    <a:xfrm>
                      <a:off x="0" y="0"/>
                      <a:ext cx="6846570" cy="9470390"/>
                    </a:xfrm>
                    <a:prstGeom prst="rect">
                      <a:avLst/>
                    </a:prstGeom>
                    <a:noFill/>
                    <a:ln>
                      <a:noFill/>
                    </a:ln>
                  </pic:spPr>
                </pic:pic>
              </a:graphicData>
            </a:graphic>
          </wp:inline>
        </w:drawing>
      </w:r>
      <w:r>
        <w:drawing>
          <wp:inline distT="0" distB="0" distL="114300" distR="114300">
            <wp:extent cx="6460490" cy="9000490"/>
            <wp:effectExtent l="0" t="0" r="1270" b="6350"/>
            <wp:docPr id="123" name="图片 17" descr="168171846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7" descr="1681718460440"/>
                    <pic:cNvPicPr>
                      <a:picLocks noChangeAspect="1"/>
                    </pic:cNvPicPr>
                  </pic:nvPicPr>
                  <pic:blipFill>
                    <a:blip r:embed="rId43"/>
                    <a:stretch>
                      <a:fillRect/>
                    </a:stretch>
                  </pic:blipFill>
                  <pic:spPr>
                    <a:xfrm>
                      <a:off x="0" y="0"/>
                      <a:ext cx="6460490" cy="9000490"/>
                    </a:xfrm>
                    <a:prstGeom prst="rect">
                      <a:avLst/>
                    </a:prstGeom>
                    <a:noFill/>
                    <a:ln>
                      <a:noFill/>
                    </a:ln>
                  </pic:spPr>
                </pic:pic>
              </a:graphicData>
            </a:graphic>
          </wp:inline>
        </w:drawing>
      </w:r>
    </w:p>
    <w:p w14:paraId="6B307D57">
      <w:r>
        <w:drawing>
          <wp:inline distT="0" distB="0" distL="114300" distR="114300">
            <wp:extent cx="6630670" cy="8990965"/>
            <wp:effectExtent l="0" t="0" r="17780" b="635"/>
            <wp:docPr id="133" name="图片 18" descr="168171848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8" descr="1681718481615"/>
                    <pic:cNvPicPr>
                      <a:picLocks noChangeAspect="1"/>
                    </pic:cNvPicPr>
                  </pic:nvPicPr>
                  <pic:blipFill>
                    <a:blip r:embed="rId44"/>
                    <a:stretch>
                      <a:fillRect/>
                    </a:stretch>
                  </pic:blipFill>
                  <pic:spPr>
                    <a:xfrm>
                      <a:off x="0" y="0"/>
                      <a:ext cx="6630670" cy="8990965"/>
                    </a:xfrm>
                    <a:prstGeom prst="rect">
                      <a:avLst/>
                    </a:prstGeom>
                    <a:noFill/>
                    <a:ln>
                      <a:noFill/>
                    </a:ln>
                  </pic:spPr>
                </pic:pic>
              </a:graphicData>
            </a:graphic>
          </wp:inline>
        </w:drawing>
      </w:r>
    </w:p>
    <w:p w14:paraId="37B37819">
      <w:r>
        <w:drawing>
          <wp:inline distT="0" distB="0" distL="114300" distR="114300">
            <wp:extent cx="6671945" cy="8956675"/>
            <wp:effectExtent l="0" t="0" r="3175" b="4445"/>
            <wp:docPr id="126" name="图片 19" descr="168171850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9" descr="1681718505634"/>
                    <pic:cNvPicPr>
                      <a:picLocks noChangeAspect="1"/>
                    </pic:cNvPicPr>
                  </pic:nvPicPr>
                  <pic:blipFill>
                    <a:blip r:embed="rId45"/>
                    <a:stretch>
                      <a:fillRect/>
                    </a:stretch>
                  </pic:blipFill>
                  <pic:spPr>
                    <a:xfrm>
                      <a:off x="0" y="0"/>
                      <a:ext cx="6671945" cy="8956675"/>
                    </a:xfrm>
                    <a:prstGeom prst="rect">
                      <a:avLst/>
                    </a:prstGeom>
                    <a:noFill/>
                    <a:ln>
                      <a:noFill/>
                    </a:ln>
                  </pic:spPr>
                </pic:pic>
              </a:graphicData>
            </a:graphic>
          </wp:inline>
        </w:drawing>
      </w:r>
    </w:p>
    <w:p w14:paraId="18BF2148">
      <w:r>
        <w:drawing>
          <wp:inline distT="0" distB="0" distL="114300" distR="114300">
            <wp:extent cx="6781800" cy="9052560"/>
            <wp:effectExtent l="0" t="0" r="0" b="0"/>
            <wp:docPr id="136" name="图片 20" descr="1681718528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0" descr="1681718528329"/>
                    <pic:cNvPicPr>
                      <a:picLocks noChangeAspect="1"/>
                    </pic:cNvPicPr>
                  </pic:nvPicPr>
                  <pic:blipFill>
                    <a:blip r:embed="rId46"/>
                    <a:stretch>
                      <a:fillRect/>
                    </a:stretch>
                  </pic:blipFill>
                  <pic:spPr>
                    <a:xfrm>
                      <a:off x="0" y="0"/>
                      <a:ext cx="6781800" cy="9052560"/>
                    </a:xfrm>
                    <a:prstGeom prst="rect">
                      <a:avLst/>
                    </a:prstGeom>
                    <a:noFill/>
                    <a:ln>
                      <a:noFill/>
                    </a:ln>
                  </pic:spPr>
                </pic:pic>
              </a:graphicData>
            </a:graphic>
          </wp:inline>
        </w:drawing>
      </w:r>
      <w:r>
        <w:drawing>
          <wp:inline distT="0" distB="0" distL="114300" distR="114300">
            <wp:extent cx="6796405" cy="9050655"/>
            <wp:effectExtent l="0" t="0" r="635" b="1905"/>
            <wp:docPr id="134" name="图片 21" descr="168171855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1" descr="1681718553517"/>
                    <pic:cNvPicPr>
                      <a:picLocks noChangeAspect="1"/>
                    </pic:cNvPicPr>
                  </pic:nvPicPr>
                  <pic:blipFill>
                    <a:blip r:embed="rId47"/>
                    <a:stretch>
                      <a:fillRect/>
                    </a:stretch>
                  </pic:blipFill>
                  <pic:spPr>
                    <a:xfrm>
                      <a:off x="0" y="0"/>
                      <a:ext cx="6796405" cy="9050655"/>
                    </a:xfrm>
                    <a:prstGeom prst="rect">
                      <a:avLst/>
                    </a:prstGeom>
                    <a:noFill/>
                    <a:ln>
                      <a:noFill/>
                    </a:ln>
                  </pic:spPr>
                </pic:pic>
              </a:graphicData>
            </a:graphic>
          </wp:inline>
        </w:drawing>
      </w:r>
    </w:p>
    <w:p w14:paraId="3847815C">
      <w:r>
        <w:drawing>
          <wp:inline distT="0" distB="0" distL="114300" distR="114300">
            <wp:extent cx="6787515" cy="9068435"/>
            <wp:effectExtent l="0" t="0" r="9525" b="14605"/>
            <wp:docPr id="138" name="图片 22" descr="168171858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2" descr="1681718582998"/>
                    <pic:cNvPicPr>
                      <a:picLocks noChangeAspect="1"/>
                    </pic:cNvPicPr>
                  </pic:nvPicPr>
                  <pic:blipFill>
                    <a:blip r:embed="rId48"/>
                    <a:stretch>
                      <a:fillRect/>
                    </a:stretch>
                  </pic:blipFill>
                  <pic:spPr>
                    <a:xfrm>
                      <a:off x="0" y="0"/>
                      <a:ext cx="6787515" cy="9068435"/>
                    </a:xfrm>
                    <a:prstGeom prst="rect">
                      <a:avLst/>
                    </a:prstGeom>
                    <a:noFill/>
                    <a:ln>
                      <a:noFill/>
                    </a:ln>
                  </pic:spPr>
                </pic:pic>
              </a:graphicData>
            </a:graphic>
          </wp:inline>
        </w:drawing>
      </w:r>
      <w:r>
        <w:drawing>
          <wp:inline distT="0" distB="0" distL="114300" distR="114300">
            <wp:extent cx="6785610" cy="9049385"/>
            <wp:effectExtent l="0" t="0" r="11430" b="3175"/>
            <wp:docPr id="135" name="图片 23" descr="1681718637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3" descr="1681718637917"/>
                    <pic:cNvPicPr>
                      <a:picLocks noChangeAspect="1"/>
                    </pic:cNvPicPr>
                  </pic:nvPicPr>
                  <pic:blipFill>
                    <a:blip r:embed="rId49"/>
                    <a:stretch>
                      <a:fillRect/>
                    </a:stretch>
                  </pic:blipFill>
                  <pic:spPr>
                    <a:xfrm>
                      <a:off x="0" y="0"/>
                      <a:ext cx="6785610" cy="9049385"/>
                    </a:xfrm>
                    <a:prstGeom prst="rect">
                      <a:avLst/>
                    </a:prstGeom>
                    <a:noFill/>
                    <a:ln>
                      <a:noFill/>
                    </a:ln>
                  </pic:spPr>
                </pic:pic>
              </a:graphicData>
            </a:graphic>
          </wp:inline>
        </w:drawing>
      </w:r>
    </w:p>
    <w:p w14:paraId="77F1C070">
      <w:r>
        <w:drawing>
          <wp:inline distT="0" distB="0" distL="114300" distR="114300">
            <wp:extent cx="6773545" cy="9004935"/>
            <wp:effectExtent l="0" t="0" r="8255" b="1905"/>
            <wp:docPr id="137" name="图片 24" descr="1681718668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4" descr="1681718668315"/>
                    <pic:cNvPicPr>
                      <a:picLocks noChangeAspect="1"/>
                    </pic:cNvPicPr>
                  </pic:nvPicPr>
                  <pic:blipFill>
                    <a:blip r:embed="rId50"/>
                    <a:stretch>
                      <a:fillRect/>
                    </a:stretch>
                  </pic:blipFill>
                  <pic:spPr>
                    <a:xfrm>
                      <a:off x="0" y="0"/>
                      <a:ext cx="6773545" cy="9004935"/>
                    </a:xfrm>
                    <a:prstGeom prst="rect">
                      <a:avLst/>
                    </a:prstGeom>
                    <a:noFill/>
                    <a:ln>
                      <a:noFill/>
                    </a:ln>
                  </pic:spPr>
                </pic:pic>
              </a:graphicData>
            </a:graphic>
          </wp:inline>
        </w:drawing>
      </w:r>
    </w:p>
    <w:p w14:paraId="443723FB">
      <w:r>
        <w:drawing>
          <wp:inline distT="0" distB="0" distL="114300" distR="114300">
            <wp:extent cx="6760845" cy="9081770"/>
            <wp:effectExtent l="0" t="0" r="5715" b="1270"/>
            <wp:docPr id="147" name="图片 25" descr="168171869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5" descr="1681718691181"/>
                    <pic:cNvPicPr>
                      <a:picLocks noChangeAspect="1"/>
                    </pic:cNvPicPr>
                  </pic:nvPicPr>
                  <pic:blipFill>
                    <a:blip r:embed="rId51"/>
                    <a:stretch>
                      <a:fillRect/>
                    </a:stretch>
                  </pic:blipFill>
                  <pic:spPr>
                    <a:xfrm>
                      <a:off x="0" y="0"/>
                      <a:ext cx="6760845" cy="9081770"/>
                    </a:xfrm>
                    <a:prstGeom prst="rect">
                      <a:avLst/>
                    </a:prstGeom>
                    <a:noFill/>
                    <a:ln>
                      <a:noFill/>
                    </a:ln>
                  </pic:spPr>
                </pic:pic>
              </a:graphicData>
            </a:graphic>
          </wp:inline>
        </w:drawing>
      </w:r>
    </w:p>
    <w:p w14:paraId="46307BA1">
      <w:r>
        <w:drawing>
          <wp:inline distT="0" distB="0" distL="114300" distR="114300">
            <wp:extent cx="6760210" cy="9119235"/>
            <wp:effectExtent l="0" t="0" r="6350" b="9525"/>
            <wp:docPr id="141" name="图片 26" descr="168171871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6" descr="1681718712817"/>
                    <pic:cNvPicPr>
                      <a:picLocks noChangeAspect="1"/>
                    </pic:cNvPicPr>
                  </pic:nvPicPr>
                  <pic:blipFill>
                    <a:blip r:embed="rId52"/>
                    <a:stretch>
                      <a:fillRect/>
                    </a:stretch>
                  </pic:blipFill>
                  <pic:spPr>
                    <a:xfrm>
                      <a:off x="0" y="0"/>
                      <a:ext cx="6760210" cy="9119235"/>
                    </a:xfrm>
                    <a:prstGeom prst="rect">
                      <a:avLst/>
                    </a:prstGeom>
                    <a:noFill/>
                    <a:ln>
                      <a:noFill/>
                    </a:ln>
                  </pic:spPr>
                </pic:pic>
              </a:graphicData>
            </a:graphic>
          </wp:inline>
        </w:drawing>
      </w:r>
    </w:p>
    <w:p w14:paraId="5484105E">
      <w:r>
        <w:drawing>
          <wp:inline distT="0" distB="0" distL="114300" distR="114300">
            <wp:extent cx="6772275" cy="9036050"/>
            <wp:effectExtent l="0" t="0" r="9525" b="1270"/>
            <wp:docPr id="144" name="图片 27" descr="168171874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7" descr="1681718743465"/>
                    <pic:cNvPicPr>
                      <a:picLocks noChangeAspect="1"/>
                    </pic:cNvPicPr>
                  </pic:nvPicPr>
                  <pic:blipFill>
                    <a:blip r:embed="rId53"/>
                    <a:stretch>
                      <a:fillRect/>
                    </a:stretch>
                  </pic:blipFill>
                  <pic:spPr>
                    <a:xfrm>
                      <a:off x="0" y="0"/>
                      <a:ext cx="6772275" cy="9036050"/>
                    </a:xfrm>
                    <a:prstGeom prst="rect">
                      <a:avLst/>
                    </a:prstGeom>
                    <a:noFill/>
                    <a:ln>
                      <a:noFill/>
                    </a:ln>
                  </pic:spPr>
                </pic:pic>
              </a:graphicData>
            </a:graphic>
          </wp:inline>
        </w:drawing>
      </w:r>
    </w:p>
    <w:p w14:paraId="491A2EB3">
      <w:pPr>
        <w:sectPr>
          <w:pgSz w:w="11906" w:h="16838"/>
          <w:pgMar w:top="720" w:right="720" w:bottom="720" w:left="72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7928587C">
      <w:pPr>
        <w:rPr>
          <w:rFonts w:hint="default"/>
          <w:lang w:val="en-US" w:eastAsia="zh-CN"/>
        </w:rP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720" w:num="1"/>
          <w:docGrid w:type="lines" w:linePitch="312" w:charSpace="0"/>
        </w:sectPr>
      </w:pPr>
      <w:r>
        <w:drawing>
          <wp:inline distT="0" distB="0" distL="114300" distR="114300">
            <wp:extent cx="6671945" cy="8706485"/>
            <wp:effectExtent l="0" t="0" r="14605" b="18415"/>
            <wp:docPr id="150" name="图片 28" descr="1681718779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8" descr="1681718779289"/>
                    <pic:cNvPicPr>
                      <a:picLocks noChangeAspect="1"/>
                    </pic:cNvPicPr>
                  </pic:nvPicPr>
                  <pic:blipFill>
                    <a:blip r:embed="rId54"/>
                    <a:stretch>
                      <a:fillRect/>
                    </a:stretch>
                  </pic:blipFill>
                  <pic:spPr>
                    <a:xfrm>
                      <a:off x="0" y="0"/>
                      <a:ext cx="6671945" cy="8706485"/>
                    </a:xfrm>
                    <a:prstGeom prst="rect">
                      <a:avLst/>
                    </a:prstGeom>
                    <a:noFill/>
                    <a:ln>
                      <a:noFill/>
                    </a:ln>
                  </pic:spPr>
                </pic:pic>
              </a:graphicData>
            </a:graphic>
          </wp:inline>
        </w:drawing>
      </w:r>
    </w:p>
    <w:p w14:paraId="4D5BB2A0">
      <w:pPr>
        <w:pStyle w:val="2"/>
        <w:jc w:val="both"/>
        <w:rPr>
          <w:rFonts w:hint="default" w:ascii="Times New Roman" w:hAnsi="Times New Roman" w:eastAsia="宋体" w:cs="Times New Roman"/>
          <w:b/>
          <w:kern w:val="2"/>
          <w:sz w:val="28"/>
          <w:szCs w:val="28"/>
          <w:lang w:val="en-US" w:eastAsia="zh-CN" w:bidi="ar-SA"/>
        </w:rPr>
      </w:pPr>
      <w:r>
        <w:rPr>
          <w:rFonts w:hint="eastAsia" w:ascii="Times New Roman" w:hAnsi="Times New Roman" w:eastAsia="宋体" w:cs="Times New Roman"/>
          <w:b/>
          <w:kern w:val="2"/>
          <w:sz w:val="28"/>
          <w:szCs w:val="28"/>
          <w:lang w:val="en-US" w:eastAsia="zh-CN" w:bidi="ar-SA"/>
        </w:rPr>
        <w:t>附件</w:t>
      </w:r>
      <w:r>
        <w:rPr>
          <w:rFonts w:hint="eastAsia" w:eastAsia="宋体" w:cs="Times New Roman"/>
          <w:b/>
          <w:kern w:val="2"/>
          <w:sz w:val="28"/>
          <w:szCs w:val="28"/>
          <w:lang w:val="en-US" w:eastAsia="zh-CN" w:bidi="ar-SA"/>
        </w:rPr>
        <w:t>7：</w:t>
      </w:r>
      <w:r>
        <w:rPr>
          <w:rFonts w:hint="eastAsia" w:ascii="Times New Roman" w:hAnsi="Times New Roman" w:eastAsia="宋体" w:cs="Times New Roman"/>
          <w:b/>
          <w:kern w:val="2"/>
          <w:sz w:val="28"/>
          <w:szCs w:val="28"/>
          <w:lang w:val="en-US" w:eastAsia="zh-CN" w:bidi="ar-SA"/>
        </w:rPr>
        <w:t>瓦斯气体检测报告</w:t>
      </w:r>
    </w:p>
    <w:p w14:paraId="1AFA924D">
      <w:pP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720" w:num="1"/>
          <w:docGrid w:type="lines" w:linePitch="312" w:charSpace="0"/>
        </w:sectPr>
      </w:pPr>
      <w:r>
        <w:drawing>
          <wp:inline distT="0" distB="0" distL="114300" distR="114300">
            <wp:extent cx="6245860" cy="8335010"/>
            <wp:effectExtent l="0" t="0" r="2540" b="1270"/>
            <wp:docPr id="14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9"/>
                    <pic:cNvPicPr>
                      <a:picLocks noChangeAspect="1"/>
                    </pic:cNvPicPr>
                  </pic:nvPicPr>
                  <pic:blipFill>
                    <a:blip r:embed="rId55"/>
                    <a:stretch>
                      <a:fillRect/>
                    </a:stretch>
                  </pic:blipFill>
                  <pic:spPr>
                    <a:xfrm>
                      <a:off x="0" y="0"/>
                      <a:ext cx="6245860" cy="8335010"/>
                    </a:xfrm>
                    <a:prstGeom prst="rect">
                      <a:avLst/>
                    </a:prstGeom>
                    <a:noFill/>
                    <a:ln>
                      <a:noFill/>
                    </a:ln>
                  </pic:spPr>
                </pic:pic>
              </a:graphicData>
            </a:graphic>
          </wp:inline>
        </w:drawing>
      </w:r>
    </w:p>
    <w:p w14:paraId="2E317539">
      <w:pPr>
        <w:pStyle w:val="2"/>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720" w:num="1"/>
          <w:docGrid w:type="lines" w:linePitch="312" w:charSpace="0"/>
        </w:sectPr>
      </w:pPr>
      <w:r>
        <w:drawing>
          <wp:inline distT="0" distB="0" distL="114300" distR="114300">
            <wp:extent cx="6162675" cy="8781415"/>
            <wp:effectExtent l="0" t="0" r="9525" b="12065"/>
            <wp:docPr id="14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0"/>
                    <pic:cNvPicPr>
                      <a:picLocks noChangeAspect="1"/>
                    </pic:cNvPicPr>
                  </pic:nvPicPr>
                  <pic:blipFill>
                    <a:blip r:embed="rId56"/>
                    <a:stretch>
                      <a:fillRect/>
                    </a:stretch>
                  </pic:blipFill>
                  <pic:spPr>
                    <a:xfrm>
                      <a:off x="0" y="0"/>
                      <a:ext cx="6162675" cy="8781415"/>
                    </a:xfrm>
                    <a:prstGeom prst="rect">
                      <a:avLst/>
                    </a:prstGeom>
                    <a:noFill/>
                    <a:ln>
                      <a:noFill/>
                    </a:ln>
                  </pic:spPr>
                </pic:pic>
              </a:graphicData>
            </a:graphic>
          </wp:inline>
        </w:drawing>
      </w:r>
    </w:p>
    <w:p w14:paraId="7B6C3D1E">
      <w:pPr>
        <w:rPr>
          <w:rFonts w:hint="default"/>
          <w:lang w:val="en-US" w:eastAsia="zh-CN"/>
        </w:rPr>
      </w:pPr>
      <w:r>
        <w:drawing>
          <wp:inline distT="0" distB="0" distL="114300" distR="114300">
            <wp:extent cx="6175375" cy="8769985"/>
            <wp:effectExtent l="0" t="0" r="12065" b="8255"/>
            <wp:docPr id="14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1"/>
                    <pic:cNvPicPr>
                      <a:picLocks noChangeAspect="1"/>
                    </pic:cNvPicPr>
                  </pic:nvPicPr>
                  <pic:blipFill>
                    <a:blip r:embed="rId57"/>
                    <a:stretch>
                      <a:fillRect/>
                    </a:stretch>
                  </pic:blipFill>
                  <pic:spPr>
                    <a:xfrm>
                      <a:off x="0" y="0"/>
                      <a:ext cx="6175375" cy="8769985"/>
                    </a:xfrm>
                    <a:prstGeom prst="rect">
                      <a:avLst/>
                    </a:prstGeom>
                    <a:noFill/>
                    <a:ln>
                      <a:noFill/>
                    </a:ln>
                  </pic:spPr>
                </pic:pic>
              </a:graphicData>
            </a:graphic>
          </wp:inline>
        </w:drawing>
      </w:r>
    </w:p>
    <w:p w14:paraId="29B7A691">
      <w:pPr>
        <w:pStyle w:val="21"/>
        <w:ind w:left="0" w:leftChars="0" w:firstLine="0" w:firstLineChars="0"/>
        <w:rPr>
          <w:rFonts w:hint="eastAsia" w:cs="Times New Roman"/>
          <w:b/>
          <w:kern w:val="2"/>
          <w:sz w:val="28"/>
          <w:szCs w:val="28"/>
          <w:lang w:val="en-US" w:eastAsia="zh-CN" w:bidi="ar-SA"/>
        </w:rP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720" w:num="1"/>
          <w:docGrid w:type="lines" w:linePitch="312" w:charSpace="0"/>
        </w:sectPr>
      </w:pPr>
      <w:r>
        <w:drawing>
          <wp:anchor distT="0" distB="0" distL="114300" distR="114300" simplePos="0" relativeHeight="251743232" behindDoc="0" locked="0" layoutInCell="1" allowOverlap="1">
            <wp:simplePos x="0" y="0"/>
            <wp:positionH relativeFrom="column">
              <wp:posOffset>19050</wp:posOffset>
            </wp:positionH>
            <wp:positionV relativeFrom="paragraph">
              <wp:posOffset>304800</wp:posOffset>
            </wp:positionV>
            <wp:extent cx="6323330" cy="8991600"/>
            <wp:effectExtent l="0" t="0" r="1270" b="0"/>
            <wp:wrapNone/>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58"/>
                    <a:stretch>
                      <a:fillRect/>
                    </a:stretch>
                  </pic:blipFill>
                  <pic:spPr>
                    <a:xfrm>
                      <a:off x="0" y="0"/>
                      <a:ext cx="6323330" cy="8991600"/>
                    </a:xfrm>
                    <a:prstGeom prst="rect">
                      <a:avLst/>
                    </a:prstGeom>
                    <a:noFill/>
                    <a:ln>
                      <a:noFill/>
                    </a:ln>
                  </pic:spPr>
                </pic:pic>
              </a:graphicData>
            </a:graphic>
          </wp:anchor>
        </w:drawing>
      </w:r>
      <w:r>
        <w:rPr>
          <w:rFonts w:hint="eastAsia" w:ascii="Times New Roman" w:hAnsi="Times New Roman" w:eastAsia="宋体" w:cs="Times New Roman"/>
          <w:b/>
          <w:kern w:val="2"/>
          <w:sz w:val="28"/>
          <w:szCs w:val="28"/>
          <w:lang w:val="en-US" w:eastAsia="zh-CN" w:bidi="ar-SA"/>
        </w:rPr>
        <w:t>附件</w:t>
      </w:r>
      <w:r>
        <w:rPr>
          <w:rFonts w:hint="eastAsia" w:cs="Times New Roman"/>
          <w:b/>
          <w:kern w:val="2"/>
          <w:sz w:val="28"/>
          <w:szCs w:val="28"/>
          <w:lang w:val="en-US" w:eastAsia="zh-CN" w:bidi="ar-SA"/>
        </w:rPr>
        <w:t>8：关于超蓝公司合并平煤煌龙事宜会议纪要</w:t>
      </w:r>
    </w:p>
    <w:p w14:paraId="0670BB51">
      <w:pPr>
        <w:pStyle w:val="21"/>
        <w:ind w:left="0" w:leftChars="0" w:firstLine="0" w:firstLineChars="0"/>
        <w:rPr>
          <w:rFonts w:hint="default" w:cs="Times New Roman"/>
          <w:b/>
          <w:kern w:val="2"/>
          <w:sz w:val="28"/>
          <w:szCs w:val="28"/>
          <w:lang w:val="en-US" w:eastAsia="zh-CN" w:bidi="ar-SA"/>
        </w:rP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720" w:num="1"/>
          <w:docGrid w:type="lines" w:linePitch="312" w:charSpace="0"/>
        </w:sectPr>
      </w:pPr>
      <w:r>
        <w:drawing>
          <wp:inline distT="0" distB="0" distL="114300" distR="114300">
            <wp:extent cx="6456680" cy="9035415"/>
            <wp:effectExtent l="0" t="0" r="5080" b="190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59"/>
                    <a:stretch>
                      <a:fillRect/>
                    </a:stretch>
                  </pic:blipFill>
                  <pic:spPr>
                    <a:xfrm>
                      <a:off x="0" y="0"/>
                      <a:ext cx="6456680" cy="9035415"/>
                    </a:xfrm>
                    <a:prstGeom prst="rect">
                      <a:avLst/>
                    </a:prstGeom>
                    <a:noFill/>
                    <a:ln>
                      <a:noFill/>
                    </a:ln>
                  </pic:spPr>
                </pic:pic>
              </a:graphicData>
            </a:graphic>
          </wp:inline>
        </w:drawing>
      </w:r>
    </w:p>
    <w:p w14:paraId="589E44AD">
      <w:pPr>
        <w:pStyle w:val="21"/>
        <w:ind w:left="0" w:leftChars="0" w:firstLine="0" w:firstLineChars="0"/>
        <w:rPr>
          <w:rFonts w:hint="default" w:cs="Times New Roman"/>
          <w:b/>
          <w:kern w:val="2"/>
          <w:sz w:val="28"/>
          <w:szCs w:val="28"/>
          <w:lang w:val="en-US" w:eastAsia="zh-CN" w:bidi="ar-SA"/>
        </w:rP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720" w:num="1"/>
          <w:docGrid w:type="lines" w:linePitch="312" w:charSpace="0"/>
        </w:sectPr>
      </w:pPr>
      <w:r>
        <w:drawing>
          <wp:inline distT="0" distB="0" distL="114300" distR="114300">
            <wp:extent cx="6454140" cy="9056370"/>
            <wp:effectExtent l="0" t="0" r="7620" b="11430"/>
            <wp:docPr id="192" name="图片 192" descr="37971625708ad405bf398fcee3e69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37971625708ad405bf398fcee3e691e"/>
                    <pic:cNvPicPr>
                      <a:picLocks noChangeAspect="1"/>
                    </pic:cNvPicPr>
                  </pic:nvPicPr>
                  <pic:blipFill>
                    <a:blip r:embed="rId60"/>
                    <a:stretch>
                      <a:fillRect/>
                    </a:stretch>
                  </pic:blipFill>
                  <pic:spPr>
                    <a:xfrm>
                      <a:off x="0" y="0"/>
                      <a:ext cx="6454140" cy="9056370"/>
                    </a:xfrm>
                    <a:prstGeom prst="rect">
                      <a:avLst/>
                    </a:prstGeom>
                  </pic:spPr>
                </pic:pic>
              </a:graphicData>
            </a:graphic>
          </wp:inline>
        </w:drawing>
      </w:r>
    </w:p>
    <w:p w14:paraId="4A71FF82">
      <w:pPr>
        <w:pStyle w:val="21"/>
        <w:ind w:left="0" w:leftChars="0" w:firstLine="0" w:firstLineChars="0"/>
        <w:rPr>
          <w:rFonts w:hint="default" w:cs="Times New Roman"/>
          <w:b/>
          <w:kern w:val="2"/>
          <w:sz w:val="28"/>
          <w:szCs w:val="28"/>
          <w:lang w:val="en-US" w:eastAsia="zh-CN" w:bidi="ar-SA"/>
        </w:rP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720" w:num="1"/>
          <w:docGrid w:type="lines" w:linePitch="312" w:charSpace="0"/>
        </w:sectPr>
      </w:pPr>
      <w:r>
        <w:drawing>
          <wp:inline distT="0" distB="0" distL="114300" distR="114300">
            <wp:extent cx="6498590" cy="9065260"/>
            <wp:effectExtent l="0" t="0" r="8890" b="2540"/>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61"/>
                    <a:stretch>
                      <a:fillRect/>
                    </a:stretch>
                  </pic:blipFill>
                  <pic:spPr>
                    <a:xfrm>
                      <a:off x="0" y="0"/>
                      <a:ext cx="6498590" cy="9065260"/>
                    </a:xfrm>
                    <a:prstGeom prst="rect">
                      <a:avLst/>
                    </a:prstGeom>
                    <a:noFill/>
                    <a:ln>
                      <a:noFill/>
                    </a:ln>
                  </pic:spPr>
                </pic:pic>
              </a:graphicData>
            </a:graphic>
          </wp:inline>
        </w:drawing>
      </w:r>
    </w:p>
    <w:p w14:paraId="7FC409E7">
      <w:pPr>
        <w:pStyle w:val="21"/>
        <w:ind w:left="0" w:leftChars="0" w:firstLine="0" w:firstLineChars="0"/>
        <w:rPr>
          <w:rFonts w:hint="default" w:cs="Times New Roman"/>
          <w:b/>
          <w:kern w:val="2"/>
          <w:sz w:val="28"/>
          <w:szCs w:val="28"/>
          <w:lang w:val="en-US" w:eastAsia="zh-CN" w:bidi="ar-SA"/>
        </w:rP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720" w:num="1"/>
          <w:docGrid w:type="lines" w:linePitch="312" w:charSpace="0"/>
        </w:sectPr>
      </w:pPr>
      <w:r>
        <w:drawing>
          <wp:inline distT="0" distB="0" distL="114300" distR="114300">
            <wp:extent cx="6621145" cy="9102725"/>
            <wp:effectExtent l="0" t="0" r="8255" b="10795"/>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62"/>
                    <a:stretch>
                      <a:fillRect/>
                    </a:stretch>
                  </pic:blipFill>
                  <pic:spPr>
                    <a:xfrm>
                      <a:off x="0" y="0"/>
                      <a:ext cx="6621145" cy="9102725"/>
                    </a:xfrm>
                    <a:prstGeom prst="rect">
                      <a:avLst/>
                    </a:prstGeom>
                    <a:noFill/>
                    <a:ln>
                      <a:noFill/>
                    </a:ln>
                  </pic:spPr>
                </pic:pic>
              </a:graphicData>
            </a:graphic>
          </wp:inline>
        </w:drawing>
      </w:r>
    </w:p>
    <w:p w14:paraId="07810CBA">
      <w:pPr>
        <w:pStyle w:val="21"/>
        <w:ind w:left="0" w:leftChars="0" w:firstLine="0" w:firstLineChars="0"/>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720" w:num="1"/>
          <w:docGrid w:type="lines" w:linePitch="312" w:charSpace="0"/>
        </w:sectPr>
      </w:pPr>
      <w:r>
        <w:drawing>
          <wp:inline distT="0" distB="0" distL="114300" distR="114300">
            <wp:extent cx="6496685" cy="9069705"/>
            <wp:effectExtent l="0" t="0" r="10795" b="13335"/>
            <wp:docPr id="193" name="图片 193" descr="64f66ffdf137d0c131634200776dd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64f66ffdf137d0c131634200776ddfb"/>
                    <pic:cNvPicPr>
                      <a:picLocks noChangeAspect="1"/>
                    </pic:cNvPicPr>
                  </pic:nvPicPr>
                  <pic:blipFill>
                    <a:blip r:embed="rId63"/>
                    <a:stretch>
                      <a:fillRect/>
                    </a:stretch>
                  </pic:blipFill>
                  <pic:spPr>
                    <a:xfrm>
                      <a:off x="0" y="0"/>
                      <a:ext cx="6496685" cy="9069705"/>
                    </a:xfrm>
                    <a:prstGeom prst="rect">
                      <a:avLst/>
                    </a:prstGeom>
                  </pic:spPr>
                </pic:pic>
              </a:graphicData>
            </a:graphic>
          </wp:inline>
        </w:drawing>
      </w:r>
    </w:p>
    <w:p w14:paraId="01D5FF1B">
      <w:pPr>
        <w:pStyle w:val="21"/>
        <w:ind w:left="0" w:leftChars="0" w:firstLine="0" w:firstLineChars="0"/>
        <w:jc w:val="left"/>
        <w:rPr>
          <w:rFonts w:hint="eastAsia" w:cs="Times New Roman"/>
          <w:b/>
          <w:kern w:val="2"/>
          <w:sz w:val="28"/>
          <w:szCs w:val="28"/>
          <w:lang w:val="en-US" w:eastAsia="zh-CN" w:bidi="ar-SA"/>
        </w:rPr>
      </w:pPr>
      <w:r>
        <w:rPr>
          <w:rFonts w:hint="eastAsia" w:cs="Times New Roman"/>
          <w:b/>
          <w:kern w:val="2"/>
          <w:sz w:val="28"/>
          <w:szCs w:val="28"/>
          <w:lang w:val="en-US" w:eastAsia="zh-CN" w:bidi="ar-SA"/>
        </w:rPr>
        <w:t>附件9：关于超蓝公司合并平煤煌龙吸收合并公告及合并协议</w:t>
      </w:r>
    </w:p>
    <w:p w14:paraId="49F9A465">
      <w:pPr>
        <w:pStyle w:val="21"/>
        <w:ind w:left="0" w:leftChars="0" w:firstLine="0" w:firstLineChars="0"/>
        <w:jc w:val="left"/>
        <w:rPr>
          <w:rFonts w:hint="eastAsia" w:cs="Times New Roman"/>
          <w:b/>
          <w:kern w:val="2"/>
          <w:sz w:val="28"/>
          <w:szCs w:val="28"/>
          <w:lang w:val="en-US" w:eastAsia="zh-CN" w:bidi="ar-SA"/>
        </w:rP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cs="Times New Roman"/>
          <w:b/>
          <w:kern w:val="2"/>
          <w:sz w:val="28"/>
          <w:szCs w:val="28"/>
          <w:lang w:val="en-US" w:eastAsia="zh-CN" w:bidi="ar-SA"/>
        </w:rPr>
        <w:drawing>
          <wp:inline distT="0" distB="0" distL="114300" distR="114300">
            <wp:extent cx="6490970" cy="4573270"/>
            <wp:effectExtent l="0" t="0" r="1270" b="13970"/>
            <wp:docPr id="195" name="图片 195" descr="f2e04ed4e02113c4b1d3728f2efc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f2e04ed4e02113c4b1d3728f2efc566"/>
                    <pic:cNvPicPr>
                      <a:picLocks noChangeAspect="1"/>
                    </pic:cNvPicPr>
                  </pic:nvPicPr>
                  <pic:blipFill>
                    <a:blip r:embed="rId64"/>
                    <a:stretch>
                      <a:fillRect/>
                    </a:stretch>
                  </pic:blipFill>
                  <pic:spPr>
                    <a:xfrm>
                      <a:off x="0" y="0"/>
                      <a:ext cx="6490970" cy="4573270"/>
                    </a:xfrm>
                    <a:prstGeom prst="rect">
                      <a:avLst/>
                    </a:prstGeom>
                  </pic:spPr>
                </pic:pic>
              </a:graphicData>
            </a:graphic>
          </wp:inline>
        </w:drawing>
      </w:r>
    </w:p>
    <w:p w14:paraId="12068717">
      <w:pPr>
        <w:pStyle w:val="21"/>
        <w:ind w:left="0" w:leftChars="0" w:firstLine="0" w:firstLineChars="0"/>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720" w:num="1"/>
          <w:docGrid w:type="lines" w:linePitch="312" w:charSpace="0"/>
        </w:sectPr>
      </w:pPr>
      <w:r>
        <w:drawing>
          <wp:inline distT="0" distB="0" distL="114300" distR="114300">
            <wp:extent cx="6616700" cy="8878570"/>
            <wp:effectExtent l="0" t="0" r="12700" b="635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65"/>
                    <a:srcRect b="4953"/>
                    <a:stretch>
                      <a:fillRect/>
                    </a:stretch>
                  </pic:blipFill>
                  <pic:spPr>
                    <a:xfrm>
                      <a:off x="0" y="0"/>
                      <a:ext cx="6616700" cy="8878570"/>
                    </a:xfrm>
                    <a:prstGeom prst="rect">
                      <a:avLst/>
                    </a:prstGeom>
                    <a:noFill/>
                    <a:ln>
                      <a:noFill/>
                    </a:ln>
                  </pic:spPr>
                </pic:pic>
              </a:graphicData>
            </a:graphic>
          </wp:inline>
        </w:drawing>
      </w:r>
    </w:p>
    <w:p w14:paraId="186605D5">
      <w:pPr>
        <w:pStyle w:val="21"/>
        <w:ind w:left="0" w:leftChars="0" w:firstLine="0" w:firstLineChars="0"/>
        <w:rPr>
          <w:rFonts w:hint="default"/>
          <w:lang w:val="en-US" w:eastAsia="zh-CN"/>
        </w:rP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720" w:num="1"/>
          <w:docGrid w:type="lines" w:linePitch="312" w:charSpace="0"/>
        </w:sectPr>
      </w:pPr>
      <w:r>
        <w:drawing>
          <wp:inline distT="0" distB="0" distL="114300" distR="114300">
            <wp:extent cx="6657975" cy="8843010"/>
            <wp:effectExtent l="0" t="0" r="1905" b="11430"/>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66"/>
                    <a:srcRect b="5343"/>
                    <a:stretch>
                      <a:fillRect/>
                    </a:stretch>
                  </pic:blipFill>
                  <pic:spPr>
                    <a:xfrm>
                      <a:off x="0" y="0"/>
                      <a:ext cx="6657975" cy="8843010"/>
                    </a:xfrm>
                    <a:prstGeom prst="rect">
                      <a:avLst/>
                    </a:prstGeom>
                    <a:noFill/>
                    <a:ln>
                      <a:noFill/>
                    </a:ln>
                  </pic:spPr>
                </pic:pic>
              </a:graphicData>
            </a:graphic>
          </wp:inline>
        </w:drawing>
      </w:r>
    </w:p>
    <w:p w14:paraId="0CDC6D11">
      <w:pPr>
        <w:pStyle w:val="21"/>
        <w:ind w:left="0" w:leftChars="0" w:firstLine="0" w:firstLineChars="0"/>
        <w:jc w:val="cente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720" w:num="1"/>
          <w:docGrid w:type="lines" w:linePitch="312" w:charSpace="0"/>
        </w:sectPr>
      </w:pPr>
      <w:r>
        <w:drawing>
          <wp:inline distT="0" distB="0" distL="114300" distR="114300">
            <wp:extent cx="6846570" cy="8959850"/>
            <wp:effectExtent l="0" t="0" r="11430" b="127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67"/>
                    <a:srcRect b="5467"/>
                    <a:stretch>
                      <a:fillRect/>
                    </a:stretch>
                  </pic:blipFill>
                  <pic:spPr>
                    <a:xfrm>
                      <a:off x="0" y="0"/>
                      <a:ext cx="6846570" cy="8959850"/>
                    </a:xfrm>
                    <a:prstGeom prst="rect">
                      <a:avLst/>
                    </a:prstGeom>
                    <a:noFill/>
                    <a:ln>
                      <a:noFill/>
                    </a:ln>
                  </pic:spPr>
                </pic:pic>
              </a:graphicData>
            </a:graphic>
          </wp:inline>
        </w:drawing>
      </w:r>
    </w:p>
    <w:p w14:paraId="723C834F">
      <w:pPr>
        <w:pStyle w:val="21"/>
        <w:ind w:left="0" w:leftChars="0" w:firstLine="0" w:firstLineChars="0"/>
        <w:jc w:val="cente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720" w:num="1"/>
          <w:docGrid w:type="lines" w:linePitch="312" w:charSpace="0"/>
        </w:sectPr>
      </w:pPr>
      <w:r>
        <w:drawing>
          <wp:inline distT="0" distB="0" distL="114300" distR="114300">
            <wp:extent cx="6846570" cy="8975725"/>
            <wp:effectExtent l="0" t="0" r="11430" b="635"/>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68"/>
                    <a:srcRect b="5804"/>
                    <a:stretch>
                      <a:fillRect/>
                    </a:stretch>
                  </pic:blipFill>
                  <pic:spPr>
                    <a:xfrm>
                      <a:off x="0" y="0"/>
                      <a:ext cx="6846570" cy="8975725"/>
                    </a:xfrm>
                    <a:prstGeom prst="rect">
                      <a:avLst/>
                    </a:prstGeom>
                    <a:noFill/>
                    <a:ln>
                      <a:noFill/>
                    </a:ln>
                  </pic:spPr>
                </pic:pic>
              </a:graphicData>
            </a:graphic>
          </wp:inline>
        </w:drawing>
      </w:r>
    </w:p>
    <w:p w14:paraId="4255CD7D">
      <w:pPr>
        <w:rPr>
          <w:rFonts w:hint="eastAsia"/>
          <w:lang w:val="en-US" w:eastAsia="zh-CN"/>
        </w:rPr>
      </w:pPr>
      <w:r>
        <w:drawing>
          <wp:inline distT="0" distB="0" distL="114300" distR="114300">
            <wp:extent cx="6690360" cy="8895715"/>
            <wp:effectExtent l="0" t="0" r="0" b="4445"/>
            <wp:docPr id="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pic:cNvPicPr>
                      <a:picLocks noChangeAspect="1"/>
                    </pic:cNvPicPr>
                  </pic:nvPicPr>
                  <pic:blipFill>
                    <a:blip r:embed="rId69"/>
                    <a:srcRect b="5204"/>
                    <a:stretch>
                      <a:fillRect/>
                    </a:stretch>
                  </pic:blipFill>
                  <pic:spPr>
                    <a:xfrm>
                      <a:off x="0" y="0"/>
                      <a:ext cx="6690360" cy="8895715"/>
                    </a:xfrm>
                    <a:prstGeom prst="rect">
                      <a:avLst/>
                    </a:prstGeom>
                    <a:noFill/>
                    <a:ln>
                      <a:noFill/>
                    </a:ln>
                  </pic:spPr>
                </pic:pic>
              </a:graphicData>
            </a:graphic>
          </wp:inline>
        </w:drawing>
      </w:r>
    </w:p>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8"/>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方正小标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0"/>
    <w:family w:val="auto"/>
    <w:pitch w:val="default"/>
    <w:sig w:usb0="00000000" w:usb1="00000000" w:usb2="00000000" w:usb3="00000000" w:csb0="80000000" w:csb1="00000000"/>
  </w:font>
  <w:font w:name="新宋体">
    <w:panose1 w:val="02010609030101010101"/>
    <w:charset w:val="86"/>
    <w:family w:val="modern"/>
    <w:pitch w:val="default"/>
    <w:sig w:usb0="000002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E49795">
    <w:pPr>
      <w:pStyle w:val="23"/>
      <w:tabs>
        <w:tab w:val="center" w:pos="4422"/>
        <w:tab w:val="clear" w:pos="4153"/>
      </w:tabs>
    </w:pPr>
    <w:r>
      <w:rPr>
        <w:rFonts w:hint="eastAsia"/>
        <w:lang w:eastAsia="zh-CN"/>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DA303B">
    <w:pPr>
      <w:pStyle w:val="2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48A997">
    <w:pPr>
      <w:pStyle w:val="2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0E5E73">
    <w:pPr>
      <w:pStyle w:val="23"/>
      <w:tabs>
        <w:tab w:val="center" w:pos="4422"/>
        <w:tab w:val="clear" w:pos="4153"/>
      </w:tabs>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FA480C">
                          <w:pPr>
                            <w:pStyle w:val="2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32FA480C">
                    <w:pPr>
                      <w:pStyle w:val="23"/>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lang w:eastAsia="zh-CN"/>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2C20B8">
    <w:pPr>
      <w:pStyle w:val="23"/>
      <w:tabs>
        <w:tab w:val="left" w:pos="9878"/>
        <w:tab w:val="clear" w:pos="4153"/>
      </w:tabs>
      <w:ind w:right="360" w:firstLine="360"/>
    </w:pPr>
    <w:r>
      <w:rPr>
        <w:sz w:val="2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396F228">
                          <w:pPr>
                            <w:pStyle w:val="23"/>
                          </w:pPr>
                          <w:r>
                            <w:rPr>
                              <w:rFonts w:hint="eastAsia"/>
                            </w:rPr>
                            <w:fldChar w:fldCharType="begin"/>
                          </w:r>
                          <w:r>
                            <w:rPr>
                              <w:rFonts w:hint="eastAsia"/>
                            </w:rPr>
                            <w:instrText xml:space="preserve"> PAGE  \* MERGEFORMAT </w:instrText>
                          </w:r>
                          <w:r>
                            <w:rPr>
                              <w:rFonts w:hint="eastAsia"/>
                            </w:rPr>
                            <w:fldChar w:fldCharType="separate"/>
                          </w:r>
                          <w:r>
                            <w:t>- 51 -</w:t>
                          </w:r>
                          <w:r>
                            <w:rPr>
                              <w:rFonts w:hint="eastAsia"/>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E8fKAXIAQAAnQMAAA4AAAAAAAAAAQAgAAAAHgEAAGRycy9lMm9Eb2Mu&#10;eG1sUEsFBgAAAAAGAAYAWQEAAFgFAAAAAA==&#10;">
              <v:fill on="f" focussize="0,0"/>
              <v:stroke on="f"/>
              <v:imagedata o:title=""/>
              <o:lock v:ext="edit" aspectratio="f"/>
              <v:textbox inset="0mm,0mm,0mm,0mm" style="mso-fit-shape-to-text:t;">
                <w:txbxContent>
                  <w:p w14:paraId="0396F228">
                    <w:pPr>
                      <w:pStyle w:val="23"/>
                    </w:pPr>
                    <w:r>
                      <w:rPr>
                        <w:rFonts w:hint="eastAsia"/>
                      </w:rPr>
                      <w:fldChar w:fldCharType="begin"/>
                    </w:r>
                    <w:r>
                      <w:rPr>
                        <w:rFonts w:hint="eastAsia"/>
                      </w:rPr>
                      <w:instrText xml:space="preserve"> PAGE  \* MERGEFORMAT </w:instrText>
                    </w:r>
                    <w:r>
                      <w:rPr>
                        <w:rFonts w:hint="eastAsia"/>
                      </w:rPr>
                      <w:fldChar w:fldCharType="separate"/>
                    </w:r>
                    <w:r>
                      <w:t>- 51 -</w:t>
                    </w:r>
                    <w:r>
                      <w:rPr>
                        <w:rFonts w:hint="eastAsia"/>
                      </w:rPr>
                      <w:fldChar w:fldCharType="end"/>
                    </w:r>
                  </w:p>
                </w:txbxContent>
              </v:textbox>
            </v:shape>
          </w:pict>
        </mc:Fallback>
      </mc:AlternateContent>
    </w:r>
    <w:r>
      <w:rPr>
        <w:sz w:val="2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14A9646D">
                          <w:pPr>
                            <w:pStyle w:val="23"/>
                          </w:pPr>
                        </w:p>
                        <w:p w14:paraId="35FEDE01"/>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IK2krrIAQAAnQMAAA4AAAAAAAAAAQAgAAAAHgEAAGRycy9lMm9Eb2Mu&#10;eG1sUEsFBgAAAAAGAAYAWQEAAFgFAAAAAA==&#10;">
              <v:fill on="f" focussize="0,0"/>
              <v:stroke on="f"/>
              <v:imagedata o:title=""/>
              <o:lock v:ext="edit" aspectratio="f"/>
              <v:textbox inset="0mm,0mm,0mm,0mm" style="mso-fit-shape-to-text:t;">
                <w:txbxContent>
                  <w:p w14:paraId="14A9646D">
                    <w:pPr>
                      <w:pStyle w:val="23"/>
                    </w:pPr>
                  </w:p>
                  <w:p w14:paraId="35FEDE01"/>
                </w:txbxContent>
              </v:textbox>
            </v:shape>
          </w:pict>
        </mc:Fallback>
      </mc:AlternateContent>
    </w:r>
    <w:r>
      <w:rPr>
        <w:rFonts w:hint="eastAsia"/>
        <w:lang w:eastAsia="zh-CN"/>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144F55">
    <w:pPr>
      <w:pStyle w:val="23"/>
      <w:tabs>
        <w:tab w:val="left" w:pos="9878"/>
        <w:tab w:val="clear" w:pos="4153"/>
      </w:tabs>
      <w:ind w:right="360" w:firstLine="360"/>
    </w:pPr>
    <w:r>
      <w:rPr>
        <w:sz w:val="2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D3065D">
                          <w:pPr>
                            <w:pStyle w:val="23"/>
                          </w:pPr>
                          <w:r>
                            <w:fldChar w:fldCharType="begin"/>
                          </w:r>
                          <w:r>
                            <w:instrText xml:space="preserve"> PAGE  \* MERGEFORMAT </w:instrText>
                          </w:r>
                          <w:r>
                            <w:fldChar w:fldCharType="separate"/>
                          </w:r>
                          <w:r>
                            <w:t>62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v:fill on="f" focussize="0,0"/>
              <v:stroke on="f" weight="0.5pt"/>
              <v:imagedata o:title=""/>
              <o:lock v:ext="edit" aspectratio="f"/>
              <v:textbox inset="0mm,0mm,0mm,0mm" style="mso-fit-shape-to-text:t;">
                <w:txbxContent>
                  <w:p w14:paraId="28D3065D">
                    <w:pPr>
                      <w:pStyle w:val="23"/>
                    </w:pPr>
                    <w:r>
                      <w:fldChar w:fldCharType="begin"/>
                    </w:r>
                    <w:r>
                      <w:instrText xml:space="preserve"> PAGE  \* MERGEFORMAT </w:instrText>
                    </w:r>
                    <w:r>
                      <w:fldChar w:fldCharType="separate"/>
                    </w:r>
                    <w:r>
                      <w:t>62</w:t>
                    </w:r>
                    <w:r>
                      <w:fldChar w:fldCharType="end"/>
                    </w:r>
                  </w:p>
                </w:txbxContent>
              </v:textbox>
            </v:shape>
          </w:pict>
        </mc:Fallback>
      </mc:AlternateContent>
    </w:r>
    <w:r>
      <w:rPr>
        <w:sz w:val="2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77DCA32A">
                          <w:pPr>
                            <w:pStyle w:val="23"/>
                          </w:pPr>
                        </w:p>
                        <w:p w14:paraId="356BA802"/>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Up1JE8cBAACdAwAADgAAAAAAAAABACAAAAAeAQAAZHJzL2Uyb0RvYy54&#10;bWxQSwUGAAAAAAYABgBZAQAAVwUAAAAA&#10;">
              <v:fill on="f" focussize="0,0"/>
              <v:stroke on="f"/>
              <v:imagedata o:title=""/>
              <o:lock v:ext="edit" aspectratio="f"/>
              <v:textbox inset="0mm,0mm,0mm,0mm" style="mso-fit-shape-to-text:t;">
                <w:txbxContent>
                  <w:p w14:paraId="77DCA32A">
                    <w:pPr>
                      <w:pStyle w:val="23"/>
                    </w:pPr>
                  </w:p>
                  <w:p w14:paraId="356BA802"/>
                </w:txbxContent>
              </v:textbox>
            </v:shape>
          </w:pict>
        </mc:Fallback>
      </mc:AlternateContent>
    </w:r>
    <w:r>
      <w:rPr>
        <w:rFonts w:hint="eastAsia"/>
        <w:lang w:eastAsia="zh-CN"/>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C2B958">
    <w:pPr>
      <w:pStyle w:val="23"/>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40A5C3">
                          <w:pPr>
                            <w:pStyle w:val="23"/>
                          </w:pPr>
                          <w:r>
                            <w:fldChar w:fldCharType="begin"/>
                          </w:r>
                          <w:r>
                            <w:instrText xml:space="preserve"> PAGE  \* MERGEFORMAT </w:instrText>
                          </w:r>
                          <w:r>
                            <w:fldChar w:fldCharType="separate"/>
                          </w:r>
                          <w:r>
                            <w:t>76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Edhg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EdhgzAgAAYwQAAA4AAAAAAAAAAQAgAAAAHwEAAGRycy9lMm9Eb2MueG1sUEsF&#10;BgAAAAAGAAYAWQEAAMQFAAAAAA==&#10;">
              <v:fill on="f" focussize="0,0"/>
              <v:stroke on="f" weight="0.5pt"/>
              <v:imagedata o:title=""/>
              <o:lock v:ext="edit" aspectratio="f"/>
              <v:textbox inset="0mm,0mm,0mm,0mm" style="mso-fit-shape-to-text:t;">
                <w:txbxContent>
                  <w:p w14:paraId="3540A5C3">
                    <w:pPr>
                      <w:pStyle w:val="23"/>
                    </w:pPr>
                    <w:r>
                      <w:fldChar w:fldCharType="begin"/>
                    </w:r>
                    <w:r>
                      <w:instrText xml:space="preserve"> PAGE  \* MERGEFORMAT </w:instrText>
                    </w:r>
                    <w:r>
                      <w:fldChar w:fldCharType="separate"/>
                    </w:r>
                    <w:r>
                      <w:t>76</w:t>
                    </w:r>
                    <w:r>
                      <w:fldChar w:fldCharType="end"/>
                    </w:r>
                  </w:p>
                </w:txbxContent>
              </v:textbox>
            </v:shape>
          </w:pict>
        </mc:Fallback>
      </mc:AlternateContent>
    </w:r>
    <w:r>
      <w:br w:type="textWrapping"/>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2643D9"/>
    <w:multiLevelType w:val="singleLevel"/>
    <w:tmpl w:val="8A2643D9"/>
    <w:lvl w:ilvl="0" w:tentative="0">
      <w:start w:val="3"/>
      <w:numFmt w:val="decimal"/>
      <w:suff w:val="nothing"/>
      <w:lvlText w:val="（%1）"/>
      <w:lvlJc w:val="left"/>
    </w:lvl>
  </w:abstractNum>
  <w:abstractNum w:abstractNumId="1">
    <w:nsid w:val="98BD12CF"/>
    <w:multiLevelType w:val="singleLevel"/>
    <w:tmpl w:val="98BD12CF"/>
    <w:lvl w:ilvl="0" w:tentative="0">
      <w:start w:val="1"/>
      <w:numFmt w:val="bullet"/>
      <w:pStyle w:val="15"/>
      <w:lvlText w:val=""/>
      <w:lvlJc w:val="left"/>
      <w:pPr>
        <w:tabs>
          <w:tab w:val="left" w:pos="780"/>
        </w:tabs>
        <w:ind w:left="780" w:hanging="360"/>
      </w:pPr>
      <w:rPr>
        <w:rFonts w:hint="default" w:ascii="Wingdings" w:hAnsi="Wingdings"/>
      </w:rPr>
    </w:lvl>
  </w:abstractNum>
  <w:abstractNum w:abstractNumId="2">
    <w:nsid w:val="CDEEDD76"/>
    <w:multiLevelType w:val="singleLevel"/>
    <w:tmpl w:val="CDEEDD76"/>
    <w:lvl w:ilvl="0" w:tentative="0">
      <w:start w:val="4"/>
      <w:numFmt w:val="chineseCounting"/>
      <w:suff w:val="nothing"/>
      <w:lvlText w:val="%1、"/>
      <w:lvlJc w:val="left"/>
      <w:rPr>
        <w:rFonts w:hint="eastAsia"/>
      </w:rPr>
    </w:lvl>
  </w:abstractNum>
  <w:abstractNum w:abstractNumId="3">
    <w:nsid w:val="DEFAF5CD"/>
    <w:multiLevelType w:val="singleLevel"/>
    <w:tmpl w:val="DEFAF5CD"/>
    <w:lvl w:ilvl="0" w:tentative="0">
      <w:start w:val="1"/>
      <w:numFmt w:val="decimal"/>
      <w:pStyle w:val="7"/>
      <w:lvlText w:val="表%1"/>
      <w:lvlJc w:val="left"/>
      <w:pPr>
        <w:tabs>
          <w:tab w:val="left" w:pos="420"/>
        </w:tabs>
        <w:ind w:left="645" w:hanging="425"/>
      </w:pPr>
      <w:rPr>
        <w:rFonts w:hint="default"/>
        <w:b/>
        <w:bCs/>
        <w:sz w:val="24"/>
        <w:szCs w:val="24"/>
      </w:rPr>
    </w:lvl>
  </w:abstractNum>
  <w:abstractNum w:abstractNumId="4">
    <w:nsid w:val="41BBC912"/>
    <w:multiLevelType w:val="singleLevel"/>
    <w:tmpl w:val="41BBC912"/>
    <w:lvl w:ilvl="0" w:tentative="0">
      <w:start w:val="1"/>
      <w:numFmt w:val="bullet"/>
      <w:pStyle w:val="20"/>
      <w:lvlText w:val=""/>
      <w:lvlJc w:val="left"/>
      <w:pPr>
        <w:tabs>
          <w:tab w:val="left" w:pos="2040"/>
        </w:tabs>
        <w:ind w:left="2040" w:hanging="360"/>
      </w:pPr>
      <w:rPr>
        <w:rFonts w:hint="default" w:ascii="Wingdings" w:hAnsi="Wingdings"/>
      </w:rPr>
    </w:lvl>
  </w:abstractNum>
  <w:abstractNum w:abstractNumId="5">
    <w:nsid w:val="61694E05"/>
    <w:multiLevelType w:val="multilevel"/>
    <w:tmpl w:val="61694E05"/>
    <w:lvl w:ilvl="0" w:tentative="0">
      <w:start w:val="1"/>
      <w:numFmt w:val="decimal"/>
      <w:pStyle w:val="45"/>
      <w:suff w:val="space"/>
      <w:lvlText w:val="表%1"/>
      <w:lvlJc w:val="center"/>
      <w:pPr>
        <w:tabs>
          <w:tab w:val="left" w:pos="0"/>
        </w:tabs>
        <w:ind w:left="567" w:hanging="565"/>
      </w:pPr>
      <w:rPr>
        <w:rFonts w:hint="default" w:ascii="宋体" w:hAnsi="宋体" w:eastAsia="宋体" w:cs="宋体"/>
        <w:b/>
        <w:bCs/>
        <w:i w:val="0"/>
        <w:iCs w:val="0"/>
        <w:caps w:val="0"/>
        <w:smallCaps w:val="0"/>
        <w:strike w:val="0"/>
        <w:dstrike w:val="0"/>
        <w:spacing w:val="0"/>
        <w:position w:val="0"/>
        <w:sz w:val="24"/>
        <w:szCs w:val="24"/>
        <w:u w:val="none"/>
        <w:vertAlign w:val="baseline"/>
      </w:rPr>
    </w:lvl>
    <w:lvl w:ilvl="1" w:tentative="0">
      <w:start w:val="1"/>
      <w:numFmt w:val="decimal"/>
      <w:lvlText w:val="(%2)"/>
      <w:lvlJc w:val="left"/>
      <w:pPr>
        <w:tabs>
          <w:tab w:val="left" w:pos="1021"/>
        </w:tabs>
        <w:ind w:left="0" w:firstLine="567"/>
      </w:pPr>
      <w:rPr>
        <w:rFonts w:hint="eastAsia" w:ascii="宋体" w:hAnsi="Times New Roman" w:eastAsia="宋体"/>
        <w:b w:val="0"/>
        <w:i w:val="0"/>
        <w:caps w:val="0"/>
        <w:strike w:val="0"/>
        <w:dstrike w:val="0"/>
        <w:sz w:val="24"/>
        <w:szCs w:val="24"/>
        <w:vertAlign w:val="baseline"/>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6C53632E"/>
    <w:multiLevelType w:val="multilevel"/>
    <w:tmpl w:val="6C53632E"/>
    <w:lvl w:ilvl="0" w:tentative="0">
      <w:start w:val="1"/>
      <w:numFmt w:val="decimal"/>
      <w:pStyle w:val="95"/>
      <w:lvlText w:val="表%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3"/>
  </w:num>
  <w:num w:numId="2">
    <w:abstractNumId w:val="1"/>
  </w:num>
  <w:num w:numId="3">
    <w:abstractNumId w:val="4"/>
  </w:num>
  <w:num w:numId="4">
    <w:abstractNumId w:val="5"/>
  </w:num>
  <w:num w:numId="5">
    <w:abstractNumId w:val="6"/>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EzZWUxNDI3Nzc4NzY1ZWQwNGU3NzczZWEwMWVlYjQifQ=="/>
  </w:docVars>
  <w:rsids>
    <w:rsidRoot w:val="00B7186B"/>
    <w:rsid w:val="0014709C"/>
    <w:rsid w:val="00160926"/>
    <w:rsid w:val="002F4532"/>
    <w:rsid w:val="0045148C"/>
    <w:rsid w:val="004C2877"/>
    <w:rsid w:val="004F6EBA"/>
    <w:rsid w:val="00565284"/>
    <w:rsid w:val="005B2515"/>
    <w:rsid w:val="005B718C"/>
    <w:rsid w:val="006C78D4"/>
    <w:rsid w:val="007200AE"/>
    <w:rsid w:val="007A4CDF"/>
    <w:rsid w:val="007B20DB"/>
    <w:rsid w:val="007C47AB"/>
    <w:rsid w:val="007D6E67"/>
    <w:rsid w:val="008C6C96"/>
    <w:rsid w:val="00983ED0"/>
    <w:rsid w:val="00990957"/>
    <w:rsid w:val="009D2AC8"/>
    <w:rsid w:val="00B10794"/>
    <w:rsid w:val="00B5021A"/>
    <w:rsid w:val="00B627E8"/>
    <w:rsid w:val="00B7186B"/>
    <w:rsid w:val="00D66A9B"/>
    <w:rsid w:val="00E47A84"/>
    <w:rsid w:val="00ED6459"/>
    <w:rsid w:val="00EE42A3"/>
    <w:rsid w:val="00EF4139"/>
    <w:rsid w:val="01121343"/>
    <w:rsid w:val="011A7574"/>
    <w:rsid w:val="01207C5F"/>
    <w:rsid w:val="01267BAC"/>
    <w:rsid w:val="012750F2"/>
    <w:rsid w:val="013B48B1"/>
    <w:rsid w:val="01431A4A"/>
    <w:rsid w:val="01565063"/>
    <w:rsid w:val="015B7BB3"/>
    <w:rsid w:val="016519C1"/>
    <w:rsid w:val="016664A3"/>
    <w:rsid w:val="017240DE"/>
    <w:rsid w:val="018225FF"/>
    <w:rsid w:val="01A06E9D"/>
    <w:rsid w:val="01B13F71"/>
    <w:rsid w:val="01B27D0E"/>
    <w:rsid w:val="01D97F0C"/>
    <w:rsid w:val="01DE13FF"/>
    <w:rsid w:val="01E36459"/>
    <w:rsid w:val="020131E3"/>
    <w:rsid w:val="0207535D"/>
    <w:rsid w:val="021C17D6"/>
    <w:rsid w:val="025619F5"/>
    <w:rsid w:val="025B7E44"/>
    <w:rsid w:val="026F1063"/>
    <w:rsid w:val="0272221D"/>
    <w:rsid w:val="02753E85"/>
    <w:rsid w:val="02810CB8"/>
    <w:rsid w:val="02B01361"/>
    <w:rsid w:val="02C90DA7"/>
    <w:rsid w:val="02DA695E"/>
    <w:rsid w:val="02F2162B"/>
    <w:rsid w:val="02F96864"/>
    <w:rsid w:val="031677DF"/>
    <w:rsid w:val="03342D85"/>
    <w:rsid w:val="0337624C"/>
    <w:rsid w:val="03391357"/>
    <w:rsid w:val="033F6E59"/>
    <w:rsid w:val="034239DE"/>
    <w:rsid w:val="036118B7"/>
    <w:rsid w:val="03651613"/>
    <w:rsid w:val="0385459C"/>
    <w:rsid w:val="038C592B"/>
    <w:rsid w:val="039616D8"/>
    <w:rsid w:val="03A0673D"/>
    <w:rsid w:val="03A475F0"/>
    <w:rsid w:val="03BD0FE3"/>
    <w:rsid w:val="03C03826"/>
    <w:rsid w:val="03C96C11"/>
    <w:rsid w:val="03CE5579"/>
    <w:rsid w:val="03D8291E"/>
    <w:rsid w:val="03DD76EC"/>
    <w:rsid w:val="04044D42"/>
    <w:rsid w:val="04051239"/>
    <w:rsid w:val="041D2A27"/>
    <w:rsid w:val="04270EB3"/>
    <w:rsid w:val="042F38C5"/>
    <w:rsid w:val="04351303"/>
    <w:rsid w:val="0443091E"/>
    <w:rsid w:val="04607629"/>
    <w:rsid w:val="048F0717"/>
    <w:rsid w:val="049806A8"/>
    <w:rsid w:val="04AA455B"/>
    <w:rsid w:val="04F05A6B"/>
    <w:rsid w:val="05060040"/>
    <w:rsid w:val="052B325D"/>
    <w:rsid w:val="05323C89"/>
    <w:rsid w:val="05386EE3"/>
    <w:rsid w:val="055D44BE"/>
    <w:rsid w:val="05690402"/>
    <w:rsid w:val="05704DD8"/>
    <w:rsid w:val="057810E3"/>
    <w:rsid w:val="057A17B3"/>
    <w:rsid w:val="057B5C57"/>
    <w:rsid w:val="058F63E8"/>
    <w:rsid w:val="0594266D"/>
    <w:rsid w:val="05AD32F0"/>
    <w:rsid w:val="05B15303"/>
    <w:rsid w:val="05DC2566"/>
    <w:rsid w:val="05E84DEB"/>
    <w:rsid w:val="060F2DCC"/>
    <w:rsid w:val="06107848"/>
    <w:rsid w:val="061960BC"/>
    <w:rsid w:val="061D6D0E"/>
    <w:rsid w:val="06413B3A"/>
    <w:rsid w:val="066E30C6"/>
    <w:rsid w:val="066F5090"/>
    <w:rsid w:val="069950A3"/>
    <w:rsid w:val="069A035E"/>
    <w:rsid w:val="069E40E0"/>
    <w:rsid w:val="06C47189"/>
    <w:rsid w:val="06C57D9C"/>
    <w:rsid w:val="06E870D3"/>
    <w:rsid w:val="06E92E40"/>
    <w:rsid w:val="06ED6ECC"/>
    <w:rsid w:val="06F107C0"/>
    <w:rsid w:val="06F15AA5"/>
    <w:rsid w:val="06F50B09"/>
    <w:rsid w:val="07105E8D"/>
    <w:rsid w:val="07163DF5"/>
    <w:rsid w:val="073079D3"/>
    <w:rsid w:val="07391925"/>
    <w:rsid w:val="074B44E7"/>
    <w:rsid w:val="076170CE"/>
    <w:rsid w:val="07620D8F"/>
    <w:rsid w:val="07681FCB"/>
    <w:rsid w:val="076B4E22"/>
    <w:rsid w:val="077328E7"/>
    <w:rsid w:val="077C1812"/>
    <w:rsid w:val="078B18D3"/>
    <w:rsid w:val="079904CC"/>
    <w:rsid w:val="07BD6694"/>
    <w:rsid w:val="07CD419A"/>
    <w:rsid w:val="07D2310B"/>
    <w:rsid w:val="07FD2386"/>
    <w:rsid w:val="08017F69"/>
    <w:rsid w:val="08056D4E"/>
    <w:rsid w:val="080D179C"/>
    <w:rsid w:val="081228EA"/>
    <w:rsid w:val="084B325A"/>
    <w:rsid w:val="084E1557"/>
    <w:rsid w:val="08545F09"/>
    <w:rsid w:val="08634780"/>
    <w:rsid w:val="086B09D9"/>
    <w:rsid w:val="086E43E4"/>
    <w:rsid w:val="0870035F"/>
    <w:rsid w:val="087724DD"/>
    <w:rsid w:val="08863E03"/>
    <w:rsid w:val="088A2314"/>
    <w:rsid w:val="08DC4C5E"/>
    <w:rsid w:val="08FE3714"/>
    <w:rsid w:val="090E293E"/>
    <w:rsid w:val="09101F6C"/>
    <w:rsid w:val="091A12E3"/>
    <w:rsid w:val="091F7FCE"/>
    <w:rsid w:val="0926412B"/>
    <w:rsid w:val="093E54BC"/>
    <w:rsid w:val="09724F55"/>
    <w:rsid w:val="099224C8"/>
    <w:rsid w:val="099C43EE"/>
    <w:rsid w:val="09A44399"/>
    <w:rsid w:val="09B3404C"/>
    <w:rsid w:val="09B73E1D"/>
    <w:rsid w:val="09C15C02"/>
    <w:rsid w:val="09CD56F5"/>
    <w:rsid w:val="09D1582A"/>
    <w:rsid w:val="09D21BBD"/>
    <w:rsid w:val="09D724F3"/>
    <w:rsid w:val="09DB116A"/>
    <w:rsid w:val="09F6055E"/>
    <w:rsid w:val="09F63AFE"/>
    <w:rsid w:val="0A03651D"/>
    <w:rsid w:val="0A0848EE"/>
    <w:rsid w:val="0A274F62"/>
    <w:rsid w:val="0A280037"/>
    <w:rsid w:val="0A2D5046"/>
    <w:rsid w:val="0A4A5BF8"/>
    <w:rsid w:val="0A743A18"/>
    <w:rsid w:val="0A780704"/>
    <w:rsid w:val="0A916A09"/>
    <w:rsid w:val="0ABF65E6"/>
    <w:rsid w:val="0AC34CD9"/>
    <w:rsid w:val="0ACA6D38"/>
    <w:rsid w:val="0ADB1C66"/>
    <w:rsid w:val="0ADD666A"/>
    <w:rsid w:val="0AE63387"/>
    <w:rsid w:val="0AE96253"/>
    <w:rsid w:val="0B163D2C"/>
    <w:rsid w:val="0B2E09CF"/>
    <w:rsid w:val="0B38242A"/>
    <w:rsid w:val="0B3E3BBC"/>
    <w:rsid w:val="0B41240E"/>
    <w:rsid w:val="0B4C11D2"/>
    <w:rsid w:val="0B56100C"/>
    <w:rsid w:val="0B5B7FA7"/>
    <w:rsid w:val="0B68187F"/>
    <w:rsid w:val="0B6D2CFE"/>
    <w:rsid w:val="0B7C114D"/>
    <w:rsid w:val="0B971310"/>
    <w:rsid w:val="0BA04A48"/>
    <w:rsid w:val="0BAC345F"/>
    <w:rsid w:val="0BBD52AE"/>
    <w:rsid w:val="0BBE689D"/>
    <w:rsid w:val="0BC80331"/>
    <w:rsid w:val="0C046360"/>
    <w:rsid w:val="0C053B44"/>
    <w:rsid w:val="0C0B61F0"/>
    <w:rsid w:val="0C0E2F3B"/>
    <w:rsid w:val="0C1840C7"/>
    <w:rsid w:val="0C35268A"/>
    <w:rsid w:val="0C362AF1"/>
    <w:rsid w:val="0C4635C6"/>
    <w:rsid w:val="0C49435F"/>
    <w:rsid w:val="0C550884"/>
    <w:rsid w:val="0C577FD0"/>
    <w:rsid w:val="0C642715"/>
    <w:rsid w:val="0C8E0CA1"/>
    <w:rsid w:val="0C8E2259"/>
    <w:rsid w:val="0C931AD8"/>
    <w:rsid w:val="0CA55A1A"/>
    <w:rsid w:val="0CAE6912"/>
    <w:rsid w:val="0CBB1FC8"/>
    <w:rsid w:val="0CD17737"/>
    <w:rsid w:val="0CF06F2A"/>
    <w:rsid w:val="0D00631B"/>
    <w:rsid w:val="0D136775"/>
    <w:rsid w:val="0D14625A"/>
    <w:rsid w:val="0D336E17"/>
    <w:rsid w:val="0D5A584D"/>
    <w:rsid w:val="0D6671EC"/>
    <w:rsid w:val="0D6B54AE"/>
    <w:rsid w:val="0D7978AA"/>
    <w:rsid w:val="0D930ADD"/>
    <w:rsid w:val="0DA0500B"/>
    <w:rsid w:val="0DA162EC"/>
    <w:rsid w:val="0DCE1532"/>
    <w:rsid w:val="0DD410D7"/>
    <w:rsid w:val="0DDE2272"/>
    <w:rsid w:val="0DE313A3"/>
    <w:rsid w:val="0DE647C6"/>
    <w:rsid w:val="0DEC4DBD"/>
    <w:rsid w:val="0DED1503"/>
    <w:rsid w:val="0DEE4AE4"/>
    <w:rsid w:val="0DF73A45"/>
    <w:rsid w:val="0E2A1FC8"/>
    <w:rsid w:val="0E2C5505"/>
    <w:rsid w:val="0E462B7A"/>
    <w:rsid w:val="0E4D48AC"/>
    <w:rsid w:val="0E59465B"/>
    <w:rsid w:val="0E5C239D"/>
    <w:rsid w:val="0E5C2753"/>
    <w:rsid w:val="0E5D33A6"/>
    <w:rsid w:val="0E6D428E"/>
    <w:rsid w:val="0EA437C1"/>
    <w:rsid w:val="0EA464FD"/>
    <w:rsid w:val="0EA54845"/>
    <w:rsid w:val="0EA76446"/>
    <w:rsid w:val="0EBF2F5D"/>
    <w:rsid w:val="0ECA1A37"/>
    <w:rsid w:val="0ECA6962"/>
    <w:rsid w:val="0F040A6B"/>
    <w:rsid w:val="0F0D7169"/>
    <w:rsid w:val="0F12144F"/>
    <w:rsid w:val="0F341C37"/>
    <w:rsid w:val="0F3550C8"/>
    <w:rsid w:val="0F3B4003"/>
    <w:rsid w:val="0F4339DE"/>
    <w:rsid w:val="0F464A2D"/>
    <w:rsid w:val="0F5847DD"/>
    <w:rsid w:val="0F757C71"/>
    <w:rsid w:val="0F7A6F7F"/>
    <w:rsid w:val="0F89285A"/>
    <w:rsid w:val="0F9C2F7D"/>
    <w:rsid w:val="0F9C5147"/>
    <w:rsid w:val="0FAE4E7B"/>
    <w:rsid w:val="0FAF2D5B"/>
    <w:rsid w:val="0FB51D65"/>
    <w:rsid w:val="0FBC79F2"/>
    <w:rsid w:val="0FDA17CC"/>
    <w:rsid w:val="0FDA5C70"/>
    <w:rsid w:val="0FE95EB3"/>
    <w:rsid w:val="0FF705D0"/>
    <w:rsid w:val="10187C66"/>
    <w:rsid w:val="10340172"/>
    <w:rsid w:val="103A03EF"/>
    <w:rsid w:val="103E1D5B"/>
    <w:rsid w:val="103E7FAD"/>
    <w:rsid w:val="10673610"/>
    <w:rsid w:val="10697FD7"/>
    <w:rsid w:val="107E0270"/>
    <w:rsid w:val="10BC4481"/>
    <w:rsid w:val="10BF465A"/>
    <w:rsid w:val="10DE7334"/>
    <w:rsid w:val="1116365D"/>
    <w:rsid w:val="1122659D"/>
    <w:rsid w:val="112E0E09"/>
    <w:rsid w:val="112F66F0"/>
    <w:rsid w:val="11314385"/>
    <w:rsid w:val="113D0264"/>
    <w:rsid w:val="114A04F1"/>
    <w:rsid w:val="114A62EC"/>
    <w:rsid w:val="114B3293"/>
    <w:rsid w:val="1152561B"/>
    <w:rsid w:val="115B4B8E"/>
    <w:rsid w:val="117A4C13"/>
    <w:rsid w:val="117A5014"/>
    <w:rsid w:val="117A5F84"/>
    <w:rsid w:val="117E1E89"/>
    <w:rsid w:val="11CD3B80"/>
    <w:rsid w:val="11DB5D79"/>
    <w:rsid w:val="11E349AA"/>
    <w:rsid w:val="11E63BB9"/>
    <w:rsid w:val="11EC4E44"/>
    <w:rsid w:val="120314AE"/>
    <w:rsid w:val="1209283C"/>
    <w:rsid w:val="12092DC7"/>
    <w:rsid w:val="120A07A1"/>
    <w:rsid w:val="121D5B6A"/>
    <w:rsid w:val="121F77FF"/>
    <w:rsid w:val="122B093D"/>
    <w:rsid w:val="123155A5"/>
    <w:rsid w:val="123D3153"/>
    <w:rsid w:val="124A4DF8"/>
    <w:rsid w:val="125A6BF4"/>
    <w:rsid w:val="1284422F"/>
    <w:rsid w:val="128E7C27"/>
    <w:rsid w:val="1297206B"/>
    <w:rsid w:val="129B2519"/>
    <w:rsid w:val="129F59E8"/>
    <w:rsid w:val="12A21BC2"/>
    <w:rsid w:val="12AD33CD"/>
    <w:rsid w:val="12B43317"/>
    <w:rsid w:val="12D746E8"/>
    <w:rsid w:val="12D859BF"/>
    <w:rsid w:val="12DC5D75"/>
    <w:rsid w:val="12E74A54"/>
    <w:rsid w:val="12F33BBB"/>
    <w:rsid w:val="13030B04"/>
    <w:rsid w:val="130C6C9B"/>
    <w:rsid w:val="13116C73"/>
    <w:rsid w:val="13225E9F"/>
    <w:rsid w:val="133B6A25"/>
    <w:rsid w:val="134442A6"/>
    <w:rsid w:val="134E3B57"/>
    <w:rsid w:val="135B1AD8"/>
    <w:rsid w:val="135F2634"/>
    <w:rsid w:val="135F3659"/>
    <w:rsid w:val="13605532"/>
    <w:rsid w:val="136F10A6"/>
    <w:rsid w:val="13874C4E"/>
    <w:rsid w:val="13924B70"/>
    <w:rsid w:val="139375E7"/>
    <w:rsid w:val="13984CC6"/>
    <w:rsid w:val="139B55D1"/>
    <w:rsid w:val="139B7C50"/>
    <w:rsid w:val="139E5A35"/>
    <w:rsid w:val="13A82322"/>
    <w:rsid w:val="13C0517C"/>
    <w:rsid w:val="13D9398B"/>
    <w:rsid w:val="13DC1FB6"/>
    <w:rsid w:val="13F441CD"/>
    <w:rsid w:val="14026126"/>
    <w:rsid w:val="140C561E"/>
    <w:rsid w:val="141860EE"/>
    <w:rsid w:val="14215C1B"/>
    <w:rsid w:val="142D2356"/>
    <w:rsid w:val="14387031"/>
    <w:rsid w:val="143C4803"/>
    <w:rsid w:val="144072C9"/>
    <w:rsid w:val="146E2692"/>
    <w:rsid w:val="147541B9"/>
    <w:rsid w:val="14A10B0A"/>
    <w:rsid w:val="151D2AA4"/>
    <w:rsid w:val="15284D87"/>
    <w:rsid w:val="152D05F0"/>
    <w:rsid w:val="152E2457"/>
    <w:rsid w:val="15412E9F"/>
    <w:rsid w:val="15474047"/>
    <w:rsid w:val="15515FEC"/>
    <w:rsid w:val="15787ABD"/>
    <w:rsid w:val="15996659"/>
    <w:rsid w:val="159B19FD"/>
    <w:rsid w:val="159E69E1"/>
    <w:rsid w:val="15B22B1C"/>
    <w:rsid w:val="15B64D19"/>
    <w:rsid w:val="15BE749A"/>
    <w:rsid w:val="15C72DBA"/>
    <w:rsid w:val="15E42DE0"/>
    <w:rsid w:val="15EA37B8"/>
    <w:rsid w:val="15F93F0A"/>
    <w:rsid w:val="160C68EB"/>
    <w:rsid w:val="16155F88"/>
    <w:rsid w:val="16261210"/>
    <w:rsid w:val="16371EE2"/>
    <w:rsid w:val="163B5269"/>
    <w:rsid w:val="163C2BE1"/>
    <w:rsid w:val="16503BEF"/>
    <w:rsid w:val="16617B53"/>
    <w:rsid w:val="16620DFB"/>
    <w:rsid w:val="1665226C"/>
    <w:rsid w:val="166C099D"/>
    <w:rsid w:val="16757273"/>
    <w:rsid w:val="16825EBF"/>
    <w:rsid w:val="168A4E92"/>
    <w:rsid w:val="168D3A3C"/>
    <w:rsid w:val="16AF7D2D"/>
    <w:rsid w:val="16B12AAB"/>
    <w:rsid w:val="16B36741"/>
    <w:rsid w:val="16BA2357"/>
    <w:rsid w:val="16C878C0"/>
    <w:rsid w:val="16CA0B38"/>
    <w:rsid w:val="16CF5037"/>
    <w:rsid w:val="16D626D4"/>
    <w:rsid w:val="17033CFE"/>
    <w:rsid w:val="17626C76"/>
    <w:rsid w:val="17654601"/>
    <w:rsid w:val="17773DA4"/>
    <w:rsid w:val="177D0B34"/>
    <w:rsid w:val="177D33DA"/>
    <w:rsid w:val="17BC5001"/>
    <w:rsid w:val="17DE4D75"/>
    <w:rsid w:val="17F10A37"/>
    <w:rsid w:val="180335AF"/>
    <w:rsid w:val="18075128"/>
    <w:rsid w:val="18426022"/>
    <w:rsid w:val="18570069"/>
    <w:rsid w:val="185A794E"/>
    <w:rsid w:val="185C1667"/>
    <w:rsid w:val="18660E93"/>
    <w:rsid w:val="18682D19"/>
    <w:rsid w:val="18764F9D"/>
    <w:rsid w:val="187E54C8"/>
    <w:rsid w:val="18860717"/>
    <w:rsid w:val="188B010B"/>
    <w:rsid w:val="189D7A20"/>
    <w:rsid w:val="18A00F9D"/>
    <w:rsid w:val="18B31981"/>
    <w:rsid w:val="18C63A7B"/>
    <w:rsid w:val="18D36470"/>
    <w:rsid w:val="18D616A7"/>
    <w:rsid w:val="18DF6533"/>
    <w:rsid w:val="18EF0086"/>
    <w:rsid w:val="190B32CF"/>
    <w:rsid w:val="191E4E1F"/>
    <w:rsid w:val="193D008B"/>
    <w:rsid w:val="194D4E39"/>
    <w:rsid w:val="196C3D38"/>
    <w:rsid w:val="1977113D"/>
    <w:rsid w:val="198C25CA"/>
    <w:rsid w:val="19A928E0"/>
    <w:rsid w:val="19B337B9"/>
    <w:rsid w:val="19C5648A"/>
    <w:rsid w:val="19DE76C7"/>
    <w:rsid w:val="19F4241A"/>
    <w:rsid w:val="19F62935"/>
    <w:rsid w:val="1A0D5539"/>
    <w:rsid w:val="1A156599"/>
    <w:rsid w:val="1A215351"/>
    <w:rsid w:val="1A2F0C50"/>
    <w:rsid w:val="1A55661F"/>
    <w:rsid w:val="1A606AF6"/>
    <w:rsid w:val="1A616C76"/>
    <w:rsid w:val="1A7208D9"/>
    <w:rsid w:val="1A7B185E"/>
    <w:rsid w:val="1A8170E1"/>
    <w:rsid w:val="1A951111"/>
    <w:rsid w:val="1AA522B1"/>
    <w:rsid w:val="1ACE732C"/>
    <w:rsid w:val="1AD737B6"/>
    <w:rsid w:val="1B063DBD"/>
    <w:rsid w:val="1B065901"/>
    <w:rsid w:val="1B121750"/>
    <w:rsid w:val="1B1F0CAA"/>
    <w:rsid w:val="1B2740EE"/>
    <w:rsid w:val="1B326692"/>
    <w:rsid w:val="1B3426D8"/>
    <w:rsid w:val="1B3E776C"/>
    <w:rsid w:val="1B6F4419"/>
    <w:rsid w:val="1B707529"/>
    <w:rsid w:val="1BA82036"/>
    <w:rsid w:val="1BB46997"/>
    <w:rsid w:val="1BC30491"/>
    <w:rsid w:val="1BCA50E7"/>
    <w:rsid w:val="1BD47A17"/>
    <w:rsid w:val="1BFD6F3E"/>
    <w:rsid w:val="1C222AC8"/>
    <w:rsid w:val="1C330BE1"/>
    <w:rsid w:val="1C37446B"/>
    <w:rsid w:val="1C543758"/>
    <w:rsid w:val="1C6409CA"/>
    <w:rsid w:val="1C745280"/>
    <w:rsid w:val="1C7A62C7"/>
    <w:rsid w:val="1CA70C88"/>
    <w:rsid w:val="1D073520"/>
    <w:rsid w:val="1D2D3883"/>
    <w:rsid w:val="1D2F75FB"/>
    <w:rsid w:val="1D3544E5"/>
    <w:rsid w:val="1D422EB3"/>
    <w:rsid w:val="1D4961E3"/>
    <w:rsid w:val="1D557650"/>
    <w:rsid w:val="1D581127"/>
    <w:rsid w:val="1D934DF7"/>
    <w:rsid w:val="1D95481A"/>
    <w:rsid w:val="1D9C27B6"/>
    <w:rsid w:val="1DA71A80"/>
    <w:rsid w:val="1DAA7455"/>
    <w:rsid w:val="1DAD726A"/>
    <w:rsid w:val="1DAE4172"/>
    <w:rsid w:val="1DBD1493"/>
    <w:rsid w:val="1DDC5D8A"/>
    <w:rsid w:val="1DDF7479"/>
    <w:rsid w:val="1DF16EE1"/>
    <w:rsid w:val="1DF20628"/>
    <w:rsid w:val="1E0A2A3F"/>
    <w:rsid w:val="1E201B9E"/>
    <w:rsid w:val="1E40742E"/>
    <w:rsid w:val="1E737BB4"/>
    <w:rsid w:val="1E94348E"/>
    <w:rsid w:val="1EA05C30"/>
    <w:rsid w:val="1EA25BAA"/>
    <w:rsid w:val="1EB214DD"/>
    <w:rsid w:val="1EF14C26"/>
    <w:rsid w:val="1F02063F"/>
    <w:rsid w:val="1F061F30"/>
    <w:rsid w:val="1F0C6A6D"/>
    <w:rsid w:val="1F1518E2"/>
    <w:rsid w:val="1F152820"/>
    <w:rsid w:val="1F212F73"/>
    <w:rsid w:val="1F3251AB"/>
    <w:rsid w:val="1F5254FF"/>
    <w:rsid w:val="1F6B69C0"/>
    <w:rsid w:val="1F8F5F24"/>
    <w:rsid w:val="1F930BDA"/>
    <w:rsid w:val="1F9A5250"/>
    <w:rsid w:val="1FAC3024"/>
    <w:rsid w:val="1FAC799E"/>
    <w:rsid w:val="1FDD44D2"/>
    <w:rsid w:val="202A4011"/>
    <w:rsid w:val="20326564"/>
    <w:rsid w:val="20450EE3"/>
    <w:rsid w:val="204818BF"/>
    <w:rsid w:val="2064029A"/>
    <w:rsid w:val="20682ABA"/>
    <w:rsid w:val="206C06CB"/>
    <w:rsid w:val="206D688D"/>
    <w:rsid w:val="20784D3D"/>
    <w:rsid w:val="20873E45"/>
    <w:rsid w:val="20880DD0"/>
    <w:rsid w:val="208B2AFE"/>
    <w:rsid w:val="208E288A"/>
    <w:rsid w:val="20A91472"/>
    <w:rsid w:val="20B40D3C"/>
    <w:rsid w:val="20EF5FFF"/>
    <w:rsid w:val="213B28FB"/>
    <w:rsid w:val="214C7863"/>
    <w:rsid w:val="214D44F3"/>
    <w:rsid w:val="2158109D"/>
    <w:rsid w:val="21586599"/>
    <w:rsid w:val="217867F0"/>
    <w:rsid w:val="21842B78"/>
    <w:rsid w:val="21BB190B"/>
    <w:rsid w:val="21DC7B7F"/>
    <w:rsid w:val="21DE514B"/>
    <w:rsid w:val="21EB1E39"/>
    <w:rsid w:val="22115837"/>
    <w:rsid w:val="221528A4"/>
    <w:rsid w:val="223A26A6"/>
    <w:rsid w:val="223E16DB"/>
    <w:rsid w:val="22552F34"/>
    <w:rsid w:val="228A52D3"/>
    <w:rsid w:val="22905DFE"/>
    <w:rsid w:val="2291647A"/>
    <w:rsid w:val="22B81E40"/>
    <w:rsid w:val="22C03661"/>
    <w:rsid w:val="22C80B27"/>
    <w:rsid w:val="22D736ED"/>
    <w:rsid w:val="22D82647"/>
    <w:rsid w:val="22ED4E52"/>
    <w:rsid w:val="22F77410"/>
    <w:rsid w:val="23037BFD"/>
    <w:rsid w:val="23104268"/>
    <w:rsid w:val="231119F6"/>
    <w:rsid w:val="232B13F0"/>
    <w:rsid w:val="23637D4D"/>
    <w:rsid w:val="23757D31"/>
    <w:rsid w:val="23812232"/>
    <w:rsid w:val="23CE7442"/>
    <w:rsid w:val="23D5791E"/>
    <w:rsid w:val="23DD3661"/>
    <w:rsid w:val="23F1398F"/>
    <w:rsid w:val="23F650D1"/>
    <w:rsid w:val="23FF4CA7"/>
    <w:rsid w:val="242038C5"/>
    <w:rsid w:val="24207C9D"/>
    <w:rsid w:val="2425434D"/>
    <w:rsid w:val="24433550"/>
    <w:rsid w:val="24520004"/>
    <w:rsid w:val="2471674B"/>
    <w:rsid w:val="247C5BC9"/>
    <w:rsid w:val="247D7648"/>
    <w:rsid w:val="247E3422"/>
    <w:rsid w:val="248D2033"/>
    <w:rsid w:val="24933AB9"/>
    <w:rsid w:val="24A77F65"/>
    <w:rsid w:val="24D9514F"/>
    <w:rsid w:val="24DB4137"/>
    <w:rsid w:val="25013EA8"/>
    <w:rsid w:val="253400BA"/>
    <w:rsid w:val="253F25BA"/>
    <w:rsid w:val="255167DA"/>
    <w:rsid w:val="257B52F4"/>
    <w:rsid w:val="25E2141C"/>
    <w:rsid w:val="25ED3C47"/>
    <w:rsid w:val="25FE1F57"/>
    <w:rsid w:val="25FE400E"/>
    <w:rsid w:val="26275539"/>
    <w:rsid w:val="26367A9F"/>
    <w:rsid w:val="26527EB6"/>
    <w:rsid w:val="265771B1"/>
    <w:rsid w:val="266D0704"/>
    <w:rsid w:val="266F2816"/>
    <w:rsid w:val="266F3F23"/>
    <w:rsid w:val="26864004"/>
    <w:rsid w:val="26A32274"/>
    <w:rsid w:val="26CA0CD0"/>
    <w:rsid w:val="26E106DA"/>
    <w:rsid w:val="26E8507D"/>
    <w:rsid w:val="27027B2E"/>
    <w:rsid w:val="270C62B7"/>
    <w:rsid w:val="270C79B5"/>
    <w:rsid w:val="270E7E69"/>
    <w:rsid w:val="27394565"/>
    <w:rsid w:val="274202B2"/>
    <w:rsid w:val="277B168E"/>
    <w:rsid w:val="27845BE5"/>
    <w:rsid w:val="27A0454C"/>
    <w:rsid w:val="27BC7E5F"/>
    <w:rsid w:val="27C9130C"/>
    <w:rsid w:val="27CC3C98"/>
    <w:rsid w:val="27CD6E6A"/>
    <w:rsid w:val="27D854D6"/>
    <w:rsid w:val="27E36863"/>
    <w:rsid w:val="28043B56"/>
    <w:rsid w:val="283A44CE"/>
    <w:rsid w:val="283B6DC8"/>
    <w:rsid w:val="284B5C7E"/>
    <w:rsid w:val="285558A8"/>
    <w:rsid w:val="287141A0"/>
    <w:rsid w:val="2881477F"/>
    <w:rsid w:val="288E3541"/>
    <w:rsid w:val="289C3386"/>
    <w:rsid w:val="28A17393"/>
    <w:rsid w:val="28A8538D"/>
    <w:rsid w:val="28AD3E28"/>
    <w:rsid w:val="28B02089"/>
    <w:rsid w:val="28C72DDD"/>
    <w:rsid w:val="290F26F5"/>
    <w:rsid w:val="29192F0D"/>
    <w:rsid w:val="292F44DF"/>
    <w:rsid w:val="29305143"/>
    <w:rsid w:val="293A1B93"/>
    <w:rsid w:val="29466370"/>
    <w:rsid w:val="296D15DA"/>
    <w:rsid w:val="298F7BFB"/>
    <w:rsid w:val="29934A6D"/>
    <w:rsid w:val="299647AA"/>
    <w:rsid w:val="29B14F78"/>
    <w:rsid w:val="29B85E62"/>
    <w:rsid w:val="29CF181E"/>
    <w:rsid w:val="29E4095D"/>
    <w:rsid w:val="29EA1563"/>
    <w:rsid w:val="29FB4E1F"/>
    <w:rsid w:val="29FF3170"/>
    <w:rsid w:val="2A050933"/>
    <w:rsid w:val="2A230C6E"/>
    <w:rsid w:val="2A29070A"/>
    <w:rsid w:val="2A321A45"/>
    <w:rsid w:val="2A525BE6"/>
    <w:rsid w:val="2A5A1A2F"/>
    <w:rsid w:val="2A5B4230"/>
    <w:rsid w:val="2A7E20D6"/>
    <w:rsid w:val="2A7F33BA"/>
    <w:rsid w:val="2A842608"/>
    <w:rsid w:val="2A864272"/>
    <w:rsid w:val="2AA70AE8"/>
    <w:rsid w:val="2AFA0B1C"/>
    <w:rsid w:val="2B0118DF"/>
    <w:rsid w:val="2B207A38"/>
    <w:rsid w:val="2B2C7524"/>
    <w:rsid w:val="2B30372B"/>
    <w:rsid w:val="2B3E5E22"/>
    <w:rsid w:val="2B466C51"/>
    <w:rsid w:val="2B512E32"/>
    <w:rsid w:val="2B545022"/>
    <w:rsid w:val="2B684A68"/>
    <w:rsid w:val="2B692166"/>
    <w:rsid w:val="2B7A29B8"/>
    <w:rsid w:val="2B8E714E"/>
    <w:rsid w:val="2B924EA7"/>
    <w:rsid w:val="2B956FBE"/>
    <w:rsid w:val="2BAC0111"/>
    <w:rsid w:val="2BD650E5"/>
    <w:rsid w:val="2BEB6DE3"/>
    <w:rsid w:val="2C02237E"/>
    <w:rsid w:val="2C1C4018"/>
    <w:rsid w:val="2C221E1E"/>
    <w:rsid w:val="2C48411F"/>
    <w:rsid w:val="2C4F343B"/>
    <w:rsid w:val="2C5724E3"/>
    <w:rsid w:val="2C6438F8"/>
    <w:rsid w:val="2C6D55CB"/>
    <w:rsid w:val="2C732934"/>
    <w:rsid w:val="2C7E7C57"/>
    <w:rsid w:val="2CB21B9D"/>
    <w:rsid w:val="2CB35427"/>
    <w:rsid w:val="2CB847EB"/>
    <w:rsid w:val="2CBF201D"/>
    <w:rsid w:val="2CD6590B"/>
    <w:rsid w:val="2CE515BF"/>
    <w:rsid w:val="2CF52546"/>
    <w:rsid w:val="2D03015C"/>
    <w:rsid w:val="2D1265F1"/>
    <w:rsid w:val="2D1C7470"/>
    <w:rsid w:val="2D1D432F"/>
    <w:rsid w:val="2D265044"/>
    <w:rsid w:val="2D3D7713"/>
    <w:rsid w:val="2D511CF8"/>
    <w:rsid w:val="2D542FFE"/>
    <w:rsid w:val="2D5C05DE"/>
    <w:rsid w:val="2D854A54"/>
    <w:rsid w:val="2D8802A8"/>
    <w:rsid w:val="2D9663C0"/>
    <w:rsid w:val="2DA15F14"/>
    <w:rsid w:val="2DA67BD4"/>
    <w:rsid w:val="2DB85067"/>
    <w:rsid w:val="2DBC66B0"/>
    <w:rsid w:val="2DCE076A"/>
    <w:rsid w:val="2DCE7B02"/>
    <w:rsid w:val="2DD07B82"/>
    <w:rsid w:val="2E183793"/>
    <w:rsid w:val="2E1F52DA"/>
    <w:rsid w:val="2E2356E6"/>
    <w:rsid w:val="2E262354"/>
    <w:rsid w:val="2E301AE8"/>
    <w:rsid w:val="2E534CAD"/>
    <w:rsid w:val="2E6C5893"/>
    <w:rsid w:val="2E7B1A50"/>
    <w:rsid w:val="2E836496"/>
    <w:rsid w:val="2E9F6C97"/>
    <w:rsid w:val="2EAC6A54"/>
    <w:rsid w:val="2EAF03C0"/>
    <w:rsid w:val="2EB6251C"/>
    <w:rsid w:val="2EB67BB3"/>
    <w:rsid w:val="2EB70CB5"/>
    <w:rsid w:val="2EB84F5A"/>
    <w:rsid w:val="2EBF00B3"/>
    <w:rsid w:val="2ED76DE2"/>
    <w:rsid w:val="2EDB71B9"/>
    <w:rsid w:val="2EDE1DC0"/>
    <w:rsid w:val="2F0C331C"/>
    <w:rsid w:val="2F46399F"/>
    <w:rsid w:val="2F5729E1"/>
    <w:rsid w:val="2F9D39A3"/>
    <w:rsid w:val="2FAF4E78"/>
    <w:rsid w:val="2FBC06DB"/>
    <w:rsid w:val="2FBE3328"/>
    <w:rsid w:val="2FDF6C0C"/>
    <w:rsid w:val="2FF760C2"/>
    <w:rsid w:val="302B0BF2"/>
    <w:rsid w:val="303A26B5"/>
    <w:rsid w:val="303F4C0D"/>
    <w:rsid w:val="30437D78"/>
    <w:rsid w:val="304C5976"/>
    <w:rsid w:val="304C6A8D"/>
    <w:rsid w:val="3063693E"/>
    <w:rsid w:val="306B6744"/>
    <w:rsid w:val="307954C2"/>
    <w:rsid w:val="30915979"/>
    <w:rsid w:val="309722C1"/>
    <w:rsid w:val="30985E58"/>
    <w:rsid w:val="30C50311"/>
    <w:rsid w:val="30CC7032"/>
    <w:rsid w:val="30D64795"/>
    <w:rsid w:val="30D75B88"/>
    <w:rsid w:val="30DC3C75"/>
    <w:rsid w:val="30FC114A"/>
    <w:rsid w:val="30FC55EE"/>
    <w:rsid w:val="310721DA"/>
    <w:rsid w:val="31077AEF"/>
    <w:rsid w:val="31163AA7"/>
    <w:rsid w:val="31182D9C"/>
    <w:rsid w:val="311D373D"/>
    <w:rsid w:val="312155A9"/>
    <w:rsid w:val="312F6A43"/>
    <w:rsid w:val="31416C5C"/>
    <w:rsid w:val="314D5E4A"/>
    <w:rsid w:val="3153274D"/>
    <w:rsid w:val="316C3E78"/>
    <w:rsid w:val="317046EE"/>
    <w:rsid w:val="3170586A"/>
    <w:rsid w:val="31746DDF"/>
    <w:rsid w:val="317D1F9D"/>
    <w:rsid w:val="31EF0CAF"/>
    <w:rsid w:val="31F11BA0"/>
    <w:rsid w:val="31FD161E"/>
    <w:rsid w:val="320133EC"/>
    <w:rsid w:val="320D7324"/>
    <w:rsid w:val="323446FA"/>
    <w:rsid w:val="324A2389"/>
    <w:rsid w:val="32712A65"/>
    <w:rsid w:val="32777CC8"/>
    <w:rsid w:val="32992418"/>
    <w:rsid w:val="32CC2CDF"/>
    <w:rsid w:val="32EB76C8"/>
    <w:rsid w:val="330C14D3"/>
    <w:rsid w:val="33121D46"/>
    <w:rsid w:val="331D184C"/>
    <w:rsid w:val="333A0B2D"/>
    <w:rsid w:val="333A4819"/>
    <w:rsid w:val="333B1513"/>
    <w:rsid w:val="33727DEA"/>
    <w:rsid w:val="338B12B3"/>
    <w:rsid w:val="33A93AAA"/>
    <w:rsid w:val="33BA709B"/>
    <w:rsid w:val="33C41F87"/>
    <w:rsid w:val="33C643B2"/>
    <w:rsid w:val="33E03F1F"/>
    <w:rsid w:val="340105BC"/>
    <w:rsid w:val="34057E15"/>
    <w:rsid w:val="340C1DA2"/>
    <w:rsid w:val="341113B0"/>
    <w:rsid w:val="341532C3"/>
    <w:rsid w:val="343A3E56"/>
    <w:rsid w:val="344E4352"/>
    <w:rsid w:val="345841E4"/>
    <w:rsid w:val="34815E4A"/>
    <w:rsid w:val="34870E54"/>
    <w:rsid w:val="349B7EB8"/>
    <w:rsid w:val="34A02734"/>
    <w:rsid w:val="34A3421F"/>
    <w:rsid w:val="34A55F9D"/>
    <w:rsid w:val="34AE3172"/>
    <w:rsid w:val="34AF7225"/>
    <w:rsid w:val="34BC2B93"/>
    <w:rsid w:val="34C56347"/>
    <w:rsid w:val="34D8459F"/>
    <w:rsid w:val="34DF14AF"/>
    <w:rsid w:val="34E56C09"/>
    <w:rsid w:val="34E95E89"/>
    <w:rsid w:val="34F831BF"/>
    <w:rsid w:val="35071DBE"/>
    <w:rsid w:val="350E4CE5"/>
    <w:rsid w:val="351E42D6"/>
    <w:rsid w:val="35287F2F"/>
    <w:rsid w:val="352B0544"/>
    <w:rsid w:val="352B4654"/>
    <w:rsid w:val="354B08F2"/>
    <w:rsid w:val="354B47DC"/>
    <w:rsid w:val="355C665B"/>
    <w:rsid w:val="355E5766"/>
    <w:rsid w:val="356035F3"/>
    <w:rsid w:val="35645510"/>
    <w:rsid w:val="3566533B"/>
    <w:rsid w:val="35746718"/>
    <w:rsid w:val="3589141A"/>
    <w:rsid w:val="35896801"/>
    <w:rsid w:val="358D4A67"/>
    <w:rsid w:val="35BE015D"/>
    <w:rsid w:val="35C673C5"/>
    <w:rsid w:val="35CC1533"/>
    <w:rsid w:val="35DF103A"/>
    <w:rsid w:val="35E8650E"/>
    <w:rsid w:val="35FF6E19"/>
    <w:rsid w:val="360241D0"/>
    <w:rsid w:val="361F2CBC"/>
    <w:rsid w:val="36270060"/>
    <w:rsid w:val="36282562"/>
    <w:rsid w:val="3630520D"/>
    <w:rsid w:val="36343134"/>
    <w:rsid w:val="364F24BB"/>
    <w:rsid w:val="36500CCF"/>
    <w:rsid w:val="36505899"/>
    <w:rsid w:val="36590DED"/>
    <w:rsid w:val="36610A9C"/>
    <w:rsid w:val="36696099"/>
    <w:rsid w:val="36966309"/>
    <w:rsid w:val="36973877"/>
    <w:rsid w:val="36A52284"/>
    <w:rsid w:val="36A621BE"/>
    <w:rsid w:val="36AE703A"/>
    <w:rsid w:val="36BB5A02"/>
    <w:rsid w:val="36D54C76"/>
    <w:rsid w:val="37177092"/>
    <w:rsid w:val="372E157F"/>
    <w:rsid w:val="373E5F39"/>
    <w:rsid w:val="37447668"/>
    <w:rsid w:val="37532486"/>
    <w:rsid w:val="375E74D8"/>
    <w:rsid w:val="375F2433"/>
    <w:rsid w:val="375F7C15"/>
    <w:rsid w:val="377207C1"/>
    <w:rsid w:val="377308C2"/>
    <w:rsid w:val="37837800"/>
    <w:rsid w:val="37841E99"/>
    <w:rsid w:val="37865C12"/>
    <w:rsid w:val="37D56B99"/>
    <w:rsid w:val="37E63D82"/>
    <w:rsid w:val="37F0264D"/>
    <w:rsid w:val="37F44CF3"/>
    <w:rsid w:val="37F93331"/>
    <w:rsid w:val="37FD7F7E"/>
    <w:rsid w:val="38172DE6"/>
    <w:rsid w:val="382C4411"/>
    <w:rsid w:val="382C7B34"/>
    <w:rsid w:val="383A7F49"/>
    <w:rsid w:val="384C229E"/>
    <w:rsid w:val="387354C9"/>
    <w:rsid w:val="388D13C1"/>
    <w:rsid w:val="38AA3967"/>
    <w:rsid w:val="38AC782E"/>
    <w:rsid w:val="38D1110E"/>
    <w:rsid w:val="38E72650"/>
    <w:rsid w:val="38FB5684"/>
    <w:rsid w:val="38FF1191"/>
    <w:rsid w:val="390E15BE"/>
    <w:rsid w:val="391024FE"/>
    <w:rsid w:val="39127B3F"/>
    <w:rsid w:val="39182F97"/>
    <w:rsid w:val="39295939"/>
    <w:rsid w:val="39344E5A"/>
    <w:rsid w:val="393B1D37"/>
    <w:rsid w:val="395104A1"/>
    <w:rsid w:val="39586050"/>
    <w:rsid w:val="3979539F"/>
    <w:rsid w:val="397A26D1"/>
    <w:rsid w:val="39814535"/>
    <w:rsid w:val="39B977D5"/>
    <w:rsid w:val="39BD7C47"/>
    <w:rsid w:val="39C63F26"/>
    <w:rsid w:val="39EA2154"/>
    <w:rsid w:val="3A341FFB"/>
    <w:rsid w:val="3A61033D"/>
    <w:rsid w:val="3A646940"/>
    <w:rsid w:val="3A6A67D9"/>
    <w:rsid w:val="3A726921"/>
    <w:rsid w:val="3A771382"/>
    <w:rsid w:val="3A7B32D2"/>
    <w:rsid w:val="3A8F7B71"/>
    <w:rsid w:val="3A971806"/>
    <w:rsid w:val="3A9F305D"/>
    <w:rsid w:val="3AAA7E69"/>
    <w:rsid w:val="3AAD4078"/>
    <w:rsid w:val="3AB17449"/>
    <w:rsid w:val="3AC56A51"/>
    <w:rsid w:val="3AC8492B"/>
    <w:rsid w:val="3AD36DAA"/>
    <w:rsid w:val="3AEF3ACE"/>
    <w:rsid w:val="3B102D67"/>
    <w:rsid w:val="3B1B10A5"/>
    <w:rsid w:val="3B2D45F6"/>
    <w:rsid w:val="3B680F3F"/>
    <w:rsid w:val="3B893F22"/>
    <w:rsid w:val="3B8D2D3B"/>
    <w:rsid w:val="3BBD0E4C"/>
    <w:rsid w:val="3BC21BE2"/>
    <w:rsid w:val="3BC517E3"/>
    <w:rsid w:val="3BCD6245"/>
    <w:rsid w:val="3BDE2894"/>
    <w:rsid w:val="3BE3211A"/>
    <w:rsid w:val="3BF04ADC"/>
    <w:rsid w:val="3BF201A9"/>
    <w:rsid w:val="3BFD59A4"/>
    <w:rsid w:val="3BFE66BE"/>
    <w:rsid w:val="3C046AB8"/>
    <w:rsid w:val="3C057D36"/>
    <w:rsid w:val="3C06188E"/>
    <w:rsid w:val="3C0B005C"/>
    <w:rsid w:val="3C0B2CF8"/>
    <w:rsid w:val="3C410359"/>
    <w:rsid w:val="3C4807E9"/>
    <w:rsid w:val="3C5A766D"/>
    <w:rsid w:val="3C5C33E5"/>
    <w:rsid w:val="3C7E5D8F"/>
    <w:rsid w:val="3C8B310E"/>
    <w:rsid w:val="3CA54FA7"/>
    <w:rsid w:val="3CA9174A"/>
    <w:rsid w:val="3CAD3C40"/>
    <w:rsid w:val="3CB23005"/>
    <w:rsid w:val="3CC01BC6"/>
    <w:rsid w:val="3CC560A1"/>
    <w:rsid w:val="3CDE4A4F"/>
    <w:rsid w:val="3CE60F00"/>
    <w:rsid w:val="3CEA6C43"/>
    <w:rsid w:val="3CEB6517"/>
    <w:rsid w:val="3CEF1D2C"/>
    <w:rsid w:val="3D0A1093"/>
    <w:rsid w:val="3D2615ED"/>
    <w:rsid w:val="3D2832C7"/>
    <w:rsid w:val="3D367665"/>
    <w:rsid w:val="3D454E84"/>
    <w:rsid w:val="3D461F6F"/>
    <w:rsid w:val="3D4E5423"/>
    <w:rsid w:val="3D52414F"/>
    <w:rsid w:val="3D712B8E"/>
    <w:rsid w:val="3D7C34EE"/>
    <w:rsid w:val="3DA51D58"/>
    <w:rsid w:val="3DB157CF"/>
    <w:rsid w:val="3DC375E2"/>
    <w:rsid w:val="3DC654EF"/>
    <w:rsid w:val="3DC76F84"/>
    <w:rsid w:val="3DCB6200"/>
    <w:rsid w:val="3DCC6ADF"/>
    <w:rsid w:val="3DDE3E9A"/>
    <w:rsid w:val="3DE24C72"/>
    <w:rsid w:val="3E0A1B37"/>
    <w:rsid w:val="3E1334F8"/>
    <w:rsid w:val="3E1A3772"/>
    <w:rsid w:val="3E2241BA"/>
    <w:rsid w:val="3E4876CD"/>
    <w:rsid w:val="3E6477B6"/>
    <w:rsid w:val="3E847876"/>
    <w:rsid w:val="3E9831B9"/>
    <w:rsid w:val="3E9C1729"/>
    <w:rsid w:val="3ECA2888"/>
    <w:rsid w:val="3EE33949"/>
    <w:rsid w:val="3EE33E1A"/>
    <w:rsid w:val="3EF22C3D"/>
    <w:rsid w:val="3F070171"/>
    <w:rsid w:val="3F0E36DA"/>
    <w:rsid w:val="3F0F295E"/>
    <w:rsid w:val="3F2006FA"/>
    <w:rsid w:val="3F291A23"/>
    <w:rsid w:val="3F4A790C"/>
    <w:rsid w:val="3F4B7CE6"/>
    <w:rsid w:val="3F620D12"/>
    <w:rsid w:val="3F7D463E"/>
    <w:rsid w:val="3F807997"/>
    <w:rsid w:val="3F854A01"/>
    <w:rsid w:val="3F980BD8"/>
    <w:rsid w:val="3F9908E2"/>
    <w:rsid w:val="3FA458F1"/>
    <w:rsid w:val="3FAC2E4F"/>
    <w:rsid w:val="3FB11D9C"/>
    <w:rsid w:val="3FB82246"/>
    <w:rsid w:val="3FC733A8"/>
    <w:rsid w:val="3FCF3ED9"/>
    <w:rsid w:val="3FF33501"/>
    <w:rsid w:val="3FF5714E"/>
    <w:rsid w:val="400F24B0"/>
    <w:rsid w:val="40185875"/>
    <w:rsid w:val="402B34B3"/>
    <w:rsid w:val="402E5098"/>
    <w:rsid w:val="40676455"/>
    <w:rsid w:val="40715D92"/>
    <w:rsid w:val="408E5B37"/>
    <w:rsid w:val="40BE466E"/>
    <w:rsid w:val="40C12F8D"/>
    <w:rsid w:val="40D300F5"/>
    <w:rsid w:val="40E02AB9"/>
    <w:rsid w:val="40F651D2"/>
    <w:rsid w:val="41285F8B"/>
    <w:rsid w:val="41287123"/>
    <w:rsid w:val="41287D39"/>
    <w:rsid w:val="412B5440"/>
    <w:rsid w:val="41362456"/>
    <w:rsid w:val="41384420"/>
    <w:rsid w:val="413E130B"/>
    <w:rsid w:val="41407063"/>
    <w:rsid w:val="415132CC"/>
    <w:rsid w:val="417F700C"/>
    <w:rsid w:val="41A762E9"/>
    <w:rsid w:val="41B13E8F"/>
    <w:rsid w:val="41C31810"/>
    <w:rsid w:val="41DC1A63"/>
    <w:rsid w:val="41DD3D00"/>
    <w:rsid w:val="41E40104"/>
    <w:rsid w:val="41EC08E1"/>
    <w:rsid w:val="41FC2CE3"/>
    <w:rsid w:val="42083CE0"/>
    <w:rsid w:val="4212479A"/>
    <w:rsid w:val="421C6835"/>
    <w:rsid w:val="424B538C"/>
    <w:rsid w:val="425A03C6"/>
    <w:rsid w:val="425B4E3C"/>
    <w:rsid w:val="425F4BA6"/>
    <w:rsid w:val="42862388"/>
    <w:rsid w:val="42997141"/>
    <w:rsid w:val="42A70AE7"/>
    <w:rsid w:val="42A97913"/>
    <w:rsid w:val="42AE6842"/>
    <w:rsid w:val="42AF05B5"/>
    <w:rsid w:val="42B26086"/>
    <w:rsid w:val="42E04547"/>
    <w:rsid w:val="42F22885"/>
    <w:rsid w:val="42FE6FA4"/>
    <w:rsid w:val="42FF1194"/>
    <w:rsid w:val="43192030"/>
    <w:rsid w:val="43263A3C"/>
    <w:rsid w:val="43352247"/>
    <w:rsid w:val="43356075"/>
    <w:rsid w:val="433974CC"/>
    <w:rsid w:val="43811983"/>
    <w:rsid w:val="43AA70B0"/>
    <w:rsid w:val="43BE3A6E"/>
    <w:rsid w:val="43C054D8"/>
    <w:rsid w:val="43C86E87"/>
    <w:rsid w:val="43E4694B"/>
    <w:rsid w:val="43F43450"/>
    <w:rsid w:val="44043E2E"/>
    <w:rsid w:val="44165CF3"/>
    <w:rsid w:val="442C263E"/>
    <w:rsid w:val="443B7222"/>
    <w:rsid w:val="443D3AAF"/>
    <w:rsid w:val="443F1622"/>
    <w:rsid w:val="44443463"/>
    <w:rsid w:val="44444D3A"/>
    <w:rsid w:val="44444E8A"/>
    <w:rsid w:val="444E13D2"/>
    <w:rsid w:val="444E53B7"/>
    <w:rsid w:val="445F6F00"/>
    <w:rsid w:val="44727299"/>
    <w:rsid w:val="44823C05"/>
    <w:rsid w:val="44982D07"/>
    <w:rsid w:val="44A9725E"/>
    <w:rsid w:val="44B00772"/>
    <w:rsid w:val="44F20B8A"/>
    <w:rsid w:val="44FA5303"/>
    <w:rsid w:val="450563CD"/>
    <w:rsid w:val="450F763F"/>
    <w:rsid w:val="45140D01"/>
    <w:rsid w:val="4535141C"/>
    <w:rsid w:val="455959FB"/>
    <w:rsid w:val="4561670A"/>
    <w:rsid w:val="458134D7"/>
    <w:rsid w:val="4590612D"/>
    <w:rsid w:val="45960279"/>
    <w:rsid w:val="45AA51C1"/>
    <w:rsid w:val="45B848A1"/>
    <w:rsid w:val="45BF1545"/>
    <w:rsid w:val="45C1626F"/>
    <w:rsid w:val="45EA75FE"/>
    <w:rsid w:val="45F00162"/>
    <w:rsid w:val="46026DAB"/>
    <w:rsid w:val="461A3256"/>
    <w:rsid w:val="462520D9"/>
    <w:rsid w:val="46305959"/>
    <w:rsid w:val="465E1DE9"/>
    <w:rsid w:val="466D6B97"/>
    <w:rsid w:val="46C71674"/>
    <w:rsid w:val="46DA6E7A"/>
    <w:rsid w:val="47011E8C"/>
    <w:rsid w:val="4701620A"/>
    <w:rsid w:val="47017016"/>
    <w:rsid w:val="471013D1"/>
    <w:rsid w:val="471C0020"/>
    <w:rsid w:val="472A7BC9"/>
    <w:rsid w:val="472D3DC5"/>
    <w:rsid w:val="473679CF"/>
    <w:rsid w:val="47407842"/>
    <w:rsid w:val="476C119E"/>
    <w:rsid w:val="477C2E55"/>
    <w:rsid w:val="477D269F"/>
    <w:rsid w:val="479071B8"/>
    <w:rsid w:val="47975C7E"/>
    <w:rsid w:val="479B5D08"/>
    <w:rsid w:val="47C3362C"/>
    <w:rsid w:val="47CA10D0"/>
    <w:rsid w:val="47FE19A3"/>
    <w:rsid w:val="48117779"/>
    <w:rsid w:val="48295044"/>
    <w:rsid w:val="48317EA4"/>
    <w:rsid w:val="483F42E6"/>
    <w:rsid w:val="484F663C"/>
    <w:rsid w:val="485028D5"/>
    <w:rsid w:val="4856518C"/>
    <w:rsid w:val="48697009"/>
    <w:rsid w:val="48750C26"/>
    <w:rsid w:val="487A4589"/>
    <w:rsid w:val="488110FE"/>
    <w:rsid w:val="4885754D"/>
    <w:rsid w:val="48873598"/>
    <w:rsid w:val="48934632"/>
    <w:rsid w:val="48952158"/>
    <w:rsid w:val="48B50E37"/>
    <w:rsid w:val="48C04CFB"/>
    <w:rsid w:val="48D32A87"/>
    <w:rsid w:val="48EA0288"/>
    <w:rsid w:val="48EC2B79"/>
    <w:rsid w:val="48F03833"/>
    <w:rsid w:val="491442C2"/>
    <w:rsid w:val="49276B29"/>
    <w:rsid w:val="49310712"/>
    <w:rsid w:val="49396F88"/>
    <w:rsid w:val="4960336B"/>
    <w:rsid w:val="496E6356"/>
    <w:rsid w:val="497638A1"/>
    <w:rsid w:val="497E551E"/>
    <w:rsid w:val="499F46CC"/>
    <w:rsid w:val="49A26952"/>
    <w:rsid w:val="49B900A4"/>
    <w:rsid w:val="49C02EB0"/>
    <w:rsid w:val="49CD26FB"/>
    <w:rsid w:val="49D071C0"/>
    <w:rsid w:val="49D34854"/>
    <w:rsid w:val="49D85415"/>
    <w:rsid w:val="49F96717"/>
    <w:rsid w:val="4A104D0E"/>
    <w:rsid w:val="4A1C41B3"/>
    <w:rsid w:val="4A1F7CD0"/>
    <w:rsid w:val="4A735A25"/>
    <w:rsid w:val="4A813AF8"/>
    <w:rsid w:val="4A894D04"/>
    <w:rsid w:val="4A8D6B88"/>
    <w:rsid w:val="4A942327"/>
    <w:rsid w:val="4A9F5E3B"/>
    <w:rsid w:val="4AA046CC"/>
    <w:rsid w:val="4AA74182"/>
    <w:rsid w:val="4AAA5C63"/>
    <w:rsid w:val="4AB80380"/>
    <w:rsid w:val="4ABB5F82"/>
    <w:rsid w:val="4ABE1D31"/>
    <w:rsid w:val="4AC662D2"/>
    <w:rsid w:val="4ACF1226"/>
    <w:rsid w:val="4ADC2719"/>
    <w:rsid w:val="4AE44F53"/>
    <w:rsid w:val="4AFD12F4"/>
    <w:rsid w:val="4B0709C0"/>
    <w:rsid w:val="4B2A00A4"/>
    <w:rsid w:val="4B325ACE"/>
    <w:rsid w:val="4B407D93"/>
    <w:rsid w:val="4B4C67DA"/>
    <w:rsid w:val="4B786845"/>
    <w:rsid w:val="4B787044"/>
    <w:rsid w:val="4B7A73E4"/>
    <w:rsid w:val="4B9934BB"/>
    <w:rsid w:val="4BA461B0"/>
    <w:rsid w:val="4BC609A6"/>
    <w:rsid w:val="4BD8343D"/>
    <w:rsid w:val="4BEE5948"/>
    <w:rsid w:val="4BF52F0E"/>
    <w:rsid w:val="4BFE60BC"/>
    <w:rsid w:val="4C0F2222"/>
    <w:rsid w:val="4C1509E4"/>
    <w:rsid w:val="4C237A7B"/>
    <w:rsid w:val="4C243F37"/>
    <w:rsid w:val="4C30384B"/>
    <w:rsid w:val="4C3F58F4"/>
    <w:rsid w:val="4C4D2D4A"/>
    <w:rsid w:val="4C6057BE"/>
    <w:rsid w:val="4C741450"/>
    <w:rsid w:val="4C8749CF"/>
    <w:rsid w:val="4CC53416"/>
    <w:rsid w:val="4CD11285"/>
    <w:rsid w:val="4CD63ADF"/>
    <w:rsid w:val="4CD91869"/>
    <w:rsid w:val="4CEE62DB"/>
    <w:rsid w:val="4CF369FC"/>
    <w:rsid w:val="4CFE3A0A"/>
    <w:rsid w:val="4D001B6A"/>
    <w:rsid w:val="4D186AC1"/>
    <w:rsid w:val="4D1E5E0C"/>
    <w:rsid w:val="4D812CAB"/>
    <w:rsid w:val="4D9C5D37"/>
    <w:rsid w:val="4D9E3970"/>
    <w:rsid w:val="4DB6499C"/>
    <w:rsid w:val="4DC1579E"/>
    <w:rsid w:val="4DDA4732"/>
    <w:rsid w:val="4DE61B5C"/>
    <w:rsid w:val="4DED20EF"/>
    <w:rsid w:val="4DFD5F97"/>
    <w:rsid w:val="4E022973"/>
    <w:rsid w:val="4E054967"/>
    <w:rsid w:val="4E122376"/>
    <w:rsid w:val="4E253FC7"/>
    <w:rsid w:val="4E343576"/>
    <w:rsid w:val="4E355844"/>
    <w:rsid w:val="4E375410"/>
    <w:rsid w:val="4E4849AF"/>
    <w:rsid w:val="4E530F8C"/>
    <w:rsid w:val="4E5D16DE"/>
    <w:rsid w:val="4E692DB2"/>
    <w:rsid w:val="4E6B00D3"/>
    <w:rsid w:val="4E86609F"/>
    <w:rsid w:val="4EA7124F"/>
    <w:rsid w:val="4EFB146B"/>
    <w:rsid w:val="4EFC0B97"/>
    <w:rsid w:val="4F15570F"/>
    <w:rsid w:val="4F495A4B"/>
    <w:rsid w:val="4F515B01"/>
    <w:rsid w:val="4F921910"/>
    <w:rsid w:val="4F960564"/>
    <w:rsid w:val="4FA365AE"/>
    <w:rsid w:val="4FA56243"/>
    <w:rsid w:val="4FAD43C9"/>
    <w:rsid w:val="4FB05B04"/>
    <w:rsid w:val="4FBC5E5D"/>
    <w:rsid w:val="4FC24270"/>
    <w:rsid w:val="4FC25A72"/>
    <w:rsid w:val="4FD97F8A"/>
    <w:rsid w:val="4FDC6ABD"/>
    <w:rsid w:val="4FEB08B0"/>
    <w:rsid w:val="4FF711C8"/>
    <w:rsid w:val="501C315F"/>
    <w:rsid w:val="506A26C5"/>
    <w:rsid w:val="506F0C27"/>
    <w:rsid w:val="509251CF"/>
    <w:rsid w:val="50AC1F7C"/>
    <w:rsid w:val="50EB4BD8"/>
    <w:rsid w:val="50ED2406"/>
    <w:rsid w:val="50F31143"/>
    <w:rsid w:val="51041EDF"/>
    <w:rsid w:val="510B1936"/>
    <w:rsid w:val="51183927"/>
    <w:rsid w:val="511856D5"/>
    <w:rsid w:val="512027DB"/>
    <w:rsid w:val="512B7442"/>
    <w:rsid w:val="514F4BC6"/>
    <w:rsid w:val="51675353"/>
    <w:rsid w:val="51762909"/>
    <w:rsid w:val="51787700"/>
    <w:rsid w:val="51890380"/>
    <w:rsid w:val="518B0578"/>
    <w:rsid w:val="51A35386"/>
    <w:rsid w:val="51AC22C1"/>
    <w:rsid w:val="51AD7254"/>
    <w:rsid w:val="51B573C7"/>
    <w:rsid w:val="51BA5BDE"/>
    <w:rsid w:val="51BB3AEE"/>
    <w:rsid w:val="51BB50CA"/>
    <w:rsid w:val="51D174CE"/>
    <w:rsid w:val="51E90E1F"/>
    <w:rsid w:val="51F53E0A"/>
    <w:rsid w:val="51F60495"/>
    <w:rsid w:val="5203735F"/>
    <w:rsid w:val="523F0AC9"/>
    <w:rsid w:val="52433744"/>
    <w:rsid w:val="524E70A0"/>
    <w:rsid w:val="525938E2"/>
    <w:rsid w:val="527B6382"/>
    <w:rsid w:val="52A34395"/>
    <w:rsid w:val="52A57BA3"/>
    <w:rsid w:val="52AB4326"/>
    <w:rsid w:val="52AC6F22"/>
    <w:rsid w:val="52B22039"/>
    <w:rsid w:val="52C409C6"/>
    <w:rsid w:val="52C61160"/>
    <w:rsid w:val="52CD5B3B"/>
    <w:rsid w:val="52DC0041"/>
    <w:rsid w:val="52DE54DD"/>
    <w:rsid w:val="52DE75C9"/>
    <w:rsid w:val="52FA3A2A"/>
    <w:rsid w:val="5305185F"/>
    <w:rsid w:val="530F4D74"/>
    <w:rsid w:val="53310CD0"/>
    <w:rsid w:val="533267F6"/>
    <w:rsid w:val="533E573E"/>
    <w:rsid w:val="53534049"/>
    <w:rsid w:val="535C124A"/>
    <w:rsid w:val="539D45B7"/>
    <w:rsid w:val="53AB07B8"/>
    <w:rsid w:val="53C2601E"/>
    <w:rsid w:val="53C52A4B"/>
    <w:rsid w:val="53CC27A6"/>
    <w:rsid w:val="53EE4D91"/>
    <w:rsid w:val="54156268"/>
    <w:rsid w:val="5435028C"/>
    <w:rsid w:val="5435330D"/>
    <w:rsid w:val="544F663E"/>
    <w:rsid w:val="54776BB6"/>
    <w:rsid w:val="547846DC"/>
    <w:rsid w:val="54947768"/>
    <w:rsid w:val="549A0AF6"/>
    <w:rsid w:val="549B4E7B"/>
    <w:rsid w:val="54A14694"/>
    <w:rsid w:val="54B51D52"/>
    <w:rsid w:val="54B572AC"/>
    <w:rsid w:val="54C3004D"/>
    <w:rsid w:val="54D62902"/>
    <w:rsid w:val="54D81206"/>
    <w:rsid w:val="54D852E2"/>
    <w:rsid w:val="54E81862"/>
    <w:rsid w:val="54EB1B0B"/>
    <w:rsid w:val="54F2623D"/>
    <w:rsid w:val="5503570D"/>
    <w:rsid w:val="55105123"/>
    <w:rsid w:val="552D6F21"/>
    <w:rsid w:val="55344223"/>
    <w:rsid w:val="55381C3D"/>
    <w:rsid w:val="555B68E0"/>
    <w:rsid w:val="558E301D"/>
    <w:rsid w:val="55A026F2"/>
    <w:rsid w:val="55A35789"/>
    <w:rsid w:val="55B6370E"/>
    <w:rsid w:val="55C672DA"/>
    <w:rsid w:val="55CC214F"/>
    <w:rsid w:val="55D80E51"/>
    <w:rsid w:val="55DE1149"/>
    <w:rsid w:val="56004989"/>
    <w:rsid w:val="56130B60"/>
    <w:rsid w:val="56183375"/>
    <w:rsid w:val="56203F03"/>
    <w:rsid w:val="56366070"/>
    <w:rsid w:val="563C6F4D"/>
    <w:rsid w:val="563D33B5"/>
    <w:rsid w:val="564275D8"/>
    <w:rsid w:val="56510FA5"/>
    <w:rsid w:val="565371AF"/>
    <w:rsid w:val="56541A02"/>
    <w:rsid w:val="56556957"/>
    <w:rsid w:val="56664A5F"/>
    <w:rsid w:val="56667B7F"/>
    <w:rsid w:val="567D043B"/>
    <w:rsid w:val="56861332"/>
    <w:rsid w:val="568B3B3C"/>
    <w:rsid w:val="56A143BE"/>
    <w:rsid w:val="56A45D9C"/>
    <w:rsid w:val="56A84D77"/>
    <w:rsid w:val="56C7623F"/>
    <w:rsid w:val="56DA12D1"/>
    <w:rsid w:val="56DB2E77"/>
    <w:rsid w:val="56EA6EE3"/>
    <w:rsid w:val="570724FE"/>
    <w:rsid w:val="57162490"/>
    <w:rsid w:val="5718516B"/>
    <w:rsid w:val="57201787"/>
    <w:rsid w:val="573C4609"/>
    <w:rsid w:val="573C5A43"/>
    <w:rsid w:val="57450AF4"/>
    <w:rsid w:val="574C73CE"/>
    <w:rsid w:val="577A0ADC"/>
    <w:rsid w:val="579104A4"/>
    <w:rsid w:val="57952FFD"/>
    <w:rsid w:val="57A26CFD"/>
    <w:rsid w:val="57BA5FE1"/>
    <w:rsid w:val="57C57C38"/>
    <w:rsid w:val="57EE53E1"/>
    <w:rsid w:val="582C0209"/>
    <w:rsid w:val="582D73F3"/>
    <w:rsid w:val="58450578"/>
    <w:rsid w:val="585421DF"/>
    <w:rsid w:val="58550FBC"/>
    <w:rsid w:val="586F5780"/>
    <w:rsid w:val="587005A3"/>
    <w:rsid w:val="58722B28"/>
    <w:rsid w:val="5881560A"/>
    <w:rsid w:val="588A4236"/>
    <w:rsid w:val="58937264"/>
    <w:rsid w:val="589E40A6"/>
    <w:rsid w:val="58C1194C"/>
    <w:rsid w:val="58CA3E2F"/>
    <w:rsid w:val="58CA3F6C"/>
    <w:rsid w:val="58CE1E1C"/>
    <w:rsid w:val="58D26606"/>
    <w:rsid w:val="58D31A19"/>
    <w:rsid w:val="58D32A5C"/>
    <w:rsid w:val="58DC68C2"/>
    <w:rsid w:val="58F744EB"/>
    <w:rsid w:val="58FA18E8"/>
    <w:rsid w:val="59047E88"/>
    <w:rsid w:val="5909597B"/>
    <w:rsid w:val="592F0CB4"/>
    <w:rsid w:val="59545CFA"/>
    <w:rsid w:val="595B4438"/>
    <w:rsid w:val="59660FAE"/>
    <w:rsid w:val="5979517E"/>
    <w:rsid w:val="598132AD"/>
    <w:rsid w:val="5984568E"/>
    <w:rsid w:val="59846A39"/>
    <w:rsid w:val="5986281A"/>
    <w:rsid w:val="59875AED"/>
    <w:rsid w:val="59943D66"/>
    <w:rsid w:val="59B45455"/>
    <w:rsid w:val="59C02DAD"/>
    <w:rsid w:val="59C06B0F"/>
    <w:rsid w:val="59C51FCA"/>
    <w:rsid w:val="59CD031B"/>
    <w:rsid w:val="59D05B81"/>
    <w:rsid w:val="59E07B88"/>
    <w:rsid w:val="59FD0F5C"/>
    <w:rsid w:val="59FF38D6"/>
    <w:rsid w:val="5A0031AA"/>
    <w:rsid w:val="5A0F7891"/>
    <w:rsid w:val="5A1D1FAE"/>
    <w:rsid w:val="5A272CD2"/>
    <w:rsid w:val="5A273174"/>
    <w:rsid w:val="5A3B3165"/>
    <w:rsid w:val="5A4573B8"/>
    <w:rsid w:val="5A4B5223"/>
    <w:rsid w:val="5A4C79BD"/>
    <w:rsid w:val="5A4D0BB5"/>
    <w:rsid w:val="5A586F9B"/>
    <w:rsid w:val="5A606248"/>
    <w:rsid w:val="5A943270"/>
    <w:rsid w:val="5A985AD8"/>
    <w:rsid w:val="5AAE2C06"/>
    <w:rsid w:val="5AB9681E"/>
    <w:rsid w:val="5AD429F6"/>
    <w:rsid w:val="5AF27435"/>
    <w:rsid w:val="5AF276C4"/>
    <w:rsid w:val="5B0166A4"/>
    <w:rsid w:val="5B2C6CD4"/>
    <w:rsid w:val="5B305D11"/>
    <w:rsid w:val="5B373A6F"/>
    <w:rsid w:val="5B5B4112"/>
    <w:rsid w:val="5B6600F6"/>
    <w:rsid w:val="5B6A3C9F"/>
    <w:rsid w:val="5B7655A5"/>
    <w:rsid w:val="5B83329D"/>
    <w:rsid w:val="5B840B46"/>
    <w:rsid w:val="5B8656B5"/>
    <w:rsid w:val="5B8E213E"/>
    <w:rsid w:val="5B8F0B6E"/>
    <w:rsid w:val="5BB42718"/>
    <w:rsid w:val="5BD063B6"/>
    <w:rsid w:val="5BD16236"/>
    <w:rsid w:val="5BEC60DC"/>
    <w:rsid w:val="5BF02883"/>
    <w:rsid w:val="5C0C3EF4"/>
    <w:rsid w:val="5C133668"/>
    <w:rsid w:val="5C272A39"/>
    <w:rsid w:val="5C4F0418"/>
    <w:rsid w:val="5C553C81"/>
    <w:rsid w:val="5C583771"/>
    <w:rsid w:val="5C645C72"/>
    <w:rsid w:val="5C653224"/>
    <w:rsid w:val="5C7A5495"/>
    <w:rsid w:val="5C7E5C47"/>
    <w:rsid w:val="5C803F99"/>
    <w:rsid w:val="5C9A4114"/>
    <w:rsid w:val="5CB71B3E"/>
    <w:rsid w:val="5CBF0E0E"/>
    <w:rsid w:val="5CC65F08"/>
    <w:rsid w:val="5CDD0987"/>
    <w:rsid w:val="5D02548B"/>
    <w:rsid w:val="5D1321A4"/>
    <w:rsid w:val="5D1559BC"/>
    <w:rsid w:val="5D195DB1"/>
    <w:rsid w:val="5D281314"/>
    <w:rsid w:val="5D331AE8"/>
    <w:rsid w:val="5D461ACD"/>
    <w:rsid w:val="5D5C663A"/>
    <w:rsid w:val="5D6317AD"/>
    <w:rsid w:val="5DA07569"/>
    <w:rsid w:val="5DA47EF7"/>
    <w:rsid w:val="5DAD055C"/>
    <w:rsid w:val="5DB83C15"/>
    <w:rsid w:val="5DBB5B32"/>
    <w:rsid w:val="5DC0231D"/>
    <w:rsid w:val="5DD230AF"/>
    <w:rsid w:val="5DE55759"/>
    <w:rsid w:val="5DEE6BF7"/>
    <w:rsid w:val="5DF72B16"/>
    <w:rsid w:val="5E0019CA"/>
    <w:rsid w:val="5E2841CF"/>
    <w:rsid w:val="5E3641C2"/>
    <w:rsid w:val="5E6B7683"/>
    <w:rsid w:val="5E767EDE"/>
    <w:rsid w:val="5E786B80"/>
    <w:rsid w:val="5E8C325E"/>
    <w:rsid w:val="5E935B03"/>
    <w:rsid w:val="5EC934BD"/>
    <w:rsid w:val="5ECE6896"/>
    <w:rsid w:val="5EEA637C"/>
    <w:rsid w:val="5EED4658"/>
    <w:rsid w:val="5F042F68"/>
    <w:rsid w:val="5F146EA6"/>
    <w:rsid w:val="5F263163"/>
    <w:rsid w:val="5F4A2829"/>
    <w:rsid w:val="5F7B2BA2"/>
    <w:rsid w:val="5F816B3B"/>
    <w:rsid w:val="5F876607"/>
    <w:rsid w:val="5F8842D5"/>
    <w:rsid w:val="5F907574"/>
    <w:rsid w:val="5F951DC5"/>
    <w:rsid w:val="5FA42829"/>
    <w:rsid w:val="5FA77E3C"/>
    <w:rsid w:val="5FAC7E54"/>
    <w:rsid w:val="5FAE5456"/>
    <w:rsid w:val="5FC2513E"/>
    <w:rsid w:val="5FC93C50"/>
    <w:rsid w:val="5FD534B7"/>
    <w:rsid w:val="5FE81E2C"/>
    <w:rsid w:val="5FF6265A"/>
    <w:rsid w:val="5FF9437A"/>
    <w:rsid w:val="5FFE018B"/>
    <w:rsid w:val="600353B4"/>
    <w:rsid w:val="60086637"/>
    <w:rsid w:val="60114363"/>
    <w:rsid w:val="601D6507"/>
    <w:rsid w:val="60274ACB"/>
    <w:rsid w:val="60313BB9"/>
    <w:rsid w:val="604B0C72"/>
    <w:rsid w:val="605129B1"/>
    <w:rsid w:val="606A5821"/>
    <w:rsid w:val="60A41C39"/>
    <w:rsid w:val="60A47E7D"/>
    <w:rsid w:val="60B765C1"/>
    <w:rsid w:val="60C3234B"/>
    <w:rsid w:val="60D26D4F"/>
    <w:rsid w:val="60D50B38"/>
    <w:rsid w:val="60E31BC0"/>
    <w:rsid w:val="60E67F48"/>
    <w:rsid w:val="60F8256D"/>
    <w:rsid w:val="60FC747F"/>
    <w:rsid w:val="60FF4B65"/>
    <w:rsid w:val="61073070"/>
    <w:rsid w:val="61206329"/>
    <w:rsid w:val="6122434D"/>
    <w:rsid w:val="613B3C95"/>
    <w:rsid w:val="619327F8"/>
    <w:rsid w:val="619A0388"/>
    <w:rsid w:val="619F3BDB"/>
    <w:rsid w:val="61DB2F9F"/>
    <w:rsid w:val="61DC274E"/>
    <w:rsid w:val="61F030C5"/>
    <w:rsid w:val="61F37874"/>
    <w:rsid w:val="62027D5F"/>
    <w:rsid w:val="62325E0F"/>
    <w:rsid w:val="62344338"/>
    <w:rsid w:val="6247406C"/>
    <w:rsid w:val="625A4A3D"/>
    <w:rsid w:val="625D4A21"/>
    <w:rsid w:val="6261326D"/>
    <w:rsid w:val="62786E92"/>
    <w:rsid w:val="628D5321"/>
    <w:rsid w:val="62A019CE"/>
    <w:rsid w:val="62A80882"/>
    <w:rsid w:val="62B5543D"/>
    <w:rsid w:val="62C060C3"/>
    <w:rsid w:val="62E61007"/>
    <w:rsid w:val="62EA0E9B"/>
    <w:rsid w:val="62FA7330"/>
    <w:rsid w:val="62FC3808"/>
    <w:rsid w:val="630808C9"/>
    <w:rsid w:val="63097391"/>
    <w:rsid w:val="6332195C"/>
    <w:rsid w:val="63335261"/>
    <w:rsid w:val="633B34A5"/>
    <w:rsid w:val="633C758A"/>
    <w:rsid w:val="633D0BD9"/>
    <w:rsid w:val="638210D3"/>
    <w:rsid w:val="63847E20"/>
    <w:rsid w:val="638C531B"/>
    <w:rsid w:val="63945B54"/>
    <w:rsid w:val="63A417E1"/>
    <w:rsid w:val="63A7308B"/>
    <w:rsid w:val="63A73796"/>
    <w:rsid w:val="63B72C60"/>
    <w:rsid w:val="63B85396"/>
    <w:rsid w:val="63D32A2A"/>
    <w:rsid w:val="63F17048"/>
    <w:rsid w:val="6401024A"/>
    <w:rsid w:val="641054D3"/>
    <w:rsid w:val="642520C4"/>
    <w:rsid w:val="64357737"/>
    <w:rsid w:val="644F48CA"/>
    <w:rsid w:val="64517FD4"/>
    <w:rsid w:val="64560844"/>
    <w:rsid w:val="64577EC7"/>
    <w:rsid w:val="646B6FF4"/>
    <w:rsid w:val="6491007C"/>
    <w:rsid w:val="64BC678F"/>
    <w:rsid w:val="64D269A3"/>
    <w:rsid w:val="64D97995"/>
    <w:rsid w:val="64EF1347"/>
    <w:rsid w:val="64FB113D"/>
    <w:rsid w:val="65067F5E"/>
    <w:rsid w:val="650A5F21"/>
    <w:rsid w:val="650D299E"/>
    <w:rsid w:val="651E4E2C"/>
    <w:rsid w:val="652C7549"/>
    <w:rsid w:val="652E506F"/>
    <w:rsid w:val="653528A1"/>
    <w:rsid w:val="653E7D05"/>
    <w:rsid w:val="65580EF3"/>
    <w:rsid w:val="656E190F"/>
    <w:rsid w:val="65A76BCF"/>
    <w:rsid w:val="65C6174B"/>
    <w:rsid w:val="65D920A6"/>
    <w:rsid w:val="65DA33AA"/>
    <w:rsid w:val="65F31BDB"/>
    <w:rsid w:val="65F71905"/>
    <w:rsid w:val="65F74FD5"/>
    <w:rsid w:val="65FC2233"/>
    <w:rsid w:val="66190C03"/>
    <w:rsid w:val="66285F62"/>
    <w:rsid w:val="6630667E"/>
    <w:rsid w:val="664155AC"/>
    <w:rsid w:val="66420FC4"/>
    <w:rsid w:val="66424D7D"/>
    <w:rsid w:val="66466CF7"/>
    <w:rsid w:val="66612F0E"/>
    <w:rsid w:val="66631110"/>
    <w:rsid w:val="66680A54"/>
    <w:rsid w:val="6672057A"/>
    <w:rsid w:val="66761668"/>
    <w:rsid w:val="6680629E"/>
    <w:rsid w:val="66912B48"/>
    <w:rsid w:val="669435F8"/>
    <w:rsid w:val="66A15FFE"/>
    <w:rsid w:val="66A3056E"/>
    <w:rsid w:val="66A93914"/>
    <w:rsid w:val="66B737A9"/>
    <w:rsid w:val="66B867E0"/>
    <w:rsid w:val="66D30ED0"/>
    <w:rsid w:val="66D47E98"/>
    <w:rsid w:val="66D75240"/>
    <w:rsid w:val="66E520A5"/>
    <w:rsid w:val="66FE5250"/>
    <w:rsid w:val="67112119"/>
    <w:rsid w:val="67282946"/>
    <w:rsid w:val="672E3C89"/>
    <w:rsid w:val="676621AD"/>
    <w:rsid w:val="677D1666"/>
    <w:rsid w:val="679565B3"/>
    <w:rsid w:val="67B64699"/>
    <w:rsid w:val="67BD0A95"/>
    <w:rsid w:val="67C07E43"/>
    <w:rsid w:val="67D35004"/>
    <w:rsid w:val="67E312F3"/>
    <w:rsid w:val="67F10171"/>
    <w:rsid w:val="67F457BC"/>
    <w:rsid w:val="683651F8"/>
    <w:rsid w:val="683D295A"/>
    <w:rsid w:val="68650185"/>
    <w:rsid w:val="68720E83"/>
    <w:rsid w:val="688760CA"/>
    <w:rsid w:val="688B4586"/>
    <w:rsid w:val="688D47A2"/>
    <w:rsid w:val="68AE4071"/>
    <w:rsid w:val="68BF33D3"/>
    <w:rsid w:val="68C26F73"/>
    <w:rsid w:val="68E97CB4"/>
    <w:rsid w:val="69077505"/>
    <w:rsid w:val="69310870"/>
    <w:rsid w:val="695B03FD"/>
    <w:rsid w:val="69650E52"/>
    <w:rsid w:val="699F2198"/>
    <w:rsid w:val="69A47FF6"/>
    <w:rsid w:val="69A84ECC"/>
    <w:rsid w:val="69A913E5"/>
    <w:rsid w:val="69AA12E1"/>
    <w:rsid w:val="69C11C9B"/>
    <w:rsid w:val="69C75A92"/>
    <w:rsid w:val="69D53BAF"/>
    <w:rsid w:val="69DC6DBD"/>
    <w:rsid w:val="69DF0989"/>
    <w:rsid w:val="69E44896"/>
    <w:rsid w:val="69FA5D73"/>
    <w:rsid w:val="6A0E546F"/>
    <w:rsid w:val="6A194EEC"/>
    <w:rsid w:val="6A4F42DF"/>
    <w:rsid w:val="6A585D17"/>
    <w:rsid w:val="6A5A34FB"/>
    <w:rsid w:val="6A5E700C"/>
    <w:rsid w:val="6A6006B9"/>
    <w:rsid w:val="6A6B4CF6"/>
    <w:rsid w:val="6A8917B4"/>
    <w:rsid w:val="6A8B4438"/>
    <w:rsid w:val="6A9D7A61"/>
    <w:rsid w:val="6AA1131A"/>
    <w:rsid w:val="6AB15A99"/>
    <w:rsid w:val="6AD42215"/>
    <w:rsid w:val="6AE76BE9"/>
    <w:rsid w:val="6AEF4186"/>
    <w:rsid w:val="6B122EDA"/>
    <w:rsid w:val="6B1E57C7"/>
    <w:rsid w:val="6B2A606B"/>
    <w:rsid w:val="6B321667"/>
    <w:rsid w:val="6B324B07"/>
    <w:rsid w:val="6B346E29"/>
    <w:rsid w:val="6B454EC0"/>
    <w:rsid w:val="6B477836"/>
    <w:rsid w:val="6B557B0C"/>
    <w:rsid w:val="6B5B4156"/>
    <w:rsid w:val="6B7C67C0"/>
    <w:rsid w:val="6B800DA2"/>
    <w:rsid w:val="6B8626C8"/>
    <w:rsid w:val="6B8E4AB9"/>
    <w:rsid w:val="6B9E2823"/>
    <w:rsid w:val="6BAE0FAB"/>
    <w:rsid w:val="6BC2335D"/>
    <w:rsid w:val="6BE83CEB"/>
    <w:rsid w:val="6C094CBD"/>
    <w:rsid w:val="6C150D37"/>
    <w:rsid w:val="6C18011F"/>
    <w:rsid w:val="6C4038DA"/>
    <w:rsid w:val="6C4760EF"/>
    <w:rsid w:val="6C557CB1"/>
    <w:rsid w:val="6C5E3A61"/>
    <w:rsid w:val="6C765091"/>
    <w:rsid w:val="6C7F4402"/>
    <w:rsid w:val="6CAB5063"/>
    <w:rsid w:val="6CC82AD4"/>
    <w:rsid w:val="6CCB1BC0"/>
    <w:rsid w:val="6CCB7D8E"/>
    <w:rsid w:val="6CD52274"/>
    <w:rsid w:val="6CE0725D"/>
    <w:rsid w:val="6CFB58F1"/>
    <w:rsid w:val="6D011D2A"/>
    <w:rsid w:val="6D1014FE"/>
    <w:rsid w:val="6D1D2FF7"/>
    <w:rsid w:val="6D315AA2"/>
    <w:rsid w:val="6D323B6A"/>
    <w:rsid w:val="6D4A4A10"/>
    <w:rsid w:val="6D513C59"/>
    <w:rsid w:val="6D594C53"/>
    <w:rsid w:val="6D6114A4"/>
    <w:rsid w:val="6D696D1C"/>
    <w:rsid w:val="6D6D2F59"/>
    <w:rsid w:val="6D7623C3"/>
    <w:rsid w:val="6D796BBB"/>
    <w:rsid w:val="6D7F2F51"/>
    <w:rsid w:val="6D955B42"/>
    <w:rsid w:val="6D971EC1"/>
    <w:rsid w:val="6DB87489"/>
    <w:rsid w:val="6DDC2DC1"/>
    <w:rsid w:val="6DF73720"/>
    <w:rsid w:val="6DFF1C9E"/>
    <w:rsid w:val="6E02132C"/>
    <w:rsid w:val="6E0357FF"/>
    <w:rsid w:val="6E133838"/>
    <w:rsid w:val="6E313E22"/>
    <w:rsid w:val="6E407BC1"/>
    <w:rsid w:val="6E463587"/>
    <w:rsid w:val="6E6A47B2"/>
    <w:rsid w:val="6E9F0D8B"/>
    <w:rsid w:val="6EA41CA9"/>
    <w:rsid w:val="6EA463A2"/>
    <w:rsid w:val="6EB615C6"/>
    <w:rsid w:val="6EBE3991"/>
    <w:rsid w:val="6EC46A44"/>
    <w:rsid w:val="6ECB7D31"/>
    <w:rsid w:val="6ECE4D48"/>
    <w:rsid w:val="6ED421B0"/>
    <w:rsid w:val="6EDC005D"/>
    <w:rsid w:val="6EE15EC1"/>
    <w:rsid w:val="6F0402C7"/>
    <w:rsid w:val="6F2822D8"/>
    <w:rsid w:val="6F481423"/>
    <w:rsid w:val="6F4A6F49"/>
    <w:rsid w:val="6F4D0566"/>
    <w:rsid w:val="6F751AEC"/>
    <w:rsid w:val="6F8C656E"/>
    <w:rsid w:val="6F8D32DA"/>
    <w:rsid w:val="6F9205FC"/>
    <w:rsid w:val="6F977CB5"/>
    <w:rsid w:val="6F9E7295"/>
    <w:rsid w:val="6FA56AFC"/>
    <w:rsid w:val="6FBF5FAF"/>
    <w:rsid w:val="6FD33A24"/>
    <w:rsid w:val="6FDE1E67"/>
    <w:rsid w:val="6FE078AE"/>
    <w:rsid w:val="6FE90F3A"/>
    <w:rsid w:val="700C2451"/>
    <w:rsid w:val="700C3276"/>
    <w:rsid w:val="70115FC5"/>
    <w:rsid w:val="7019548F"/>
    <w:rsid w:val="702E23C7"/>
    <w:rsid w:val="7046030D"/>
    <w:rsid w:val="704D7FCB"/>
    <w:rsid w:val="705823C9"/>
    <w:rsid w:val="70612611"/>
    <w:rsid w:val="707443AD"/>
    <w:rsid w:val="708D69DB"/>
    <w:rsid w:val="70903DA6"/>
    <w:rsid w:val="70941068"/>
    <w:rsid w:val="70A51F18"/>
    <w:rsid w:val="70B623BC"/>
    <w:rsid w:val="70CB774F"/>
    <w:rsid w:val="70ED5640"/>
    <w:rsid w:val="70EE057B"/>
    <w:rsid w:val="71033854"/>
    <w:rsid w:val="71312508"/>
    <w:rsid w:val="714B2068"/>
    <w:rsid w:val="71871F2A"/>
    <w:rsid w:val="718A7AD1"/>
    <w:rsid w:val="71915F81"/>
    <w:rsid w:val="71B51198"/>
    <w:rsid w:val="71BC0507"/>
    <w:rsid w:val="71BD66AD"/>
    <w:rsid w:val="71BF04AE"/>
    <w:rsid w:val="71C21A29"/>
    <w:rsid w:val="71C32FE3"/>
    <w:rsid w:val="71E17E8B"/>
    <w:rsid w:val="721B5CFE"/>
    <w:rsid w:val="72284AA3"/>
    <w:rsid w:val="722D1047"/>
    <w:rsid w:val="72351C54"/>
    <w:rsid w:val="725B4077"/>
    <w:rsid w:val="72620A4E"/>
    <w:rsid w:val="726919BE"/>
    <w:rsid w:val="727B64ED"/>
    <w:rsid w:val="72AC2D0A"/>
    <w:rsid w:val="72B25167"/>
    <w:rsid w:val="72B31C71"/>
    <w:rsid w:val="72E04B6D"/>
    <w:rsid w:val="72E72BBB"/>
    <w:rsid w:val="72F71196"/>
    <w:rsid w:val="72F946A2"/>
    <w:rsid w:val="730B69EF"/>
    <w:rsid w:val="732E5EC8"/>
    <w:rsid w:val="73532145"/>
    <w:rsid w:val="735D39AD"/>
    <w:rsid w:val="73836ECE"/>
    <w:rsid w:val="73BA6252"/>
    <w:rsid w:val="73DF58B0"/>
    <w:rsid w:val="73E62FB9"/>
    <w:rsid w:val="7410502F"/>
    <w:rsid w:val="74167A28"/>
    <w:rsid w:val="744318F3"/>
    <w:rsid w:val="744370DC"/>
    <w:rsid w:val="745443C6"/>
    <w:rsid w:val="746540A9"/>
    <w:rsid w:val="7467234B"/>
    <w:rsid w:val="74777690"/>
    <w:rsid w:val="7480164F"/>
    <w:rsid w:val="748A4D34"/>
    <w:rsid w:val="749D41EA"/>
    <w:rsid w:val="749F1AE5"/>
    <w:rsid w:val="74A4521C"/>
    <w:rsid w:val="74B82BA7"/>
    <w:rsid w:val="74D061EE"/>
    <w:rsid w:val="75215851"/>
    <w:rsid w:val="752E73C1"/>
    <w:rsid w:val="753D110E"/>
    <w:rsid w:val="75596FA4"/>
    <w:rsid w:val="755A2B0B"/>
    <w:rsid w:val="756248C1"/>
    <w:rsid w:val="7578330B"/>
    <w:rsid w:val="7592164A"/>
    <w:rsid w:val="75A4312B"/>
    <w:rsid w:val="75CC2E8E"/>
    <w:rsid w:val="75D86818"/>
    <w:rsid w:val="75F5530D"/>
    <w:rsid w:val="75FC6AC3"/>
    <w:rsid w:val="760E0F8F"/>
    <w:rsid w:val="761B2CC9"/>
    <w:rsid w:val="76487F5B"/>
    <w:rsid w:val="764E048B"/>
    <w:rsid w:val="76751678"/>
    <w:rsid w:val="767D7C04"/>
    <w:rsid w:val="7682000D"/>
    <w:rsid w:val="768371E5"/>
    <w:rsid w:val="768A0573"/>
    <w:rsid w:val="768E1E11"/>
    <w:rsid w:val="76966F18"/>
    <w:rsid w:val="76A314B3"/>
    <w:rsid w:val="76AF73D6"/>
    <w:rsid w:val="76B92C06"/>
    <w:rsid w:val="76D0242A"/>
    <w:rsid w:val="76D23D36"/>
    <w:rsid w:val="76D809AC"/>
    <w:rsid w:val="76D92C10"/>
    <w:rsid w:val="771A18F7"/>
    <w:rsid w:val="773C1FA3"/>
    <w:rsid w:val="777D1F12"/>
    <w:rsid w:val="777D59E2"/>
    <w:rsid w:val="778B7448"/>
    <w:rsid w:val="77935DDC"/>
    <w:rsid w:val="77955421"/>
    <w:rsid w:val="77A25449"/>
    <w:rsid w:val="77AB2D2C"/>
    <w:rsid w:val="77C5549E"/>
    <w:rsid w:val="77C807C9"/>
    <w:rsid w:val="77E46920"/>
    <w:rsid w:val="77EE4808"/>
    <w:rsid w:val="780470F7"/>
    <w:rsid w:val="781F21F0"/>
    <w:rsid w:val="781F63F3"/>
    <w:rsid w:val="783C3AEF"/>
    <w:rsid w:val="783F4AA7"/>
    <w:rsid w:val="78504E72"/>
    <w:rsid w:val="78680A80"/>
    <w:rsid w:val="7878641F"/>
    <w:rsid w:val="789933B2"/>
    <w:rsid w:val="789C633C"/>
    <w:rsid w:val="78A94580"/>
    <w:rsid w:val="78A952CC"/>
    <w:rsid w:val="78B93FE1"/>
    <w:rsid w:val="78C14FDE"/>
    <w:rsid w:val="78C74565"/>
    <w:rsid w:val="78D855C6"/>
    <w:rsid w:val="78F732D8"/>
    <w:rsid w:val="79084EF8"/>
    <w:rsid w:val="792F75C7"/>
    <w:rsid w:val="79343296"/>
    <w:rsid w:val="79682A5E"/>
    <w:rsid w:val="79811936"/>
    <w:rsid w:val="79894DD3"/>
    <w:rsid w:val="79A407BE"/>
    <w:rsid w:val="79AD0229"/>
    <w:rsid w:val="79BB7454"/>
    <w:rsid w:val="79FB12E1"/>
    <w:rsid w:val="79FC1788"/>
    <w:rsid w:val="7A0D233D"/>
    <w:rsid w:val="7A1F0FD2"/>
    <w:rsid w:val="7A2A1D0E"/>
    <w:rsid w:val="7A360E4B"/>
    <w:rsid w:val="7A40185E"/>
    <w:rsid w:val="7A43150D"/>
    <w:rsid w:val="7A44089B"/>
    <w:rsid w:val="7A657132"/>
    <w:rsid w:val="7A680BCB"/>
    <w:rsid w:val="7A693852"/>
    <w:rsid w:val="7A6A72D0"/>
    <w:rsid w:val="7A6C06BC"/>
    <w:rsid w:val="7A794B87"/>
    <w:rsid w:val="7A835199"/>
    <w:rsid w:val="7A8E53C2"/>
    <w:rsid w:val="7AAB4E81"/>
    <w:rsid w:val="7AAC0AB8"/>
    <w:rsid w:val="7AB96AFE"/>
    <w:rsid w:val="7ABB0CFB"/>
    <w:rsid w:val="7AC14D8B"/>
    <w:rsid w:val="7AC5601E"/>
    <w:rsid w:val="7ACC6FED"/>
    <w:rsid w:val="7AED3794"/>
    <w:rsid w:val="7AF020FF"/>
    <w:rsid w:val="7B01187B"/>
    <w:rsid w:val="7B06659B"/>
    <w:rsid w:val="7B166879"/>
    <w:rsid w:val="7B4A207F"/>
    <w:rsid w:val="7B503E6D"/>
    <w:rsid w:val="7B5359ED"/>
    <w:rsid w:val="7B551150"/>
    <w:rsid w:val="7B56095E"/>
    <w:rsid w:val="7B6F1AE6"/>
    <w:rsid w:val="7B776E32"/>
    <w:rsid w:val="7B783F48"/>
    <w:rsid w:val="7B95154C"/>
    <w:rsid w:val="7BAF7ACC"/>
    <w:rsid w:val="7BB47BC1"/>
    <w:rsid w:val="7BBF5066"/>
    <w:rsid w:val="7BC0508A"/>
    <w:rsid w:val="7BCF6EA0"/>
    <w:rsid w:val="7BE355C9"/>
    <w:rsid w:val="7BE47B85"/>
    <w:rsid w:val="7C0940AC"/>
    <w:rsid w:val="7C2E19A1"/>
    <w:rsid w:val="7C457EE7"/>
    <w:rsid w:val="7C556F2D"/>
    <w:rsid w:val="7C5C50D2"/>
    <w:rsid w:val="7C6F2C10"/>
    <w:rsid w:val="7C7074C9"/>
    <w:rsid w:val="7C741AA9"/>
    <w:rsid w:val="7C996BBF"/>
    <w:rsid w:val="7CB1480D"/>
    <w:rsid w:val="7CD1631F"/>
    <w:rsid w:val="7CD42548"/>
    <w:rsid w:val="7CE8782E"/>
    <w:rsid w:val="7CEC7892"/>
    <w:rsid w:val="7D2417D7"/>
    <w:rsid w:val="7D472D1A"/>
    <w:rsid w:val="7D496ECB"/>
    <w:rsid w:val="7D4A6037"/>
    <w:rsid w:val="7D594870"/>
    <w:rsid w:val="7D597C73"/>
    <w:rsid w:val="7D6E474B"/>
    <w:rsid w:val="7D7431D7"/>
    <w:rsid w:val="7D7D436F"/>
    <w:rsid w:val="7D946F07"/>
    <w:rsid w:val="7D957801"/>
    <w:rsid w:val="7DB06B11"/>
    <w:rsid w:val="7DC1163E"/>
    <w:rsid w:val="7DCB0BE8"/>
    <w:rsid w:val="7DE40569"/>
    <w:rsid w:val="7DEE7639"/>
    <w:rsid w:val="7E235535"/>
    <w:rsid w:val="7E3D2214"/>
    <w:rsid w:val="7E560C13"/>
    <w:rsid w:val="7E58341D"/>
    <w:rsid w:val="7E5E2F93"/>
    <w:rsid w:val="7E6F0726"/>
    <w:rsid w:val="7E77378E"/>
    <w:rsid w:val="7E8C773A"/>
    <w:rsid w:val="7EA36BEE"/>
    <w:rsid w:val="7EBB7892"/>
    <w:rsid w:val="7EC0021F"/>
    <w:rsid w:val="7EC43F8F"/>
    <w:rsid w:val="7EE2275E"/>
    <w:rsid w:val="7EED1715"/>
    <w:rsid w:val="7EF67E43"/>
    <w:rsid w:val="7EFB192A"/>
    <w:rsid w:val="7F094D96"/>
    <w:rsid w:val="7F160BF6"/>
    <w:rsid w:val="7F201FE1"/>
    <w:rsid w:val="7F3258D9"/>
    <w:rsid w:val="7F451AB2"/>
    <w:rsid w:val="7F4A6959"/>
    <w:rsid w:val="7F587349"/>
    <w:rsid w:val="7F623382"/>
    <w:rsid w:val="7F6B7448"/>
    <w:rsid w:val="7F703235"/>
    <w:rsid w:val="7F713FBB"/>
    <w:rsid w:val="7F8A1B58"/>
    <w:rsid w:val="7F905D17"/>
    <w:rsid w:val="7FB256D4"/>
    <w:rsid w:val="7FB92930"/>
    <w:rsid w:val="7FDB7F2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qFormat="1" w:unhideWhenUsed="0" w:uiPriority="99"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autoRedefine/>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qFormat/>
    <w:uiPriority w:val="0"/>
    <w:pPr>
      <w:keepNext/>
      <w:keepLines/>
      <w:spacing w:before="260" w:after="260" w:line="416" w:lineRule="auto"/>
      <w:outlineLvl w:val="1"/>
    </w:pPr>
    <w:rPr>
      <w:rFonts w:ascii="Cambria" w:hAnsi="Cambria"/>
      <w:b/>
      <w:bCs/>
      <w:sz w:val="32"/>
      <w:szCs w:val="32"/>
    </w:rPr>
  </w:style>
  <w:style w:type="paragraph" w:styleId="5">
    <w:name w:val="heading 3"/>
    <w:basedOn w:val="1"/>
    <w:next w:val="1"/>
    <w:autoRedefine/>
    <w:unhideWhenUsed/>
    <w:qFormat/>
    <w:uiPriority w:val="0"/>
    <w:pPr>
      <w:keepNext/>
      <w:keepLines/>
      <w:spacing w:before="260" w:after="260" w:line="416" w:lineRule="auto"/>
      <w:outlineLvl w:val="2"/>
    </w:pPr>
    <w:rPr>
      <w:b/>
      <w:bCs/>
      <w:kern w:val="0"/>
      <w:sz w:val="32"/>
      <w:szCs w:val="32"/>
    </w:rPr>
  </w:style>
  <w:style w:type="paragraph" w:styleId="6">
    <w:name w:val="heading 4"/>
    <w:basedOn w:val="1"/>
    <w:next w:val="7"/>
    <w:autoRedefine/>
    <w:unhideWhenUsed/>
    <w:qFormat/>
    <w:uiPriority w:val="0"/>
    <w:pPr>
      <w:keepNext/>
      <w:keepLines/>
      <w:spacing w:before="280" w:after="290" w:line="376" w:lineRule="auto"/>
      <w:outlineLvl w:val="3"/>
    </w:pPr>
    <w:rPr>
      <w:rFonts w:ascii="Cambria" w:hAnsi="Cambria"/>
      <w:b/>
      <w:bCs/>
      <w:sz w:val="28"/>
      <w:szCs w:val="28"/>
    </w:rPr>
  </w:style>
  <w:style w:type="character" w:default="1" w:styleId="34">
    <w:name w:val="Default Paragraph Font"/>
    <w:autoRedefine/>
    <w:unhideWhenUsed/>
    <w:qFormat/>
    <w:uiPriority w:val="1"/>
  </w:style>
  <w:style w:type="table" w:default="1" w:styleId="32">
    <w:name w:val="Normal Table"/>
    <w:autoRedefine/>
    <w:unhideWhenUsed/>
    <w:qFormat/>
    <w:uiPriority w:val="99"/>
    <w:tblPr>
      <w:tblCellMar>
        <w:top w:w="0" w:type="dxa"/>
        <w:left w:w="108" w:type="dxa"/>
        <w:bottom w:w="0" w:type="dxa"/>
        <w:right w:w="108" w:type="dxa"/>
      </w:tblCellMar>
    </w:tblPr>
  </w:style>
  <w:style w:type="paragraph" w:styleId="3">
    <w:name w:val="macro"/>
    <w:basedOn w:val="1"/>
    <w:autoRedefine/>
    <w:qFormat/>
    <w:uiPriority w:val="99"/>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sz w:val="24"/>
      <w:lang w:val="en-US" w:eastAsia="zh-CN" w:bidi="ar-SA"/>
    </w:rPr>
  </w:style>
  <w:style w:type="paragraph" w:styleId="7">
    <w:name w:val="Normal Indent"/>
    <w:basedOn w:val="1"/>
    <w:next w:val="8"/>
    <w:qFormat/>
    <w:uiPriority w:val="0"/>
    <w:pPr>
      <w:numPr>
        <w:ilvl w:val="0"/>
        <w:numId w:val="1"/>
      </w:numPr>
      <w:adjustRightInd w:val="0"/>
      <w:spacing w:line="460" w:lineRule="exact"/>
      <w:ind w:left="645" w:hanging="425" w:firstLineChars="0"/>
    </w:pPr>
    <w:rPr>
      <w:b/>
      <w:kern w:val="0"/>
      <w:sz w:val="24"/>
    </w:rPr>
  </w:style>
  <w:style w:type="paragraph" w:customStyle="1" w:styleId="8">
    <w:name w:val="正文首行缩进2个字 Char"/>
    <w:basedOn w:val="1"/>
    <w:qFormat/>
    <w:uiPriority w:val="0"/>
    <w:pPr>
      <w:ind w:firstLine="480" w:firstLineChars="200"/>
    </w:pPr>
    <w:rPr>
      <w:rFonts w:eastAsia="楷体"/>
      <w:sz w:val="24"/>
      <w:szCs w:val="24"/>
    </w:rPr>
  </w:style>
  <w:style w:type="paragraph" w:styleId="9">
    <w:name w:val="List 3"/>
    <w:basedOn w:val="1"/>
    <w:next w:val="1"/>
    <w:autoRedefine/>
    <w:qFormat/>
    <w:uiPriority w:val="0"/>
    <w:pPr>
      <w:adjustRightInd w:val="0"/>
      <w:spacing w:line="312" w:lineRule="atLeast"/>
      <w:ind w:left="100" w:leftChars="400" w:hanging="200" w:hangingChars="200"/>
      <w:textAlignment w:val="baseline"/>
    </w:pPr>
    <w:rPr>
      <w:kern w:val="0"/>
      <w:sz w:val="21"/>
    </w:rPr>
  </w:style>
  <w:style w:type="paragraph" w:styleId="10">
    <w:name w:val="Note Heading"/>
    <w:basedOn w:val="1"/>
    <w:next w:val="1"/>
    <w:qFormat/>
    <w:uiPriority w:val="0"/>
    <w:pPr>
      <w:jc w:val="center"/>
    </w:pPr>
    <w:rPr>
      <w:szCs w:val="20"/>
    </w:rPr>
  </w:style>
  <w:style w:type="paragraph" w:styleId="11">
    <w:name w:val="annotation text"/>
    <w:basedOn w:val="1"/>
    <w:link w:val="66"/>
    <w:autoRedefine/>
    <w:qFormat/>
    <w:uiPriority w:val="0"/>
    <w:pPr>
      <w:jc w:val="left"/>
    </w:pPr>
    <w:rPr>
      <w:kern w:val="0"/>
      <w:sz w:val="24"/>
      <w:szCs w:val="20"/>
    </w:rPr>
  </w:style>
  <w:style w:type="paragraph" w:styleId="12">
    <w:name w:val="Body Text"/>
    <w:basedOn w:val="1"/>
    <w:next w:val="1"/>
    <w:autoRedefine/>
    <w:qFormat/>
    <w:uiPriority w:val="0"/>
    <w:pPr>
      <w:widowControl/>
      <w:snapToGrid w:val="0"/>
      <w:spacing w:before="60" w:after="160" w:line="259" w:lineRule="auto"/>
      <w:ind w:right="113"/>
    </w:pPr>
    <w:rPr>
      <w:kern w:val="0"/>
      <w:sz w:val="18"/>
      <w:szCs w:val="20"/>
    </w:rPr>
  </w:style>
  <w:style w:type="paragraph" w:styleId="13">
    <w:name w:val="Body Text Indent"/>
    <w:basedOn w:val="1"/>
    <w:next w:val="12"/>
    <w:qFormat/>
    <w:uiPriority w:val="0"/>
    <w:pPr>
      <w:spacing w:after="120"/>
      <w:ind w:left="420" w:leftChars="200"/>
    </w:pPr>
    <w:rPr>
      <w:kern w:val="0"/>
      <w:sz w:val="24"/>
      <w:szCs w:val="20"/>
    </w:rPr>
  </w:style>
  <w:style w:type="paragraph" w:styleId="14">
    <w:name w:val="Block Text"/>
    <w:basedOn w:val="1"/>
    <w:next w:val="1"/>
    <w:autoRedefine/>
    <w:qFormat/>
    <w:uiPriority w:val="0"/>
    <w:pPr>
      <w:ind w:left="1440" w:leftChars="700" w:right="1440" w:rightChars="700"/>
    </w:pPr>
  </w:style>
  <w:style w:type="paragraph" w:styleId="15">
    <w:name w:val="List Bullet 2"/>
    <w:basedOn w:val="1"/>
    <w:next w:val="16"/>
    <w:autoRedefine/>
    <w:qFormat/>
    <w:uiPriority w:val="0"/>
    <w:pPr>
      <w:numPr>
        <w:ilvl w:val="0"/>
        <w:numId w:val="2"/>
      </w:numPr>
    </w:pPr>
  </w:style>
  <w:style w:type="paragraph" w:customStyle="1" w:styleId="16">
    <w:name w:val="xl70"/>
    <w:basedOn w:val="1"/>
    <w:next w:val="17"/>
    <w:autoRedefine/>
    <w:qFormat/>
    <w:uiPriority w:val="0"/>
    <w:pPr>
      <w:widowControl/>
      <w:spacing w:before="280" w:after="280"/>
    </w:pPr>
    <w:rPr>
      <w:rFonts w:ascii="宋体"/>
      <w:sz w:val="24"/>
    </w:rPr>
  </w:style>
  <w:style w:type="paragraph" w:customStyle="1" w:styleId="17">
    <w:name w:val="正文缩进1"/>
    <w:basedOn w:val="1"/>
    <w:next w:val="18"/>
    <w:qFormat/>
    <w:uiPriority w:val="0"/>
    <w:pPr>
      <w:spacing w:line="360" w:lineRule="auto"/>
      <w:ind w:firstLine="420"/>
    </w:pPr>
    <w:rPr>
      <w:rFonts w:ascii="宋体"/>
    </w:rPr>
  </w:style>
  <w:style w:type="paragraph" w:customStyle="1" w:styleId="18">
    <w:name w:val="td1"/>
    <w:basedOn w:val="1"/>
    <w:next w:val="1"/>
    <w:autoRedefine/>
    <w:qFormat/>
    <w:uiPriority w:val="0"/>
    <w:pPr>
      <w:widowControl/>
      <w:spacing w:before="280" w:after="280" w:line="300" w:lineRule="atLeast"/>
      <w:ind w:firstLine="200"/>
    </w:pPr>
    <w:rPr>
      <w:color w:val="000000"/>
      <w:sz w:val="18"/>
    </w:rPr>
  </w:style>
  <w:style w:type="paragraph" w:styleId="19">
    <w:name w:val="Plain Text"/>
    <w:basedOn w:val="1"/>
    <w:autoRedefine/>
    <w:qFormat/>
    <w:uiPriority w:val="0"/>
    <w:pPr>
      <w:jc w:val="center"/>
      <w:textAlignment w:val="baseline"/>
    </w:pPr>
    <w:rPr>
      <w:rFonts w:ascii="宋体" w:hAnsi="Courier New"/>
      <w:sz w:val="24"/>
    </w:rPr>
  </w:style>
  <w:style w:type="paragraph" w:styleId="20">
    <w:name w:val="List Bullet 5"/>
    <w:basedOn w:val="1"/>
    <w:qFormat/>
    <w:uiPriority w:val="0"/>
    <w:pPr>
      <w:numPr>
        <w:ilvl w:val="0"/>
        <w:numId w:val="3"/>
      </w:numPr>
    </w:pPr>
  </w:style>
  <w:style w:type="paragraph" w:styleId="21">
    <w:name w:val="Body Text Indent 2"/>
    <w:basedOn w:val="1"/>
    <w:autoRedefine/>
    <w:qFormat/>
    <w:uiPriority w:val="0"/>
    <w:pPr>
      <w:spacing w:after="120" w:line="480" w:lineRule="auto"/>
      <w:ind w:left="420" w:leftChars="200"/>
    </w:pPr>
  </w:style>
  <w:style w:type="paragraph" w:styleId="22">
    <w:name w:val="Balloon Text"/>
    <w:basedOn w:val="1"/>
    <w:link w:val="68"/>
    <w:autoRedefine/>
    <w:qFormat/>
    <w:uiPriority w:val="0"/>
    <w:rPr>
      <w:sz w:val="18"/>
      <w:szCs w:val="18"/>
    </w:rPr>
  </w:style>
  <w:style w:type="paragraph" w:styleId="23">
    <w:name w:val="footer"/>
    <w:basedOn w:val="1"/>
    <w:qFormat/>
    <w:uiPriority w:val="0"/>
    <w:pPr>
      <w:tabs>
        <w:tab w:val="center" w:pos="4153"/>
        <w:tab w:val="right" w:pos="8306"/>
      </w:tabs>
      <w:snapToGrid w:val="0"/>
      <w:jc w:val="left"/>
    </w:pPr>
    <w:rPr>
      <w:kern w:val="0"/>
      <w:sz w:val="18"/>
      <w:szCs w:val="20"/>
    </w:rPr>
  </w:style>
  <w:style w:type="paragraph" w:styleId="24">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5">
    <w:name w:val="List"/>
    <w:basedOn w:val="1"/>
    <w:next w:val="15"/>
    <w:qFormat/>
    <w:uiPriority w:val="0"/>
    <w:pPr>
      <w:widowControl/>
      <w:ind w:left="420" w:hanging="420"/>
      <w:jc w:val="left"/>
    </w:pPr>
    <w:rPr>
      <w:kern w:val="0"/>
    </w:rPr>
  </w:style>
  <w:style w:type="paragraph" w:styleId="26">
    <w:name w:val="footnote text"/>
    <w:basedOn w:val="1"/>
    <w:next w:val="12"/>
    <w:qFormat/>
    <w:uiPriority w:val="0"/>
    <w:pPr>
      <w:snapToGrid w:val="0"/>
      <w:jc w:val="left"/>
    </w:pPr>
    <w:rPr>
      <w:rFonts w:eastAsia="等线"/>
      <w:sz w:val="32"/>
    </w:rPr>
  </w:style>
  <w:style w:type="paragraph" w:styleId="27">
    <w:name w:val="toc 2"/>
    <w:basedOn w:val="1"/>
    <w:next w:val="1"/>
    <w:autoRedefine/>
    <w:qFormat/>
    <w:uiPriority w:val="0"/>
    <w:pPr>
      <w:ind w:left="100" w:leftChars="100"/>
    </w:pPr>
  </w:style>
  <w:style w:type="paragraph" w:styleId="28">
    <w:name w:val="Normal (Web)"/>
    <w:basedOn w:val="1"/>
    <w:autoRedefine/>
    <w:qFormat/>
    <w:uiPriority w:val="0"/>
    <w:pPr>
      <w:widowControl/>
      <w:spacing w:before="100" w:beforeAutospacing="1" w:after="100" w:afterAutospacing="1"/>
      <w:jc w:val="left"/>
    </w:pPr>
    <w:rPr>
      <w:rFonts w:ascii="宋体" w:hAnsi="宋体"/>
      <w:kern w:val="0"/>
      <w:sz w:val="24"/>
      <w:szCs w:val="20"/>
    </w:rPr>
  </w:style>
  <w:style w:type="paragraph" w:styleId="29">
    <w:name w:val="annotation subject"/>
    <w:basedOn w:val="11"/>
    <w:next w:val="11"/>
    <w:link w:val="67"/>
    <w:qFormat/>
    <w:uiPriority w:val="0"/>
    <w:rPr>
      <w:b/>
      <w:bCs/>
      <w:kern w:val="2"/>
      <w:sz w:val="21"/>
      <w:szCs w:val="24"/>
    </w:rPr>
  </w:style>
  <w:style w:type="paragraph" w:styleId="30">
    <w:name w:val="Body Text First Indent"/>
    <w:basedOn w:val="12"/>
    <w:next w:val="1"/>
    <w:unhideWhenUsed/>
    <w:qFormat/>
    <w:uiPriority w:val="99"/>
    <w:pPr>
      <w:ind w:firstLine="420" w:firstLineChars="100"/>
    </w:pPr>
  </w:style>
  <w:style w:type="paragraph" w:styleId="31">
    <w:name w:val="Body Text First Indent 2"/>
    <w:basedOn w:val="13"/>
    <w:next w:val="1"/>
    <w:autoRedefine/>
    <w:qFormat/>
    <w:uiPriority w:val="0"/>
    <w:pPr>
      <w:ind w:firstLine="420" w:firstLineChars="200"/>
    </w:pPr>
    <w:rPr>
      <w:szCs w:val="20"/>
    </w:rPr>
  </w:style>
  <w:style w:type="table" w:styleId="33">
    <w:name w:val="Table Grid"/>
    <w:basedOn w:val="32"/>
    <w:unhideWhenUsed/>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5">
    <w:name w:val="Strong"/>
    <w:basedOn w:val="34"/>
    <w:autoRedefine/>
    <w:qFormat/>
    <w:uiPriority w:val="0"/>
    <w:rPr>
      <w:b/>
    </w:rPr>
  </w:style>
  <w:style w:type="character" w:styleId="36">
    <w:name w:val="page number"/>
    <w:autoRedefine/>
    <w:qFormat/>
    <w:uiPriority w:val="0"/>
  </w:style>
  <w:style w:type="character" w:styleId="37">
    <w:name w:val="FollowedHyperlink"/>
    <w:basedOn w:val="34"/>
    <w:autoRedefine/>
    <w:qFormat/>
    <w:uiPriority w:val="0"/>
    <w:rPr>
      <w:color w:val="000000"/>
      <w:u w:val="none"/>
    </w:rPr>
  </w:style>
  <w:style w:type="character" w:styleId="38">
    <w:name w:val="Emphasis"/>
    <w:basedOn w:val="34"/>
    <w:autoRedefine/>
    <w:qFormat/>
    <w:uiPriority w:val="0"/>
  </w:style>
  <w:style w:type="character" w:styleId="39">
    <w:name w:val="Hyperlink"/>
    <w:basedOn w:val="34"/>
    <w:autoRedefine/>
    <w:qFormat/>
    <w:uiPriority w:val="0"/>
    <w:rPr>
      <w:color w:val="000000"/>
      <w:u w:val="none"/>
    </w:rPr>
  </w:style>
  <w:style w:type="character" w:styleId="40">
    <w:name w:val="annotation reference"/>
    <w:basedOn w:val="34"/>
    <w:autoRedefine/>
    <w:qFormat/>
    <w:uiPriority w:val="0"/>
    <w:rPr>
      <w:sz w:val="21"/>
      <w:szCs w:val="21"/>
    </w:rPr>
  </w:style>
  <w:style w:type="paragraph" w:customStyle="1" w:styleId="41">
    <w:name w:val="表内字"/>
    <w:autoRedefine/>
    <w:qFormat/>
    <w:uiPriority w:val="0"/>
    <w:pPr>
      <w:spacing w:line="360" w:lineRule="exact"/>
      <w:jc w:val="center"/>
    </w:pPr>
    <w:rPr>
      <w:rFonts w:ascii="Times New Roman" w:hAnsi="Times New Roman" w:eastAsia="宋体" w:cs="Times New Roman"/>
      <w:bCs/>
      <w:kern w:val="2"/>
      <w:sz w:val="21"/>
      <w:szCs w:val="21"/>
      <w:lang w:val="en-US" w:eastAsia="zh-CN" w:bidi="ar-SA"/>
    </w:rPr>
  </w:style>
  <w:style w:type="paragraph" w:customStyle="1" w:styleId="42">
    <w:name w:val="报告正文"/>
    <w:basedOn w:val="1"/>
    <w:link w:val="81"/>
    <w:autoRedefine/>
    <w:qFormat/>
    <w:uiPriority w:val="0"/>
    <w:pPr>
      <w:snapToGrid w:val="0"/>
      <w:spacing w:line="360" w:lineRule="auto"/>
      <w:ind w:firstLine="200" w:firstLineChars="200"/>
    </w:pPr>
    <w:rPr>
      <w:rFonts w:ascii="宋体" w:hAnsi="宋体"/>
      <w:sz w:val="28"/>
    </w:rPr>
  </w:style>
  <w:style w:type="paragraph" w:customStyle="1" w:styleId="43">
    <w:name w:val="表头"/>
    <w:basedOn w:val="12"/>
    <w:next w:val="44"/>
    <w:autoRedefine/>
    <w:qFormat/>
    <w:uiPriority w:val="0"/>
    <w:pPr>
      <w:adjustRightInd w:val="0"/>
      <w:spacing w:after="0" w:line="400" w:lineRule="exact"/>
      <w:jc w:val="center"/>
    </w:pPr>
    <w:rPr>
      <w:b/>
      <w:sz w:val="24"/>
      <w:szCs w:val="24"/>
    </w:rPr>
  </w:style>
  <w:style w:type="paragraph" w:customStyle="1" w:styleId="44">
    <w:name w:val="表格内容"/>
    <w:basedOn w:val="43"/>
    <w:autoRedefine/>
    <w:qFormat/>
    <w:uiPriority w:val="0"/>
    <w:rPr>
      <w:rFonts w:cs="Calibri"/>
      <w:sz w:val="21"/>
      <w:szCs w:val="21"/>
    </w:rPr>
  </w:style>
  <w:style w:type="paragraph" w:customStyle="1" w:styleId="45">
    <w:name w:val="塑料表头"/>
    <w:basedOn w:val="46"/>
    <w:autoRedefine/>
    <w:qFormat/>
    <w:uiPriority w:val="0"/>
    <w:pPr>
      <w:numPr>
        <w:ilvl w:val="0"/>
        <w:numId w:val="4"/>
      </w:numPr>
      <w:ind w:firstLine="0" w:firstLineChars="0"/>
      <w:jc w:val="center"/>
    </w:pPr>
    <w:rPr>
      <w:rFonts w:eastAsia="宋体"/>
      <w:b/>
      <w:szCs w:val="24"/>
    </w:rPr>
  </w:style>
  <w:style w:type="paragraph" w:customStyle="1" w:styleId="46">
    <w:name w:val="表头字"/>
    <w:basedOn w:val="1"/>
    <w:autoRedefine/>
    <w:qFormat/>
    <w:uiPriority w:val="0"/>
    <w:pPr>
      <w:spacing w:line="520" w:lineRule="exact"/>
      <w:ind w:firstLine="400" w:firstLineChars="400"/>
      <w:jc w:val="left"/>
    </w:pPr>
    <w:rPr>
      <w:rFonts w:eastAsia="黑体"/>
      <w:sz w:val="24"/>
      <w:szCs w:val="20"/>
    </w:rPr>
  </w:style>
  <w:style w:type="paragraph" w:customStyle="1" w:styleId="47">
    <w:name w:val="常用正文样式"/>
    <w:basedOn w:val="1"/>
    <w:autoRedefine/>
    <w:qFormat/>
    <w:uiPriority w:val="0"/>
    <w:pPr>
      <w:spacing w:line="360" w:lineRule="auto"/>
      <w:ind w:firstLine="480" w:firstLineChars="200"/>
    </w:pPr>
    <w:rPr>
      <w:rFonts w:ascii="宋体" w:hAnsi="宋体"/>
      <w:bCs/>
      <w:kern w:val="28"/>
      <w:szCs w:val="20"/>
    </w:rPr>
  </w:style>
  <w:style w:type="paragraph" w:customStyle="1" w:styleId="48">
    <w:name w:val="1正文"/>
    <w:basedOn w:val="1"/>
    <w:autoRedefine/>
    <w:qFormat/>
    <w:uiPriority w:val="0"/>
    <w:pPr>
      <w:spacing w:line="460" w:lineRule="atLeast"/>
      <w:ind w:left="140" w:leftChars="54" w:firstLine="565" w:firstLineChars="211"/>
    </w:pPr>
    <w:rPr>
      <w:rFonts w:ascii="宋体" w:hAnsi="宋体"/>
      <w:spacing w:val="4"/>
      <w:sz w:val="26"/>
    </w:rPr>
  </w:style>
  <w:style w:type="paragraph" w:customStyle="1" w:styleId="49">
    <w:name w:val="表格_正文"/>
    <w:autoRedefine/>
    <w:qFormat/>
    <w:uiPriority w:val="99"/>
    <w:pPr>
      <w:snapToGrid w:val="0"/>
    </w:pPr>
    <w:rPr>
      <w:rFonts w:ascii="Times New Roman" w:hAnsi="Times New Roman" w:eastAsia="宋体" w:cs="Times New Roman"/>
      <w:sz w:val="21"/>
      <w:szCs w:val="22"/>
      <w:lang w:val="en-US" w:eastAsia="zh-CN" w:bidi="ar-SA"/>
    </w:rPr>
  </w:style>
  <w:style w:type="paragraph" w:customStyle="1" w:styleId="50">
    <w:name w:val="表格"/>
    <w:basedOn w:val="1"/>
    <w:next w:val="1"/>
    <w:autoRedefine/>
    <w:qFormat/>
    <w:uiPriority w:val="0"/>
    <w:pPr>
      <w:adjustRightInd w:val="0"/>
      <w:snapToGrid w:val="0"/>
      <w:spacing w:beforeLines="10" w:afterLines="10" w:line="259" w:lineRule="auto"/>
      <w:jc w:val="center"/>
    </w:pPr>
    <w:rPr>
      <w:rFonts w:ascii="宋体"/>
      <w:kern w:val="0"/>
      <w:szCs w:val="20"/>
    </w:rPr>
  </w:style>
  <w:style w:type="paragraph" w:customStyle="1" w:styleId="51">
    <w:name w:val="正文小四 1.75"/>
    <w:basedOn w:val="1"/>
    <w:autoRedefine/>
    <w:qFormat/>
    <w:uiPriority w:val="0"/>
    <w:pPr>
      <w:spacing w:line="420" w:lineRule="auto"/>
      <w:ind w:firstLine="480" w:firstLineChars="200"/>
    </w:pPr>
    <w:rPr>
      <w:sz w:val="24"/>
    </w:rPr>
  </w:style>
  <w:style w:type="character" w:customStyle="1" w:styleId="52">
    <w:name w:val="lable"/>
    <w:basedOn w:val="34"/>
    <w:autoRedefine/>
    <w:qFormat/>
    <w:uiPriority w:val="0"/>
    <w:rPr>
      <w:sz w:val="24"/>
      <w:szCs w:val="24"/>
    </w:rPr>
  </w:style>
  <w:style w:type="character" w:customStyle="1" w:styleId="53">
    <w:name w:val="cur1"/>
    <w:basedOn w:val="34"/>
    <w:autoRedefine/>
    <w:qFormat/>
    <w:uiPriority w:val="0"/>
    <w:rPr>
      <w:color w:val="FFFFFF"/>
      <w:shd w:val="clear" w:color="auto" w:fill="2F6B98"/>
    </w:rPr>
  </w:style>
  <w:style w:type="character" w:customStyle="1" w:styleId="54">
    <w:name w:val="lishishuju"/>
    <w:basedOn w:val="34"/>
    <w:autoRedefine/>
    <w:qFormat/>
    <w:uiPriority w:val="0"/>
    <w:rPr>
      <w:b/>
      <w:bCs/>
      <w:color w:val="000052"/>
      <w:sz w:val="24"/>
      <w:szCs w:val="24"/>
      <w:bdr w:val="single" w:color="E3E3E3" w:sz="6" w:space="0"/>
    </w:rPr>
  </w:style>
  <w:style w:type="character" w:customStyle="1" w:styleId="55">
    <w:name w:val="radio-btn"/>
    <w:basedOn w:val="34"/>
    <w:autoRedefine/>
    <w:qFormat/>
    <w:uiPriority w:val="0"/>
    <w:rPr>
      <w:sz w:val="21"/>
      <w:szCs w:val="21"/>
    </w:rPr>
  </w:style>
  <w:style w:type="character" w:customStyle="1" w:styleId="56">
    <w:name w:val="radio-btn1"/>
    <w:basedOn w:val="34"/>
    <w:autoRedefine/>
    <w:qFormat/>
    <w:uiPriority w:val="0"/>
    <w:rPr>
      <w:sz w:val="24"/>
      <w:szCs w:val="24"/>
    </w:rPr>
  </w:style>
  <w:style w:type="character" w:customStyle="1" w:styleId="57">
    <w:name w:val="radio-btn2"/>
    <w:basedOn w:val="34"/>
    <w:autoRedefine/>
    <w:qFormat/>
    <w:uiPriority w:val="0"/>
    <w:rPr>
      <w:sz w:val="24"/>
      <w:szCs w:val="24"/>
    </w:rPr>
  </w:style>
  <w:style w:type="character" w:customStyle="1" w:styleId="58">
    <w:name w:val="znspantitle"/>
    <w:basedOn w:val="34"/>
    <w:autoRedefine/>
    <w:qFormat/>
    <w:uiPriority w:val="0"/>
    <w:rPr>
      <w:b/>
      <w:bCs/>
      <w:color w:val="333333"/>
    </w:rPr>
  </w:style>
  <w:style w:type="paragraph" w:customStyle="1" w:styleId="59">
    <w:name w:val="表内 定"/>
    <w:basedOn w:val="1"/>
    <w:autoRedefine/>
    <w:qFormat/>
    <w:uiPriority w:val="0"/>
    <w:rPr>
      <w:color w:val="000000" w:themeColor="text1"/>
      <w14:textFill>
        <w14:solidFill>
          <w14:schemeClr w14:val="tx1"/>
        </w14:solidFill>
      </w14:textFill>
    </w:rPr>
  </w:style>
  <w:style w:type="paragraph" w:customStyle="1" w:styleId="60">
    <w:name w:val="Char Char Char1 Char Char Char Char"/>
    <w:basedOn w:val="1"/>
    <w:autoRedefine/>
    <w:qFormat/>
    <w:uiPriority w:val="0"/>
  </w:style>
  <w:style w:type="paragraph" w:customStyle="1" w:styleId="61">
    <w:name w:val="刘正文"/>
    <w:basedOn w:val="1"/>
    <w:autoRedefine/>
    <w:qFormat/>
    <w:uiPriority w:val="0"/>
    <w:pPr>
      <w:spacing w:line="460" w:lineRule="exact"/>
      <w:ind w:firstLine="480" w:firstLineChars="200"/>
      <w:jc w:val="left"/>
    </w:pPr>
    <w:rPr>
      <w:color w:val="000000"/>
      <w:sz w:val="24"/>
    </w:rPr>
  </w:style>
  <w:style w:type="paragraph" w:customStyle="1" w:styleId="62">
    <w:name w:val="刘表格居中"/>
    <w:basedOn w:val="1"/>
    <w:autoRedefine/>
    <w:qFormat/>
    <w:uiPriority w:val="0"/>
    <w:pPr>
      <w:jc w:val="center"/>
    </w:pPr>
    <w:rPr>
      <w:color w:val="000000"/>
      <w:szCs w:val="21"/>
    </w:rPr>
  </w:style>
  <w:style w:type="paragraph" w:customStyle="1" w:styleId="63">
    <w:name w:val="正文  001"/>
    <w:basedOn w:val="1"/>
    <w:autoRedefine/>
    <w:qFormat/>
    <w:uiPriority w:val="0"/>
    <w:pPr>
      <w:spacing w:line="360" w:lineRule="exact"/>
      <w:ind w:firstLine="200" w:firstLineChars="200"/>
    </w:pPr>
  </w:style>
  <w:style w:type="paragraph" w:customStyle="1" w:styleId="64">
    <w:name w:val="Body text|1"/>
    <w:basedOn w:val="1"/>
    <w:autoRedefine/>
    <w:qFormat/>
    <w:uiPriority w:val="0"/>
    <w:pPr>
      <w:spacing w:line="420" w:lineRule="auto"/>
      <w:ind w:firstLine="400"/>
    </w:pPr>
    <w:rPr>
      <w:sz w:val="30"/>
      <w:szCs w:val="30"/>
      <w:lang w:val="zh-TW" w:eastAsia="zh-TW" w:bidi="zh-TW"/>
    </w:rPr>
  </w:style>
  <w:style w:type="paragraph" w:customStyle="1" w:styleId="65">
    <w:name w:val="报告表正文"/>
    <w:basedOn w:val="1"/>
    <w:autoRedefine/>
    <w:qFormat/>
    <w:uiPriority w:val="0"/>
    <w:pPr>
      <w:adjustRightInd w:val="0"/>
      <w:spacing w:line="312" w:lineRule="auto"/>
      <w:ind w:left="113" w:right="113" w:firstLine="482"/>
      <w:jc w:val="left"/>
      <w:textAlignment w:val="baseline"/>
    </w:pPr>
    <w:rPr>
      <w:rFonts w:ascii="Calibri" w:hAnsi="Calibri"/>
      <w:kern w:val="0"/>
      <w:sz w:val="24"/>
    </w:rPr>
  </w:style>
  <w:style w:type="character" w:customStyle="1" w:styleId="66">
    <w:name w:val="批注文字 Char"/>
    <w:basedOn w:val="34"/>
    <w:link w:val="11"/>
    <w:autoRedefine/>
    <w:semiHidden/>
    <w:qFormat/>
    <w:uiPriority w:val="0"/>
    <w:rPr>
      <w:sz w:val="24"/>
    </w:rPr>
  </w:style>
  <w:style w:type="character" w:customStyle="1" w:styleId="67">
    <w:name w:val="批注主题 Char"/>
    <w:basedOn w:val="66"/>
    <w:link w:val="29"/>
    <w:autoRedefine/>
    <w:qFormat/>
    <w:uiPriority w:val="0"/>
    <w:rPr>
      <w:b/>
      <w:bCs/>
      <w:kern w:val="2"/>
      <w:sz w:val="21"/>
      <w:szCs w:val="24"/>
    </w:rPr>
  </w:style>
  <w:style w:type="character" w:customStyle="1" w:styleId="68">
    <w:name w:val="批注框文本 Char"/>
    <w:basedOn w:val="34"/>
    <w:link w:val="22"/>
    <w:autoRedefine/>
    <w:qFormat/>
    <w:uiPriority w:val="0"/>
    <w:rPr>
      <w:kern w:val="2"/>
      <w:sz w:val="18"/>
      <w:szCs w:val="18"/>
    </w:rPr>
  </w:style>
  <w:style w:type="character" w:customStyle="1" w:styleId="69">
    <w:name w:val="unnamed1"/>
    <w:autoRedefine/>
    <w:qFormat/>
    <w:uiPriority w:val="0"/>
  </w:style>
  <w:style w:type="paragraph" w:customStyle="1" w:styleId="70">
    <w:name w:val="4表格内3级标题"/>
    <w:basedOn w:val="71"/>
    <w:next w:val="71"/>
    <w:autoRedefine/>
    <w:qFormat/>
    <w:uiPriority w:val="0"/>
    <w:pPr>
      <w:ind w:firstLine="0" w:firstLineChars="0"/>
      <w:jc w:val="left"/>
    </w:pPr>
    <w:rPr>
      <w:b/>
    </w:rPr>
  </w:style>
  <w:style w:type="paragraph" w:customStyle="1" w:styleId="71">
    <w:name w:val="5正文"/>
    <w:autoRedefine/>
    <w:qFormat/>
    <w:uiPriority w:val="0"/>
    <w:pPr>
      <w:widowControl w:val="0"/>
      <w:spacing w:line="520" w:lineRule="exact"/>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72">
    <w:name w:val="7表格内容"/>
    <w:autoRedefine/>
    <w:qFormat/>
    <w:uiPriority w:val="0"/>
    <w:pPr>
      <w:widowControl w:val="0"/>
      <w:spacing w:line="400" w:lineRule="exact"/>
      <w:jc w:val="center"/>
    </w:pPr>
    <w:rPr>
      <w:rFonts w:ascii="Times New Roman" w:hAnsi="Times New Roman" w:eastAsia="宋体" w:cs="Times New Roman"/>
      <w:kern w:val="2"/>
      <w:sz w:val="21"/>
      <w:szCs w:val="24"/>
      <w:lang w:val="en-US" w:eastAsia="zh-CN" w:bidi="ar-SA"/>
    </w:rPr>
  </w:style>
  <w:style w:type="paragraph" w:customStyle="1" w:styleId="73">
    <w:name w:val="报告表  段"/>
    <w:basedOn w:val="1"/>
    <w:autoRedefine/>
    <w:qFormat/>
    <w:uiPriority w:val="0"/>
    <w:pPr>
      <w:adjustRightInd w:val="0"/>
      <w:spacing w:line="360" w:lineRule="auto"/>
      <w:ind w:firstLine="505"/>
      <w:textAlignment w:val="baseline"/>
    </w:pPr>
    <w:rPr>
      <w:rFonts w:ascii="宋体"/>
      <w:sz w:val="24"/>
    </w:rPr>
  </w:style>
  <w:style w:type="paragraph" w:customStyle="1" w:styleId="74">
    <w:name w:val="Default"/>
    <w:basedOn w:val="75"/>
    <w:next w:val="9"/>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75">
    <w:name w:val="纯文本1"/>
    <w:basedOn w:val="1"/>
    <w:autoRedefine/>
    <w:qFormat/>
    <w:uiPriority w:val="0"/>
    <w:pPr>
      <w:adjustRightInd w:val="0"/>
    </w:pPr>
    <w:rPr>
      <w:rFonts w:ascii="宋体" w:hAnsi="Courier New"/>
    </w:rPr>
  </w:style>
  <w:style w:type="paragraph" w:customStyle="1" w:styleId="76">
    <w:name w:val="报告书表格"/>
    <w:basedOn w:val="1"/>
    <w:autoRedefine/>
    <w:qFormat/>
    <w:uiPriority w:val="0"/>
    <w:pPr>
      <w:adjustRightInd w:val="0"/>
      <w:spacing w:before="60" w:after="60" w:line="240" w:lineRule="atLeast"/>
      <w:jc w:val="center"/>
      <w:textAlignment w:val="baseline"/>
    </w:pPr>
    <w:rPr>
      <w:kern w:val="0"/>
    </w:rPr>
  </w:style>
  <w:style w:type="paragraph" w:customStyle="1" w:styleId="77">
    <w:name w:val="列出段落1"/>
    <w:basedOn w:val="1"/>
    <w:autoRedefine/>
    <w:qFormat/>
    <w:uiPriority w:val="0"/>
    <w:pPr>
      <w:ind w:firstLine="420" w:firstLineChars="200"/>
    </w:pPr>
    <w:rPr>
      <w:rFonts w:ascii="Calibri" w:hAnsi="Calibri"/>
      <w:szCs w:val="22"/>
    </w:rPr>
  </w:style>
  <w:style w:type="paragraph" w:customStyle="1" w:styleId="78">
    <w:name w:val="列出段落2"/>
    <w:basedOn w:val="1"/>
    <w:autoRedefine/>
    <w:qFormat/>
    <w:uiPriority w:val="0"/>
    <w:pPr>
      <w:ind w:firstLine="420" w:firstLineChars="200"/>
    </w:pPr>
    <w:rPr>
      <w:rFonts w:ascii="Calibri" w:hAnsi="Calibri"/>
      <w:szCs w:val="22"/>
    </w:rPr>
  </w:style>
  <w:style w:type="paragraph" w:customStyle="1" w:styleId="79">
    <w:name w:val="报告书正文"/>
    <w:basedOn w:val="1"/>
    <w:link w:val="106"/>
    <w:autoRedefine/>
    <w:qFormat/>
    <w:uiPriority w:val="0"/>
    <w:pPr>
      <w:autoSpaceDE w:val="0"/>
      <w:autoSpaceDN w:val="0"/>
      <w:spacing w:line="520" w:lineRule="exact"/>
      <w:ind w:firstLine="200" w:firstLineChars="200"/>
    </w:pPr>
    <w:rPr>
      <w:rFonts w:eastAsia="宋体"/>
      <w:kern w:val="2"/>
      <w:sz w:val="28"/>
      <w:szCs w:val="28"/>
      <w:lang w:val="en-US" w:eastAsia="zh-CN" w:bidi="ar-SA"/>
    </w:rPr>
  </w:style>
  <w:style w:type="paragraph" w:customStyle="1" w:styleId="80">
    <w:name w:val="正文文本缩进1"/>
    <w:basedOn w:val="1"/>
    <w:autoRedefine/>
    <w:qFormat/>
    <w:uiPriority w:val="0"/>
    <w:pPr>
      <w:ind w:firstLine="560"/>
    </w:pPr>
    <w:rPr>
      <w:rFonts w:ascii="宋体"/>
      <w:kern w:val="0"/>
      <w:sz w:val="24"/>
    </w:rPr>
  </w:style>
  <w:style w:type="character" w:customStyle="1" w:styleId="81">
    <w:name w:val="报告正文 Char"/>
    <w:link w:val="42"/>
    <w:autoRedefine/>
    <w:qFormat/>
    <w:uiPriority w:val="0"/>
    <w:rPr>
      <w:rFonts w:ascii="宋体" w:hAnsi="宋体"/>
      <w:sz w:val="28"/>
    </w:rPr>
  </w:style>
  <w:style w:type="paragraph" w:customStyle="1" w:styleId="82">
    <w:name w:val="刘图标题"/>
    <w:basedOn w:val="1"/>
    <w:next w:val="61"/>
    <w:autoRedefine/>
    <w:qFormat/>
    <w:uiPriority w:val="0"/>
    <w:pPr>
      <w:autoSpaceDE w:val="0"/>
      <w:autoSpaceDN w:val="0"/>
      <w:adjustRightInd w:val="0"/>
      <w:snapToGrid w:val="0"/>
      <w:spacing w:line="460" w:lineRule="exact"/>
      <w:ind w:firstLine="0" w:firstLineChars="0"/>
      <w:jc w:val="center"/>
    </w:pPr>
    <w:rPr>
      <w:rFonts w:ascii="Times New Roman" w:hAnsi="Times New Roman" w:eastAsia="宋体"/>
      <w:b/>
      <w:sz w:val="24"/>
    </w:rPr>
  </w:style>
  <w:style w:type="paragraph" w:customStyle="1" w:styleId="83">
    <w:name w:val="表格1"/>
    <w:basedOn w:val="1"/>
    <w:autoRedefine/>
    <w:qFormat/>
    <w:uiPriority w:val="0"/>
    <w:pPr>
      <w:adjustRightInd w:val="0"/>
      <w:snapToGrid w:val="0"/>
      <w:spacing w:line="240" w:lineRule="exact"/>
      <w:jc w:val="center"/>
    </w:pPr>
    <w:rPr>
      <w:kern w:val="0"/>
    </w:rPr>
  </w:style>
  <w:style w:type="paragraph" w:customStyle="1" w:styleId="84">
    <w:name w:val="表格文字"/>
    <w:basedOn w:val="85"/>
    <w:next w:val="1"/>
    <w:autoRedefine/>
    <w:qFormat/>
    <w:uiPriority w:val="99"/>
    <w:pPr>
      <w:spacing w:line="240" w:lineRule="auto"/>
      <w:ind w:firstLine="0" w:firstLineChars="0"/>
    </w:pPr>
    <w:rPr>
      <w:sz w:val="21"/>
      <w:szCs w:val="21"/>
    </w:rPr>
  </w:style>
  <w:style w:type="paragraph" w:customStyle="1" w:styleId="85">
    <w:name w:val="正文东铝"/>
    <w:basedOn w:val="1"/>
    <w:autoRedefine/>
    <w:qFormat/>
    <w:uiPriority w:val="0"/>
    <w:pPr>
      <w:spacing w:line="520" w:lineRule="exact"/>
      <w:ind w:firstLine="200" w:firstLineChars="200"/>
      <w:jc w:val="left"/>
    </w:pPr>
    <w:rPr>
      <w:color w:val="000000"/>
      <w:sz w:val="24"/>
      <w:szCs w:val="22"/>
    </w:rPr>
  </w:style>
  <w:style w:type="paragraph" w:customStyle="1" w:styleId="86">
    <w:name w:val="6表头"/>
    <w:next w:val="71"/>
    <w:autoRedefine/>
    <w:qFormat/>
    <w:uiPriority w:val="0"/>
    <w:pPr>
      <w:pageBreakBefore/>
      <w:spacing w:line="520" w:lineRule="exact"/>
      <w:ind w:firstLine="200" w:firstLineChars="200"/>
    </w:pPr>
    <w:rPr>
      <w:rFonts w:ascii="Times New Roman" w:hAnsi="Times New Roman" w:eastAsia="黑体" w:cs="Times New Roman"/>
      <w:kern w:val="2"/>
      <w:sz w:val="24"/>
      <w:szCs w:val="24"/>
      <w:lang w:val="en-US" w:eastAsia="zh-CN" w:bidi="ar-SA"/>
    </w:rPr>
  </w:style>
  <w:style w:type="paragraph" w:customStyle="1" w:styleId="87">
    <w:name w:val="中文报告书样式"/>
    <w:basedOn w:val="1"/>
    <w:autoRedefine/>
    <w:qFormat/>
    <w:uiPriority w:val="0"/>
    <w:pPr>
      <w:adjustRightInd w:val="0"/>
      <w:snapToGrid w:val="0"/>
      <w:spacing w:line="360" w:lineRule="auto"/>
      <w:ind w:firstLine="480" w:firstLineChars="200"/>
      <w:textAlignment w:val="baseline"/>
    </w:pPr>
    <w:rPr>
      <w:rFonts w:ascii="Calibri" w:hAnsi="Calibri"/>
      <w:kern w:val="24"/>
      <w:sz w:val="24"/>
    </w:rPr>
  </w:style>
  <w:style w:type="paragraph" w:customStyle="1" w:styleId="88">
    <w:name w:val="表头文字"/>
    <w:autoRedefine/>
    <w:qFormat/>
    <w:uiPriority w:val="0"/>
    <w:pPr>
      <w:widowControl w:val="0"/>
      <w:adjustRightInd w:val="0"/>
      <w:snapToGrid w:val="0"/>
      <w:jc w:val="center"/>
    </w:pPr>
    <w:rPr>
      <w:rFonts w:ascii="Times New Roman" w:hAnsi="Times New Roman" w:eastAsia="黑体" w:cs="Times New Roman"/>
      <w:bCs/>
      <w:sz w:val="21"/>
      <w:szCs w:val="24"/>
      <w:lang w:val="en-US" w:eastAsia="zh-CN" w:bidi="ar-SA"/>
    </w:rPr>
  </w:style>
  <w:style w:type="table" w:customStyle="1" w:styleId="89">
    <w:name w:val="Table Normal"/>
    <w:autoRedefine/>
    <w:unhideWhenUsed/>
    <w:qFormat/>
    <w:uiPriority w:val="0"/>
    <w:tblPr>
      <w:tblCellMar>
        <w:top w:w="0" w:type="dxa"/>
        <w:left w:w="0" w:type="dxa"/>
        <w:bottom w:w="0" w:type="dxa"/>
        <w:right w:w="0" w:type="dxa"/>
      </w:tblCellMar>
    </w:tblPr>
  </w:style>
  <w:style w:type="paragraph" w:customStyle="1" w:styleId="90">
    <w:name w:val="07表格内容"/>
    <w:autoRedefine/>
    <w:qFormat/>
    <w:uiPriority w:val="0"/>
    <w:pPr>
      <w:widowControl w:val="0"/>
      <w:spacing w:line="360" w:lineRule="exact"/>
      <w:jc w:val="center"/>
    </w:pPr>
    <w:rPr>
      <w:rFonts w:ascii="Times New Roman" w:hAnsi="Times New Roman" w:eastAsia="宋体" w:cs="Times New Roman"/>
      <w:szCs w:val="24"/>
      <w:lang w:val="en-US" w:eastAsia="zh-CN" w:bidi="ar-SA"/>
    </w:rPr>
  </w:style>
  <w:style w:type="paragraph" w:customStyle="1" w:styleId="91">
    <w:name w:val="表格内容5号"/>
    <w:autoRedefine/>
    <w:qFormat/>
    <w:uiPriority w:val="0"/>
    <w:pPr>
      <w:widowControl w:val="0"/>
      <w:snapToGrid w:val="0"/>
      <w:spacing w:line="320" w:lineRule="atLeast"/>
      <w:jc w:val="center"/>
    </w:pPr>
    <w:rPr>
      <w:rFonts w:ascii="Times New Roman" w:hAnsi="Times New Roman" w:eastAsia="宋体" w:cs="Times New Roman"/>
      <w:kern w:val="2"/>
      <w:sz w:val="21"/>
      <w:szCs w:val="24"/>
      <w:lang w:val="en-US" w:eastAsia="zh-CN" w:bidi="ar-SA"/>
    </w:rPr>
  </w:style>
  <w:style w:type="paragraph" w:customStyle="1" w:styleId="92">
    <w:name w:val="05正文"/>
    <w:basedOn w:val="1"/>
    <w:autoRedefine/>
    <w:qFormat/>
    <w:uiPriority w:val="0"/>
    <w:pPr>
      <w:spacing w:line="500" w:lineRule="exact"/>
      <w:ind w:firstLine="200" w:firstLineChars="200"/>
    </w:pPr>
    <w:rPr>
      <w:sz w:val="24"/>
    </w:rPr>
  </w:style>
  <w:style w:type="character" w:customStyle="1" w:styleId="93">
    <w:name w:val="font11"/>
    <w:basedOn w:val="34"/>
    <w:autoRedefine/>
    <w:qFormat/>
    <w:uiPriority w:val="0"/>
    <w:rPr>
      <w:rFonts w:hint="default" w:ascii="Times New Roman" w:hAnsi="Times New Roman" w:cs="Times New Roman"/>
      <w:color w:val="000000"/>
      <w:sz w:val="21"/>
      <w:szCs w:val="21"/>
      <w:u w:val="none"/>
    </w:rPr>
  </w:style>
  <w:style w:type="paragraph" w:customStyle="1" w:styleId="94">
    <w:name w:val="标题1"/>
    <w:basedOn w:val="2"/>
    <w:next w:val="4"/>
    <w:autoRedefine/>
    <w:qFormat/>
    <w:uiPriority w:val="0"/>
    <w:pPr>
      <w:keepNext w:val="0"/>
      <w:keepLines w:val="0"/>
      <w:tabs>
        <w:tab w:val="left" w:pos="432"/>
      </w:tabs>
      <w:spacing w:before="200" w:after="200" w:line="520" w:lineRule="exact"/>
    </w:pPr>
    <w:rPr>
      <w:rFonts w:eastAsia="黑体"/>
      <w:b w:val="0"/>
      <w:kern w:val="28"/>
      <w:sz w:val="28"/>
      <w:szCs w:val="44"/>
    </w:rPr>
  </w:style>
  <w:style w:type="paragraph" w:customStyle="1" w:styleId="95">
    <w:name w:val="表格标题"/>
    <w:basedOn w:val="19"/>
    <w:autoRedefine/>
    <w:qFormat/>
    <w:uiPriority w:val="0"/>
    <w:pPr>
      <w:numPr>
        <w:ilvl w:val="0"/>
        <w:numId w:val="5"/>
      </w:numPr>
      <w:ind w:left="0" w:firstLine="0"/>
      <w:jc w:val="center"/>
    </w:pPr>
    <w:rPr>
      <w:rFonts w:ascii="Times New Roman" w:hAnsi="Times New Roman" w:eastAsia="黑体" w:cs="Times New Roman"/>
      <w:szCs w:val="24"/>
    </w:rPr>
  </w:style>
  <w:style w:type="paragraph" w:customStyle="1" w:styleId="96">
    <w:name w:val="book"/>
    <w:basedOn w:val="1"/>
    <w:autoRedefine/>
    <w:qFormat/>
    <w:uiPriority w:val="0"/>
    <w:pPr>
      <w:spacing w:line="360" w:lineRule="exact"/>
      <w:jc w:val="center"/>
    </w:pPr>
  </w:style>
  <w:style w:type="paragraph" w:customStyle="1" w:styleId="97">
    <w:name w:val="List Paragraph"/>
    <w:basedOn w:val="1"/>
    <w:autoRedefine/>
    <w:qFormat/>
    <w:uiPriority w:val="0"/>
    <w:pPr>
      <w:spacing w:line="360" w:lineRule="exact"/>
      <w:jc w:val="center"/>
    </w:pPr>
    <w:rPr>
      <w:szCs w:val="24"/>
    </w:rPr>
  </w:style>
  <w:style w:type="paragraph" w:customStyle="1" w:styleId="98">
    <w:name w:val="00"/>
    <w:basedOn w:val="1"/>
    <w:next w:val="3"/>
    <w:autoRedefine/>
    <w:qFormat/>
    <w:uiPriority w:val="0"/>
    <w:pPr>
      <w:spacing w:line="520" w:lineRule="exact"/>
      <w:ind w:firstLine="200" w:firstLineChars="200"/>
    </w:pPr>
    <w:rPr>
      <w:rFonts w:ascii="宋体" w:hAnsi="宋体" w:cs="宋体"/>
      <w:sz w:val="24"/>
    </w:rPr>
  </w:style>
  <w:style w:type="paragraph" w:customStyle="1" w:styleId="99">
    <w:name w:val="p0"/>
    <w:basedOn w:val="1"/>
    <w:autoRedefine/>
    <w:qFormat/>
    <w:uiPriority w:val="0"/>
    <w:pPr>
      <w:widowControl/>
    </w:pPr>
    <w:rPr>
      <w:kern w:val="0"/>
      <w:szCs w:val="21"/>
    </w:rPr>
  </w:style>
  <w:style w:type="character" w:customStyle="1" w:styleId="100">
    <w:name w:val="headline-content2"/>
    <w:basedOn w:val="34"/>
    <w:autoRedefine/>
    <w:qFormat/>
    <w:uiPriority w:val="0"/>
  </w:style>
  <w:style w:type="paragraph" w:customStyle="1" w:styleId="101">
    <w:name w:val="000"/>
    <w:basedOn w:val="98"/>
    <w:autoRedefine/>
    <w:qFormat/>
    <w:uiPriority w:val="0"/>
    <w:rPr>
      <w:szCs w:val="24"/>
    </w:rPr>
  </w:style>
  <w:style w:type="paragraph" w:customStyle="1" w:styleId="102">
    <w:name w:val="Table Paragraph"/>
    <w:basedOn w:val="1"/>
    <w:autoRedefine/>
    <w:qFormat/>
    <w:uiPriority w:val="1"/>
    <w:rPr>
      <w:spacing w:val="-4"/>
      <w:sz w:val="24"/>
    </w:rPr>
  </w:style>
  <w:style w:type="paragraph" w:customStyle="1" w:styleId="103">
    <w:name w:val="表内标题"/>
    <w:basedOn w:val="42"/>
    <w:autoRedefine/>
    <w:qFormat/>
    <w:uiPriority w:val="0"/>
    <w:pPr>
      <w:spacing w:before="50" w:beforeLines="50" w:after="50" w:afterLines="50" w:line="240" w:lineRule="exact"/>
      <w:ind w:firstLine="0" w:firstLineChars="0"/>
    </w:pPr>
    <w:rPr>
      <w:rFonts w:eastAsia="黑体"/>
    </w:rPr>
  </w:style>
  <w:style w:type="character" w:customStyle="1" w:styleId="104">
    <w:name w:val="报告正文 Char Char"/>
    <w:autoRedefine/>
    <w:qFormat/>
    <w:uiPriority w:val="0"/>
    <w:rPr>
      <w:rFonts w:eastAsia="宋体"/>
      <w:color w:val="000000"/>
      <w:kern w:val="2"/>
      <w:sz w:val="24"/>
      <w:szCs w:val="24"/>
    </w:rPr>
  </w:style>
  <w:style w:type="table" w:customStyle="1" w:styleId="105">
    <w:name w:val="表格样式2"/>
    <w:basedOn w:val="32"/>
    <w:autoRedefine/>
    <w:qFormat/>
    <w:uiPriority w:val="0"/>
    <w:rPr>
      <w:rFonts w:ascii="Times New Roman" w:hAnsi="Times New Roman" w:eastAsia="仿宋_GB2312" w:cs="Times New Roman"/>
    </w:rPr>
    <w:tblPr>
      <w:tblBorders>
        <w:top w:val="single" w:color="auto" w:sz="12" w:space="0"/>
        <w:bottom w:val="single" w:color="auto" w:sz="12" w:space="0"/>
        <w:insideH w:val="single" w:color="auto" w:sz="4" w:space="0"/>
        <w:insideV w:val="single" w:color="auto" w:sz="4" w:space="0"/>
      </w:tblBorders>
    </w:tblPr>
  </w:style>
  <w:style w:type="character" w:customStyle="1" w:styleId="106">
    <w:name w:val="报告书正文 Char"/>
    <w:link w:val="79"/>
    <w:autoRedefine/>
    <w:qFormat/>
    <w:uiPriority w:val="0"/>
    <w:rPr>
      <w:rFonts w:eastAsia="宋体"/>
      <w:kern w:val="2"/>
      <w:sz w:val="28"/>
      <w:szCs w:val="28"/>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2" Type="http://schemas.openxmlformats.org/officeDocument/2006/relationships/fontTable" Target="fontTable.xml"/><Relationship Id="rId71" Type="http://schemas.openxmlformats.org/officeDocument/2006/relationships/numbering" Target="numbering.xml"/><Relationship Id="rId70" Type="http://schemas.openxmlformats.org/officeDocument/2006/relationships/customXml" Target="../customXml/item1.xml"/><Relationship Id="rId7" Type="http://schemas.openxmlformats.org/officeDocument/2006/relationships/footer" Target="footer5.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jpeg"/><Relationship Id="rId63" Type="http://schemas.openxmlformats.org/officeDocument/2006/relationships/image" Target="media/image52.jpe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jpeg"/><Relationship Id="rId6" Type="http://schemas.openxmlformats.org/officeDocument/2006/relationships/footer" Target="footer4.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footer" Target="footer3.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footer" Target="footer2.xml"/><Relationship Id="rId39" Type="http://schemas.openxmlformats.org/officeDocument/2006/relationships/image" Target="media/image28.png"/><Relationship Id="rId38" Type="http://schemas.openxmlformats.org/officeDocument/2006/relationships/image" Target="media/image27.jpe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jpe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footer" Target="footer1.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jpe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wmf"/><Relationship Id="rId21" Type="http://schemas.openxmlformats.org/officeDocument/2006/relationships/oleObject" Target="embeddings/oleObject1.bin"/><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DoubleOX</Company>
  <Pages>127</Pages>
  <Words>13573</Words>
  <Characters>14315</Characters>
  <Lines>3</Lines>
  <Paragraphs>1</Paragraphs>
  <TotalTime>30</TotalTime>
  <ScaleCrop>false</ScaleCrop>
  <LinksUpToDate>false</LinksUpToDate>
  <CharactersWithSpaces>14365</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2021-05-11T07:02:00Z</dcterms:created>
  <dc:creator>Schnappi</dc:creator>
  <cp:lastModifiedBy>XINL</cp:lastModifiedBy>
  <cp:lastPrinted>2024-12-10T08:33:00Z</cp:lastPrinted>
  <dcterms:modified xsi:type="dcterms:W3CDTF">2024-12-11T01:45:45Z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6D760AF1BC244F9BAA41A8C635334C15_13</vt:lpwstr>
  </property>
  <property fmtid="{D5CDD505-2E9C-101B-9397-08002B2CF9AE}" pid="4" name="commondata">
    <vt:lpwstr>eyJoZGlkIjoiYjAxZWIzZTM4ZDNiZjA1OTc4ZTViY2I5NDQ1ZGU0ZDEifQ==</vt:lpwstr>
  </property>
</Properties>
</file>