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小标宋_GBK" w:eastAsia="方正小标宋_GBK"/>
          <w:color w:val="000000"/>
          <w:sz w:val="40"/>
          <w:szCs w:val="40"/>
        </w:rPr>
      </w:pPr>
      <w:r>
        <w:rPr>
          <w:rFonts w:hint="eastAsia" w:ascii="方正小标宋_GBK" w:eastAsia="方正小标宋_GBK"/>
          <w:color w:val="000000"/>
          <w:sz w:val="40"/>
          <w:szCs w:val="40"/>
        </w:rPr>
        <w:t>零星果树类补偿标准</w:t>
      </w:r>
    </w:p>
    <w:p>
      <w:pPr>
        <w:spacing w:line="580" w:lineRule="exact"/>
        <w:jc w:val="center"/>
        <w:rPr>
          <w:rFonts w:hint="eastAsia" w:ascii="黑体" w:eastAsia="黑体"/>
          <w:color w:val="000000"/>
          <w:szCs w:val="32"/>
        </w:rPr>
      </w:pPr>
    </w:p>
    <w:tbl>
      <w:tblPr>
        <w:tblStyle w:val="3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93"/>
        <w:gridCol w:w="1069"/>
        <w:gridCol w:w="1069"/>
        <w:gridCol w:w="1106"/>
        <w:gridCol w:w="1106"/>
        <w:gridCol w:w="1106"/>
        <w:gridCol w:w="1038"/>
        <w:gridCol w:w="12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  <w:tblHeader/>
        </w:trPr>
        <w:tc>
          <w:tcPr>
            <w:tcW w:w="56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项目</w:t>
            </w:r>
          </w:p>
        </w:tc>
        <w:tc>
          <w:tcPr>
            <w:tcW w:w="99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附着物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名称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规格</w:t>
            </w:r>
          </w:p>
        </w:tc>
        <w:tc>
          <w:tcPr>
            <w:tcW w:w="1069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亩合理株数（株/亩）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保留补偿标准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（元／株）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砍伐补偿标准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（元/株）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最高补偿标准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（元/亩）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备注：　　　　　　　　　　　（果树各生长期</w:t>
            </w:r>
          </w:p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简易判断标准）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鲜   果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桃树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≤110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6050</w:t>
            </w:r>
          </w:p>
        </w:tc>
        <w:tc>
          <w:tcPr>
            <w:tcW w:w="2302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（2年&lt;树龄≤4年）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10375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300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290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24900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11620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杏树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≤100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9600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250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240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15000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8400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李子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≤100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5500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7800</w:t>
            </w:r>
          </w:p>
        </w:tc>
        <w:tc>
          <w:tcPr>
            <w:tcW w:w="230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（4年&lt;树龄≤6年）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280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270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16800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8400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樱桃树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≤100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6500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9300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280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270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16800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12300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鲜   果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苹果树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≤110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6050</w:t>
            </w:r>
          </w:p>
        </w:tc>
        <w:tc>
          <w:tcPr>
            <w:tcW w:w="2302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（6年&lt;树龄≤25年）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10790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245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235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20335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12035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梨树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≤110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45</w:t>
            </w:r>
          </w:p>
        </w:tc>
        <w:tc>
          <w:tcPr>
            <w:tcW w:w="1106" w:type="dxa"/>
            <w:shd w:val="clear" w:color="auto" w:fill="auto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6050</w:t>
            </w:r>
          </w:p>
        </w:tc>
        <w:tc>
          <w:tcPr>
            <w:tcW w:w="2302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8750</w:t>
            </w:r>
          </w:p>
        </w:tc>
        <w:tc>
          <w:tcPr>
            <w:tcW w:w="2302" w:type="dxa"/>
            <w:gridSpan w:val="2"/>
            <w:vMerge w:val="restart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（树龄＞25年）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260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245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18200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9800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石榴树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≤110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7150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8750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185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13650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7700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葡萄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苗期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444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25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11100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1年&lt;树龄≤2年</w:t>
            </w:r>
          </w:p>
        </w:tc>
        <w:tc>
          <w:tcPr>
            <w:tcW w:w="1264" w:type="dxa"/>
            <w:vMerge w:val="restart"/>
            <w:vAlign w:val="center"/>
          </w:tcPr>
          <w:p>
            <w:pPr>
              <w:widowControl/>
              <w:spacing w:line="400" w:lineRule="exact"/>
              <w:rPr>
                <w:rFonts w:hint="eastAsia"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/>
                <w:color w:val="000000"/>
                <w:sz w:val="24"/>
              </w:rPr>
              <w:t>.含葡萄架补偿。         2.没有葡萄架的按照苗圃价格补偿。　　　　　　3.树归原主。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444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22200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2年&lt;树龄≤3年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444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75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65</w:t>
            </w:r>
          </w:p>
        </w:tc>
        <w:tc>
          <w:tcPr>
            <w:tcW w:w="110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33300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3年&lt;树龄≤15年，根部直径＞2厘米</w:t>
            </w:r>
          </w:p>
        </w:tc>
        <w:tc>
          <w:tcPr>
            <w:tcW w:w="1264" w:type="dxa"/>
            <w:vMerge w:val="continue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草莓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　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7000-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sz w:val="24"/>
              </w:rPr>
              <w:t>10000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1.2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12000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干   果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枣树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≤100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4000</w:t>
            </w:r>
          </w:p>
        </w:tc>
        <w:tc>
          <w:tcPr>
            <w:tcW w:w="2302" w:type="dxa"/>
            <w:gridSpan w:val="2"/>
            <w:vMerge w:val="restart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辨识特征与鲜果类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相同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　　　　　　　　　　　　（2年＜树龄≤3年）　　　　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　　　　　　　　（3年＜树龄≤5年）　　　　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　　　　　　（5年＜树龄≤30年）　　　　　　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　　　　　　　　　　（树龄＞30年）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180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13300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11200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柿树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≤80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4800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8250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280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270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14000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7000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山楂树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≤80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4800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56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8960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56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290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280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16240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56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170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9520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核桃树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≤80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6800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56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8680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56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425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415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23800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56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260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250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14560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板栗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培育期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≤100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4000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初果期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100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9130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盛果期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185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16185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衰果期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83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85</w:t>
            </w:r>
          </w:p>
        </w:tc>
        <w:tc>
          <w:tcPr>
            <w:tcW w:w="1106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7885</w:t>
            </w:r>
          </w:p>
        </w:tc>
        <w:tc>
          <w:tcPr>
            <w:tcW w:w="2302" w:type="dxa"/>
            <w:gridSpan w:val="2"/>
            <w:vMerge w:val="continue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果树 苗圃</w:t>
            </w:r>
          </w:p>
        </w:tc>
        <w:tc>
          <w:tcPr>
            <w:tcW w:w="9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果树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苗圃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≤5000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1.8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1.5</w:t>
            </w:r>
          </w:p>
        </w:tc>
        <w:tc>
          <w:tcPr>
            <w:tcW w:w="110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9000</w:t>
            </w:r>
          </w:p>
        </w:tc>
        <w:tc>
          <w:tcPr>
            <w:tcW w:w="2302" w:type="dxa"/>
            <w:gridSpan w:val="2"/>
            <w:vAlign w:val="center"/>
          </w:tcPr>
          <w:p>
            <w:pPr>
              <w:widowControl/>
              <w:spacing w:line="500" w:lineRule="exact"/>
              <w:rPr>
                <w:rFonts w:hint="eastAsia" w:ascii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果树苗圃一般用于培育果树砧木及实生苗，如发现随意插、栽枝条来获取果树补偿的行为时，按照五类粮食作物补偿标准最高值1400元／亩。</w:t>
            </w:r>
          </w:p>
        </w:tc>
      </w:tr>
    </w:tbl>
    <w:p>
      <w:pPr>
        <w:spacing w:line="500" w:lineRule="exact"/>
        <w:ind w:right="-1600" w:rightChars="-500"/>
        <w:rPr>
          <w:rFonts w:hint="eastAsia" w:ascii="仿宋_GB2312"/>
          <w:sz w:val="24"/>
        </w:rPr>
      </w:pPr>
    </w:p>
    <w:p>
      <w:pPr>
        <w:widowControl/>
        <w:spacing w:line="500" w:lineRule="exact"/>
        <w:ind w:right="-1600" w:rightChars="-5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注：1.表中亩合理株数主要参考张义勇主编的《果树栽培技术（北方本）》和省林业厅</w:t>
      </w:r>
    </w:p>
    <w:p>
      <w:pPr>
        <w:widowControl/>
        <w:spacing w:line="500" w:lineRule="exact"/>
        <w:ind w:left="-32" w:leftChars="-10" w:right="-1600" w:rightChars="-500" w:firstLine="720" w:firstLineChars="3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有关林木亩合理株数最终确定。</w:t>
      </w:r>
    </w:p>
    <w:p>
      <w:pPr>
        <w:widowControl/>
        <w:spacing w:line="500" w:lineRule="exact"/>
        <w:ind w:left="-214" w:leftChars="-67" w:right="-1600" w:rightChars="-500" w:firstLine="720" w:firstLineChars="3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2.超出亩合理株数的按照亩最高补偿金额补偿。</w:t>
      </w:r>
    </w:p>
    <w:p>
      <w:pPr>
        <w:widowControl/>
        <w:spacing w:line="500" w:lineRule="exact"/>
        <w:ind w:left="-214" w:leftChars="-67" w:right="-1600" w:rightChars="-500" w:firstLine="720" w:firstLineChars="3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3.若移植果树，由各县（市、区）政府（管委会）参照有关部门标准给予相应补偿；</w:t>
      </w:r>
    </w:p>
    <w:p>
      <w:pPr>
        <w:widowControl/>
        <w:spacing w:line="500" w:lineRule="exact"/>
        <w:ind w:left="-214" w:leftChars="-67" w:right="-1600" w:rightChars="-500" w:firstLine="960" w:firstLineChars="4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在非移植季节，可保留补偿，保留补偿后树木归征收方所有。名贵树木的移出</w:t>
      </w:r>
    </w:p>
    <w:p>
      <w:pPr>
        <w:widowControl/>
        <w:spacing w:line="500" w:lineRule="exact"/>
        <w:ind w:left="-214" w:leftChars="-67" w:right="-1600" w:rightChars="-500" w:firstLine="960" w:firstLineChars="4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（如桂花、香樟等）由产权人处理，政府补贴移植费。</w:t>
      </w:r>
    </w:p>
    <w:p>
      <w:pPr>
        <w:widowControl/>
        <w:spacing w:line="500" w:lineRule="exact"/>
        <w:ind w:left="-214" w:leftChars="-67" w:right="-1600" w:rightChars="-500" w:firstLine="720" w:firstLineChars="3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4.拟征地告知前移入的名贵树木（非原生）不按树龄测算补偿，按照适当高于当时</w:t>
      </w:r>
    </w:p>
    <w:p>
      <w:pPr>
        <w:widowControl/>
        <w:spacing w:line="500" w:lineRule="exact"/>
        <w:ind w:left="-214" w:leftChars="-67" w:right="-1600" w:rightChars="-500" w:firstLine="960" w:firstLineChars="4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移入成本进行适当补偿，拟征地告知后擅自移入的名贵树木，不予补偿。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星书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51C82"/>
    <w:rsid w:val="61D51C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2017-10-19T07:08:00Z</dcterms:created>
  <dc:creator>Administrator</dc:creator>
  <cp:lastModifiedBy>Administrator</cp:lastModifiedBy>
  <dcterms:modified xsi:type="dcterms:W3CDTF">2017-10-19T07:08:51Z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