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40"/>
          <w:szCs w:val="40"/>
        </w:rPr>
        <w:t>鱼塘类补偿标准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tbl>
      <w:tblPr>
        <w:tblStyle w:val="3"/>
        <w:tblW w:w="8690" w:type="dxa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396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条件</w:t>
            </w:r>
          </w:p>
        </w:tc>
        <w:tc>
          <w:tcPr>
            <w:tcW w:w="33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补偿标准（元/亩）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一类</w:t>
            </w:r>
          </w:p>
        </w:tc>
        <w:tc>
          <w:tcPr>
            <w:tcW w:w="3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水深＞2.0米</w:t>
            </w:r>
          </w:p>
        </w:tc>
        <w:tc>
          <w:tcPr>
            <w:tcW w:w="33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二类</w:t>
            </w:r>
          </w:p>
        </w:tc>
        <w:tc>
          <w:tcPr>
            <w:tcW w:w="396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1.5＜水深≤2.0米</w:t>
            </w:r>
          </w:p>
        </w:tc>
        <w:tc>
          <w:tcPr>
            <w:tcW w:w="3353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5100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三类</w:t>
            </w:r>
          </w:p>
        </w:tc>
        <w:tc>
          <w:tcPr>
            <w:tcW w:w="3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1.0＜水深≤1.5米</w:t>
            </w:r>
          </w:p>
        </w:tc>
        <w:tc>
          <w:tcPr>
            <w:tcW w:w="33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3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四类</w:t>
            </w:r>
          </w:p>
        </w:tc>
        <w:tc>
          <w:tcPr>
            <w:tcW w:w="39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水深≤1.0米</w:t>
            </w:r>
          </w:p>
        </w:tc>
        <w:tc>
          <w:tcPr>
            <w:tcW w:w="335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z w:val="28"/>
                <w:szCs w:val="28"/>
              </w:rPr>
              <w:t>2700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07305"/>
    <w:rsid w:val="0D007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2017-10-19T07:08:00Z</dcterms:created>
  <dc:creator>Administrator</dc:creator>
  <cp:lastModifiedBy>Administrator</cp:lastModifiedBy>
  <dcterms:modified xsi:type="dcterms:W3CDTF">2017-10-19T07:08:16Z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