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r>
        <w:rPr>
          <w:rFonts w:hint="eastAsia" w:ascii="Times New Roman" w:hAnsi="Times New Roman" w:eastAsia="宋体" w:cs="宋体"/>
          <w:b/>
          <w:bCs/>
          <w:color w:val="000000"/>
          <w:kern w:val="0"/>
          <w:sz w:val="36"/>
          <w:szCs w:val="36"/>
          <w:lang w:val="en-US" w:eastAsia="zh-CN" w:bidi="ar"/>
        </w:rPr>
        <w:drawing>
          <wp:anchor distT="0" distB="0" distL="114300" distR="114300" simplePos="0" relativeHeight="251728896" behindDoc="0" locked="0" layoutInCell="1" allowOverlap="1">
            <wp:simplePos x="0" y="0"/>
            <wp:positionH relativeFrom="column">
              <wp:posOffset>-1156970</wp:posOffset>
            </wp:positionH>
            <wp:positionV relativeFrom="paragraph">
              <wp:posOffset>-774700</wp:posOffset>
            </wp:positionV>
            <wp:extent cx="7336790" cy="10574655"/>
            <wp:effectExtent l="0" t="0" r="16510" b="17145"/>
            <wp:wrapNone/>
            <wp:docPr id="98" name="图片 98" descr="1536a11a20e1200f1e68fd595549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536a11a20e1200f1e68fd595549cee"/>
                    <pic:cNvPicPr>
                      <a:picLocks noChangeAspect="1"/>
                    </pic:cNvPicPr>
                  </pic:nvPicPr>
                  <pic:blipFill>
                    <a:blip r:embed="rId12"/>
                    <a:stretch>
                      <a:fillRect/>
                    </a:stretch>
                  </pic:blipFill>
                  <pic:spPr>
                    <a:xfrm>
                      <a:off x="0" y="0"/>
                      <a:ext cx="7336790" cy="1057465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drawing>
          <wp:inline distT="0" distB="0" distL="114300" distR="114300">
            <wp:extent cx="5028565" cy="6983095"/>
            <wp:effectExtent l="0" t="0" r="635" b="8255"/>
            <wp:docPr id="103" name="图片 103" descr="d3cbb553788b7b080188238d23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3cbb553788b7b080188238d2313388"/>
                    <pic:cNvPicPr>
                      <a:picLocks noChangeAspect="1"/>
                    </pic:cNvPicPr>
                  </pic:nvPicPr>
                  <pic:blipFill>
                    <a:blip r:embed="rId13"/>
                    <a:stretch>
                      <a:fillRect/>
                    </a:stretch>
                  </pic:blipFill>
                  <pic:spPr>
                    <a:xfrm>
                      <a:off x="0" y="0"/>
                      <a:ext cx="5028565" cy="6983095"/>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38090" cy="7400290"/>
            <wp:effectExtent l="0" t="0" r="10160" b="10160"/>
            <wp:docPr id="105" name="图片 105" descr="微信图片_2021111716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211117163335"/>
                    <pic:cNvPicPr>
                      <a:picLocks noChangeAspect="1"/>
                    </pic:cNvPicPr>
                  </pic:nvPicPr>
                  <pic:blipFill>
                    <a:blip r:embed="rId14"/>
                    <a:stretch>
                      <a:fillRect/>
                    </a:stretch>
                  </pic:blipFill>
                  <pic:spPr>
                    <a:xfrm>
                      <a:off x="0" y="0"/>
                      <a:ext cx="5038090" cy="7400290"/>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24755" cy="7454900"/>
            <wp:effectExtent l="0" t="0" r="4445" b="12700"/>
            <wp:docPr id="106" name="图片 106" descr="微信图片_2021111716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11117163342"/>
                    <pic:cNvPicPr>
                      <a:picLocks noChangeAspect="1"/>
                    </pic:cNvPicPr>
                  </pic:nvPicPr>
                  <pic:blipFill>
                    <a:blip r:embed="rId15"/>
                    <a:stretch>
                      <a:fillRect/>
                    </a:stretch>
                  </pic:blipFill>
                  <pic:spPr>
                    <a:xfrm>
                      <a:off x="0" y="0"/>
                      <a:ext cx="5024755" cy="7454900"/>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39995" cy="6725285"/>
            <wp:effectExtent l="0" t="0" r="8255" b="18415"/>
            <wp:docPr id="107" name="图片 107" descr="微信图片_2021111716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11117163359"/>
                    <pic:cNvPicPr>
                      <a:picLocks noChangeAspect="1"/>
                    </pic:cNvPicPr>
                  </pic:nvPicPr>
                  <pic:blipFill>
                    <a:blip r:embed="rId16"/>
                    <a:stretch>
                      <a:fillRect/>
                    </a:stretch>
                  </pic:blipFill>
                  <pic:spPr>
                    <a:xfrm>
                      <a:off x="0" y="0"/>
                      <a:ext cx="5039995" cy="6725285"/>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23485" cy="7118350"/>
            <wp:effectExtent l="0" t="0" r="5715" b="6350"/>
            <wp:docPr id="109" name="图片 109" descr="微信图片_202111171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11117163419"/>
                    <pic:cNvPicPr>
                      <a:picLocks noChangeAspect="1"/>
                    </pic:cNvPicPr>
                  </pic:nvPicPr>
                  <pic:blipFill>
                    <a:blip r:embed="rId17"/>
                    <a:stretch>
                      <a:fillRect/>
                    </a:stretch>
                  </pic:blipFill>
                  <pic:spPr>
                    <a:xfrm>
                      <a:off x="0" y="0"/>
                      <a:ext cx="5023485" cy="7118350"/>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28565" cy="7181215"/>
            <wp:effectExtent l="0" t="0" r="635" b="635"/>
            <wp:docPr id="112" name="图片 112" descr="c6859a434b7e348ea0e479e2bc6f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6859a434b7e348ea0e479e2bc6f125"/>
                    <pic:cNvPicPr>
                      <a:picLocks noChangeAspect="1"/>
                    </pic:cNvPicPr>
                  </pic:nvPicPr>
                  <pic:blipFill>
                    <a:blip r:embed="rId18"/>
                    <a:stretch>
                      <a:fillRect/>
                    </a:stretch>
                  </pic:blipFill>
                  <pic:spPr>
                    <a:xfrm>
                      <a:off x="0" y="0"/>
                      <a:ext cx="5028565" cy="7181215"/>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22215" cy="7477125"/>
            <wp:effectExtent l="0" t="0" r="6985" b="9525"/>
            <wp:docPr id="110" name="图片 110" descr="微信图片_2021111716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11117163428"/>
                    <pic:cNvPicPr>
                      <a:picLocks noChangeAspect="1"/>
                    </pic:cNvPicPr>
                  </pic:nvPicPr>
                  <pic:blipFill>
                    <a:blip r:embed="rId19"/>
                    <a:stretch>
                      <a:fillRect/>
                    </a:stretch>
                  </pic:blipFill>
                  <pic:spPr>
                    <a:xfrm>
                      <a:off x="0" y="0"/>
                      <a:ext cx="5022215" cy="7477125"/>
                    </a:xfrm>
                    <a:prstGeom prst="rect">
                      <a:avLst/>
                    </a:prstGeom>
                  </pic:spPr>
                </pic:pic>
              </a:graphicData>
            </a:graphic>
          </wp:inline>
        </w:drawing>
      </w:r>
      <w:r>
        <w:rPr>
          <w:rFonts w:hint="eastAsia" w:ascii="宋体" w:hAnsi="宋体" w:eastAsia="宋体" w:cs="宋体"/>
          <w:b/>
          <w:bCs/>
          <w:color w:val="000000"/>
          <w:kern w:val="0"/>
          <w:sz w:val="32"/>
          <w:szCs w:val="32"/>
          <w:lang w:val="en-US" w:eastAsia="zh-CN" w:bidi="ar"/>
        </w:rPr>
        <w:drawing>
          <wp:inline distT="0" distB="0" distL="114300" distR="114300">
            <wp:extent cx="5022215" cy="7169150"/>
            <wp:effectExtent l="0" t="0" r="6985" b="12700"/>
            <wp:docPr id="108" name="图片 108" descr="微信图片_2021111716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11117163409"/>
                    <pic:cNvPicPr>
                      <a:picLocks noChangeAspect="1"/>
                    </pic:cNvPicPr>
                  </pic:nvPicPr>
                  <pic:blipFill>
                    <a:blip r:embed="rId20"/>
                    <a:stretch>
                      <a:fillRect/>
                    </a:stretch>
                  </pic:blipFill>
                  <pic:spPr>
                    <a:xfrm>
                      <a:off x="0" y="0"/>
                      <a:ext cx="5022215" cy="71691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color w:val="000000"/>
          <w:kern w:val="0"/>
          <w:sz w:val="32"/>
          <w:szCs w:val="32"/>
          <w:lang w:val="en-US" w:eastAsia="zh-CN" w:bidi="ar"/>
        </w:rPr>
        <w:sectPr>
          <w:pgSz w:w="11906" w:h="16838"/>
          <w:pgMar w:top="1417" w:right="1984" w:bottom="1417" w:left="1984" w:header="851" w:footer="992" w:gutter="0"/>
          <w:pgBorders w:offsetFrom="page">
            <w:top w:val="none" w:sz="0" w:space="0"/>
            <w:left w:val="none" w:sz="0" w:space="0"/>
            <w:bottom w:val="none" w:sz="0" w:space="0"/>
            <w:right w:val="none" w:sz="0" w:space="0"/>
          </w:pgBorders>
          <w:cols w:space="425" w:num="1"/>
          <w:docGrid w:type="lines" w:linePitch="312" w:charSpace="0"/>
        </w:sectPr>
      </w:pPr>
    </w:p>
    <w:p>
      <w:pPr>
        <w:spacing w:before="0" w:beforeLines="0" w:after="0" w:afterLines="0" w:line="240" w:lineRule="auto"/>
        <w:ind w:left="0" w:leftChars="0" w:right="0" w:rightChars="0" w:firstLine="0" w:firstLineChars="0"/>
        <w:jc w:val="center"/>
        <w:rPr>
          <w:sz w:val="40"/>
          <w:szCs w:val="40"/>
        </w:rPr>
      </w:pPr>
      <w:r>
        <w:rPr>
          <w:rFonts w:ascii="宋体" w:hAnsi="宋体" w:eastAsia="宋体"/>
          <w:sz w:val="32"/>
          <w:szCs w:val="40"/>
        </w:rPr>
        <w:t>目</w:t>
      </w:r>
      <w:r>
        <w:rPr>
          <w:rFonts w:hint="eastAsia" w:ascii="宋体" w:hAnsi="宋体" w:eastAsia="宋体"/>
          <w:sz w:val="32"/>
          <w:szCs w:val="40"/>
          <w:lang w:val="en-US" w:eastAsia="zh-CN"/>
        </w:rPr>
        <w:t xml:space="preserve">  </w:t>
      </w:r>
      <w:r>
        <w:rPr>
          <w:rFonts w:ascii="宋体" w:hAnsi="宋体" w:eastAsia="宋体"/>
          <w:sz w:val="32"/>
          <w:szCs w:val="40"/>
        </w:rPr>
        <w:t>录</w:t>
      </w:r>
    </w:p>
    <w:sdt>
      <w:sdtPr>
        <w:rPr>
          <w:rFonts w:ascii="宋体" w:hAnsi="宋体" w:eastAsia="宋体" w:cstheme="minorBidi"/>
          <w:kern w:val="2"/>
          <w:sz w:val="21"/>
          <w:szCs w:val="24"/>
          <w:lang w:val="en-US" w:eastAsia="zh-CN" w:bidi="ar-SA"/>
        </w:rPr>
        <w:id w:val="147468896"/>
        <w15:color w:val="DBDBDB"/>
        <w:docPartObj>
          <w:docPartGallery w:val="Table of Contents"/>
          <w:docPartUnique/>
        </w:docPartObj>
      </w:sdtPr>
      <w:sdtEndPr>
        <w:rPr>
          <w:rFonts w:ascii="黑体" w:hAnsi="黑体" w:eastAsia="黑体" w:cs="黑体"/>
          <w:b/>
          <w:kern w:val="2"/>
          <w:sz w:val="44"/>
          <w:szCs w:val="44"/>
          <w:lang w:val="en-US" w:eastAsia="zh-CN" w:bidi="zh-CN"/>
        </w:rPr>
      </w:sdtEndPr>
      <w:sdtContent>
        <w:p>
          <w:pPr>
            <w:spacing w:before="0" w:beforeLines="0" w:after="0" w:afterLines="0" w:line="240" w:lineRule="auto"/>
            <w:ind w:left="0" w:leftChars="0" w:right="0" w:rightChars="0" w:firstLine="0" w:firstLineChars="0"/>
            <w:jc w:val="center"/>
          </w:pPr>
        </w:p>
        <w:p>
          <w:pPr>
            <w:pStyle w:val="48"/>
            <w:tabs>
              <w:tab w:val="right" w:leader="dot" w:pos="9072"/>
            </w:tabs>
            <w:spacing w:line="360" w:lineRule="auto"/>
            <w:rPr>
              <w:b/>
              <w:sz w:val="24"/>
              <w:szCs w:val="24"/>
            </w:rPr>
          </w:pPr>
          <w:r>
            <w:rPr>
              <w:sz w:val="24"/>
              <w:szCs w:val="24"/>
              <w:lang w:val="en-US" w:eastAsia="zh-CN"/>
            </w:rPr>
            <w:fldChar w:fldCharType="begin"/>
          </w:r>
          <w:r>
            <w:rPr>
              <w:sz w:val="24"/>
              <w:szCs w:val="24"/>
              <w:lang w:val="en-US" w:eastAsia="zh-CN"/>
            </w:rPr>
            <w:instrText xml:space="preserve">TOC \o "1-2" \h \u </w:instrText>
          </w:r>
          <w:r>
            <w:rPr>
              <w:sz w:val="24"/>
              <w:szCs w:val="24"/>
              <w:lang w:val="en-US" w:eastAsia="zh-CN"/>
            </w:rPr>
            <w:fldChar w:fldCharType="separate"/>
          </w:r>
          <w:r>
            <w:rPr>
              <w:b/>
              <w:sz w:val="24"/>
              <w:szCs w:val="24"/>
              <w:lang w:val="en-US" w:eastAsia="zh-CN"/>
            </w:rPr>
            <w:fldChar w:fldCharType="begin"/>
          </w:r>
          <w:r>
            <w:rPr>
              <w:b/>
              <w:sz w:val="24"/>
              <w:szCs w:val="24"/>
              <w:lang w:val="en-US" w:eastAsia="zh-CN"/>
            </w:rPr>
            <w:instrText xml:space="preserve"> HYPERLINK \l _Toc16792 </w:instrText>
          </w:r>
          <w:r>
            <w:rPr>
              <w:b/>
              <w:sz w:val="24"/>
              <w:szCs w:val="24"/>
              <w:lang w:val="en-US" w:eastAsia="zh-CN"/>
            </w:rPr>
            <w:fldChar w:fldCharType="separate"/>
          </w:r>
          <w:r>
            <w:rPr>
              <w:b/>
              <w:sz w:val="24"/>
              <w:szCs w:val="24"/>
              <w:lang w:val="en-US" w:eastAsia="zh-CN"/>
            </w:rPr>
            <w:t>第一章</w:t>
          </w:r>
          <w:r>
            <w:rPr>
              <w:rFonts w:hint="default"/>
              <w:b/>
              <w:sz w:val="24"/>
              <w:szCs w:val="24"/>
              <w:lang w:val="en-US" w:eastAsia="zh-CN"/>
            </w:rPr>
            <w:t xml:space="preserve"> </w:t>
          </w:r>
          <w:r>
            <w:rPr>
              <w:rFonts w:hint="eastAsia"/>
              <w:b/>
              <w:sz w:val="24"/>
              <w:szCs w:val="24"/>
              <w:lang w:val="en-US" w:eastAsia="zh-CN"/>
            </w:rPr>
            <w:t xml:space="preserve"> 概述</w:t>
          </w:r>
          <w:r>
            <w:rPr>
              <w:b/>
              <w:sz w:val="24"/>
              <w:szCs w:val="24"/>
            </w:rPr>
            <w:tab/>
          </w:r>
          <w:r>
            <w:rPr>
              <w:b/>
              <w:sz w:val="24"/>
              <w:szCs w:val="24"/>
            </w:rPr>
            <w:fldChar w:fldCharType="begin"/>
          </w:r>
          <w:r>
            <w:rPr>
              <w:b/>
              <w:sz w:val="24"/>
              <w:szCs w:val="24"/>
            </w:rPr>
            <w:instrText xml:space="preserve"> PAGEREF _Toc16792 \h </w:instrText>
          </w:r>
          <w:r>
            <w:rPr>
              <w:b/>
              <w:sz w:val="24"/>
              <w:szCs w:val="24"/>
            </w:rPr>
            <w:fldChar w:fldCharType="separate"/>
          </w:r>
          <w:r>
            <w:rPr>
              <w:b/>
              <w:sz w:val="24"/>
              <w:szCs w:val="24"/>
            </w:rPr>
            <w:t>1</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_Toc3580 </w:instrText>
          </w:r>
          <w:r>
            <w:rPr>
              <w:sz w:val="24"/>
              <w:szCs w:val="24"/>
              <w:lang w:val="en-US" w:eastAsia="zh-CN"/>
            </w:rPr>
            <w:fldChar w:fldCharType="separate"/>
          </w:r>
          <w:r>
            <w:rPr>
              <w:rFonts w:hint="default"/>
              <w:sz w:val="24"/>
              <w:szCs w:val="24"/>
              <w:lang w:val="en-US" w:eastAsia="zh-CN"/>
            </w:rPr>
            <w:t xml:space="preserve">1.1 </w:t>
          </w:r>
          <w:r>
            <w:rPr>
              <w:rFonts w:hint="eastAsia"/>
              <w:sz w:val="24"/>
              <w:szCs w:val="24"/>
              <w:lang w:val="en-US" w:eastAsia="zh-CN"/>
            </w:rPr>
            <w:t>项目由来</w:t>
          </w:r>
          <w:r>
            <w:rPr>
              <w:sz w:val="24"/>
              <w:szCs w:val="24"/>
            </w:rPr>
            <w:tab/>
          </w:r>
          <w:r>
            <w:rPr>
              <w:sz w:val="24"/>
              <w:szCs w:val="24"/>
            </w:rPr>
            <w:fldChar w:fldCharType="begin"/>
          </w:r>
          <w:r>
            <w:rPr>
              <w:sz w:val="24"/>
              <w:szCs w:val="24"/>
            </w:rPr>
            <w:instrText xml:space="preserve"> PAGEREF _Toc3580 \h </w:instrText>
          </w:r>
          <w:r>
            <w:rPr>
              <w:sz w:val="24"/>
              <w:szCs w:val="24"/>
            </w:rPr>
            <w:fldChar w:fldCharType="separate"/>
          </w:r>
          <w:r>
            <w:rPr>
              <w:sz w:val="24"/>
              <w:szCs w:val="24"/>
            </w:rPr>
            <w:t>1</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_Toc16550 </w:instrText>
          </w:r>
          <w:r>
            <w:rPr>
              <w:sz w:val="24"/>
              <w:szCs w:val="24"/>
              <w:lang w:val="en-US" w:eastAsia="zh-CN"/>
            </w:rPr>
            <w:fldChar w:fldCharType="separate"/>
          </w:r>
          <w:r>
            <w:rPr>
              <w:rFonts w:hint="default"/>
              <w:sz w:val="24"/>
              <w:szCs w:val="24"/>
              <w:lang w:val="en-US" w:eastAsia="zh-CN"/>
            </w:rPr>
            <w:t>1.2 评价对象</w:t>
          </w:r>
          <w:r>
            <w:rPr>
              <w:sz w:val="24"/>
              <w:szCs w:val="24"/>
            </w:rPr>
            <w:tab/>
          </w:r>
          <w:r>
            <w:rPr>
              <w:sz w:val="24"/>
              <w:szCs w:val="24"/>
            </w:rPr>
            <w:fldChar w:fldCharType="begin"/>
          </w:r>
          <w:r>
            <w:rPr>
              <w:sz w:val="24"/>
              <w:szCs w:val="24"/>
            </w:rPr>
            <w:instrText xml:space="preserve"> PAGEREF _Toc16550 \h </w:instrText>
          </w:r>
          <w:r>
            <w:rPr>
              <w:sz w:val="24"/>
              <w:szCs w:val="24"/>
            </w:rPr>
            <w:fldChar w:fldCharType="separate"/>
          </w:r>
          <w:r>
            <w:rPr>
              <w:sz w:val="24"/>
              <w:szCs w:val="24"/>
            </w:rPr>
            <w:t>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_Toc15316 </w:instrText>
          </w:r>
          <w:r>
            <w:rPr>
              <w:sz w:val="24"/>
              <w:szCs w:val="24"/>
              <w:lang w:val="en-US" w:eastAsia="zh-CN"/>
            </w:rPr>
            <w:fldChar w:fldCharType="separate"/>
          </w:r>
          <w:r>
            <w:rPr>
              <w:rFonts w:hint="default"/>
              <w:sz w:val="24"/>
              <w:szCs w:val="24"/>
              <w:lang w:val="en-US" w:eastAsia="zh-CN"/>
            </w:rPr>
            <w:t>1.3 建设项目的特点</w:t>
          </w:r>
          <w:r>
            <w:rPr>
              <w:sz w:val="24"/>
              <w:szCs w:val="24"/>
            </w:rPr>
            <w:tab/>
          </w:r>
          <w:r>
            <w:rPr>
              <w:sz w:val="24"/>
              <w:szCs w:val="24"/>
            </w:rPr>
            <w:fldChar w:fldCharType="begin"/>
          </w:r>
          <w:r>
            <w:rPr>
              <w:sz w:val="24"/>
              <w:szCs w:val="24"/>
            </w:rPr>
            <w:instrText xml:space="preserve"> PAGEREF _Toc15316 \h </w:instrText>
          </w:r>
          <w:r>
            <w:rPr>
              <w:sz w:val="24"/>
              <w:szCs w:val="24"/>
            </w:rPr>
            <w:fldChar w:fldCharType="separate"/>
          </w:r>
          <w:r>
            <w:rPr>
              <w:sz w:val="24"/>
              <w:szCs w:val="24"/>
            </w:rPr>
            <w:t>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_Toc16570 </w:instrText>
          </w:r>
          <w:r>
            <w:rPr>
              <w:sz w:val="24"/>
              <w:szCs w:val="24"/>
              <w:lang w:val="en-US" w:eastAsia="zh-CN"/>
            </w:rPr>
            <w:fldChar w:fldCharType="separate"/>
          </w:r>
          <w:r>
            <w:rPr>
              <w:rFonts w:hint="default"/>
              <w:sz w:val="24"/>
              <w:szCs w:val="24"/>
              <w:lang w:val="en-US" w:eastAsia="zh-CN"/>
            </w:rPr>
            <w:t>1.4 环境影响评价工作过程</w:t>
          </w:r>
          <w:r>
            <w:rPr>
              <w:sz w:val="24"/>
              <w:szCs w:val="24"/>
            </w:rPr>
            <w:tab/>
          </w:r>
          <w:r>
            <w:rPr>
              <w:sz w:val="24"/>
              <w:szCs w:val="24"/>
            </w:rPr>
            <w:fldChar w:fldCharType="begin"/>
          </w:r>
          <w:r>
            <w:rPr>
              <w:sz w:val="24"/>
              <w:szCs w:val="24"/>
            </w:rPr>
            <w:instrText xml:space="preserve"> PAGEREF _Toc16570 \h </w:instrText>
          </w:r>
          <w:r>
            <w:rPr>
              <w:sz w:val="24"/>
              <w:szCs w:val="24"/>
            </w:rPr>
            <w:fldChar w:fldCharType="separate"/>
          </w:r>
          <w:r>
            <w:rPr>
              <w:sz w:val="24"/>
              <w:szCs w:val="24"/>
            </w:rPr>
            <w:t>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_Toc32492 </w:instrText>
          </w:r>
          <w:r>
            <w:rPr>
              <w:sz w:val="24"/>
              <w:szCs w:val="24"/>
              <w:lang w:val="en-US" w:eastAsia="zh-CN"/>
            </w:rPr>
            <w:fldChar w:fldCharType="separate"/>
          </w:r>
          <w:r>
            <w:rPr>
              <w:rFonts w:hint="default"/>
              <w:sz w:val="24"/>
              <w:szCs w:val="24"/>
              <w:lang w:val="en-US" w:eastAsia="zh-CN"/>
            </w:rPr>
            <w:t>1.5 相关产业政策分析</w:t>
          </w:r>
          <w:r>
            <w:rPr>
              <w:sz w:val="24"/>
              <w:szCs w:val="24"/>
            </w:rPr>
            <w:tab/>
          </w:r>
          <w:r>
            <w:rPr>
              <w:sz w:val="24"/>
              <w:szCs w:val="24"/>
            </w:rPr>
            <w:fldChar w:fldCharType="begin"/>
          </w:r>
          <w:r>
            <w:rPr>
              <w:sz w:val="24"/>
              <w:szCs w:val="24"/>
            </w:rPr>
            <w:instrText xml:space="preserve"> PAGEREF _Toc32492 \h </w:instrText>
          </w:r>
          <w:r>
            <w:rPr>
              <w:sz w:val="24"/>
              <w:szCs w:val="24"/>
            </w:rPr>
            <w:fldChar w:fldCharType="separate"/>
          </w:r>
          <w:r>
            <w:rPr>
              <w:sz w:val="24"/>
              <w:szCs w:val="24"/>
            </w:rPr>
            <w:t>4</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_Toc3351 </w:instrText>
          </w:r>
          <w:r>
            <w:rPr>
              <w:sz w:val="24"/>
              <w:szCs w:val="24"/>
              <w:lang w:val="en-US" w:eastAsia="zh-CN"/>
            </w:rPr>
            <w:fldChar w:fldCharType="separate"/>
          </w:r>
          <w:r>
            <w:rPr>
              <w:rFonts w:hint="default"/>
              <w:sz w:val="24"/>
              <w:szCs w:val="24"/>
              <w:lang w:val="en-US" w:eastAsia="zh-CN"/>
            </w:rPr>
            <w:t>1.6 关注的主要环境问题及环境影响</w:t>
          </w:r>
          <w:r>
            <w:rPr>
              <w:sz w:val="24"/>
              <w:szCs w:val="24"/>
            </w:rPr>
            <w:tab/>
          </w:r>
          <w:r>
            <w:rPr>
              <w:sz w:val="24"/>
              <w:szCs w:val="24"/>
            </w:rPr>
            <w:fldChar w:fldCharType="begin"/>
          </w:r>
          <w:r>
            <w:rPr>
              <w:sz w:val="24"/>
              <w:szCs w:val="24"/>
            </w:rPr>
            <w:instrText xml:space="preserve"> PAGEREF _Toc3351 \h </w:instrText>
          </w:r>
          <w:r>
            <w:rPr>
              <w:sz w:val="24"/>
              <w:szCs w:val="24"/>
            </w:rPr>
            <w:fldChar w:fldCharType="separate"/>
          </w:r>
          <w:r>
            <w:rPr>
              <w:sz w:val="24"/>
              <w:szCs w:val="24"/>
            </w:rPr>
            <w:t>5</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_Toc14853 </w:instrText>
          </w:r>
          <w:r>
            <w:rPr>
              <w:sz w:val="24"/>
              <w:szCs w:val="24"/>
              <w:lang w:val="en-US" w:eastAsia="zh-CN"/>
            </w:rPr>
            <w:fldChar w:fldCharType="separate"/>
          </w:r>
          <w:r>
            <w:rPr>
              <w:rFonts w:hint="default"/>
              <w:sz w:val="24"/>
              <w:szCs w:val="24"/>
              <w:lang w:val="en-US" w:eastAsia="zh-CN"/>
            </w:rPr>
            <w:t>1.</w:t>
          </w:r>
          <w:r>
            <w:rPr>
              <w:rFonts w:hint="eastAsia"/>
              <w:sz w:val="24"/>
              <w:szCs w:val="24"/>
              <w:lang w:val="en-US" w:eastAsia="zh-CN"/>
            </w:rPr>
            <w:t>7</w:t>
          </w:r>
          <w:r>
            <w:rPr>
              <w:rFonts w:hint="default"/>
              <w:sz w:val="24"/>
              <w:szCs w:val="24"/>
              <w:lang w:val="en-US" w:eastAsia="zh-CN"/>
            </w:rPr>
            <w:t xml:space="preserve"> 环境影响报告书主要结论</w:t>
          </w:r>
          <w:r>
            <w:rPr>
              <w:sz w:val="24"/>
              <w:szCs w:val="24"/>
            </w:rPr>
            <w:tab/>
          </w:r>
          <w:r>
            <w:rPr>
              <w:sz w:val="24"/>
              <w:szCs w:val="24"/>
            </w:rPr>
            <w:fldChar w:fldCharType="begin"/>
          </w:r>
          <w:r>
            <w:rPr>
              <w:sz w:val="24"/>
              <w:szCs w:val="24"/>
            </w:rPr>
            <w:instrText xml:space="preserve"> PAGEREF _Toc14853 \h </w:instrText>
          </w:r>
          <w:r>
            <w:rPr>
              <w:sz w:val="24"/>
              <w:szCs w:val="24"/>
            </w:rPr>
            <w:fldChar w:fldCharType="separate"/>
          </w:r>
          <w:r>
            <w:rPr>
              <w:sz w:val="24"/>
              <w:szCs w:val="24"/>
            </w:rPr>
            <w:t>6</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_Toc22497 </w:instrText>
          </w:r>
          <w:r>
            <w:rPr>
              <w:b/>
              <w:sz w:val="24"/>
              <w:szCs w:val="24"/>
              <w:lang w:val="en-US" w:eastAsia="zh-CN"/>
            </w:rPr>
            <w:fldChar w:fldCharType="separate"/>
          </w:r>
          <w:r>
            <w:rPr>
              <w:b/>
              <w:sz w:val="24"/>
              <w:szCs w:val="24"/>
              <w:lang w:val="en-US" w:eastAsia="zh-CN"/>
            </w:rPr>
            <w:t>第二章</w:t>
          </w:r>
          <w:r>
            <w:rPr>
              <w:rFonts w:hint="default"/>
              <w:b/>
              <w:sz w:val="24"/>
              <w:szCs w:val="24"/>
              <w:lang w:val="en-US" w:eastAsia="zh-CN"/>
            </w:rPr>
            <w:t xml:space="preserve"> </w:t>
          </w:r>
          <w:r>
            <w:rPr>
              <w:rFonts w:hint="eastAsia"/>
              <w:b/>
              <w:sz w:val="24"/>
              <w:szCs w:val="24"/>
              <w:lang w:val="en-US" w:eastAsia="zh-CN"/>
            </w:rPr>
            <w:t>总则</w:t>
          </w:r>
          <w:r>
            <w:rPr>
              <w:b/>
              <w:sz w:val="24"/>
              <w:szCs w:val="24"/>
            </w:rPr>
            <w:tab/>
          </w:r>
          <w:r>
            <w:rPr>
              <w:b/>
              <w:sz w:val="24"/>
              <w:szCs w:val="24"/>
            </w:rPr>
            <w:fldChar w:fldCharType="begin"/>
          </w:r>
          <w:r>
            <w:rPr>
              <w:b/>
              <w:sz w:val="24"/>
              <w:szCs w:val="24"/>
            </w:rPr>
            <w:instrText xml:space="preserve"> PAGEREF _Toc22497 \h </w:instrText>
          </w:r>
          <w:r>
            <w:rPr>
              <w:b/>
              <w:sz w:val="24"/>
              <w:szCs w:val="24"/>
            </w:rPr>
            <w:fldChar w:fldCharType="separate"/>
          </w:r>
          <w:r>
            <w:rPr>
              <w:b/>
              <w:sz w:val="24"/>
              <w:szCs w:val="24"/>
            </w:rPr>
            <w:t>7</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_Toc20362 </w:instrText>
          </w:r>
          <w:r>
            <w:rPr>
              <w:sz w:val="24"/>
              <w:szCs w:val="24"/>
              <w:lang w:val="en-US" w:eastAsia="zh-CN"/>
            </w:rPr>
            <w:fldChar w:fldCharType="separate"/>
          </w:r>
          <w:r>
            <w:rPr>
              <w:rFonts w:hint="default"/>
              <w:sz w:val="24"/>
              <w:szCs w:val="24"/>
              <w:lang w:val="en-US" w:eastAsia="zh-CN"/>
            </w:rPr>
            <w:t xml:space="preserve">2.1 </w:t>
          </w:r>
          <w:r>
            <w:rPr>
              <w:rFonts w:hint="eastAsia"/>
              <w:sz w:val="24"/>
              <w:szCs w:val="24"/>
              <w:lang w:val="en-US" w:eastAsia="zh-CN"/>
            </w:rPr>
            <w:t>编制依据</w:t>
          </w:r>
          <w:r>
            <w:rPr>
              <w:sz w:val="24"/>
              <w:szCs w:val="24"/>
            </w:rPr>
            <w:tab/>
          </w:r>
          <w:r>
            <w:rPr>
              <w:sz w:val="24"/>
              <w:szCs w:val="24"/>
            </w:rPr>
            <w:fldChar w:fldCharType="begin"/>
          </w:r>
          <w:r>
            <w:rPr>
              <w:sz w:val="24"/>
              <w:szCs w:val="24"/>
            </w:rPr>
            <w:instrText xml:space="preserve"> PAGEREF _Toc20362 \h </w:instrText>
          </w:r>
          <w:r>
            <w:rPr>
              <w:sz w:val="24"/>
              <w:szCs w:val="24"/>
            </w:rPr>
            <w:fldChar w:fldCharType="separate"/>
          </w:r>
          <w:r>
            <w:rPr>
              <w:sz w:val="24"/>
              <w:szCs w:val="24"/>
            </w:rPr>
            <w:t>7</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_Toc30532 </w:instrText>
          </w:r>
          <w:r>
            <w:rPr>
              <w:sz w:val="24"/>
              <w:szCs w:val="24"/>
              <w:lang w:val="en-US" w:eastAsia="zh-CN"/>
            </w:rPr>
            <w:fldChar w:fldCharType="separate"/>
          </w:r>
          <w:r>
            <w:rPr>
              <w:rFonts w:hint="default"/>
              <w:sz w:val="24"/>
              <w:szCs w:val="24"/>
              <w:lang w:val="en-US" w:eastAsia="zh-CN"/>
            </w:rPr>
            <w:t>2.2 评价目的与原则</w:t>
          </w:r>
          <w:r>
            <w:rPr>
              <w:sz w:val="24"/>
              <w:szCs w:val="24"/>
            </w:rPr>
            <w:tab/>
          </w:r>
          <w:r>
            <w:rPr>
              <w:sz w:val="24"/>
              <w:szCs w:val="24"/>
            </w:rPr>
            <w:fldChar w:fldCharType="begin"/>
          </w:r>
          <w:r>
            <w:rPr>
              <w:sz w:val="24"/>
              <w:szCs w:val="24"/>
            </w:rPr>
            <w:instrText xml:space="preserve"> PAGEREF _Toc30532 \h </w:instrText>
          </w:r>
          <w:r>
            <w:rPr>
              <w:sz w:val="24"/>
              <w:szCs w:val="24"/>
            </w:rPr>
            <w:fldChar w:fldCharType="separate"/>
          </w:r>
          <w:r>
            <w:rPr>
              <w:sz w:val="24"/>
              <w:szCs w:val="24"/>
            </w:rPr>
            <w:t>10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_Toc3235 </w:instrText>
          </w:r>
          <w:r>
            <w:rPr>
              <w:sz w:val="24"/>
              <w:szCs w:val="24"/>
              <w:lang w:val="en-US" w:eastAsia="zh-CN"/>
            </w:rPr>
            <w:fldChar w:fldCharType="separate"/>
          </w:r>
          <w:r>
            <w:rPr>
              <w:rFonts w:hint="default"/>
              <w:sz w:val="24"/>
              <w:szCs w:val="24"/>
              <w:lang w:val="en-US" w:eastAsia="zh-CN"/>
            </w:rPr>
            <w:t>2.3 环境影响识别及评价因子筛选</w:t>
          </w:r>
          <w:r>
            <w:rPr>
              <w:sz w:val="24"/>
              <w:szCs w:val="24"/>
            </w:rPr>
            <w:tab/>
          </w:r>
          <w:r>
            <w:rPr>
              <w:sz w:val="24"/>
              <w:szCs w:val="24"/>
            </w:rPr>
            <w:fldChar w:fldCharType="begin"/>
          </w:r>
          <w:r>
            <w:rPr>
              <w:sz w:val="24"/>
              <w:szCs w:val="24"/>
            </w:rPr>
            <w:instrText xml:space="preserve"> PAGEREF _Toc3235 \h </w:instrText>
          </w:r>
          <w:r>
            <w:rPr>
              <w:sz w:val="24"/>
              <w:szCs w:val="24"/>
            </w:rPr>
            <w:fldChar w:fldCharType="separate"/>
          </w:r>
          <w:r>
            <w:rPr>
              <w:sz w:val="24"/>
              <w:szCs w:val="24"/>
            </w:rPr>
            <w:t>10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_Toc15568 </w:instrText>
          </w:r>
          <w:r>
            <w:rPr>
              <w:sz w:val="24"/>
              <w:szCs w:val="24"/>
              <w:lang w:val="en-US" w:eastAsia="zh-CN"/>
            </w:rPr>
            <w:fldChar w:fldCharType="separate"/>
          </w:r>
          <w:r>
            <w:rPr>
              <w:rFonts w:hint="default"/>
              <w:sz w:val="24"/>
              <w:szCs w:val="24"/>
              <w:lang w:val="en-US" w:eastAsia="zh-CN"/>
            </w:rPr>
            <w:t>2.4 环境功能区划及评价标准</w:t>
          </w:r>
          <w:r>
            <w:rPr>
              <w:sz w:val="24"/>
              <w:szCs w:val="24"/>
            </w:rPr>
            <w:tab/>
          </w:r>
          <w:r>
            <w:rPr>
              <w:sz w:val="24"/>
              <w:szCs w:val="24"/>
            </w:rPr>
            <w:fldChar w:fldCharType="begin"/>
          </w:r>
          <w:r>
            <w:rPr>
              <w:sz w:val="24"/>
              <w:szCs w:val="24"/>
            </w:rPr>
            <w:instrText xml:space="preserve"> PAGEREF _Toc15568 \h </w:instrText>
          </w:r>
          <w:r>
            <w:rPr>
              <w:sz w:val="24"/>
              <w:szCs w:val="24"/>
            </w:rPr>
            <w:fldChar w:fldCharType="separate"/>
          </w:r>
          <w:r>
            <w:rPr>
              <w:sz w:val="24"/>
              <w:szCs w:val="24"/>
            </w:rPr>
            <w:t>12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_Toc22941 </w:instrText>
          </w:r>
          <w:r>
            <w:rPr>
              <w:sz w:val="24"/>
              <w:szCs w:val="24"/>
              <w:lang w:val="en-US" w:eastAsia="zh-CN"/>
            </w:rPr>
            <w:fldChar w:fldCharType="separate"/>
          </w:r>
          <w:r>
            <w:rPr>
              <w:rFonts w:hint="eastAsia"/>
              <w:sz w:val="24"/>
              <w:szCs w:val="24"/>
              <w:lang w:val="en-US" w:eastAsia="zh-CN"/>
            </w:rPr>
            <w:t>2.5 评价工作等级和范围</w:t>
          </w:r>
          <w:r>
            <w:rPr>
              <w:sz w:val="24"/>
              <w:szCs w:val="24"/>
            </w:rPr>
            <w:tab/>
          </w:r>
          <w:r>
            <w:rPr>
              <w:sz w:val="24"/>
              <w:szCs w:val="24"/>
            </w:rPr>
            <w:fldChar w:fldCharType="begin"/>
          </w:r>
          <w:r>
            <w:rPr>
              <w:sz w:val="24"/>
              <w:szCs w:val="24"/>
            </w:rPr>
            <w:instrText xml:space="preserve"> PAGEREF _Toc22941 \h </w:instrText>
          </w:r>
          <w:r>
            <w:rPr>
              <w:sz w:val="24"/>
              <w:szCs w:val="24"/>
            </w:rPr>
            <w:fldChar w:fldCharType="separate"/>
          </w:r>
          <w:r>
            <w:rPr>
              <w:sz w:val="24"/>
              <w:szCs w:val="24"/>
            </w:rPr>
            <w:t>17</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_Toc16558 </w:instrText>
          </w:r>
          <w:r>
            <w:rPr>
              <w:sz w:val="24"/>
              <w:szCs w:val="24"/>
              <w:lang w:val="en-US" w:eastAsia="zh-CN"/>
            </w:rPr>
            <w:fldChar w:fldCharType="separate"/>
          </w:r>
          <w:r>
            <w:rPr>
              <w:rFonts w:hint="default"/>
              <w:sz w:val="24"/>
              <w:szCs w:val="24"/>
              <w:lang w:val="en-US" w:eastAsia="zh-CN"/>
            </w:rPr>
            <w:t xml:space="preserve">2.6 </w:t>
          </w:r>
          <w:r>
            <w:rPr>
              <w:rFonts w:hint="eastAsia"/>
              <w:sz w:val="24"/>
              <w:szCs w:val="24"/>
              <w:lang w:val="en-US" w:eastAsia="zh-CN"/>
            </w:rPr>
            <w:t>相关规划及政策</w:t>
          </w:r>
          <w:r>
            <w:rPr>
              <w:sz w:val="24"/>
              <w:szCs w:val="24"/>
            </w:rPr>
            <w:tab/>
          </w:r>
          <w:r>
            <w:rPr>
              <w:sz w:val="24"/>
              <w:szCs w:val="24"/>
            </w:rPr>
            <w:fldChar w:fldCharType="begin"/>
          </w:r>
          <w:r>
            <w:rPr>
              <w:sz w:val="24"/>
              <w:szCs w:val="24"/>
            </w:rPr>
            <w:instrText xml:space="preserve"> PAGEREF _Toc16558 \h </w:instrText>
          </w:r>
          <w:r>
            <w:rPr>
              <w:sz w:val="24"/>
              <w:szCs w:val="24"/>
            </w:rPr>
            <w:fldChar w:fldCharType="separate"/>
          </w:r>
          <w:r>
            <w:rPr>
              <w:sz w:val="24"/>
              <w:szCs w:val="24"/>
            </w:rPr>
            <w:t>25</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_Toc17088 </w:instrText>
          </w:r>
          <w:r>
            <w:rPr>
              <w:b/>
              <w:sz w:val="24"/>
              <w:szCs w:val="24"/>
              <w:lang w:val="en-US" w:eastAsia="zh-CN"/>
            </w:rPr>
            <w:fldChar w:fldCharType="separate"/>
          </w:r>
          <w:r>
            <w:rPr>
              <w:rFonts w:hint="eastAsia"/>
              <w:b/>
              <w:sz w:val="24"/>
              <w:szCs w:val="24"/>
              <w:lang w:val="en-US" w:eastAsia="zh-CN"/>
            </w:rPr>
            <w:t>第三章</w:t>
          </w:r>
          <w:r>
            <w:rPr>
              <w:b/>
              <w:sz w:val="24"/>
              <w:szCs w:val="24"/>
              <w:lang w:val="en-US" w:eastAsia="zh-CN"/>
            </w:rPr>
            <w:t xml:space="preserve"> </w:t>
          </w:r>
          <w:r>
            <w:rPr>
              <w:rFonts w:hint="eastAsia"/>
              <w:b/>
              <w:sz w:val="24"/>
              <w:szCs w:val="24"/>
              <w:lang w:val="en-US" w:eastAsia="zh-CN"/>
            </w:rPr>
            <w:t>工程概况</w:t>
          </w:r>
          <w:r>
            <w:rPr>
              <w:b/>
              <w:sz w:val="24"/>
              <w:szCs w:val="24"/>
            </w:rPr>
            <w:tab/>
          </w:r>
          <w:r>
            <w:rPr>
              <w:b/>
              <w:sz w:val="24"/>
              <w:szCs w:val="24"/>
            </w:rPr>
            <w:fldChar w:fldCharType="begin"/>
          </w:r>
          <w:r>
            <w:rPr>
              <w:b/>
              <w:sz w:val="24"/>
              <w:szCs w:val="24"/>
            </w:rPr>
            <w:instrText xml:space="preserve"> PAGEREF _Toc17088 \h </w:instrText>
          </w:r>
          <w:r>
            <w:rPr>
              <w:b/>
              <w:sz w:val="24"/>
              <w:szCs w:val="24"/>
            </w:rPr>
            <w:fldChar w:fldCharType="separate"/>
          </w:r>
          <w:r>
            <w:rPr>
              <w:b/>
              <w:sz w:val="24"/>
              <w:szCs w:val="24"/>
            </w:rPr>
            <w:t>49</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_Toc1956 </w:instrText>
          </w:r>
          <w:r>
            <w:rPr>
              <w:sz w:val="24"/>
              <w:szCs w:val="24"/>
              <w:lang w:val="en-US" w:eastAsia="zh-CN"/>
            </w:rPr>
            <w:fldChar w:fldCharType="separate"/>
          </w:r>
          <w:r>
            <w:rPr>
              <w:rFonts w:hint="eastAsia"/>
              <w:sz w:val="24"/>
              <w:szCs w:val="24"/>
              <w:lang w:val="en-US" w:eastAsia="zh-CN"/>
            </w:rPr>
            <w:t>3</w:t>
          </w:r>
          <w:r>
            <w:rPr>
              <w:rFonts w:hint="default"/>
              <w:sz w:val="24"/>
              <w:szCs w:val="24"/>
              <w:lang w:val="en-US" w:eastAsia="zh-CN"/>
            </w:rPr>
            <w:t>.1 项目基本情况</w:t>
          </w:r>
          <w:r>
            <w:rPr>
              <w:sz w:val="24"/>
              <w:szCs w:val="24"/>
            </w:rPr>
            <w:tab/>
          </w:r>
          <w:r>
            <w:rPr>
              <w:sz w:val="24"/>
              <w:szCs w:val="24"/>
            </w:rPr>
            <w:fldChar w:fldCharType="begin"/>
          </w:r>
          <w:r>
            <w:rPr>
              <w:sz w:val="24"/>
              <w:szCs w:val="24"/>
            </w:rPr>
            <w:instrText xml:space="preserve"> PAGEREF _Toc1956 \h </w:instrText>
          </w:r>
          <w:r>
            <w:rPr>
              <w:sz w:val="24"/>
              <w:szCs w:val="24"/>
            </w:rPr>
            <w:fldChar w:fldCharType="separate"/>
          </w:r>
          <w:r>
            <w:rPr>
              <w:sz w:val="24"/>
              <w:szCs w:val="24"/>
            </w:rPr>
            <w:t>49</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_Toc17629 </w:instrText>
          </w:r>
          <w:r>
            <w:rPr>
              <w:sz w:val="24"/>
              <w:szCs w:val="24"/>
              <w:lang w:val="en-US" w:eastAsia="zh-CN"/>
            </w:rPr>
            <w:fldChar w:fldCharType="separate"/>
          </w:r>
          <w:r>
            <w:rPr>
              <w:rFonts w:hint="eastAsia"/>
              <w:sz w:val="24"/>
              <w:szCs w:val="24"/>
              <w:lang w:val="en-US" w:eastAsia="zh-CN"/>
            </w:rPr>
            <w:t>3.2 生产规模、产品方案</w:t>
          </w:r>
          <w:r>
            <w:rPr>
              <w:sz w:val="24"/>
              <w:szCs w:val="24"/>
            </w:rPr>
            <w:tab/>
          </w:r>
          <w:r>
            <w:rPr>
              <w:sz w:val="24"/>
              <w:szCs w:val="24"/>
            </w:rPr>
            <w:fldChar w:fldCharType="begin"/>
          </w:r>
          <w:r>
            <w:rPr>
              <w:sz w:val="24"/>
              <w:szCs w:val="24"/>
            </w:rPr>
            <w:instrText xml:space="preserve"> PAGEREF _Toc17629 \h </w:instrText>
          </w:r>
          <w:r>
            <w:rPr>
              <w:sz w:val="24"/>
              <w:szCs w:val="24"/>
            </w:rPr>
            <w:fldChar w:fldCharType="separate"/>
          </w:r>
          <w:r>
            <w:rPr>
              <w:sz w:val="24"/>
              <w:szCs w:val="24"/>
            </w:rPr>
            <w:t>49</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_Toc25080 </w:instrText>
          </w:r>
          <w:r>
            <w:rPr>
              <w:b/>
              <w:sz w:val="24"/>
              <w:szCs w:val="24"/>
              <w:lang w:val="en-US" w:eastAsia="zh-CN"/>
            </w:rPr>
            <w:fldChar w:fldCharType="separate"/>
          </w:r>
          <w:r>
            <w:rPr>
              <w:rFonts w:hint="eastAsia"/>
              <w:b/>
              <w:sz w:val="24"/>
              <w:szCs w:val="24"/>
            </w:rPr>
            <w:t>四</w:t>
          </w:r>
          <w:r>
            <w:rPr>
              <w:rFonts w:hint="eastAsia"/>
              <w:b/>
              <w:sz w:val="24"/>
              <w:szCs w:val="24"/>
              <w:lang w:val="en-US"/>
            </w:rPr>
            <w:t xml:space="preserve">  </w:t>
          </w:r>
          <w:r>
            <w:rPr>
              <w:rFonts w:hint="eastAsia"/>
              <w:b/>
              <w:sz w:val="24"/>
              <w:szCs w:val="24"/>
            </w:rPr>
            <w:t>工程分析</w:t>
          </w:r>
          <w:r>
            <w:rPr>
              <w:b/>
              <w:sz w:val="24"/>
              <w:szCs w:val="24"/>
            </w:rPr>
            <w:tab/>
          </w:r>
          <w:r>
            <w:rPr>
              <w:b/>
              <w:sz w:val="24"/>
              <w:szCs w:val="24"/>
            </w:rPr>
            <w:fldChar w:fldCharType="begin"/>
          </w:r>
          <w:r>
            <w:rPr>
              <w:b/>
              <w:sz w:val="24"/>
              <w:szCs w:val="24"/>
            </w:rPr>
            <w:instrText xml:space="preserve"> PAGEREF _Toc25080 \h </w:instrText>
          </w:r>
          <w:r>
            <w:rPr>
              <w:b/>
              <w:sz w:val="24"/>
              <w:szCs w:val="24"/>
            </w:rPr>
            <w:fldChar w:fldCharType="separate"/>
          </w:r>
          <w:r>
            <w:rPr>
              <w:b/>
              <w:sz w:val="24"/>
              <w:szCs w:val="24"/>
            </w:rPr>
            <w:t>59</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_Toc25348 </w:instrText>
          </w:r>
          <w:r>
            <w:rPr>
              <w:sz w:val="24"/>
              <w:szCs w:val="24"/>
              <w:lang w:val="en-US" w:eastAsia="zh-CN"/>
            </w:rPr>
            <w:fldChar w:fldCharType="separate"/>
          </w:r>
          <w:r>
            <w:rPr>
              <w:rFonts w:hint="eastAsia"/>
              <w:sz w:val="24"/>
              <w:szCs w:val="24"/>
              <w:lang w:val="en-US"/>
            </w:rPr>
            <w:t>4.1 施工期污染源分析</w:t>
          </w:r>
          <w:r>
            <w:rPr>
              <w:sz w:val="24"/>
              <w:szCs w:val="24"/>
            </w:rPr>
            <w:tab/>
          </w:r>
          <w:r>
            <w:rPr>
              <w:sz w:val="24"/>
              <w:szCs w:val="24"/>
            </w:rPr>
            <w:fldChar w:fldCharType="begin"/>
          </w:r>
          <w:r>
            <w:rPr>
              <w:sz w:val="24"/>
              <w:szCs w:val="24"/>
            </w:rPr>
            <w:instrText xml:space="preserve"> PAGEREF _Toc25348 \h </w:instrText>
          </w:r>
          <w:r>
            <w:rPr>
              <w:sz w:val="24"/>
              <w:szCs w:val="24"/>
            </w:rPr>
            <w:fldChar w:fldCharType="separate"/>
          </w:r>
          <w:r>
            <w:rPr>
              <w:sz w:val="24"/>
              <w:szCs w:val="24"/>
            </w:rPr>
            <w:t>59</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_Toc4791 </w:instrText>
          </w:r>
          <w:r>
            <w:rPr>
              <w:sz w:val="24"/>
              <w:szCs w:val="24"/>
              <w:lang w:val="en-US" w:eastAsia="zh-CN"/>
            </w:rPr>
            <w:fldChar w:fldCharType="separate"/>
          </w:r>
          <w:r>
            <w:rPr>
              <w:rFonts w:hint="eastAsia" w:ascii="Times New Roman" w:hAnsi="Times New Roman"/>
              <w:sz w:val="24"/>
              <w:szCs w:val="24"/>
              <w:lang w:val="en-US"/>
            </w:rPr>
            <w:t>4.2 项目运营期产污环节</w:t>
          </w:r>
          <w:r>
            <w:rPr>
              <w:sz w:val="24"/>
              <w:szCs w:val="24"/>
            </w:rPr>
            <w:tab/>
          </w:r>
          <w:r>
            <w:rPr>
              <w:sz w:val="24"/>
              <w:szCs w:val="24"/>
            </w:rPr>
            <w:fldChar w:fldCharType="begin"/>
          </w:r>
          <w:r>
            <w:rPr>
              <w:sz w:val="24"/>
              <w:szCs w:val="24"/>
            </w:rPr>
            <w:instrText xml:space="preserve"> PAGEREF _Toc4791 \h </w:instrText>
          </w:r>
          <w:r>
            <w:rPr>
              <w:sz w:val="24"/>
              <w:szCs w:val="24"/>
            </w:rPr>
            <w:fldChar w:fldCharType="separate"/>
          </w:r>
          <w:r>
            <w:rPr>
              <w:sz w:val="24"/>
              <w:szCs w:val="24"/>
            </w:rPr>
            <w:t>62</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_Toc30540 </w:instrText>
          </w:r>
          <w:r>
            <w:rPr>
              <w:b/>
              <w:sz w:val="24"/>
              <w:szCs w:val="24"/>
              <w:lang w:val="en-US" w:eastAsia="zh-CN"/>
            </w:rPr>
            <w:fldChar w:fldCharType="separate"/>
          </w:r>
          <w:r>
            <w:rPr>
              <w:b/>
              <w:sz w:val="24"/>
              <w:szCs w:val="24"/>
              <w:lang w:val="en-US" w:eastAsia="zh-CN"/>
            </w:rPr>
            <w:t>第</w:t>
          </w:r>
          <w:r>
            <w:rPr>
              <w:rFonts w:hint="eastAsia"/>
              <w:b/>
              <w:sz w:val="24"/>
              <w:szCs w:val="24"/>
              <w:lang w:val="en-US" w:eastAsia="zh-CN"/>
            </w:rPr>
            <w:t>五</w:t>
          </w:r>
          <w:r>
            <w:rPr>
              <w:b/>
              <w:sz w:val="24"/>
              <w:szCs w:val="24"/>
              <w:lang w:val="en-US" w:eastAsia="zh-CN"/>
            </w:rPr>
            <w:t>章 环境现状调查与评价</w:t>
          </w:r>
          <w:r>
            <w:rPr>
              <w:b/>
              <w:sz w:val="24"/>
              <w:szCs w:val="24"/>
            </w:rPr>
            <w:tab/>
          </w:r>
          <w:r>
            <w:rPr>
              <w:b/>
              <w:sz w:val="24"/>
              <w:szCs w:val="24"/>
            </w:rPr>
            <w:fldChar w:fldCharType="begin"/>
          </w:r>
          <w:r>
            <w:rPr>
              <w:b/>
              <w:sz w:val="24"/>
              <w:szCs w:val="24"/>
            </w:rPr>
            <w:instrText xml:space="preserve"> PAGEREF _Toc30540 \h </w:instrText>
          </w:r>
          <w:r>
            <w:rPr>
              <w:b/>
              <w:sz w:val="24"/>
              <w:szCs w:val="24"/>
            </w:rPr>
            <w:fldChar w:fldCharType="separate"/>
          </w:r>
          <w:r>
            <w:rPr>
              <w:b/>
              <w:sz w:val="24"/>
              <w:szCs w:val="24"/>
            </w:rPr>
            <w:t>80</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_Toc2540 </w:instrText>
          </w:r>
          <w:r>
            <w:rPr>
              <w:sz w:val="24"/>
              <w:szCs w:val="24"/>
              <w:lang w:val="en-US" w:eastAsia="zh-CN"/>
            </w:rPr>
            <w:fldChar w:fldCharType="separate"/>
          </w:r>
          <w:r>
            <w:rPr>
              <w:rFonts w:hint="eastAsia"/>
              <w:sz w:val="24"/>
              <w:szCs w:val="24"/>
              <w:lang w:val="en-US" w:eastAsia="zh-CN"/>
            </w:rPr>
            <w:t>5</w:t>
          </w:r>
          <w:r>
            <w:rPr>
              <w:rFonts w:hint="default"/>
              <w:sz w:val="24"/>
              <w:szCs w:val="24"/>
              <w:lang w:val="en-US" w:eastAsia="zh-CN"/>
            </w:rPr>
            <w:t xml:space="preserve">.1 </w:t>
          </w:r>
          <w:r>
            <w:rPr>
              <w:rFonts w:hint="eastAsia"/>
              <w:sz w:val="24"/>
              <w:szCs w:val="24"/>
              <w:lang w:val="en-US" w:eastAsia="zh-CN"/>
            </w:rPr>
            <w:t>自然环境概况</w:t>
          </w:r>
          <w:r>
            <w:rPr>
              <w:sz w:val="24"/>
              <w:szCs w:val="24"/>
            </w:rPr>
            <w:tab/>
          </w:r>
          <w:r>
            <w:rPr>
              <w:sz w:val="24"/>
              <w:szCs w:val="24"/>
            </w:rPr>
            <w:fldChar w:fldCharType="begin"/>
          </w:r>
          <w:r>
            <w:rPr>
              <w:sz w:val="24"/>
              <w:szCs w:val="24"/>
            </w:rPr>
            <w:instrText xml:space="preserve"> PAGEREF _Toc2540 \h </w:instrText>
          </w:r>
          <w:r>
            <w:rPr>
              <w:sz w:val="24"/>
              <w:szCs w:val="24"/>
            </w:rPr>
            <w:fldChar w:fldCharType="separate"/>
          </w:r>
          <w:r>
            <w:rPr>
              <w:sz w:val="24"/>
              <w:szCs w:val="24"/>
            </w:rPr>
            <w:t>80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_Toc32414 </w:instrText>
          </w:r>
          <w:r>
            <w:rPr>
              <w:sz w:val="24"/>
              <w:szCs w:val="24"/>
              <w:lang w:val="en-US" w:eastAsia="zh-CN"/>
            </w:rPr>
            <w:fldChar w:fldCharType="separate"/>
          </w:r>
          <w:r>
            <w:rPr>
              <w:rFonts w:hint="default"/>
              <w:sz w:val="24"/>
              <w:szCs w:val="24"/>
              <w:lang w:val="en-US" w:eastAsia="zh-CN"/>
            </w:rPr>
            <w:t xml:space="preserve">5.2 </w:t>
          </w:r>
          <w:r>
            <w:rPr>
              <w:sz w:val="24"/>
              <w:szCs w:val="24"/>
              <w:lang w:val="en-US" w:eastAsia="zh-CN"/>
            </w:rPr>
            <w:t>环境空气质量现状</w:t>
          </w:r>
          <w:r>
            <w:rPr>
              <w:sz w:val="24"/>
              <w:szCs w:val="24"/>
            </w:rPr>
            <w:tab/>
          </w:r>
          <w:r>
            <w:rPr>
              <w:sz w:val="24"/>
              <w:szCs w:val="24"/>
            </w:rPr>
            <w:fldChar w:fldCharType="begin"/>
          </w:r>
          <w:r>
            <w:rPr>
              <w:sz w:val="24"/>
              <w:szCs w:val="24"/>
            </w:rPr>
            <w:instrText xml:space="preserve"> PAGEREF _Toc32414 \h </w:instrText>
          </w:r>
          <w:r>
            <w:rPr>
              <w:sz w:val="24"/>
              <w:szCs w:val="24"/>
            </w:rPr>
            <w:fldChar w:fldCharType="separate"/>
          </w:r>
          <w:r>
            <w:rPr>
              <w:sz w:val="24"/>
              <w:szCs w:val="24"/>
            </w:rPr>
            <w:t>82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_Toc4549 </w:instrText>
          </w:r>
          <w:r>
            <w:rPr>
              <w:sz w:val="24"/>
              <w:szCs w:val="24"/>
              <w:lang w:val="en-US" w:eastAsia="zh-CN"/>
            </w:rPr>
            <w:fldChar w:fldCharType="separate"/>
          </w:r>
          <w:r>
            <w:rPr>
              <w:rFonts w:hint="eastAsia" w:ascii="Times New Roman" w:hAnsi="Times New Roman"/>
              <w:sz w:val="24"/>
              <w:szCs w:val="24"/>
              <w:lang w:val="en-US" w:eastAsia="zh-CN"/>
            </w:rPr>
            <w:t>5.3 地表水环境质量现状</w:t>
          </w:r>
          <w:r>
            <w:rPr>
              <w:sz w:val="24"/>
              <w:szCs w:val="24"/>
            </w:rPr>
            <w:tab/>
          </w:r>
          <w:r>
            <w:rPr>
              <w:sz w:val="24"/>
              <w:szCs w:val="24"/>
            </w:rPr>
            <w:fldChar w:fldCharType="begin"/>
          </w:r>
          <w:r>
            <w:rPr>
              <w:sz w:val="24"/>
              <w:szCs w:val="24"/>
            </w:rPr>
            <w:instrText xml:space="preserve"> PAGEREF _Toc4549 \h </w:instrText>
          </w:r>
          <w:r>
            <w:rPr>
              <w:sz w:val="24"/>
              <w:szCs w:val="24"/>
            </w:rPr>
            <w:fldChar w:fldCharType="separate"/>
          </w:r>
          <w:r>
            <w:rPr>
              <w:sz w:val="24"/>
              <w:szCs w:val="24"/>
            </w:rPr>
            <w:t>86</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_Toc24522 </w:instrText>
          </w:r>
          <w:r>
            <w:rPr>
              <w:sz w:val="24"/>
              <w:szCs w:val="24"/>
              <w:lang w:val="en-US" w:eastAsia="zh-CN"/>
            </w:rPr>
            <w:fldChar w:fldCharType="separate"/>
          </w:r>
          <w:r>
            <w:rPr>
              <w:rFonts w:hint="eastAsia" w:ascii="Times New Roman" w:hAnsi="Times New Roman"/>
              <w:sz w:val="24"/>
              <w:szCs w:val="24"/>
              <w:lang w:val="en-US" w:eastAsia="zh-CN"/>
            </w:rPr>
            <w:t>5.4 地下水环境质量现状调查与评价</w:t>
          </w:r>
          <w:r>
            <w:rPr>
              <w:sz w:val="24"/>
              <w:szCs w:val="24"/>
            </w:rPr>
            <w:tab/>
          </w:r>
          <w:r>
            <w:rPr>
              <w:sz w:val="24"/>
              <w:szCs w:val="24"/>
            </w:rPr>
            <w:fldChar w:fldCharType="begin"/>
          </w:r>
          <w:r>
            <w:rPr>
              <w:sz w:val="24"/>
              <w:szCs w:val="24"/>
            </w:rPr>
            <w:instrText xml:space="preserve"> PAGEREF _Toc24522 \h </w:instrText>
          </w:r>
          <w:r>
            <w:rPr>
              <w:sz w:val="24"/>
              <w:szCs w:val="24"/>
            </w:rPr>
            <w:fldChar w:fldCharType="separate"/>
          </w:r>
          <w:r>
            <w:rPr>
              <w:sz w:val="24"/>
              <w:szCs w:val="24"/>
            </w:rPr>
            <w:t>88</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_Toc3519 </w:instrText>
          </w:r>
          <w:r>
            <w:rPr>
              <w:sz w:val="24"/>
              <w:szCs w:val="24"/>
              <w:lang w:val="en-US" w:eastAsia="zh-CN"/>
            </w:rPr>
            <w:fldChar w:fldCharType="separate"/>
          </w:r>
          <w:r>
            <w:rPr>
              <w:rFonts w:hint="eastAsia" w:ascii="Times New Roman" w:hAnsi="Times New Roman"/>
              <w:sz w:val="24"/>
              <w:szCs w:val="24"/>
              <w:lang w:val="en-US" w:eastAsia="zh-CN"/>
            </w:rPr>
            <w:t>5.5 声环境质量现状监测与评价</w:t>
          </w:r>
          <w:r>
            <w:rPr>
              <w:sz w:val="24"/>
              <w:szCs w:val="24"/>
            </w:rPr>
            <w:tab/>
          </w:r>
          <w:r>
            <w:rPr>
              <w:sz w:val="24"/>
              <w:szCs w:val="24"/>
            </w:rPr>
            <w:fldChar w:fldCharType="begin"/>
          </w:r>
          <w:r>
            <w:rPr>
              <w:sz w:val="24"/>
              <w:szCs w:val="24"/>
            </w:rPr>
            <w:instrText xml:space="preserve"> PAGEREF _Toc3519 \h </w:instrText>
          </w:r>
          <w:r>
            <w:rPr>
              <w:sz w:val="24"/>
              <w:szCs w:val="24"/>
            </w:rPr>
            <w:fldChar w:fldCharType="separate"/>
          </w:r>
          <w:r>
            <w:rPr>
              <w:sz w:val="24"/>
              <w:szCs w:val="24"/>
            </w:rPr>
            <w:t>95</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_Toc28800 </w:instrText>
          </w:r>
          <w:r>
            <w:rPr>
              <w:sz w:val="24"/>
              <w:szCs w:val="24"/>
              <w:lang w:val="en-US" w:eastAsia="zh-CN"/>
            </w:rPr>
            <w:fldChar w:fldCharType="separate"/>
          </w:r>
          <w:r>
            <w:rPr>
              <w:rFonts w:hint="eastAsia" w:ascii="Times New Roman" w:hAnsi="Times New Roman"/>
              <w:sz w:val="24"/>
              <w:szCs w:val="24"/>
              <w:lang w:val="en-US" w:eastAsia="zh-CN"/>
            </w:rPr>
            <w:t>5.6 土壤环境质量现状调查与评价</w:t>
          </w:r>
          <w:r>
            <w:rPr>
              <w:sz w:val="24"/>
              <w:szCs w:val="24"/>
            </w:rPr>
            <w:tab/>
          </w:r>
          <w:r>
            <w:rPr>
              <w:sz w:val="24"/>
              <w:szCs w:val="24"/>
            </w:rPr>
            <w:fldChar w:fldCharType="begin"/>
          </w:r>
          <w:r>
            <w:rPr>
              <w:sz w:val="24"/>
              <w:szCs w:val="24"/>
            </w:rPr>
            <w:instrText xml:space="preserve"> PAGEREF _Toc28800 \h </w:instrText>
          </w:r>
          <w:r>
            <w:rPr>
              <w:sz w:val="24"/>
              <w:szCs w:val="24"/>
            </w:rPr>
            <w:fldChar w:fldCharType="separate"/>
          </w:r>
          <w:r>
            <w:rPr>
              <w:sz w:val="24"/>
              <w:szCs w:val="24"/>
            </w:rPr>
            <w:t>96</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_Toc9293 </w:instrText>
          </w:r>
          <w:r>
            <w:rPr>
              <w:sz w:val="24"/>
              <w:szCs w:val="24"/>
              <w:lang w:val="en-US" w:eastAsia="zh-CN"/>
            </w:rPr>
            <w:fldChar w:fldCharType="separate"/>
          </w:r>
          <w:r>
            <w:rPr>
              <w:rFonts w:hint="eastAsia"/>
              <w:sz w:val="24"/>
              <w:szCs w:val="24"/>
              <w:lang w:val="en-US" w:eastAsia="zh-CN"/>
            </w:rPr>
            <w:t xml:space="preserve">5.7 </w:t>
          </w:r>
          <w:r>
            <w:rPr>
              <w:rFonts w:hint="eastAsia"/>
              <w:sz w:val="24"/>
              <w:szCs w:val="24"/>
            </w:rPr>
            <w:t>环境质量现状评价小结</w:t>
          </w:r>
          <w:r>
            <w:rPr>
              <w:sz w:val="24"/>
              <w:szCs w:val="24"/>
            </w:rPr>
            <w:tab/>
          </w:r>
          <w:r>
            <w:rPr>
              <w:sz w:val="24"/>
              <w:szCs w:val="24"/>
            </w:rPr>
            <w:fldChar w:fldCharType="begin"/>
          </w:r>
          <w:r>
            <w:rPr>
              <w:sz w:val="24"/>
              <w:szCs w:val="24"/>
            </w:rPr>
            <w:instrText xml:space="preserve"> PAGEREF _Toc9293 \h </w:instrText>
          </w:r>
          <w:r>
            <w:rPr>
              <w:sz w:val="24"/>
              <w:szCs w:val="24"/>
            </w:rPr>
            <w:fldChar w:fldCharType="separate"/>
          </w:r>
          <w:r>
            <w:rPr>
              <w:sz w:val="24"/>
              <w:szCs w:val="24"/>
            </w:rPr>
            <w:t>102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_Toc20196 </w:instrText>
          </w:r>
          <w:r>
            <w:rPr>
              <w:sz w:val="24"/>
              <w:szCs w:val="24"/>
              <w:lang w:val="en-US" w:eastAsia="zh-CN"/>
            </w:rPr>
            <w:fldChar w:fldCharType="separate"/>
          </w:r>
          <w:r>
            <w:rPr>
              <w:rFonts w:hint="default"/>
              <w:sz w:val="24"/>
              <w:szCs w:val="24"/>
              <w:lang w:val="en-US" w:eastAsia="zh-CN"/>
            </w:rPr>
            <w:t xml:space="preserve">5.8 </w:t>
          </w:r>
          <w:r>
            <w:rPr>
              <w:sz w:val="24"/>
              <w:szCs w:val="24"/>
              <w:lang w:val="en-US" w:eastAsia="zh-CN"/>
            </w:rPr>
            <w:t>区域污染源调查</w:t>
          </w:r>
          <w:r>
            <w:rPr>
              <w:sz w:val="24"/>
              <w:szCs w:val="24"/>
            </w:rPr>
            <w:tab/>
          </w:r>
          <w:r>
            <w:rPr>
              <w:sz w:val="24"/>
              <w:szCs w:val="24"/>
            </w:rPr>
            <w:fldChar w:fldCharType="begin"/>
          </w:r>
          <w:r>
            <w:rPr>
              <w:sz w:val="24"/>
              <w:szCs w:val="24"/>
            </w:rPr>
            <w:instrText xml:space="preserve"> PAGEREF _Toc20196 \h </w:instrText>
          </w:r>
          <w:r>
            <w:rPr>
              <w:sz w:val="24"/>
              <w:szCs w:val="24"/>
            </w:rPr>
            <w:fldChar w:fldCharType="separate"/>
          </w:r>
          <w:r>
            <w:rPr>
              <w:sz w:val="24"/>
              <w:szCs w:val="24"/>
            </w:rPr>
            <w:t>102</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_Toc11926 </w:instrText>
          </w:r>
          <w:r>
            <w:rPr>
              <w:b/>
              <w:sz w:val="24"/>
              <w:szCs w:val="24"/>
              <w:lang w:val="en-US" w:eastAsia="zh-CN"/>
            </w:rPr>
            <w:fldChar w:fldCharType="separate"/>
          </w:r>
          <w:r>
            <w:rPr>
              <w:b/>
              <w:sz w:val="24"/>
              <w:szCs w:val="24"/>
            </w:rPr>
            <w:t xml:space="preserve">第六章 </w:t>
          </w:r>
          <w:r>
            <w:rPr>
              <w:rFonts w:hint="eastAsia"/>
              <w:b/>
              <w:sz w:val="24"/>
              <w:szCs w:val="24"/>
              <w:lang w:val="en-US"/>
            </w:rPr>
            <w:t xml:space="preserve"> </w:t>
          </w:r>
          <w:r>
            <w:rPr>
              <w:b/>
              <w:sz w:val="24"/>
              <w:szCs w:val="24"/>
            </w:rPr>
            <w:t>环境影响预测与评价</w:t>
          </w:r>
          <w:r>
            <w:rPr>
              <w:b/>
              <w:sz w:val="24"/>
              <w:szCs w:val="24"/>
            </w:rPr>
            <w:tab/>
          </w:r>
          <w:r>
            <w:rPr>
              <w:b/>
              <w:sz w:val="24"/>
              <w:szCs w:val="24"/>
            </w:rPr>
            <w:fldChar w:fldCharType="begin"/>
          </w:r>
          <w:r>
            <w:rPr>
              <w:b/>
              <w:sz w:val="24"/>
              <w:szCs w:val="24"/>
            </w:rPr>
            <w:instrText xml:space="preserve"> PAGEREF _Toc11926 \h </w:instrText>
          </w:r>
          <w:r>
            <w:rPr>
              <w:b/>
              <w:sz w:val="24"/>
              <w:szCs w:val="24"/>
            </w:rPr>
            <w:fldChar w:fldCharType="separate"/>
          </w:r>
          <w:r>
            <w:rPr>
              <w:b/>
              <w:sz w:val="24"/>
              <w:szCs w:val="24"/>
            </w:rPr>
            <w:t>103</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_Toc7372 </w:instrText>
          </w:r>
          <w:r>
            <w:rPr>
              <w:sz w:val="24"/>
              <w:szCs w:val="24"/>
              <w:lang w:val="en-US" w:eastAsia="zh-CN"/>
            </w:rPr>
            <w:fldChar w:fldCharType="separate"/>
          </w:r>
          <w:r>
            <w:rPr>
              <w:sz w:val="24"/>
              <w:szCs w:val="24"/>
              <w:lang w:val="en-US"/>
            </w:rPr>
            <w:t>6.1 建设期环境影响分析</w:t>
          </w:r>
          <w:r>
            <w:rPr>
              <w:sz w:val="24"/>
              <w:szCs w:val="24"/>
            </w:rPr>
            <w:tab/>
          </w:r>
          <w:r>
            <w:rPr>
              <w:sz w:val="24"/>
              <w:szCs w:val="24"/>
            </w:rPr>
            <w:fldChar w:fldCharType="begin"/>
          </w:r>
          <w:r>
            <w:rPr>
              <w:sz w:val="24"/>
              <w:szCs w:val="24"/>
            </w:rPr>
            <w:instrText xml:space="preserve"> PAGEREF _Toc7372 \h </w:instrText>
          </w:r>
          <w:r>
            <w:rPr>
              <w:sz w:val="24"/>
              <w:szCs w:val="24"/>
            </w:rPr>
            <w:fldChar w:fldCharType="separate"/>
          </w:r>
          <w:r>
            <w:rPr>
              <w:sz w:val="24"/>
              <w:szCs w:val="24"/>
            </w:rPr>
            <w:t>103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_Toc26426 </w:instrText>
          </w:r>
          <w:r>
            <w:rPr>
              <w:sz w:val="24"/>
              <w:szCs w:val="24"/>
              <w:lang w:val="en-US" w:eastAsia="zh-CN"/>
            </w:rPr>
            <w:fldChar w:fldCharType="separate"/>
          </w:r>
          <w:r>
            <w:rPr>
              <w:rFonts w:hint="default"/>
              <w:sz w:val="24"/>
              <w:szCs w:val="24"/>
              <w:lang w:val="en-US" w:eastAsia="zh-CN"/>
            </w:rPr>
            <w:t>6.</w:t>
          </w:r>
          <w:r>
            <w:rPr>
              <w:rFonts w:hint="eastAsia"/>
              <w:sz w:val="24"/>
              <w:szCs w:val="24"/>
              <w:lang w:val="en-US" w:eastAsia="zh-CN"/>
            </w:rPr>
            <w:t>2</w:t>
          </w:r>
          <w:r>
            <w:rPr>
              <w:rFonts w:hint="default"/>
              <w:sz w:val="24"/>
              <w:szCs w:val="24"/>
              <w:lang w:val="en-US" w:eastAsia="zh-CN"/>
            </w:rPr>
            <w:t xml:space="preserve"> </w:t>
          </w:r>
          <w:r>
            <w:rPr>
              <w:sz w:val="24"/>
              <w:szCs w:val="24"/>
              <w:lang w:val="en-US" w:eastAsia="zh-CN"/>
            </w:rPr>
            <w:t>环境空气影响预测与评价</w:t>
          </w:r>
          <w:r>
            <w:rPr>
              <w:sz w:val="24"/>
              <w:szCs w:val="24"/>
            </w:rPr>
            <w:tab/>
          </w:r>
          <w:r>
            <w:rPr>
              <w:sz w:val="24"/>
              <w:szCs w:val="24"/>
            </w:rPr>
            <w:fldChar w:fldCharType="begin"/>
          </w:r>
          <w:r>
            <w:rPr>
              <w:sz w:val="24"/>
              <w:szCs w:val="24"/>
            </w:rPr>
            <w:instrText xml:space="preserve"> PAGEREF _Toc26426 \h </w:instrText>
          </w:r>
          <w:r>
            <w:rPr>
              <w:sz w:val="24"/>
              <w:szCs w:val="24"/>
            </w:rPr>
            <w:fldChar w:fldCharType="separate"/>
          </w:r>
          <w:r>
            <w:rPr>
              <w:sz w:val="24"/>
              <w:szCs w:val="24"/>
            </w:rPr>
            <w:t>112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_Toc20974 </w:instrText>
          </w:r>
          <w:r>
            <w:rPr>
              <w:sz w:val="24"/>
              <w:szCs w:val="24"/>
              <w:lang w:val="en-US" w:eastAsia="zh-CN"/>
            </w:rPr>
            <w:fldChar w:fldCharType="separate"/>
          </w:r>
          <w:r>
            <w:rPr>
              <w:rFonts w:hint="eastAsia"/>
              <w:sz w:val="24"/>
              <w:szCs w:val="24"/>
              <w:lang w:val="en-US" w:eastAsia="zh-CN"/>
            </w:rPr>
            <w:t xml:space="preserve">6.3 </w:t>
          </w:r>
          <w:r>
            <w:rPr>
              <w:sz w:val="24"/>
              <w:szCs w:val="24"/>
              <w:lang w:val="en-US"/>
            </w:rPr>
            <w:t>地表水环境影响评价</w:t>
          </w:r>
          <w:r>
            <w:rPr>
              <w:sz w:val="24"/>
              <w:szCs w:val="24"/>
            </w:rPr>
            <w:tab/>
          </w:r>
          <w:r>
            <w:rPr>
              <w:sz w:val="24"/>
              <w:szCs w:val="24"/>
            </w:rPr>
            <w:fldChar w:fldCharType="begin"/>
          </w:r>
          <w:r>
            <w:rPr>
              <w:sz w:val="24"/>
              <w:szCs w:val="24"/>
            </w:rPr>
            <w:instrText xml:space="preserve"> PAGEREF _Toc20974 \h </w:instrText>
          </w:r>
          <w:r>
            <w:rPr>
              <w:sz w:val="24"/>
              <w:szCs w:val="24"/>
            </w:rPr>
            <w:fldChar w:fldCharType="separate"/>
          </w:r>
          <w:r>
            <w:rPr>
              <w:sz w:val="24"/>
              <w:szCs w:val="24"/>
            </w:rPr>
            <w:t>133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_Toc22600 </w:instrText>
          </w:r>
          <w:r>
            <w:rPr>
              <w:sz w:val="24"/>
              <w:szCs w:val="24"/>
              <w:lang w:val="en-US" w:eastAsia="zh-CN"/>
            </w:rPr>
            <w:fldChar w:fldCharType="separate"/>
          </w:r>
          <w:r>
            <w:rPr>
              <w:rFonts w:hint="eastAsia"/>
              <w:sz w:val="24"/>
              <w:szCs w:val="24"/>
              <w:lang w:val="en-US" w:eastAsia="zh-CN"/>
            </w:rPr>
            <w:t>6.4 声环境影响评价</w:t>
          </w:r>
          <w:r>
            <w:rPr>
              <w:sz w:val="24"/>
              <w:szCs w:val="24"/>
            </w:rPr>
            <w:tab/>
          </w:r>
          <w:r>
            <w:rPr>
              <w:sz w:val="24"/>
              <w:szCs w:val="24"/>
            </w:rPr>
            <w:fldChar w:fldCharType="begin"/>
          </w:r>
          <w:r>
            <w:rPr>
              <w:sz w:val="24"/>
              <w:szCs w:val="24"/>
            </w:rPr>
            <w:instrText xml:space="preserve"> PAGEREF _Toc22600 \h </w:instrText>
          </w:r>
          <w:r>
            <w:rPr>
              <w:sz w:val="24"/>
              <w:szCs w:val="24"/>
            </w:rPr>
            <w:fldChar w:fldCharType="separate"/>
          </w:r>
          <w:r>
            <w:rPr>
              <w:sz w:val="24"/>
              <w:szCs w:val="24"/>
            </w:rPr>
            <w:t>133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_Toc17545 </w:instrText>
          </w:r>
          <w:r>
            <w:rPr>
              <w:sz w:val="24"/>
              <w:szCs w:val="24"/>
              <w:lang w:val="en-US" w:eastAsia="zh-CN"/>
            </w:rPr>
            <w:fldChar w:fldCharType="separate"/>
          </w:r>
          <w:r>
            <w:rPr>
              <w:rFonts w:hint="default"/>
              <w:sz w:val="24"/>
              <w:szCs w:val="24"/>
              <w:lang w:val="en-US" w:eastAsia="zh-CN"/>
            </w:rPr>
            <w:t>6.</w:t>
          </w:r>
          <w:r>
            <w:rPr>
              <w:rFonts w:hint="eastAsia"/>
              <w:sz w:val="24"/>
              <w:szCs w:val="24"/>
              <w:lang w:val="en-US" w:eastAsia="zh-CN"/>
            </w:rPr>
            <w:t>5</w:t>
          </w:r>
          <w:r>
            <w:rPr>
              <w:rFonts w:hint="default"/>
              <w:sz w:val="24"/>
              <w:szCs w:val="24"/>
              <w:lang w:val="en-US" w:eastAsia="zh-CN"/>
            </w:rPr>
            <w:t xml:space="preserve"> </w:t>
          </w:r>
          <w:r>
            <w:rPr>
              <w:sz w:val="24"/>
              <w:szCs w:val="24"/>
              <w:lang w:val="en-US" w:eastAsia="zh-CN"/>
            </w:rPr>
            <w:t>营运期地下水影响分析</w:t>
          </w:r>
          <w:r>
            <w:rPr>
              <w:sz w:val="24"/>
              <w:szCs w:val="24"/>
            </w:rPr>
            <w:tab/>
          </w:r>
          <w:r>
            <w:rPr>
              <w:sz w:val="24"/>
              <w:szCs w:val="24"/>
            </w:rPr>
            <w:fldChar w:fldCharType="begin"/>
          </w:r>
          <w:r>
            <w:rPr>
              <w:sz w:val="24"/>
              <w:szCs w:val="24"/>
            </w:rPr>
            <w:instrText xml:space="preserve"> PAGEREF _Toc17545 \h </w:instrText>
          </w:r>
          <w:r>
            <w:rPr>
              <w:sz w:val="24"/>
              <w:szCs w:val="24"/>
            </w:rPr>
            <w:fldChar w:fldCharType="separate"/>
          </w:r>
          <w:r>
            <w:rPr>
              <w:sz w:val="24"/>
              <w:szCs w:val="24"/>
            </w:rPr>
            <w:t>137</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_Toc18883 </w:instrText>
          </w:r>
          <w:r>
            <w:rPr>
              <w:sz w:val="24"/>
              <w:szCs w:val="24"/>
              <w:lang w:val="en-US" w:eastAsia="zh-CN"/>
            </w:rPr>
            <w:fldChar w:fldCharType="separate"/>
          </w:r>
          <w:r>
            <w:rPr>
              <w:rFonts w:hint="eastAsia"/>
              <w:sz w:val="24"/>
              <w:szCs w:val="24"/>
              <w:lang w:val="en-US" w:eastAsia="zh-CN"/>
            </w:rPr>
            <w:t xml:space="preserve">6.6 </w:t>
          </w:r>
          <w:r>
            <w:rPr>
              <w:sz w:val="24"/>
              <w:szCs w:val="24"/>
              <w:lang w:val="en-US" w:eastAsia="zh-CN"/>
            </w:rPr>
            <w:t>土壤环境影响分析</w:t>
          </w:r>
          <w:r>
            <w:rPr>
              <w:sz w:val="24"/>
              <w:szCs w:val="24"/>
            </w:rPr>
            <w:tab/>
          </w:r>
          <w:r>
            <w:rPr>
              <w:sz w:val="24"/>
              <w:szCs w:val="24"/>
            </w:rPr>
            <w:fldChar w:fldCharType="begin"/>
          </w:r>
          <w:r>
            <w:rPr>
              <w:sz w:val="24"/>
              <w:szCs w:val="24"/>
            </w:rPr>
            <w:instrText xml:space="preserve"> PAGEREF _Toc18883 \h </w:instrText>
          </w:r>
          <w:r>
            <w:rPr>
              <w:sz w:val="24"/>
              <w:szCs w:val="24"/>
            </w:rPr>
            <w:fldChar w:fldCharType="separate"/>
          </w:r>
          <w:r>
            <w:rPr>
              <w:sz w:val="24"/>
              <w:szCs w:val="24"/>
            </w:rPr>
            <w:t>156</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_Toc17489 </w:instrText>
          </w:r>
          <w:r>
            <w:rPr>
              <w:sz w:val="24"/>
              <w:szCs w:val="24"/>
              <w:lang w:val="en-US" w:eastAsia="zh-CN"/>
            </w:rPr>
            <w:fldChar w:fldCharType="separate"/>
          </w:r>
          <w:r>
            <w:rPr>
              <w:rFonts w:hint="eastAsia"/>
              <w:sz w:val="24"/>
              <w:szCs w:val="24"/>
              <w:lang w:val="en-US" w:eastAsia="zh-CN"/>
            </w:rPr>
            <w:t xml:space="preserve">6.8 </w:t>
          </w:r>
          <w:r>
            <w:rPr>
              <w:sz w:val="24"/>
              <w:szCs w:val="24"/>
            </w:rPr>
            <w:t>环境风险影响分析</w:t>
          </w:r>
          <w:r>
            <w:rPr>
              <w:sz w:val="24"/>
              <w:szCs w:val="24"/>
            </w:rPr>
            <w:tab/>
          </w:r>
          <w:r>
            <w:rPr>
              <w:sz w:val="24"/>
              <w:szCs w:val="24"/>
            </w:rPr>
            <w:fldChar w:fldCharType="begin"/>
          </w:r>
          <w:r>
            <w:rPr>
              <w:sz w:val="24"/>
              <w:szCs w:val="24"/>
            </w:rPr>
            <w:instrText xml:space="preserve"> PAGEREF _Toc17489 \h </w:instrText>
          </w:r>
          <w:r>
            <w:rPr>
              <w:sz w:val="24"/>
              <w:szCs w:val="24"/>
            </w:rPr>
            <w:fldChar w:fldCharType="separate"/>
          </w:r>
          <w:r>
            <w:rPr>
              <w:sz w:val="24"/>
              <w:szCs w:val="24"/>
            </w:rPr>
            <w:t>160</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_Toc15718 </w:instrText>
          </w:r>
          <w:r>
            <w:rPr>
              <w:b/>
              <w:sz w:val="24"/>
              <w:szCs w:val="24"/>
              <w:lang w:val="en-US" w:eastAsia="zh-CN"/>
            </w:rPr>
            <w:fldChar w:fldCharType="separate"/>
          </w:r>
          <w:r>
            <w:rPr>
              <w:b/>
              <w:sz w:val="24"/>
              <w:szCs w:val="24"/>
            </w:rPr>
            <w:t>第七章</w:t>
          </w:r>
          <w:r>
            <w:rPr>
              <w:rFonts w:hint="eastAsia"/>
              <w:b/>
              <w:sz w:val="24"/>
              <w:szCs w:val="24"/>
              <w:lang w:val="en-US"/>
            </w:rPr>
            <w:t xml:space="preserve">  </w:t>
          </w:r>
          <w:r>
            <w:rPr>
              <w:b/>
              <w:sz w:val="24"/>
              <w:szCs w:val="24"/>
            </w:rPr>
            <w:t>污染防治措施及可行性分析</w:t>
          </w:r>
          <w:r>
            <w:rPr>
              <w:b/>
              <w:sz w:val="24"/>
              <w:szCs w:val="24"/>
            </w:rPr>
            <w:tab/>
          </w:r>
          <w:r>
            <w:rPr>
              <w:b/>
              <w:sz w:val="24"/>
              <w:szCs w:val="24"/>
            </w:rPr>
            <w:fldChar w:fldCharType="begin"/>
          </w:r>
          <w:r>
            <w:rPr>
              <w:b/>
              <w:sz w:val="24"/>
              <w:szCs w:val="24"/>
            </w:rPr>
            <w:instrText xml:space="preserve"> PAGEREF _Toc15718 \h </w:instrText>
          </w:r>
          <w:r>
            <w:rPr>
              <w:b/>
              <w:sz w:val="24"/>
              <w:szCs w:val="24"/>
            </w:rPr>
            <w:fldChar w:fldCharType="separate"/>
          </w:r>
          <w:r>
            <w:rPr>
              <w:b/>
              <w:sz w:val="24"/>
              <w:szCs w:val="24"/>
            </w:rPr>
            <w:t>168</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_Toc16795 </w:instrText>
          </w:r>
          <w:r>
            <w:rPr>
              <w:sz w:val="24"/>
              <w:szCs w:val="24"/>
              <w:lang w:val="en-US" w:eastAsia="zh-CN"/>
            </w:rPr>
            <w:fldChar w:fldCharType="separate"/>
          </w:r>
          <w:r>
            <w:rPr>
              <w:sz w:val="24"/>
              <w:szCs w:val="24"/>
              <w:lang w:val="en-US"/>
            </w:rPr>
            <w:t>7.1 施工期污染防治措施</w:t>
          </w:r>
          <w:r>
            <w:rPr>
              <w:sz w:val="24"/>
              <w:szCs w:val="24"/>
            </w:rPr>
            <w:tab/>
          </w:r>
          <w:r>
            <w:rPr>
              <w:sz w:val="24"/>
              <w:szCs w:val="24"/>
            </w:rPr>
            <w:fldChar w:fldCharType="begin"/>
          </w:r>
          <w:r>
            <w:rPr>
              <w:sz w:val="24"/>
              <w:szCs w:val="24"/>
            </w:rPr>
            <w:instrText xml:space="preserve"> PAGEREF _Toc16795 \h </w:instrText>
          </w:r>
          <w:r>
            <w:rPr>
              <w:sz w:val="24"/>
              <w:szCs w:val="24"/>
            </w:rPr>
            <w:fldChar w:fldCharType="separate"/>
          </w:r>
          <w:r>
            <w:rPr>
              <w:sz w:val="24"/>
              <w:szCs w:val="24"/>
            </w:rPr>
            <w:t>168</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_Toc10640 </w:instrText>
          </w:r>
          <w:r>
            <w:rPr>
              <w:sz w:val="24"/>
              <w:szCs w:val="24"/>
              <w:lang w:val="en-US" w:eastAsia="zh-CN"/>
            </w:rPr>
            <w:fldChar w:fldCharType="separate"/>
          </w:r>
          <w:r>
            <w:rPr>
              <w:sz w:val="24"/>
              <w:szCs w:val="24"/>
              <w:lang w:val="en-US"/>
            </w:rPr>
            <w:t>7.2 营运期污染防治措施</w:t>
          </w:r>
          <w:r>
            <w:rPr>
              <w:sz w:val="24"/>
              <w:szCs w:val="24"/>
            </w:rPr>
            <w:tab/>
          </w:r>
          <w:r>
            <w:rPr>
              <w:sz w:val="24"/>
              <w:szCs w:val="24"/>
            </w:rPr>
            <w:fldChar w:fldCharType="begin"/>
          </w:r>
          <w:r>
            <w:rPr>
              <w:sz w:val="24"/>
              <w:szCs w:val="24"/>
            </w:rPr>
            <w:instrText xml:space="preserve"> PAGEREF _Toc10640 \h </w:instrText>
          </w:r>
          <w:r>
            <w:rPr>
              <w:sz w:val="24"/>
              <w:szCs w:val="24"/>
            </w:rPr>
            <w:fldChar w:fldCharType="separate"/>
          </w:r>
          <w:r>
            <w:rPr>
              <w:sz w:val="24"/>
              <w:szCs w:val="24"/>
            </w:rPr>
            <w:t>174</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_Toc2853 </w:instrText>
          </w:r>
          <w:r>
            <w:rPr>
              <w:sz w:val="24"/>
              <w:szCs w:val="24"/>
              <w:lang w:val="en-US" w:eastAsia="zh-CN"/>
            </w:rPr>
            <w:fldChar w:fldCharType="separate"/>
          </w:r>
          <w:r>
            <w:rPr>
              <w:rFonts w:hint="eastAsia"/>
              <w:sz w:val="24"/>
              <w:szCs w:val="24"/>
              <w:lang w:val="en-US" w:eastAsia="zh-CN"/>
            </w:rPr>
            <w:t xml:space="preserve">7.3 </w:t>
          </w:r>
          <w:r>
            <w:rPr>
              <w:sz w:val="24"/>
              <w:szCs w:val="24"/>
            </w:rPr>
            <w:t>污染防治措施及环保投资汇总</w:t>
          </w:r>
          <w:r>
            <w:rPr>
              <w:sz w:val="24"/>
              <w:szCs w:val="24"/>
            </w:rPr>
            <w:tab/>
          </w:r>
          <w:r>
            <w:rPr>
              <w:sz w:val="24"/>
              <w:szCs w:val="24"/>
            </w:rPr>
            <w:fldChar w:fldCharType="begin"/>
          </w:r>
          <w:r>
            <w:rPr>
              <w:sz w:val="24"/>
              <w:szCs w:val="24"/>
            </w:rPr>
            <w:instrText xml:space="preserve"> PAGEREF _Toc2853 \h </w:instrText>
          </w:r>
          <w:r>
            <w:rPr>
              <w:sz w:val="24"/>
              <w:szCs w:val="24"/>
            </w:rPr>
            <w:fldChar w:fldCharType="separate"/>
          </w:r>
          <w:r>
            <w:rPr>
              <w:sz w:val="24"/>
              <w:szCs w:val="24"/>
            </w:rPr>
            <w:t>188</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_Toc29817 </w:instrText>
          </w:r>
          <w:r>
            <w:rPr>
              <w:b/>
              <w:sz w:val="24"/>
              <w:szCs w:val="24"/>
              <w:lang w:val="en-US" w:eastAsia="zh-CN"/>
            </w:rPr>
            <w:fldChar w:fldCharType="separate"/>
          </w:r>
          <w:r>
            <w:rPr>
              <w:rFonts w:hint="eastAsia"/>
              <w:b/>
              <w:sz w:val="24"/>
              <w:szCs w:val="24"/>
              <w:lang w:eastAsia="zh-CN"/>
            </w:rPr>
            <w:t>第八章</w:t>
          </w:r>
          <w:r>
            <w:rPr>
              <w:rFonts w:hint="eastAsia"/>
              <w:b/>
              <w:sz w:val="24"/>
              <w:szCs w:val="24"/>
              <w:lang w:val="en-US" w:eastAsia="zh-CN"/>
            </w:rPr>
            <w:t xml:space="preserve">  </w:t>
          </w:r>
          <w:r>
            <w:rPr>
              <w:b/>
              <w:sz w:val="24"/>
              <w:szCs w:val="24"/>
            </w:rPr>
            <w:t>环境影响经济损益分析</w:t>
          </w:r>
          <w:r>
            <w:rPr>
              <w:b/>
              <w:sz w:val="24"/>
              <w:szCs w:val="24"/>
            </w:rPr>
            <w:tab/>
          </w:r>
          <w:r>
            <w:rPr>
              <w:b/>
              <w:sz w:val="24"/>
              <w:szCs w:val="24"/>
            </w:rPr>
            <w:fldChar w:fldCharType="begin"/>
          </w:r>
          <w:r>
            <w:rPr>
              <w:b/>
              <w:sz w:val="24"/>
              <w:szCs w:val="24"/>
            </w:rPr>
            <w:instrText xml:space="preserve"> PAGEREF _Toc29817 \h </w:instrText>
          </w:r>
          <w:r>
            <w:rPr>
              <w:b/>
              <w:sz w:val="24"/>
              <w:szCs w:val="24"/>
            </w:rPr>
            <w:fldChar w:fldCharType="separate"/>
          </w:r>
          <w:r>
            <w:rPr>
              <w:b/>
              <w:sz w:val="24"/>
              <w:szCs w:val="24"/>
            </w:rPr>
            <w:t>192</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_Toc16114 </w:instrText>
          </w:r>
          <w:r>
            <w:rPr>
              <w:sz w:val="24"/>
              <w:szCs w:val="24"/>
              <w:lang w:val="en-US" w:eastAsia="zh-CN"/>
            </w:rPr>
            <w:fldChar w:fldCharType="separate"/>
          </w:r>
          <w:r>
            <w:rPr>
              <w:rFonts w:hint="eastAsia"/>
              <w:sz w:val="24"/>
              <w:szCs w:val="24"/>
              <w:lang w:val="en-US" w:eastAsia="zh-CN"/>
            </w:rPr>
            <w:t xml:space="preserve">8.1 </w:t>
          </w:r>
          <w:r>
            <w:rPr>
              <w:sz w:val="24"/>
              <w:szCs w:val="24"/>
            </w:rPr>
            <w:t>环境影响经济损益分析的目的</w:t>
          </w:r>
          <w:r>
            <w:rPr>
              <w:sz w:val="24"/>
              <w:szCs w:val="24"/>
            </w:rPr>
            <w:tab/>
          </w:r>
          <w:r>
            <w:rPr>
              <w:sz w:val="24"/>
              <w:szCs w:val="24"/>
            </w:rPr>
            <w:fldChar w:fldCharType="begin"/>
          </w:r>
          <w:r>
            <w:rPr>
              <w:sz w:val="24"/>
              <w:szCs w:val="24"/>
            </w:rPr>
            <w:instrText xml:space="preserve"> PAGEREF _Toc16114 \h </w:instrText>
          </w:r>
          <w:r>
            <w:rPr>
              <w:sz w:val="24"/>
              <w:szCs w:val="24"/>
            </w:rPr>
            <w:fldChar w:fldCharType="separate"/>
          </w:r>
          <w:r>
            <w:rPr>
              <w:sz w:val="24"/>
              <w:szCs w:val="24"/>
            </w:rPr>
            <w:t>192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_Toc31262 </w:instrText>
          </w:r>
          <w:r>
            <w:rPr>
              <w:sz w:val="24"/>
              <w:szCs w:val="24"/>
              <w:lang w:val="en-US" w:eastAsia="zh-CN"/>
            </w:rPr>
            <w:fldChar w:fldCharType="separate"/>
          </w:r>
          <w:r>
            <w:rPr>
              <w:rFonts w:hint="eastAsia"/>
              <w:sz w:val="24"/>
              <w:szCs w:val="24"/>
              <w:lang w:val="en-US" w:eastAsia="zh-CN"/>
            </w:rPr>
            <w:t xml:space="preserve">8.2 </w:t>
          </w:r>
          <w:r>
            <w:rPr>
              <w:sz w:val="24"/>
              <w:szCs w:val="24"/>
            </w:rPr>
            <w:t>经济损益分析</w:t>
          </w:r>
          <w:r>
            <w:rPr>
              <w:sz w:val="24"/>
              <w:szCs w:val="24"/>
            </w:rPr>
            <w:tab/>
          </w:r>
          <w:r>
            <w:rPr>
              <w:sz w:val="24"/>
              <w:szCs w:val="24"/>
            </w:rPr>
            <w:fldChar w:fldCharType="begin"/>
          </w:r>
          <w:r>
            <w:rPr>
              <w:sz w:val="24"/>
              <w:szCs w:val="24"/>
            </w:rPr>
            <w:instrText xml:space="preserve"> PAGEREF _Toc31262 \h </w:instrText>
          </w:r>
          <w:r>
            <w:rPr>
              <w:sz w:val="24"/>
              <w:szCs w:val="24"/>
            </w:rPr>
            <w:fldChar w:fldCharType="separate"/>
          </w:r>
          <w:r>
            <w:rPr>
              <w:sz w:val="24"/>
              <w:szCs w:val="24"/>
            </w:rPr>
            <w:t>192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_Toc12035 </w:instrText>
          </w:r>
          <w:r>
            <w:rPr>
              <w:sz w:val="24"/>
              <w:szCs w:val="24"/>
              <w:lang w:val="en-US" w:eastAsia="zh-CN"/>
            </w:rPr>
            <w:fldChar w:fldCharType="separate"/>
          </w:r>
          <w:r>
            <w:rPr>
              <w:rFonts w:hint="eastAsia"/>
              <w:sz w:val="24"/>
              <w:szCs w:val="24"/>
              <w:lang w:val="en-US" w:eastAsia="zh-CN"/>
            </w:rPr>
            <w:t xml:space="preserve">8.3 </w:t>
          </w:r>
          <w:r>
            <w:rPr>
              <w:rFonts w:ascii="Times New Roman" w:hAnsi="Times New Roman"/>
              <w:sz w:val="24"/>
              <w:szCs w:val="24"/>
            </w:rPr>
            <w:t>社会损益分析</w:t>
          </w:r>
          <w:r>
            <w:rPr>
              <w:sz w:val="24"/>
              <w:szCs w:val="24"/>
            </w:rPr>
            <w:tab/>
          </w:r>
          <w:r>
            <w:rPr>
              <w:sz w:val="24"/>
              <w:szCs w:val="24"/>
            </w:rPr>
            <w:fldChar w:fldCharType="begin"/>
          </w:r>
          <w:r>
            <w:rPr>
              <w:sz w:val="24"/>
              <w:szCs w:val="24"/>
            </w:rPr>
            <w:instrText xml:space="preserve"> PAGEREF _Toc12035 \h </w:instrText>
          </w:r>
          <w:r>
            <w:rPr>
              <w:sz w:val="24"/>
              <w:szCs w:val="24"/>
            </w:rPr>
            <w:fldChar w:fldCharType="separate"/>
          </w:r>
          <w:r>
            <w:rPr>
              <w:sz w:val="24"/>
              <w:szCs w:val="24"/>
            </w:rPr>
            <w:t>192</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_Toc31370 </w:instrText>
          </w:r>
          <w:r>
            <w:rPr>
              <w:sz w:val="24"/>
              <w:szCs w:val="24"/>
              <w:lang w:val="en-US" w:eastAsia="zh-CN"/>
            </w:rPr>
            <w:fldChar w:fldCharType="separate"/>
          </w:r>
          <w:r>
            <w:rPr>
              <w:rFonts w:hint="eastAsia"/>
              <w:sz w:val="24"/>
              <w:szCs w:val="24"/>
              <w:lang w:val="en-US" w:eastAsia="zh-CN"/>
            </w:rPr>
            <w:t xml:space="preserve">8.4 </w:t>
          </w:r>
          <w:r>
            <w:rPr>
              <w:sz w:val="24"/>
              <w:szCs w:val="24"/>
            </w:rPr>
            <w:t>环境损益分析</w:t>
          </w:r>
          <w:r>
            <w:rPr>
              <w:sz w:val="24"/>
              <w:szCs w:val="24"/>
            </w:rPr>
            <w:tab/>
          </w:r>
          <w:r>
            <w:rPr>
              <w:sz w:val="24"/>
              <w:szCs w:val="24"/>
            </w:rPr>
            <w:fldChar w:fldCharType="begin"/>
          </w:r>
          <w:r>
            <w:rPr>
              <w:sz w:val="24"/>
              <w:szCs w:val="24"/>
            </w:rPr>
            <w:instrText xml:space="preserve"> PAGEREF _Toc31370 \h </w:instrText>
          </w:r>
          <w:r>
            <w:rPr>
              <w:sz w:val="24"/>
              <w:szCs w:val="24"/>
            </w:rPr>
            <w:fldChar w:fldCharType="separate"/>
          </w:r>
          <w:r>
            <w:rPr>
              <w:sz w:val="24"/>
              <w:szCs w:val="24"/>
            </w:rPr>
            <w:t>192</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_Toc16641 </w:instrText>
          </w:r>
          <w:r>
            <w:rPr>
              <w:b/>
              <w:sz w:val="24"/>
              <w:szCs w:val="24"/>
              <w:lang w:val="en-US" w:eastAsia="zh-CN"/>
            </w:rPr>
            <w:fldChar w:fldCharType="separate"/>
          </w:r>
          <w:r>
            <w:rPr>
              <w:b/>
              <w:sz w:val="24"/>
              <w:szCs w:val="24"/>
              <w:lang w:val="en-US" w:eastAsia="zh-CN"/>
            </w:rPr>
            <w:t>第九章</w:t>
          </w:r>
          <w:r>
            <w:rPr>
              <w:rFonts w:hint="default"/>
              <w:b/>
              <w:sz w:val="24"/>
              <w:szCs w:val="24"/>
              <w:lang w:val="en-US" w:eastAsia="zh-CN"/>
            </w:rPr>
            <w:t xml:space="preserve"> </w:t>
          </w:r>
          <w:r>
            <w:rPr>
              <w:rFonts w:hint="eastAsia"/>
              <w:b/>
              <w:sz w:val="24"/>
              <w:szCs w:val="24"/>
              <w:lang w:val="en-US" w:eastAsia="zh-CN"/>
            </w:rPr>
            <w:t>环境管理与监测计划</w:t>
          </w:r>
          <w:r>
            <w:rPr>
              <w:b/>
              <w:sz w:val="24"/>
              <w:szCs w:val="24"/>
            </w:rPr>
            <w:tab/>
          </w:r>
          <w:r>
            <w:rPr>
              <w:b/>
              <w:sz w:val="24"/>
              <w:szCs w:val="24"/>
            </w:rPr>
            <w:fldChar w:fldCharType="begin"/>
          </w:r>
          <w:r>
            <w:rPr>
              <w:b/>
              <w:sz w:val="24"/>
              <w:szCs w:val="24"/>
            </w:rPr>
            <w:instrText xml:space="preserve"> PAGEREF _Toc16641 \h </w:instrText>
          </w:r>
          <w:r>
            <w:rPr>
              <w:b/>
              <w:sz w:val="24"/>
              <w:szCs w:val="24"/>
            </w:rPr>
            <w:fldChar w:fldCharType="separate"/>
          </w:r>
          <w:r>
            <w:rPr>
              <w:b/>
              <w:sz w:val="24"/>
              <w:szCs w:val="24"/>
            </w:rPr>
            <w:t>196</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_Toc31588 </w:instrText>
          </w:r>
          <w:r>
            <w:rPr>
              <w:sz w:val="24"/>
              <w:szCs w:val="24"/>
              <w:lang w:val="en-US" w:eastAsia="zh-CN"/>
            </w:rPr>
            <w:fldChar w:fldCharType="separate"/>
          </w:r>
          <w:r>
            <w:rPr>
              <w:rFonts w:hint="default"/>
              <w:sz w:val="24"/>
              <w:szCs w:val="24"/>
              <w:lang w:val="en-US" w:eastAsia="zh-CN"/>
            </w:rPr>
            <w:t xml:space="preserve">9.1 </w:t>
          </w:r>
          <w:r>
            <w:rPr>
              <w:rFonts w:hint="eastAsia"/>
              <w:sz w:val="24"/>
              <w:szCs w:val="24"/>
              <w:lang w:val="en-US" w:eastAsia="zh-CN"/>
            </w:rPr>
            <w:t>环境管理</w:t>
          </w:r>
          <w:r>
            <w:rPr>
              <w:sz w:val="24"/>
              <w:szCs w:val="24"/>
            </w:rPr>
            <w:tab/>
          </w:r>
          <w:r>
            <w:rPr>
              <w:sz w:val="24"/>
              <w:szCs w:val="24"/>
            </w:rPr>
            <w:fldChar w:fldCharType="begin"/>
          </w:r>
          <w:r>
            <w:rPr>
              <w:sz w:val="24"/>
              <w:szCs w:val="24"/>
            </w:rPr>
            <w:instrText xml:space="preserve"> PAGEREF _Toc31588 \h </w:instrText>
          </w:r>
          <w:r>
            <w:rPr>
              <w:sz w:val="24"/>
              <w:szCs w:val="24"/>
            </w:rPr>
            <w:fldChar w:fldCharType="separate"/>
          </w:r>
          <w:r>
            <w:rPr>
              <w:sz w:val="24"/>
              <w:szCs w:val="24"/>
            </w:rPr>
            <w:t>196</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_Toc18452 </w:instrText>
          </w:r>
          <w:r>
            <w:rPr>
              <w:sz w:val="24"/>
              <w:szCs w:val="24"/>
              <w:lang w:val="en-US" w:eastAsia="zh-CN"/>
            </w:rPr>
            <w:fldChar w:fldCharType="separate"/>
          </w:r>
          <w:r>
            <w:rPr>
              <w:rFonts w:hint="default"/>
              <w:sz w:val="24"/>
              <w:szCs w:val="24"/>
              <w:lang w:val="en-US" w:eastAsia="zh-CN"/>
            </w:rPr>
            <w:t>9.</w:t>
          </w:r>
          <w:r>
            <w:rPr>
              <w:rFonts w:hint="eastAsia"/>
              <w:sz w:val="24"/>
              <w:szCs w:val="24"/>
              <w:lang w:val="en-US" w:eastAsia="zh-CN"/>
            </w:rPr>
            <w:t>2</w:t>
          </w:r>
          <w:r>
            <w:rPr>
              <w:rFonts w:hint="default"/>
              <w:sz w:val="24"/>
              <w:szCs w:val="24"/>
              <w:lang w:val="en-US" w:eastAsia="zh-CN"/>
            </w:rPr>
            <w:t xml:space="preserve"> </w:t>
          </w:r>
          <w:r>
            <w:rPr>
              <w:sz w:val="24"/>
              <w:szCs w:val="24"/>
              <w:lang w:val="en-US" w:eastAsia="zh-CN"/>
            </w:rPr>
            <w:t>环境管理制度的建立</w:t>
          </w:r>
          <w:r>
            <w:rPr>
              <w:sz w:val="24"/>
              <w:szCs w:val="24"/>
            </w:rPr>
            <w:tab/>
          </w:r>
          <w:r>
            <w:rPr>
              <w:sz w:val="24"/>
              <w:szCs w:val="24"/>
            </w:rPr>
            <w:fldChar w:fldCharType="begin"/>
          </w:r>
          <w:r>
            <w:rPr>
              <w:sz w:val="24"/>
              <w:szCs w:val="24"/>
            </w:rPr>
            <w:instrText xml:space="preserve"> PAGEREF _Toc18452 \h </w:instrText>
          </w:r>
          <w:r>
            <w:rPr>
              <w:sz w:val="24"/>
              <w:szCs w:val="24"/>
            </w:rPr>
            <w:fldChar w:fldCharType="separate"/>
          </w:r>
          <w:r>
            <w:rPr>
              <w:sz w:val="24"/>
              <w:szCs w:val="24"/>
            </w:rPr>
            <w:t>204</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_Toc16104 </w:instrText>
          </w:r>
          <w:r>
            <w:rPr>
              <w:sz w:val="24"/>
              <w:szCs w:val="24"/>
              <w:lang w:val="en-US" w:eastAsia="zh-CN"/>
            </w:rPr>
            <w:fldChar w:fldCharType="separate"/>
          </w:r>
          <w:r>
            <w:rPr>
              <w:rFonts w:hint="default"/>
              <w:sz w:val="24"/>
              <w:szCs w:val="24"/>
              <w:lang w:val="en-US" w:eastAsia="zh-CN"/>
            </w:rPr>
            <w:t>9.</w:t>
          </w:r>
          <w:r>
            <w:rPr>
              <w:rFonts w:hint="eastAsia"/>
              <w:sz w:val="24"/>
              <w:szCs w:val="24"/>
              <w:lang w:val="en-US" w:eastAsia="zh-CN"/>
            </w:rPr>
            <w:t>3</w:t>
          </w:r>
          <w:r>
            <w:rPr>
              <w:rFonts w:hint="default"/>
              <w:sz w:val="24"/>
              <w:szCs w:val="24"/>
              <w:lang w:val="en-US" w:eastAsia="zh-CN"/>
            </w:rPr>
            <w:t xml:space="preserve"> </w:t>
          </w:r>
          <w:r>
            <w:rPr>
              <w:sz w:val="24"/>
              <w:szCs w:val="24"/>
              <w:lang w:val="en-US" w:eastAsia="zh-CN"/>
            </w:rPr>
            <w:t>排污口规范化要求</w:t>
          </w:r>
          <w:r>
            <w:rPr>
              <w:sz w:val="24"/>
              <w:szCs w:val="24"/>
            </w:rPr>
            <w:tab/>
          </w:r>
          <w:r>
            <w:rPr>
              <w:sz w:val="24"/>
              <w:szCs w:val="24"/>
            </w:rPr>
            <w:fldChar w:fldCharType="begin"/>
          </w:r>
          <w:r>
            <w:rPr>
              <w:sz w:val="24"/>
              <w:szCs w:val="24"/>
            </w:rPr>
            <w:instrText xml:space="preserve"> PAGEREF _Toc16104 \h </w:instrText>
          </w:r>
          <w:r>
            <w:rPr>
              <w:sz w:val="24"/>
              <w:szCs w:val="24"/>
            </w:rPr>
            <w:fldChar w:fldCharType="separate"/>
          </w:r>
          <w:r>
            <w:rPr>
              <w:sz w:val="24"/>
              <w:szCs w:val="24"/>
            </w:rPr>
            <w:t>205</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_Toc4722 </w:instrText>
          </w:r>
          <w:r>
            <w:rPr>
              <w:sz w:val="24"/>
              <w:szCs w:val="24"/>
              <w:lang w:val="en-US" w:eastAsia="zh-CN"/>
            </w:rPr>
            <w:fldChar w:fldCharType="separate"/>
          </w:r>
          <w:r>
            <w:rPr>
              <w:rFonts w:hint="eastAsia"/>
              <w:sz w:val="24"/>
              <w:szCs w:val="24"/>
              <w:lang w:val="en-US" w:eastAsia="zh-CN"/>
            </w:rPr>
            <w:t>9.4</w:t>
          </w:r>
          <w:r>
            <w:rPr>
              <w:rFonts w:hint="default"/>
              <w:sz w:val="24"/>
              <w:szCs w:val="24"/>
              <w:lang w:val="en-US" w:eastAsia="zh-CN"/>
            </w:rPr>
            <w:t xml:space="preserve"> </w:t>
          </w:r>
          <w:r>
            <w:rPr>
              <w:sz w:val="24"/>
              <w:szCs w:val="24"/>
              <w:lang w:val="en-US" w:eastAsia="zh-CN"/>
            </w:rPr>
            <w:t>环境监测计划</w:t>
          </w:r>
          <w:r>
            <w:rPr>
              <w:sz w:val="24"/>
              <w:szCs w:val="24"/>
            </w:rPr>
            <w:tab/>
          </w:r>
          <w:r>
            <w:rPr>
              <w:sz w:val="24"/>
              <w:szCs w:val="24"/>
            </w:rPr>
            <w:fldChar w:fldCharType="begin"/>
          </w:r>
          <w:r>
            <w:rPr>
              <w:sz w:val="24"/>
              <w:szCs w:val="24"/>
            </w:rPr>
            <w:instrText xml:space="preserve"> PAGEREF _Toc4722 \h </w:instrText>
          </w:r>
          <w:r>
            <w:rPr>
              <w:sz w:val="24"/>
              <w:szCs w:val="24"/>
            </w:rPr>
            <w:fldChar w:fldCharType="separate"/>
          </w:r>
          <w:r>
            <w:rPr>
              <w:sz w:val="24"/>
              <w:szCs w:val="24"/>
            </w:rPr>
            <w:t>206</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_Toc17335 </w:instrText>
          </w:r>
          <w:r>
            <w:rPr>
              <w:sz w:val="24"/>
              <w:szCs w:val="24"/>
              <w:lang w:val="en-US" w:eastAsia="zh-CN"/>
            </w:rPr>
            <w:fldChar w:fldCharType="separate"/>
          </w:r>
          <w:r>
            <w:rPr>
              <w:rFonts w:hint="default"/>
              <w:sz w:val="24"/>
              <w:szCs w:val="24"/>
              <w:lang w:val="en-US" w:eastAsia="zh-CN"/>
            </w:rPr>
            <w:t>9.</w:t>
          </w:r>
          <w:r>
            <w:rPr>
              <w:rFonts w:hint="eastAsia"/>
              <w:sz w:val="24"/>
              <w:szCs w:val="24"/>
              <w:lang w:val="en-US" w:eastAsia="zh-CN"/>
            </w:rPr>
            <w:t>5</w:t>
          </w:r>
          <w:r>
            <w:rPr>
              <w:rFonts w:hint="default"/>
              <w:sz w:val="24"/>
              <w:szCs w:val="24"/>
              <w:lang w:val="en-US" w:eastAsia="zh-CN"/>
            </w:rPr>
            <w:t xml:space="preserve"> </w:t>
          </w:r>
          <w:r>
            <w:rPr>
              <w:sz w:val="24"/>
              <w:szCs w:val="24"/>
              <w:lang w:val="en-US" w:eastAsia="zh-CN"/>
            </w:rPr>
            <w:t>建设项目竣工环保验收内容</w:t>
          </w:r>
          <w:r>
            <w:rPr>
              <w:sz w:val="24"/>
              <w:szCs w:val="24"/>
            </w:rPr>
            <w:tab/>
          </w:r>
          <w:r>
            <w:rPr>
              <w:sz w:val="24"/>
              <w:szCs w:val="24"/>
            </w:rPr>
            <w:fldChar w:fldCharType="begin"/>
          </w:r>
          <w:r>
            <w:rPr>
              <w:sz w:val="24"/>
              <w:szCs w:val="24"/>
            </w:rPr>
            <w:instrText xml:space="preserve"> PAGEREF _Toc17335 \h </w:instrText>
          </w:r>
          <w:r>
            <w:rPr>
              <w:sz w:val="24"/>
              <w:szCs w:val="24"/>
            </w:rPr>
            <w:fldChar w:fldCharType="separate"/>
          </w:r>
          <w:r>
            <w:rPr>
              <w:sz w:val="24"/>
              <w:szCs w:val="24"/>
            </w:rPr>
            <w:t>208</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_Toc28782 </w:instrText>
          </w:r>
          <w:r>
            <w:rPr>
              <w:sz w:val="24"/>
              <w:szCs w:val="24"/>
              <w:lang w:val="en-US" w:eastAsia="zh-CN"/>
            </w:rPr>
            <w:fldChar w:fldCharType="separate"/>
          </w:r>
          <w:r>
            <w:rPr>
              <w:rFonts w:hint="default"/>
              <w:sz w:val="24"/>
              <w:szCs w:val="24"/>
              <w:lang w:val="en-US" w:eastAsia="zh-CN"/>
            </w:rPr>
            <w:t>9.</w:t>
          </w:r>
          <w:r>
            <w:rPr>
              <w:rFonts w:hint="eastAsia"/>
              <w:sz w:val="24"/>
              <w:szCs w:val="24"/>
              <w:lang w:val="en-US" w:eastAsia="zh-CN"/>
            </w:rPr>
            <w:t>6</w:t>
          </w:r>
          <w:r>
            <w:rPr>
              <w:rFonts w:hint="default"/>
              <w:sz w:val="24"/>
              <w:szCs w:val="24"/>
              <w:lang w:val="en-US" w:eastAsia="zh-CN"/>
            </w:rPr>
            <w:t xml:space="preserve"> </w:t>
          </w:r>
          <w:r>
            <w:rPr>
              <w:sz w:val="24"/>
              <w:szCs w:val="24"/>
              <w:lang w:val="en-US" w:eastAsia="zh-CN"/>
            </w:rPr>
            <w:t>总量控制</w:t>
          </w:r>
          <w:r>
            <w:rPr>
              <w:sz w:val="24"/>
              <w:szCs w:val="24"/>
            </w:rPr>
            <w:tab/>
          </w:r>
          <w:r>
            <w:rPr>
              <w:sz w:val="24"/>
              <w:szCs w:val="24"/>
            </w:rPr>
            <w:fldChar w:fldCharType="begin"/>
          </w:r>
          <w:r>
            <w:rPr>
              <w:sz w:val="24"/>
              <w:szCs w:val="24"/>
            </w:rPr>
            <w:instrText xml:space="preserve"> PAGEREF _Toc28782 \h </w:instrText>
          </w:r>
          <w:r>
            <w:rPr>
              <w:sz w:val="24"/>
              <w:szCs w:val="24"/>
            </w:rPr>
            <w:fldChar w:fldCharType="separate"/>
          </w:r>
          <w:r>
            <w:rPr>
              <w:sz w:val="24"/>
              <w:szCs w:val="24"/>
            </w:rPr>
            <w:t>209</w:t>
          </w:r>
          <w:r>
            <w:rPr>
              <w:sz w:val="24"/>
              <w:szCs w:val="24"/>
            </w:rPr>
            <w:fldChar w:fldCharType="end"/>
          </w:r>
          <w:r>
            <w:rPr>
              <w:sz w:val="24"/>
              <w:szCs w:val="24"/>
              <w:lang w:val="en-US" w:eastAsia="zh-CN"/>
            </w:rPr>
            <w:fldChar w:fldCharType="end"/>
          </w:r>
        </w:p>
        <w:p>
          <w:pPr>
            <w:pStyle w:val="48"/>
            <w:tabs>
              <w:tab w:val="right" w:leader="dot" w:pos="9072"/>
            </w:tabs>
            <w:spacing w:line="360" w:lineRule="auto"/>
            <w:rPr>
              <w:b/>
              <w:sz w:val="24"/>
              <w:szCs w:val="24"/>
            </w:rPr>
          </w:pPr>
          <w:r>
            <w:rPr>
              <w:b/>
              <w:sz w:val="24"/>
              <w:szCs w:val="24"/>
              <w:lang w:val="en-US" w:eastAsia="zh-CN"/>
            </w:rPr>
            <w:fldChar w:fldCharType="begin"/>
          </w:r>
          <w:r>
            <w:rPr>
              <w:b/>
              <w:sz w:val="24"/>
              <w:szCs w:val="24"/>
              <w:lang w:val="en-US" w:eastAsia="zh-CN"/>
            </w:rPr>
            <w:instrText xml:space="preserve"> HYPERLINK \l _Toc7205 </w:instrText>
          </w:r>
          <w:r>
            <w:rPr>
              <w:b/>
              <w:sz w:val="24"/>
              <w:szCs w:val="24"/>
              <w:lang w:val="en-US" w:eastAsia="zh-CN"/>
            </w:rPr>
            <w:fldChar w:fldCharType="separate"/>
          </w:r>
          <w:r>
            <w:rPr>
              <w:rFonts w:hint="eastAsia"/>
              <w:b/>
              <w:sz w:val="24"/>
              <w:szCs w:val="24"/>
              <w:lang w:val="en-US"/>
            </w:rPr>
            <w:t xml:space="preserve">第十章  </w:t>
          </w:r>
          <w:r>
            <w:rPr>
              <w:b/>
              <w:sz w:val="24"/>
              <w:szCs w:val="24"/>
              <w:lang w:val="en-US"/>
            </w:rPr>
            <w:t>评价结论</w:t>
          </w:r>
          <w:r>
            <w:rPr>
              <w:b/>
              <w:sz w:val="24"/>
              <w:szCs w:val="24"/>
            </w:rPr>
            <w:tab/>
          </w:r>
          <w:r>
            <w:rPr>
              <w:b/>
              <w:sz w:val="24"/>
              <w:szCs w:val="24"/>
            </w:rPr>
            <w:fldChar w:fldCharType="begin"/>
          </w:r>
          <w:r>
            <w:rPr>
              <w:b/>
              <w:sz w:val="24"/>
              <w:szCs w:val="24"/>
            </w:rPr>
            <w:instrText xml:space="preserve"> PAGEREF _Toc7205 \h </w:instrText>
          </w:r>
          <w:r>
            <w:rPr>
              <w:b/>
              <w:sz w:val="24"/>
              <w:szCs w:val="24"/>
            </w:rPr>
            <w:fldChar w:fldCharType="separate"/>
          </w:r>
          <w:r>
            <w:rPr>
              <w:b/>
              <w:sz w:val="24"/>
              <w:szCs w:val="24"/>
            </w:rPr>
            <w:t>210</w:t>
          </w:r>
          <w:r>
            <w:rPr>
              <w:b/>
              <w:sz w:val="24"/>
              <w:szCs w:val="24"/>
            </w:rPr>
            <w:fldChar w:fldCharType="end"/>
          </w:r>
          <w:r>
            <w:rPr>
              <w:b/>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_Toc26904 </w:instrText>
          </w:r>
          <w:r>
            <w:rPr>
              <w:sz w:val="24"/>
              <w:szCs w:val="24"/>
              <w:lang w:val="en-US" w:eastAsia="zh-CN"/>
            </w:rPr>
            <w:fldChar w:fldCharType="separate"/>
          </w:r>
          <w:r>
            <w:rPr>
              <w:sz w:val="24"/>
              <w:szCs w:val="24"/>
              <w:lang w:val="en-US"/>
            </w:rPr>
            <w:t xml:space="preserve">10.1 </w:t>
          </w:r>
          <w:r>
            <w:rPr>
              <w:rFonts w:hint="eastAsia"/>
              <w:sz w:val="24"/>
              <w:szCs w:val="24"/>
              <w:lang w:val="en-US"/>
            </w:rPr>
            <w:t>项目概况</w:t>
          </w:r>
          <w:r>
            <w:rPr>
              <w:sz w:val="24"/>
              <w:szCs w:val="24"/>
            </w:rPr>
            <w:tab/>
          </w:r>
          <w:r>
            <w:rPr>
              <w:sz w:val="24"/>
              <w:szCs w:val="24"/>
            </w:rPr>
            <w:fldChar w:fldCharType="begin"/>
          </w:r>
          <w:r>
            <w:rPr>
              <w:sz w:val="24"/>
              <w:szCs w:val="24"/>
            </w:rPr>
            <w:instrText xml:space="preserve"> PAGEREF _Toc26904 \h </w:instrText>
          </w:r>
          <w:r>
            <w:rPr>
              <w:sz w:val="24"/>
              <w:szCs w:val="24"/>
            </w:rPr>
            <w:fldChar w:fldCharType="separate"/>
          </w:r>
          <w:r>
            <w:rPr>
              <w:sz w:val="24"/>
              <w:szCs w:val="24"/>
            </w:rPr>
            <w:t>210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_Toc8427 </w:instrText>
          </w:r>
          <w:r>
            <w:rPr>
              <w:sz w:val="24"/>
              <w:szCs w:val="24"/>
              <w:lang w:val="en-US" w:eastAsia="zh-CN"/>
            </w:rPr>
            <w:fldChar w:fldCharType="separate"/>
          </w:r>
          <w:r>
            <w:rPr>
              <w:rFonts w:ascii="Times New Roman" w:hAnsi="Times New Roman" w:eastAsia="宋体" w:cs="宋体"/>
              <w:sz w:val="24"/>
              <w:szCs w:val="24"/>
              <w:lang w:val="en-US"/>
            </w:rPr>
            <w:t>10.2 项目相符性结论</w:t>
          </w:r>
          <w:r>
            <w:rPr>
              <w:sz w:val="24"/>
              <w:szCs w:val="24"/>
            </w:rPr>
            <w:tab/>
          </w:r>
          <w:r>
            <w:rPr>
              <w:sz w:val="24"/>
              <w:szCs w:val="24"/>
            </w:rPr>
            <w:fldChar w:fldCharType="begin"/>
          </w:r>
          <w:r>
            <w:rPr>
              <w:sz w:val="24"/>
              <w:szCs w:val="24"/>
            </w:rPr>
            <w:instrText xml:space="preserve"> PAGEREF _Toc8427 \h </w:instrText>
          </w:r>
          <w:r>
            <w:rPr>
              <w:sz w:val="24"/>
              <w:szCs w:val="24"/>
            </w:rPr>
            <w:fldChar w:fldCharType="separate"/>
          </w:r>
          <w:r>
            <w:rPr>
              <w:sz w:val="24"/>
              <w:szCs w:val="24"/>
            </w:rPr>
            <w:t>210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_Toc12449 </w:instrText>
          </w:r>
          <w:r>
            <w:rPr>
              <w:sz w:val="24"/>
              <w:szCs w:val="24"/>
              <w:lang w:val="en-US" w:eastAsia="zh-CN"/>
            </w:rPr>
            <w:fldChar w:fldCharType="separate"/>
          </w:r>
          <w:r>
            <w:rPr>
              <w:rFonts w:ascii="Times New Roman" w:hAnsi="Times New Roman" w:eastAsia="宋体" w:cs="宋体"/>
              <w:sz w:val="24"/>
              <w:szCs w:val="24"/>
              <w:lang w:val="en-US"/>
            </w:rPr>
            <w:t>10.3 环境质量现状</w:t>
          </w:r>
          <w:r>
            <w:rPr>
              <w:sz w:val="24"/>
              <w:szCs w:val="24"/>
            </w:rPr>
            <w:tab/>
          </w:r>
          <w:r>
            <w:rPr>
              <w:sz w:val="24"/>
              <w:szCs w:val="24"/>
            </w:rPr>
            <w:fldChar w:fldCharType="begin"/>
          </w:r>
          <w:r>
            <w:rPr>
              <w:sz w:val="24"/>
              <w:szCs w:val="24"/>
            </w:rPr>
            <w:instrText xml:space="preserve"> PAGEREF _Toc12449 \h </w:instrText>
          </w:r>
          <w:r>
            <w:rPr>
              <w:sz w:val="24"/>
              <w:szCs w:val="24"/>
            </w:rPr>
            <w:fldChar w:fldCharType="separate"/>
          </w:r>
          <w:r>
            <w:rPr>
              <w:sz w:val="24"/>
              <w:szCs w:val="24"/>
            </w:rPr>
            <w:t>210</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_Toc25186 </w:instrText>
          </w:r>
          <w:r>
            <w:rPr>
              <w:sz w:val="24"/>
              <w:szCs w:val="24"/>
              <w:lang w:val="en-US" w:eastAsia="zh-CN"/>
            </w:rPr>
            <w:fldChar w:fldCharType="separate"/>
          </w:r>
          <w:r>
            <w:rPr>
              <w:rFonts w:ascii="Times New Roman" w:hAnsi="Times New Roman" w:eastAsia="宋体" w:cs="宋体"/>
              <w:sz w:val="24"/>
              <w:szCs w:val="24"/>
              <w:lang w:val="en-US"/>
            </w:rPr>
            <w:t>10.4 污染物排放情况及主要环境影响</w:t>
          </w:r>
          <w:r>
            <w:rPr>
              <w:sz w:val="24"/>
              <w:szCs w:val="24"/>
            </w:rPr>
            <w:tab/>
          </w:r>
          <w:r>
            <w:rPr>
              <w:sz w:val="24"/>
              <w:szCs w:val="24"/>
            </w:rPr>
            <w:fldChar w:fldCharType="begin"/>
          </w:r>
          <w:r>
            <w:rPr>
              <w:sz w:val="24"/>
              <w:szCs w:val="24"/>
            </w:rPr>
            <w:instrText xml:space="preserve"> PAGEREF _Toc25186 \h </w:instrText>
          </w:r>
          <w:r>
            <w:rPr>
              <w:sz w:val="24"/>
              <w:szCs w:val="24"/>
            </w:rPr>
            <w:fldChar w:fldCharType="separate"/>
          </w:r>
          <w:r>
            <w:rPr>
              <w:sz w:val="24"/>
              <w:szCs w:val="24"/>
            </w:rPr>
            <w:t>211</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_Toc22309 </w:instrText>
          </w:r>
          <w:r>
            <w:rPr>
              <w:sz w:val="24"/>
              <w:szCs w:val="24"/>
              <w:lang w:val="en-US" w:eastAsia="zh-CN"/>
            </w:rPr>
            <w:fldChar w:fldCharType="separate"/>
          </w:r>
          <w:r>
            <w:rPr>
              <w:rFonts w:ascii="Times New Roman" w:hAnsi="Times New Roman" w:eastAsia="宋体" w:cs="宋体"/>
              <w:sz w:val="24"/>
              <w:szCs w:val="24"/>
              <w:lang w:val="en-US"/>
            </w:rPr>
            <w:t>10.5 环境保护措施有效性评估</w:t>
          </w:r>
          <w:r>
            <w:rPr>
              <w:sz w:val="24"/>
              <w:szCs w:val="24"/>
            </w:rPr>
            <w:tab/>
          </w:r>
          <w:r>
            <w:rPr>
              <w:sz w:val="24"/>
              <w:szCs w:val="24"/>
            </w:rPr>
            <w:fldChar w:fldCharType="begin"/>
          </w:r>
          <w:r>
            <w:rPr>
              <w:sz w:val="24"/>
              <w:szCs w:val="24"/>
            </w:rPr>
            <w:instrText xml:space="preserve"> PAGEREF _Toc22309 \h </w:instrText>
          </w:r>
          <w:r>
            <w:rPr>
              <w:sz w:val="24"/>
              <w:szCs w:val="24"/>
            </w:rPr>
            <w:fldChar w:fldCharType="separate"/>
          </w:r>
          <w:r>
            <w:rPr>
              <w:sz w:val="24"/>
              <w:szCs w:val="24"/>
            </w:rPr>
            <w:t>211</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_Toc5307 </w:instrText>
          </w:r>
          <w:r>
            <w:rPr>
              <w:sz w:val="24"/>
              <w:szCs w:val="24"/>
              <w:lang w:val="en-US" w:eastAsia="zh-CN"/>
            </w:rPr>
            <w:fldChar w:fldCharType="separate"/>
          </w:r>
          <w:r>
            <w:rPr>
              <w:rFonts w:ascii="Times New Roman" w:hAnsi="Times New Roman" w:eastAsia="宋体" w:cs="宋体"/>
              <w:sz w:val="24"/>
              <w:szCs w:val="24"/>
              <w:lang w:val="en-US"/>
            </w:rPr>
            <w:t>10.6 环境风险可接受</w:t>
          </w:r>
          <w:r>
            <w:rPr>
              <w:sz w:val="24"/>
              <w:szCs w:val="24"/>
            </w:rPr>
            <w:tab/>
          </w:r>
          <w:r>
            <w:rPr>
              <w:sz w:val="24"/>
              <w:szCs w:val="24"/>
            </w:rPr>
            <w:fldChar w:fldCharType="begin"/>
          </w:r>
          <w:r>
            <w:rPr>
              <w:sz w:val="24"/>
              <w:szCs w:val="24"/>
            </w:rPr>
            <w:instrText xml:space="preserve"> PAGEREF _Toc5307 \h </w:instrText>
          </w:r>
          <w:r>
            <w:rPr>
              <w:sz w:val="24"/>
              <w:szCs w:val="24"/>
            </w:rPr>
            <w:fldChar w:fldCharType="separate"/>
          </w:r>
          <w:r>
            <w:rPr>
              <w:sz w:val="24"/>
              <w:szCs w:val="24"/>
            </w:rPr>
            <w:t>213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_Toc6796 </w:instrText>
          </w:r>
          <w:r>
            <w:rPr>
              <w:sz w:val="24"/>
              <w:szCs w:val="24"/>
              <w:lang w:val="en-US" w:eastAsia="zh-CN"/>
            </w:rPr>
            <w:fldChar w:fldCharType="separate"/>
          </w:r>
          <w:r>
            <w:rPr>
              <w:rFonts w:ascii="Times New Roman" w:hAnsi="Times New Roman" w:eastAsia="宋体" w:cs="宋体"/>
              <w:sz w:val="24"/>
              <w:szCs w:val="24"/>
              <w:lang w:val="en-US"/>
            </w:rPr>
            <w:t>10.7 环境经济损益分析</w:t>
          </w:r>
          <w:r>
            <w:rPr>
              <w:sz w:val="24"/>
              <w:szCs w:val="24"/>
            </w:rPr>
            <w:tab/>
          </w:r>
          <w:r>
            <w:rPr>
              <w:sz w:val="24"/>
              <w:szCs w:val="24"/>
            </w:rPr>
            <w:fldChar w:fldCharType="begin"/>
          </w:r>
          <w:r>
            <w:rPr>
              <w:sz w:val="24"/>
              <w:szCs w:val="24"/>
            </w:rPr>
            <w:instrText xml:space="preserve"> PAGEREF _Toc6796 \h </w:instrText>
          </w:r>
          <w:r>
            <w:rPr>
              <w:sz w:val="24"/>
              <w:szCs w:val="24"/>
            </w:rPr>
            <w:fldChar w:fldCharType="separate"/>
          </w:r>
          <w:r>
            <w:rPr>
              <w:sz w:val="24"/>
              <w:szCs w:val="24"/>
            </w:rPr>
            <w:t>213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_Toc22220 </w:instrText>
          </w:r>
          <w:r>
            <w:rPr>
              <w:sz w:val="24"/>
              <w:szCs w:val="24"/>
              <w:lang w:val="en-US" w:eastAsia="zh-CN"/>
            </w:rPr>
            <w:fldChar w:fldCharType="separate"/>
          </w:r>
          <w:r>
            <w:rPr>
              <w:rFonts w:ascii="Times New Roman" w:hAnsi="Times New Roman" w:eastAsia="宋体" w:cs="宋体"/>
              <w:sz w:val="24"/>
              <w:szCs w:val="24"/>
              <w:lang w:val="en-US"/>
            </w:rPr>
            <w:t xml:space="preserve">10.8 </w:t>
          </w:r>
          <w:r>
            <w:rPr>
              <w:rFonts w:hint="eastAsia" w:ascii="Times New Roman" w:hAnsi="Times New Roman" w:eastAsia="宋体" w:cs="宋体"/>
              <w:sz w:val="24"/>
              <w:szCs w:val="24"/>
              <w:lang w:val="en-US"/>
            </w:rPr>
            <w:t>环境管理与监测计划</w:t>
          </w:r>
          <w:r>
            <w:rPr>
              <w:sz w:val="24"/>
              <w:szCs w:val="24"/>
            </w:rPr>
            <w:tab/>
          </w:r>
          <w:r>
            <w:rPr>
              <w:sz w:val="24"/>
              <w:szCs w:val="24"/>
            </w:rPr>
            <w:fldChar w:fldCharType="begin"/>
          </w:r>
          <w:r>
            <w:rPr>
              <w:sz w:val="24"/>
              <w:szCs w:val="24"/>
            </w:rPr>
            <w:instrText xml:space="preserve"> PAGEREF _Toc22220 \h </w:instrText>
          </w:r>
          <w:r>
            <w:rPr>
              <w:sz w:val="24"/>
              <w:szCs w:val="24"/>
            </w:rPr>
            <w:fldChar w:fldCharType="separate"/>
          </w:r>
          <w:r>
            <w:rPr>
              <w:sz w:val="24"/>
              <w:szCs w:val="24"/>
            </w:rPr>
            <w:t>213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_Toc23709 </w:instrText>
          </w:r>
          <w:r>
            <w:rPr>
              <w:sz w:val="24"/>
              <w:szCs w:val="24"/>
              <w:lang w:val="en-US" w:eastAsia="zh-CN"/>
            </w:rPr>
            <w:fldChar w:fldCharType="separate"/>
          </w:r>
          <w:r>
            <w:rPr>
              <w:rFonts w:ascii="Times New Roman" w:hAnsi="Times New Roman" w:eastAsia="宋体" w:cs="宋体"/>
              <w:sz w:val="24"/>
              <w:szCs w:val="24"/>
              <w:lang w:val="en-US"/>
            </w:rPr>
            <w:t>10.9 公众意见采纳情况</w:t>
          </w:r>
          <w:r>
            <w:rPr>
              <w:sz w:val="24"/>
              <w:szCs w:val="24"/>
            </w:rPr>
            <w:tab/>
          </w:r>
          <w:r>
            <w:rPr>
              <w:sz w:val="24"/>
              <w:szCs w:val="24"/>
            </w:rPr>
            <w:fldChar w:fldCharType="begin"/>
          </w:r>
          <w:r>
            <w:rPr>
              <w:sz w:val="24"/>
              <w:szCs w:val="24"/>
            </w:rPr>
            <w:instrText xml:space="preserve"> PAGEREF _Toc23709 \h </w:instrText>
          </w:r>
          <w:r>
            <w:rPr>
              <w:sz w:val="24"/>
              <w:szCs w:val="24"/>
            </w:rPr>
            <w:fldChar w:fldCharType="separate"/>
          </w:r>
          <w:r>
            <w:rPr>
              <w:sz w:val="24"/>
              <w:szCs w:val="24"/>
            </w:rPr>
            <w:t>213</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_Toc28778 </w:instrText>
          </w:r>
          <w:r>
            <w:rPr>
              <w:sz w:val="24"/>
              <w:szCs w:val="24"/>
              <w:lang w:val="en-US" w:eastAsia="zh-CN"/>
            </w:rPr>
            <w:fldChar w:fldCharType="separate"/>
          </w:r>
          <w:r>
            <w:rPr>
              <w:sz w:val="24"/>
              <w:szCs w:val="24"/>
              <w:lang w:val="en-US"/>
            </w:rPr>
            <w:t>10.10 总结论</w:t>
          </w:r>
          <w:r>
            <w:rPr>
              <w:sz w:val="24"/>
              <w:szCs w:val="24"/>
            </w:rPr>
            <w:tab/>
          </w:r>
          <w:r>
            <w:rPr>
              <w:sz w:val="24"/>
              <w:szCs w:val="24"/>
            </w:rPr>
            <w:fldChar w:fldCharType="begin"/>
          </w:r>
          <w:r>
            <w:rPr>
              <w:sz w:val="24"/>
              <w:szCs w:val="24"/>
            </w:rPr>
            <w:instrText xml:space="preserve"> PAGEREF _Toc28778 \h </w:instrText>
          </w:r>
          <w:r>
            <w:rPr>
              <w:sz w:val="24"/>
              <w:szCs w:val="24"/>
            </w:rPr>
            <w:fldChar w:fldCharType="separate"/>
          </w:r>
          <w:r>
            <w:rPr>
              <w:sz w:val="24"/>
              <w:szCs w:val="24"/>
            </w:rPr>
            <w:t>214</w:t>
          </w:r>
          <w:r>
            <w:rPr>
              <w:sz w:val="24"/>
              <w:szCs w:val="24"/>
            </w:rPr>
            <w:fldChar w:fldCharType="end"/>
          </w:r>
          <w:r>
            <w:rPr>
              <w:sz w:val="24"/>
              <w:szCs w:val="24"/>
              <w:lang w:val="en-US" w:eastAsia="zh-CN"/>
            </w:rPr>
            <w:fldChar w:fldCharType="end"/>
          </w:r>
        </w:p>
        <w:p>
          <w:pPr>
            <w:pStyle w:val="49"/>
            <w:tabs>
              <w:tab w:val="right" w:leader="dot" w:pos="9072"/>
            </w:tabs>
            <w:spacing w:line="360" w:lineRule="auto"/>
            <w:rPr>
              <w:sz w:val="24"/>
              <w:szCs w:val="24"/>
            </w:rPr>
          </w:pPr>
          <w:r>
            <w:rPr>
              <w:sz w:val="24"/>
              <w:szCs w:val="24"/>
              <w:lang w:val="en-US" w:eastAsia="zh-CN"/>
            </w:rPr>
            <w:fldChar w:fldCharType="begin"/>
          </w:r>
          <w:r>
            <w:rPr>
              <w:sz w:val="24"/>
              <w:szCs w:val="24"/>
              <w:lang w:val="en-US" w:eastAsia="zh-CN"/>
            </w:rPr>
            <w:instrText xml:space="preserve"> HYPERLINK \l _Toc1654 </w:instrText>
          </w:r>
          <w:r>
            <w:rPr>
              <w:sz w:val="24"/>
              <w:szCs w:val="24"/>
              <w:lang w:val="en-US" w:eastAsia="zh-CN"/>
            </w:rPr>
            <w:fldChar w:fldCharType="separate"/>
          </w:r>
          <w:r>
            <w:rPr>
              <w:sz w:val="24"/>
              <w:szCs w:val="24"/>
              <w:lang w:val="en-US"/>
            </w:rPr>
            <w:t xml:space="preserve">10.11 </w:t>
          </w:r>
          <w:r>
            <w:rPr>
              <w:rFonts w:hint="eastAsia"/>
              <w:sz w:val="24"/>
              <w:szCs w:val="24"/>
              <w:lang w:val="en-US"/>
            </w:rPr>
            <w:t>建议</w:t>
          </w:r>
          <w:r>
            <w:rPr>
              <w:sz w:val="24"/>
              <w:szCs w:val="24"/>
            </w:rPr>
            <w:tab/>
          </w:r>
          <w:r>
            <w:rPr>
              <w:sz w:val="24"/>
              <w:szCs w:val="24"/>
            </w:rPr>
            <w:fldChar w:fldCharType="begin"/>
          </w:r>
          <w:r>
            <w:rPr>
              <w:sz w:val="24"/>
              <w:szCs w:val="24"/>
            </w:rPr>
            <w:instrText xml:space="preserve"> PAGEREF _Toc1654 \h </w:instrText>
          </w:r>
          <w:r>
            <w:rPr>
              <w:sz w:val="24"/>
              <w:szCs w:val="24"/>
            </w:rPr>
            <w:fldChar w:fldCharType="separate"/>
          </w:r>
          <w:r>
            <w:rPr>
              <w:sz w:val="24"/>
              <w:szCs w:val="24"/>
            </w:rPr>
            <w:t>214</w:t>
          </w:r>
          <w:r>
            <w:rPr>
              <w:sz w:val="24"/>
              <w:szCs w:val="24"/>
            </w:rPr>
            <w:fldChar w:fldCharType="end"/>
          </w:r>
          <w:r>
            <w:rPr>
              <w:sz w:val="24"/>
              <w:szCs w:val="24"/>
              <w:lang w:val="en-US" w:eastAsia="zh-CN"/>
            </w:rPr>
            <w:fldChar w:fldCharType="end"/>
          </w:r>
        </w:p>
        <w:p>
          <w:pPr>
            <w:pStyle w:val="2"/>
            <w:bidi w:val="0"/>
            <w:spacing w:line="360" w:lineRule="auto"/>
            <w:outlineLvl w:val="9"/>
            <w:rPr>
              <w:lang w:val="en-US" w:eastAsia="zh-CN"/>
            </w:rPr>
          </w:pPr>
          <w:r>
            <w:rPr>
              <w:b/>
              <w:sz w:val="24"/>
              <w:szCs w:val="24"/>
              <w:lang w:val="en-US" w:eastAsia="zh-CN"/>
            </w:rPr>
            <w:fldChar w:fldCharType="end"/>
          </w:r>
        </w:p>
      </w:sdtContent>
    </w:sdt>
    <w:p>
      <w:pPr>
        <w:pStyle w:val="2"/>
        <w:bidi w:val="0"/>
        <w:outlineLvl w:val="9"/>
        <w:rPr>
          <w:lang w:val="en-US" w:eastAsia="zh-CN"/>
        </w:rPr>
        <w:sectPr>
          <w:headerReference r:id="rId5" w:type="default"/>
          <w:footerReference r:id="rId6" w:type="default"/>
          <w:pgSz w:w="11906" w:h="16838"/>
          <w:pgMar w:top="1417" w:right="1417" w:bottom="1417" w:left="1417" w:header="680"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pPr>
        <w:pStyle w:val="2"/>
        <w:bidi w:val="0"/>
      </w:pPr>
      <w:bookmarkStart w:id="0" w:name="_Toc16792"/>
      <w:bookmarkStart w:id="1" w:name="_Toc18898"/>
      <w:bookmarkStart w:id="2" w:name="_Toc21368"/>
      <w:r>
        <w:rPr>
          <w:lang w:val="en-US" w:eastAsia="zh-CN"/>
        </w:rPr>
        <w:t>第一章</w:t>
      </w:r>
      <w:r>
        <w:rPr>
          <w:rFonts w:hint="default"/>
          <w:lang w:val="en-US" w:eastAsia="zh-CN"/>
        </w:rPr>
        <w:t xml:space="preserve"> </w:t>
      </w:r>
      <w:r>
        <w:rPr>
          <w:rFonts w:hint="eastAsia"/>
          <w:lang w:val="en-US" w:eastAsia="zh-CN"/>
        </w:rPr>
        <w:t xml:space="preserve"> 概述</w:t>
      </w:r>
      <w:bookmarkEnd w:id="0"/>
      <w:bookmarkEnd w:id="1"/>
      <w:bookmarkEnd w:id="2"/>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3" w:name="_Toc8559"/>
      <w:bookmarkStart w:id="4" w:name="_Toc3580"/>
      <w:bookmarkStart w:id="5" w:name="_Toc32474"/>
      <w:r>
        <w:rPr>
          <w:rFonts w:hint="default"/>
          <w:lang w:val="en-US" w:eastAsia="zh-CN"/>
        </w:rPr>
        <w:t xml:space="preserve">1.1 </w:t>
      </w:r>
      <w:r>
        <w:rPr>
          <w:rFonts w:hint="eastAsia"/>
          <w:lang w:val="en-US" w:eastAsia="zh-CN"/>
        </w:rPr>
        <w:t>项目由来</w:t>
      </w:r>
      <w:bookmarkEnd w:id="3"/>
      <w:bookmarkEnd w:id="4"/>
      <w:bookmarkEnd w:id="5"/>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叶县景喻再生资源回收有限公司位于</w:t>
      </w:r>
      <w:r>
        <w:rPr>
          <w:rFonts w:hint="eastAsia"/>
          <w:lang w:val="en-US" w:eastAsia="zh-CN"/>
        </w:rPr>
        <w:t>平顶山市叶县廉村镇二郎庙村村北200米路东，注册于2020年9月，主要致力于再生资源回收和深加工</w:t>
      </w:r>
      <w:r>
        <w:rPr>
          <w:rFonts w:hint="eastAsia" w:ascii="宋体" w:hAnsi="宋体" w:eastAsia="宋体" w:cs="宋体"/>
          <w:color w:val="000000"/>
          <w:kern w:val="0"/>
          <w:sz w:val="24"/>
          <w:szCs w:val="24"/>
          <w:lang w:val="en-US" w:eastAsia="zh-CN" w:bidi="ar"/>
        </w:rPr>
        <w:t>。</w:t>
      </w:r>
    </w:p>
    <w:p>
      <w:pPr>
        <w:pStyle w:val="19"/>
        <w:keepNext w:val="0"/>
        <w:keepLines w:val="0"/>
        <w:widowControl/>
        <w:suppressLineNumbers w:val="0"/>
        <w:spacing w:before="0" w:beforeAutospacing="0" w:after="0" w:afterAutospacing="0"/>
        <w:ind w:left="0" w:right="0" w:firstLine="0"/>
        <w:jc w:val="both"/>
      </w:pPr>
      <w:r>
        <w:t>近几年来，由于高分子合成技术的进步，世界塑料工业发展迅速，越来越多的塑料制品走进千家万户成为人们日常生活中必不可少的重要组成部分。然而，随着塑料制品的大量使用，废弃塑料量急剧增加，在我们享受着塑料材料所带来的方便、舒适生活的同时，也将对资源和环境产生巨大压力，所以科学有效地回收和利用废旧塑料，不仅可以作为21世纪的新资源，</w:t>
      </w:r>
      <w:r>
        <w:rPr>
          <w:rFonts w:hint="eastAsia"/>
          <w:lang w:eastAsia="zh-CN"/>
        </w:rPr>
        <w:t>而且</w:t>
      </w:r>
      <w:r>
        <w:t>是保护环境、实现可持续发展的有效手段，是发展循环经济的一项重要内容。</w:t>
      </w:r>
    </w:p>
    <w:p>
      <w:pPr>
        <w:pStyle w:val="19"/>
        <w:keepNext w:val="0"/>
        <w:keepLines w:val="0"/>
        <w:widowControl/>
        <w:suppressLineNumbers w:val="0"/>
        <w:spacing w:before="0" w:beforeAutospacing="0" w:after="0" w:afterAutospacing="0"/>
        <w:ind w:left="0" w:right="0" w:firstLine="0"/>
        <w:jc w:val="both"/>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废塑料回收加工成颗粒后，依然具有良好的综合性能，可满足吹膜、拉丝、挤</w:t>
      </w:r>
      <w:r>
        <w:rPr>
          <w:rFonts w:hint="eastAsia"/>
          <w:color w:val="000000" w:themeColor="text1"/>
          <w:lang w:eastAsia="zh-CN"/>
          <w14:textFill>
            <w14:solidFill>
              <w14:schemeClr w14:val="tx1"/>
            </w14:solidFill>
          </w14:textFill>
        </w:rPr>
        <w:t>出</w:t>
      </w:r>
      <w:r>
        <w:rPr>
          <w:color w:val="000000" w:themeColor="text1"/>
          <w14:textFill>
            <w14:solidFill>
              <w14:schemeClr w14:val="tx1"/>
            </w14:solidFill>
          </w14:textFill>
        </w:rPr>
        <w:t>型材等技术要求。在</w:t>
      </w:r>
      <w:r>
        <w:rPr>
          <w:rFonts w:ascii="Times New Roman" w:hAnsi="Times New Roman"/>
        </w:rPr>
        <w:t>此背景下，</w:t>
      </w:r>
      <w:r>
        <w:rPr>
          <w:rFonts w:hint="eastAsia" w:ascii="Times New Roman" w:hAnsi="Times New Roman"/>
          <w:lang w:val="en-US" w:eastAsia="zh-CN"/>
        </w:rPr>
        <w:t>叶县景喻再生资源回收有限公司</w:t>
      </w:r>
      <w:r>
        <w:rPr>
          <w:rFonts w:ascii="Times New Roman" w:hAnsi="Times New Roman"/>
        </w:rPr>
        <w:t>决定建设</w:t>
      </w:r>
      <w:r>
        <w:rPr>
          <w:rFonts w:hint="eastAsia" w:ascii="Times New Roman" w:hAnsi="Times New Roman"/>
          <w:lang w:val="en-US" w:eastAsia="zh-CN"/>
        </w:rPr>
        <w:t>年处置6000吨废旧塑料再生资源综合利用项目</w:t>
      </w:r>
      <w:r>
        <w:rPr>
          <w:rFonts w:ascii="Times New Roman" w:hAnsi="Times New Roman"/>
        </w:rPr>
        <w:t>。项目建成后既能为企业带来巨大的经济效益，同时也</w:t>
      </w:r>
      <w:r>
        <w:rPr>
          <w:rFonts w:hint="eastAsia"/>
          <w:lang w:eastAsia="zh-CN"/>
        </w:rPr>
        <w:t>能</w:t>
      </w:r>
      <w:r>
        <w:rPr>
          <w:rFonts w:ascii="Times New Roman" w:hAnsi="Times New Roman"/>
        </w:rPr>
        <w:t>促进当地经济</w:t>
      </w:r>
      <w:r>
        <w:rPr>
          <w:rFonts w:hint="eastAsia"/>
          <w:lang w:eastAsia="zh-CN"/>
        </w:rPr>
        <w:t>的</w:t>
      </w:r>
      <w:r>
        <w:rPr>
          <w:rFonts w:ascii="Times New Roman" w:hAnsi="Times New Roman"/>
        </w:rPr>
        <w:t>发展。</w:t>
      </w:r>
      <w:r>
        <w:rPr>
          <w:rFonts w:hint="eastAsia"/>
          <w:lang w:eastAsia="zh-CN"/>
        </w:rPr>
        <w:t>项目</w:t>
      </w:r>
      <w:r>
        <w:rPr>
          <w:rFonts w:ascii="Times New Roman" w:hAnsi="Times New Roman"/>
        </w:rPr>
        <w:t>总占地面积</w:t>
      </w:r>
      <w:r>
        <w:rPr>
          <w:rFonts w:hint="eastAsia" w:ascii="Times New Roman" w:hAnsi="Times New Roman"/>
          <w:lang w:val="en-US" w:eastAsia="zh-CN"/>
        </w:rPr>
        <w:t>32000</w:t>
      </w:r>
      <w:r>
        <w:rPr>
          <w:rFonts w:ascii="Times New Roman" w:hAnsi="Times New Roman"/>
        </w:rPr>
        <w:t>m²，总投资</w:t>
      </w:r>
      <w:r>
        <w:rPr>
          <w:rFonts w:hint="eastAsia" w:ascii="Times New Roman" w:hAnsi="Times New Roman"/>
          <w:lang w:val="en-US" w:eastAsia="zh-CN"/>
        </w:rPr>
        <w:t>1500</w:t>
      </w:r>
      <w:r>
        <w:rPr>
          <w:rFonts w:ascii="Times New Roman" w:hAnsi="Times New Roman"/>
        </w:rPr>
        <w:t>万元，</w:t>
      </w:r>
      <w:r>
        <w:rPr>
          <w:rFonts w:ascii="Times New Roman" w:hAnsi="Times New Roman"/>
          <w:color w:val="000000" w:themeColor="text1"/>
          <w14:textFill>
            <w14:solidFill>
              <w14:schemeClr w14:val="tx1"/>
            </w14:solidFill>
          </w14:textFill>
        </w:rPr>
        <w:t>其中环保投资</w:t>
      </w:r>
      <w:r>
        <w:rPr>
          <w:rFonts w:hint="eastAsia"/>
          <w:color w:val="000000" w:themeColor="text1"/>
          <w:lang w:val="en-US" w:eastAsia="zh-CN"/>
          <w14:textFill>
            <w14:solidFill>
              <w14:schemeClr w14:val="tx1"/>
            </w14:solidFill>
          </w14:textFill>
        </w:rPr>
        <w:t>131</w:t>
      </w:r>
      <w:r>
        <w:rPr>
          <w:rFonts w:ascii="Times New Roman" w:hAnsi="Times New Roman"/>
          <w:color w:val="000000" w:themeColor="text1"/>
          <w14:textFill>
            <w14:solidFill>
              <w14:schemeClr w14:val="tx1"/>
            </w14:solidFill>
          </w14:textFill>
        </w:rPr>
        <w:t>万元。</w:t>
      </w:r>
    </w:p>
    <w:p>
      <w:pPr>
        <w:keepNext w:val="0"/>
        <w:keepLines w:val="0"/>
        <w:widowControl/>
        <w:suppressLineNumbers w:val="0"/>
        <w:jc w:val="both"/>
        <w:rPr>
          <w:rFonts w:hint="eastAsia" w:ascii="Times New Roman" w:hAnsi="Times New Roman"/>
          <w:lang w:val="en-US" w:eastAsia="zh-CN"/>
        </w:rPr>
      </w:pPr>
      <w:r>
        <w:rPr>
          <w:rFonts w:hint="eastAsia"/>
          <w:lang w:val="en-US" w:eastAsia="zh-CN"/>
        </w:rPr>
        <w:t>按照《中华人民共和国环境保护法》、《中华人民共和国环境影响评价法》和《建设项目环境保护管理条例》（国务院第</w:t>
      </w:r>
      <w:r>
        <w:rPr>
          <w:rFonts w:hint="default"/>
          <w:lang w:val="en-US" w:eastAsia="zh-CN"/>
        </w:rPr>
        <w:t>682</w:t>
      </w:r>
      <w:r>
        <w:rPr>
          <w:rFonts w:hint="eastAsia"/>
          <w:lang w:val="en-US" w:eastAsia="zh-CN"/>
        </w:rPr>
        <w:t>号令）的要求，本次工程须进行环境影响评价。依据《建设项目环境影响评价分类管理名录》（2021年版），本项目属于“</w:t>
      </w:r>
      <w:r>
        <w:rPr>
          <w:lang w:val="en-US" w:eastAsia="zh-CN"/>
        </w:rPr>
        <w:t>二十六、橡胶和塑料制品业</w:t>
      </w:r>
      <w:r>
        <w:rPr>
          <w:rFonts w:hint="eastAsia"/>
          <w:lang w:val="en-US" w:eastAsia="zh-CN"/>
        </w:rPr>
        <w:t>29，5</w:t>
      </w:r>
      <w:r>
        <w:rPr>
          <w:rFonts w:hint="eastAsia" w:ascii="Times New Roman" w:hAnsi="Times New Roman"/>
          <w:lang w:val="en-US" w:eastAsia="zh-CN"/>
        </w:rPr>
        <w:t>3塑料制品业292中的以再生塑料为原料生产</w:t>
      </w:r>
      <w:r>
        <w:rPr>
          <w:rFonts w:hint="eastAsia"/>
          <w:lang w:val="en-US" w:eastAsia="zh-CN"/>
        </w:rPr>
        <w:t>”</w:t>
      </w:r>
      <w:r>
        <w:rPr>
          <w:rFonts w:hint="eastAsia" w:ascii="Times New Roman" w:hAnsi="Times New Roman"/>
          <w:lang w:val="en-US" w:eastAsia="zh-CN"/>
        </w:rPr>
        <w:t>，应当编制环境影响报告书和</w:t>
      </w:r>
      <w:r>
        <w:rPr>
          <w:rFonts w:hint="eastAsia"/>
          <w:lang w:val="en-US" w:eastAsia="zh-CN"/>
        </w:rPr>
        <w:t>“</w:t>
      </w:r>
      <w:r>
        <w:rPr>
          <w:rFonts w:hint="eastAsia" w:ascii="Times New Roman" w:hAnsi="Times New Roman"/>
          <w:lang w:val="en-US" w:eastAsia="zh-CN"/>
        </w:rPr>
        <w:t>三十九、废弃资源综合利用业42，85，非金属废料和碎屑加工处理422（421和422均不含原料为危险废物的，均不含仅分拣、破碎的）中的废塑料</w:t>
      </w:r>
      <w:r>
        <w:rPr>
          <w:rFonts w:hint="eastAsia"/>
          <w:lang w:val="en-US" w:eastAsia="zh-CN"/>
        </w:rPr>
        <w:t>”</w:t>
      </w:r>
      <w:r>
        <w:rPr>
          <w:rFonts w:hint="eastAsia" w:ascii="Times New Roman" w:hAnsi="Times New Roman"/>
          <w:lang w:val="en-US" w:eastAsia="zh-CN"/>
        </w:rPr>
        <w:t>，应当编制环境影响报告表。</w:t>
      </w:r>
      <w:r>
        <w:rPr>
          <w:rFonts w:hint="eastAsia"/>
          <w:lang w:val="en-US" w:eastAsia="zh-CN"/>
        </w:rPr>
        <w:t>综合判定</w:t>
      </w:r>
      <w:r>
        <w:rPr>
          <w:rFonts w:hint="eastAsia" w:ascii="Times New Roman" w:hAnsi="Times New Roman"/>
          <w:lang w:val="en-US" w:eastAsia="zh-CN"/>
        </w:rPr>
        <w:t>本项目应当编制环境影响报告书。</w:t>
      </w:r>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受叶县景喻再生资源回收有限公司委托，</w:t>
      </w:r>
      <w:r>
        <w:rPr>
          <w:rFonts w:hint="eastAsia" w:ascii="宋体" w:hAnsi="宋体" w:cs="宋体"/>
          <w:color w:val="000000" w:themeColor="text1"/>
          <w:kern w:val="0"/>
          <w:sz w:val="24"/>
          <w:szCs w:val="24"/>
          <w:lang w:val="en-US" w:eastAsia="zh-CN" w:bidi="ar"/>
          <w14:textFill>
            <w14:solidFill>
              <w14:schemeClr w14:val="tx1"/>
            </w14:solidFill>
          </w14:textFill>
        </w:rPr>
        <w:t>深圳市统霸环保科技有限公司</w:t>
      </w:r>
      <w:r>
        <w:rPr>
          <w:rFonts w:hint="eastAsia" w:ascii="宋体" w:hAnsi="宋体" w:eastAsia="宋体" w:cs="宋体"/>
          <w:color w:val="000000"/>
          <w:kern w:val="0"/>
          <w:sz w:val="24"/>
          <w:szCs w:val="24"/>
          <w:lang w:val="en-US" w:eastAsia="zh-CN" w:bidi="ar"/>
        </w:rPr>
        <w:t>承担了该项目的环境影响评价工作，为本项目在建设过程和建成投入运营后，完善环境管理，落实污染防治措施，减轻对环境的影响，改善和保护环境提供科学依据。公司接受委托后，及时组织人员到项目现场进行调查和勘察，并在资料收集整理，环境质量现状监测等的基础上，遵照国家及省内有关环保法规和评价技术导则的有关规定和要求，本着客观、公正、科学、规范的要求，编制完成了该项目的环境影响报告书。</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6" w:name="_Toc6511"/>
      <w:bookmarkStart w:id="7" w:name="_Toc16550"/>
      <w:bookmarkStart w:id="8" w:name="_Toc2567"/>
      <w:r>
        <w:rPr>
          <w:rFonts w:hint="default"/>
          <w:lang w:val="en-US" w:eastAsia="zh-CN"/>
        </w:rPr>
        <w:t>1.2 评价对象</w:t>
      </w:r>
      <w:bookmarkEnd w:id="6"/>
      <w:bookmarkEnd w:id="7"/>
      <w:bookmarkEnd w:id="8"/>
    </w:p>
    <w:p>
      <w:pPr>
        <w:bidi w:val="0"/>
      </w:pPr>
      <w:r>
        <w:rPr>
          <w:rFonts w:hint="eastAsia"/>
          <w:lang w:val="en-US" w:eastAsia="zh-CN"/>
        </w:rPr>
        <w:t>本次评价对象为叶县景喻再生资源回收有限公司年处置6000吨废旧塑料再生资源综合利用项目。</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9" w:name="_Toc7544"/>
      <w:bookmarkStart w:id="10" w:name="_Toc15316"/>
      <w:bookmarkStart w:id="11" w:name="_Toc12696"/>
      <w:r>
        <w:rPr>
          <w:rFonts w:hint="default"/>
          <w:lang w:val="en-US" w:eastAsia="zh-CN"/>
        </w:rPr>
        <w:t>1.3 建设项目的特点</w:t>
      </w:r>
      <w:bookmarkEnd w:id="9"/>
      <w:bookmarkEnd w:id="10"/>
      <w:bookmarkEnd w:id="11"/>
    </w:p>
    <w:p>
      <w:pPr>
        <w:pStyle w:val="4"/>
        <w:bidi w:val="0"/>
      </w:pPr>
      <w:r>
        <w:rPr>
          <w:rFonts w:hint="default"/>
          <w:lang w:val="en-US" w:eastAsia="zh-CN"/>
        </w:rPr>
        <w:t xml:space="preserve">1.3.1 </w:t>
      </w:r>
      <w:r>
        <w:rPr>
          <w:lang w:val="en-US" w:eastAsia="zh-CN"/>
        </w:rPr>
        <w:t>工程特点</w:t>
      </w:r>
    </w:p>
    <w:p>
      <w:pPr>
        <w:bidi w:val="0"/>
      </w:pPr>
      <w:r>
        <w:rPr>
          <w:rFonts w:hint="eastAsia"/>
          <w:lang w:val="en-US" w:eastAsia="zh-CN"/>
        </w:rPr>
        <w:t>根据现场勘查以及对项目建设内容、生产工艺分析，本次工程具有以下特点：</w:t>
      </w:r>
    </w:p>
    <w:p>
      <w:pPr>
        <w:bidi w:val="0"/>
      </w:pPr>
      <w:r>
        <w:rPr>
          <w:rFonts w:hint="eastAsia"/>
          <w:lang w:val="en-US" w:eastAsia="zh-CN"/>
        </w:rPr>
        <w:t>（</w:t>
      </w:r>
      <w:r>
        <w:rPr>
          <w:rFonts w:hint="default"/>
          <w:lang w:val="en-US" w:eastAsia="zh-CN"/>
        </w:rPr>
        <w:t>1</w:t>
      </w:r>
      <w:r>
        <w:rPr>
          <w:rFonts w:hint="eastAsia"/>
          <w:lang w:val="en-US" w:eastAsia="zh-CN"/>
        </w:rPr>
        <w:t>）本次工程为叶县景喻再生资源回收有限公司年处置6000吨废旧塑料再生资源综合利用项目，属于新建项目，建设地点位于平顶山市叶县廉村镇二郎庙村村北200米路东，本次工程占地为建设用地。</w:t>
      </w:r>
    </w:p>
    <w:p>
      <w:pPr>
        <w:bidi w:val="0"/>
        <w:rPr>
          <w:u w:val="single"/>
        </w:rPr>
      </w:pPr>
      <w:r>
        <w:rPr>
          <w:rFonts w:hint="eastAsia"/>
          <w:lang w:val="en-US" w:eastAsia="zh-CN"/>
        </w:rPr>
        <w:t>（</w:t>
      </w:r>
      <w:r>
        <w:rPr>
          <w:rFonts w:hint="default"/>
          <w:lang w:val="en-US" w:eastAsia="zh-CN"/>
        </w:rPr>
        <w:t>2</w:t>
      </w:r>
      <w:r>
        <w:rPr>
          <w:rFonts w:hint="eastAsia"/>
          <w:lang w:val="en-US" w:eastAsia="zh-CN"/>
        </w:rPr>
        <w:t>）本次工程产生废气主要包括破碎产生的颗粒物，</w:t>
      </w:r>
      <w:r>
        <w:rPr>
          <w:rFonts w:hint="eastAsia"/>
          <w:u w:val="single"/>
          <w:lang w:val="en-US" w:eastAsia="zh-CN"/>
        </w:rPr>
        <w:t>造粒产生的有机废气非甲烷总烃、颗粒物和苯乙烯</w:t>
      </w:r>
      <w:r>
        <w:rPr>
          <w:rFonts w:hint="eastAsia"/>
          <w:lang w:val="en-US" w:eastAsia="zh-CN"/>
        </w:rPr>
        <w:t>，</w:t>
      </w:r>
      <w:r>
        <w:rPr>
          <w:rFonts w:hint="eastAsia"/>
          <w:u w:val="single"/>
          <w:lang w:val="en-US" w:eastAsia="zh-CN"/>
        </w:rPr>
        <w:t>注塑产生的有机废气非甲烷总烃、苯乙烯以及污水处理站产生的非甲烷总烃、硫化氢和氨。</w:t>
      </w:r>
      <w:r>
        <w:rPr>
          <w:rFonts w:hint="eastAsia"/>
          <w:lang w:val="en-US" w:eastAsia="zh-CN"/>
        </w:rPr>
        <w:t>破碎工序设置袋式除尘器装置；造粒产生的</w:t>
      </w:r>
      <w:r>
        <w:rPr>
          <w:rFonts w:hint="eastAsia"/>
          <w:u w:val="single"/>
          <w:lang w:val="en-US" w:eastAsia="zh-CN"/>
        </w:rPr>
        <w:t>有机废气非甲烷总烃、颗粒物和苯乙烯设置一套喷淋塔+吸附浓缩+催化燃烧装置；注塑产生的有机废气非甲烷总烃安装一套吸附浓缩+催化燃烧装置；污水站废气设置</w:t>
      </w:r>
      <w:r>
        <w:rPr>
          <w:rFonts w:hint="eastAsia" w:cs="Times New Roman"/>
          <w:szCs w:val="28"/>
          <w:u w:val="single"/>
          <w:lang w:eastAsia="zh-CN"/>
        </w:rPr>
        <w:t>二级活性炭吸附</w:t>
      </w:r>
      <w:r>
        <w:rPr>
          <w:rFonts w:cs="Times New Roman"/>
          <w:szCs w:val="28"/>
          <w:u w:val="single"/>
        </w:rPr>
        <w:t>装置</w:t>
      </w:r>
      <w:r>
        <w:rPr>
          <w:rFonts w:hint="eastAsia" w:cs="Times New Roman"/>
          <w:szCs w:val="28"/>
          <w:u w:val="single"/>
          <w:lang w:eastAsia="zh-CN"/>
        </w:rPr>
        <w:t>，废气经处理措施处理后</w:t>
      </w:r>
      <w:r>
        <w:rPr>
          <w:rFonts w:hint="eastAsia"/>
          <w:u w:val="single"/>
          <w:lang w:val="en-US" w:eastAsia="zh-CN"/>
        </w:rPr>
        <w:t>能实现废气低浓度排放。</w:t>
      </w:r>
    </w:p>
    <w:p>
      <w:pPr>
        <w:bidi w:val="0"/>
        <w:rPr>
          <w:u w:val="single"/>
        </w:rPr>
      </w:pPr>
      <w:r>
        <w:rPr>
          <w:rFonts w:hint="eastAsia"/>
          <w:lang w:val="en-US" w:eastAsia="zh-CN"/>
        </w:rPr>
        <w:t>（3）</w:t>
      </w:r>
      <w:r>
        <w:rPr>
          <w:rFonts w:hint="eastAsia"/>
          <w:u w:val="single"/>
          <w:lang w:val="en-US" w:eastAsia="zh-CN"/>
        </w:rPr>
        <w:t>项目生产工艺先进，生产过程采用清洗废水、循环冷却水和喷淋塔废水经污水处理站处理后回用于清洗工序工艺，废水不外排。满足清洁生产要求。</w:t>
      </w:r>
    </w:p>
    <w:p>
      <w:pPr>
        <w:pStyle w:val="4"/>
        <w:bidi w:val="0"/>
      </w:pPr>
      <w:r>
        <w:rPr>
          <w:rFonts w:hint="default"/>
          <w:lang w:val="en-US" w:eastAsia="zh-CN"/>
        </w:rPr>
        <w:t xml:space="preserve">1.3.2 </w:t>
      </w:r>
      <w:r>
        <w:rPr>
          <w:lang w:val="en-US" w:eastAsia="zh-CN"/>
        </w:rPr>
        <w:t>环境特点</w:t>
      </w:r>
    </w:p>
    <w:p>
      <w:pPr>
        <w:bidi w:val="0"/>
      </w:pPr>
      <w:r>
        <w:rPr>
          <w:rFonts w:hint="eastAsia"/>
          <w:lang w:val="en-US" w:eastAsia="zh-CN"/>
        </w:rPr>
        <w:t>（</w:t>
      </w:r>
      <w:r>
        <w:rPr>
          <w:rFonts w:hint="default"/>
          <w:lang w:val="en-US" w:eastAsia="zh-CN"/>
        </w:rPr>
        <w:t>1</w:t>
      </w:r>
      <w:r>
        <w:rPr>
          <w:rFonts w:hint="eastAsia"/>
          <w:lang w:val="en-US" w:eastAsia="zh-CN"/>
        </w:rPr>
        <w:t>）根据平顶山市</w:t>
      </w:r>
      <w:r>
        <w:rPr>
          <w:rFonts w:hint="default"/>
          <w:lang w:val="en-US" w:eastAsia="zh-CN"/>
        </w:rPr>
        <w:t>20</w:t>
      </w:r>
      <w:r>
        <w:rPr>
          <w:rFonts w:hint="eastAsia"/>
          <w:lang w:val="en-US" w:eastAsia="zh-CN"/>
        </w:rPr>
        <w:t>20年环境质量公报以及中国空气质量在线监测分析平台上的数据进行区域达标判断，</w:t>
      </w:r>
      <w:r>
        <w:rPr>
          <w:rFonts w:hint="default"/>
          <w:lang w:val="en-US" w:eastAsia="zh-CN"/>
        </w:rPr>
        <w:t>20</w:t>
      </w:r>
      <w:r>
        <w:rPr>
          <w:rFonts w:hint="eastAsia"/>
          <w:lang w:val="en-US" w:eastAsia="zh-CN"/>
        </w:rPr>
        <w:t>20年平顶山市环境空气中属于环境空气质量非达标区。</w:t>
      </w:r>
    </w:p>
    <w:p>
      <w:pPr>
        <w:numPr>
          <w:ilvl w:val="0"/>
          <w:numId w:val="0"/>
        </w:numPr>
        <w:bidi w:val="0"/>
        <w:ind w:firstLine="480" w:firstLineChars="200"/>
        <w:rPr>
          <w:rFonts w:hint="eastAsia"/>
          <w:u w:val="single"/>
        </w:rPr>
      </w:pPr>
      <w:r>
        <w:rPr>
          <w:rFonts w:hint="eastAsia"/>
          <w:color w:val="000000" w:themeColor="text1"/>
          <w:u w:val="single"/>
          <w:lang w:val="en-US" w:eastAsia="zh-CN"/>
          <w14:textFill>
            <w14:solidFill>
              <w14:schemeClr w14:val="tx1"/>
            </w14:solidFill>
          </w14:textFill>
        </w:rPr>
        <w:t>（</w:t>
      </w:r>
      <w:r>
        <w:rPr>
          <w:rFonts w:hint="default"/>
          <w:color w:val="000000" w:themeColor="text1"/>
          <w:u w:val="single"/>
          <w:lang w:val="en-US" w:eastAsia="zh-CN"/>
          <w14:textFill>
            <w14:solidFill>
              <w14:schemeClr w14:val="tx1"/>
            </w14:solidFill>
          </w14:textFill>
        </w:rPr>
        <w:t>2</w:t>
      </w:r>
      <w:r>
        <w:rPr>
          <w:rFonts w:hint="eastAsia"/>
          <w:color w:val="000000" w:themeColor="text1"/>
          <w:u w:val="single"/>
          <w:lang w:val="en-US" w:eastAsia="zh-CN"/>
          <w14:textFill>
            <w14:solidFill>
              <w14:schemeClr w14:val="tx1"/>
            </w14:solidFill>
          </w14:textFill>
        </w:rPr>
        <w:t>）项目附近水体为灰河，水体规划功能为地表水</w:t>
      </w:r>
      <w:r>
        <w:rPr>
          <w:rFonts w:hint="default"/>
          <w:color w:val="000000" w:themeColor="text1"/>
          <w:u w:val="single"/>
          <w:lang w:val="en-US" w:eastAsia="zh-CN"/>
          <w14:textFill>
            <w14:solidFill>
              <w14:schemeClr w14:val="tx1"/>
            </w14:solidFill>
          </w14:textFill>
        </w:rPr>
        <w:t>Ⅲ</w:t>
      </w:r>
      <w:r>
        <w:rPr>
          <w:rFonts w:hint="eastAsia"/>
          <w:color w:val="000000" w:themeColor="text1"/>
          <w:u w:val="single"/>
          <w:lang w:val="en-US" w:eastAsia="zh-CN"/>
          <w14:textFill>
            <w14:solidFill>
              <w14:schemeClr w14:val="tx1"/>
            </w14:solidFill>
          </w14:textFill>
        </w:rPr>
        <w:t>类。</w:t>
      </w:r>
      <w:r>
        <w:rPr>
          <w:rFonts w:hint="eastAsia"/>
          <w:u w:val="single"/>
          <w:lang w:val="en-US" w:eastAsia="zh-CN"/>
        </w:rPr>
        <w:t>项目附近水体为灰河，水体规划功能为地表水</w:t>
      </w:r>
      <w:r>
        <w:rPr>
          <w:rFonts w:hint="default"/>
          <w:u w:val="single"/>
          <w:lang w:val="en-US" w:eastAsia="zh-CN"/>
        </w:rPr>
        <w:t>Ⅲ</w:t>
      </w:r>
      <w:r>
        <w:rPr>
          <w:rFonts w:hint="eastAsia"/>
          <w:u w:val="single"/>
          <w:lang w:val="en-US" w:eastAsia="zh-CN"/>
        </w:rPr>
        <w:t>类。根据平顶山市生态环境局2019年灰河屈庄断面常规监测因子数据。地表水环境灰河屈庄断面2019年内COD、总氮、总磷因子常规监测数据不能稳定达标，氨氮因子能够满足《地表水环境质量标准》（GB3838-2002）Ⅲ类标准要求</w:t>
      </w:r>
      <w:r>
        <w:rPr>
          <w:rFonts w:hint="eastAsia"/>
          <w:u w:val="single"/>
        </w:rPr>
        <w:t>。</w:t>
      </w:r>
    </w:p>
    <w:p>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）项目厂址在平顶山市叶县廉村镇二郎庙村村北200米路东，根据叶县自然资源局和叶县廉村镇人民政府出具证明，项目占地属建设用地，根据现场调查，区域地形平坦、开阔。</w:t>
      </w:r>
    </w:p>
    <w:p>
      <w:pPr>
        <w:bidi w:val="0"/>
      </w:pPr>
      <w:r>
        <w:rPr>
          <w:rFonts w:hint="eastAsia"/>
          <w:lang w:val="en-US" w:eastAsia="zh-CN"/>
        </w:rPr>
        <w:t>（</w:t>
      </w:r>
      <w:r>
        <w:rPr>
          <w:rFonts w:hint="default"/>
          <w:lang w:val="en-US" w:eastAsia="zh-CN"/>
        </w:rPr>
        <w:t>4</w:t>
      </w:r>
      <w:r>
        <w:rPr>
          <w:rFonts w:hint="eastAsia"/>
          <w:lang w:val="en-US" w:eastAsia="zh-CN"/>
        </w:rPr>
        <w:t>）本项目评价区内没有集中式饮用水源保护区、自然保护区、风景名胜区环境敏感目标。</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12" w:name="_Toc16570"/>
      <w:bookmarkStart w:id="13" w:name="_Toc12943"/>
      <w:bookmarkStart w:id="14" w:name="_Toc28009"/>
      <w:r>
        <w:rPr>
          <w:rFonts w:hint="default"/>
          <w:lang w:val="en-US" w:eastAsia="zh-CN"/>
        </w:rPr>
        <w:t>1.4 环境影响评价工作过程</w:t>
      </w:r>
      <w:bookmarkEnd w:id="12"/>
      <w:bookmarkEnd w:id="13"/>
      <w:bookmarkEnd w:id="14"/>
    </w:p>
    <w:p>
      <w:pPr>
        <w:bidi w:val="0"/>
        <w:rPr>
          <w:rFonts w:hint="eastAsia"/>
          <w:u w:val="single"/>
          <w:lang w:val="en-US" w:eastAsia="zh-CN"/>
        </w:rPr>
      </w:pPr>
      <w:r>
        <w:rPr>
          <w:rFonts w:hint="eastAsia"/>
          <w:u w:val="single"/>
          <w:lang w:val="en-US" w:eastAsia="zh-CN"/>
        </w:rPr>
        <w:t>建设项目环境影响评价工作分为三个阶段：即前期准备、调研和工作方案阶段；分析论证和预测评价阶段以及环评文件编制阶段，环评工作程序见图</w:t>
      </w:r>
      <w:r>
        <w:rPr>
          <w:rFonts w:hint="default"/>
          <w:u w:val="single"/>
          <w:lang w:val="en-US" w:eastAsia="zh-CN"/>
        </w:rPr>
        <w:t>1-1</w:t>
      </w:r>
      <w:r>
        <w:rPr>
          <w:rFonts w:hint="eastAsia"/>
          <w:u w:val="single"/>
          <w:lang w:val="en-US" w:eastAsia="zh-CN"/>
        </w:rPr>
        <w:t>。评价单位在多次实地踏勘、调研和收集分析资料的基础上，开展环境影响评价工作。评价工作中对厂址区域环境空气质量现状、地表水质量现状、地下水质量现状、土壤质量现状、噪声进行了调查、监测，对工程污染因素、污染防治措施、环境风险等进行了分析。并对项目建设对周围环境影响进行了预测分析。依据</w:t>
      </w:r>
      <w:r>
        <w:rPr>
          <w:rFonts w:hint="eastAsia"/>
          <w:u w:val="single"/>
          <w:lang w:eastAsia="zh-CN"/>
        </w:rPr>
        <w:t>叶县景喻再生资源回收有限公司</w:t>
      </w:r>
      <w:r>
        <w:rPr>
          <w:rFonts w:hint="eastAsia"/>
          <w:u w:val="single"/>
          <w:lang w:val="en-US" w:eastAsia="zh-CN"/>
        </w:rPr>
        <w:t>进行的项目公众参与调查结果，编制完成了该项目环境影响报告书。</w:t>
      </w:r>
    </w:p>
    <w:p>
      <w:pPr>
        <w:bidi w:val="0"/>
        <w:rPr>
          <w:rFonts w:hint="eastAsia"/>
          <w:u w:val="single"/>
          <w:lang w:val="en-US" w:eastAsia="zh-CN"/>
        </w:rPr>
      </w:pPr>
      <w:r>
        <w:rPr>
          <w:rFonts w:hint="eastAsia"/>
          <w:u w:val="single"/>
          <w:lang w:val="en-US" w:eastAsia="zh-CN"/>
        </w:rPr>
        <w:t>1、2021年7月10日深圳市统霸环保科技有限公司接受委托承担“叶县景喻再生资源回收有限公司年处置6000吨废旧塑料再生资源综合利用项目”环境影响报告书的编制工作。</w:t>
      </w:r>
    </w:p>
    <w:p>
      <w:pPr>
        <w:bidi w:val="0"/>
        <w:rPr>
          <w:rFonts w:hint="eastAsia"/>
          <w:u w:val="single"/>
          <w:lang w:val="en-US" w:eastAsia="zh-CN"/>
        </w:rPr>
      </w:pPr>
      <w:r>
        <w:rPr>
          <w:rFonts w:hint="eastAsia"/>
          <w:u w:val="single"/>
          <w:lang w:val="en-US" w:eastAsia="zh-CN"/>
        </w:rPr>
        <w:t>2、2021年7月10日～7月25日，研究了相关技术文件和其他有关文件，进行初步工程分析、开展初步的环境现状调查；</w:t>
      </w:r>
    </w:p>
    <w:p>
      <w:pPr>
        <w:bidi w:val="0"/>
        <w:rPr>
          <w:rFonts w:hint="eastAsia"/>
          <w:u w:val="single"/>
          <w:lang w:val="en-US" w:eastAsia="zh-CN"/>
        </w:rPr>
      </w:pPr>
      <w:r>
        <w:rPr>
          <w:rFonts w:hint="eastAsia"/>
          <w:u w:val="single"/>
          <w:lang w:val="en-US" w:eastAsia="zh-CN"/>
        </w:rPr>
        <w:t>3、2021年7月26日～8月15日，进行环境影响识别和评价因子筛选，明确评价重点和环境保护目标，确定评价工作等级、评价范围和评价标准，制定工作方案。</w:t>
      </w:r>
    </w:p>
    <w:p>
      <w:pPr>
        <w:bidi w:val="0"/>
        <w:rPr>
          <w:rFonts w:hint="eastAsia"/>
          <w:u w:val="single"/>
          <w:lang w:val="en-US" w:eastAsia="zh-CN"/>
        </w:rPr>
      </w:pPr>
      <w:r>
        <w:rPr>
          <w:rFonts w:hint="eastAsia"/>
          <w:u w:val="single"/>
          <w:lang w:val="en-US" w:eastAsia="zh-CN"/>
        </w:rPr>
        <w:t>4、2021年8月16日～9月15日，开始进行建设项目工程分析，同时开展环境现状调查、监测与评价，进行各环境要素环境影响预测与评价，各专题环境影响分析与评价。</w:t>
      </w:r>
    </w:p>
    <w:p>
      <w:pPr>
        <w:bidi w:val="0"/>
        <w:rPr>
          <w:rFonts w:hint="eastAsia"/>
          <w:u w:val="single"/>
          <w:lang w:val="en-US" w:eastAsia="zh-CN"/>
        </w:rPr>
      </w:pPr>
      <w:r>
        <w:rPr>
          <w:rFonts w:hint="eastAsia"/>
          <w:u w:val="single"/>
          <w:lang w:val="en-US" w:eastAsia="zh-CN"/>
        </w:rPr>
        <w:t>5、2021年9月16日～10月10日，提出环境保护措施，进行技术经济论证，给出污染物排放清单，给出建设项目环境影响评价结论。</w:t>
      </w:r>
    </w:p>
    <w:p>
      <w:pPr>
        <w:bidi w:val="0"/>
        <w:rPr>
          <w:rFonts w:hint="eastAsia"/>
          <w:u w:val="single"/>
          <w:lang w:val="en-US" w:eastAsia="zh-CN"/>
        </w:rPr>
      </w:pPr>
      <w:r>
        <w:rPr>
          <w:rFonts w:hint="eastAsia"/>
          <w:u w:val="single"/>
          <w:lang w:val="en-US" w:eastAsia="zh-CN"/>
        </w:rPr>
        <w:t>6、2020年10月11日后，报告书进入环评单位内审程序、经校核、审核、审定后定稿。</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lang w:val="en-US" w:eastAsia="zh-CN" w:bidi="ar"/>
        </w:rPr>
      </w:pPr>
      <w:r>
        <w:drawing>
          <wp:inline distT="0" distB="0" distL="114300" distR="114300">
            <wp:extent cx="5290820" cy="5760085"/>
            <wp:effectExtent l="0" t="0" r="508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90820" cy="5760085"/>
                    </a:xfrm>
                    <a:prstGeom prst="rect">
                      <a:avLst/>
                    </a:prstGeom>
                    <a:noFill/>
                    <a:ln>
                      <a:noFill/>
                    </a:ln>
                  </pic:spPr>
                </pic:pic>
              </a:graphicData>
            </a:graphic>
          </wp:inline>
        </w:drawing>
      </w:r>
    </w:p>
    <w:p>
      <w:pPr>
        <w:bidi w:val="0"/>
        <w:jc w:val="center"/>
        <w:rPr>
          <w:rFonts w:hint="eastAsia"/>
          <w:b/>
          <w:bCs/>
        </w:rPr>
      </w:pPr>
      <w:r>
        <w:rPr>
          <w:rFonts w:hint="eastAsia"/>
          <w:b/>
          <w:bCs/>
        </w:rPr>
        <w:t>图</w:t>
      </w:r>
      <w:r>
        <w:rPr>
          <w:b/>
          <w:bCs/>
        </w:rPr>
        <w:t>1.4-1</w:t>
      </w:r>
      <w:r>
        <w:rPr>
          <w:rFonts w:hint="eastAsia"/>
          <w:b/>
          <w:bCs/>
          <w:lang w:val="en-US" w:eastAsia="zh-CN"/>
        </w:rPr>
        <w:t xml:space="preserve">  </w:t>
      </w:r>
      <w:r>
        <w:rPr>
          <w:rFonts w:hint="eastAsia"/>
          <w:b/>
          <w:bCs/>
        </w:rPr>
        <w:t>本项目环境影响评价工作过程</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15" w:name="_Toc13698"/>
      <w:bookmarkStart w:id="16" w:name="_Toc9011"/>
      <w:bookmarkStart w:id="17" w:name="_Toc32492"/>
      <w:r>
        <w:rPr>
          <w:rFonts w:hint="default"/>
          <w:lang w:val="en-US" w:eastAsia="zh-CN"/>
        </w:rPr>
        <w:t>1.5 相关产业政策分析</w:t>
      </w:r>
      <w:bookmarkEnd w:id="15"/>
      <w:bookmarkEnd w:id="16"/>
      <w:bookmarkEnd w:id="17"/>
    </w:p>
    <w:p>
      <w:pPr>
        <w:bidi w:val="0"/>
        <w:rPr>
          <w:color w:val="C00000"/>
        </w:rPr>
      </w:pPr>
      <w:r>
        <w:rPr>
          <w:rFonts w:hint="eastAsia"/>
          <w:lang w:val="en-US" w:eastAsia="zh-CN"/>
        </w:rPr>
        <w:t>经查阅《产业结构调整指导目录》（</w:t>
      </w:r>
      <w:r>
        <w:rPr>
          <w:rFonts w:hint="default"/>
          <w:lang w:val="en-US" w:eastAsia="zh-CN"/>
        </w:rPr>
        <w:t>2019</w:t>
      </w:r>
      <w:r>
        <w:rPr>
          <w:rFonts w:hint="eastAsia"/>
          <w:lang w:val="en-US" w:eastAsia="zh-CN"/>
        </w:rPr>
        <w:t>年本），本次工程属于第一类鼓励类中</w:t>
      </w:r>
      <w:r>
        <w:t>四十三、环境保护与资源节约综合利用</w:t>
      </w:r>
      <w:r>
        <w:rPr>
          <w:rFonts w:hint="eastAsia"/>
          <w:lang w:eastAsia="zh-CN"/>
        </w:rPr>
        <w:t>，</w:t>
      </w:r>
      <w:r>
        <w:t>27</w:t>
      </w:r>
      <w:r>
        <w:rPr>
          <w:rFonts w:hint="default"/>
        </w:rPr>
        <w:t>、废旧木材、废旧电器电子产品、废印刷电路板、废旧电池、废旧船舶、废旧农机、废塑料、废旧纺织品及纺织废料和边角料、废（碎）玻璃、废橡胶、废弃油脂等废旧物资等资源循环再利用技术、设备开发及应用</w:t>
      </w:r>
      <w:r>
        <w:rPr>
          <w:rFonts w:hint="eastAsia"/>
          <w:lang w:val="en-US" w:eastAsia="zh-CN"/>
        </w:rPr>
        <w:t>，同时工程已取得叶县发展和改革委员会备案证明（项目代码：2105</w:t>
      </w:r>
      <w:r>
        <w:rPr>
          <w:rFonts w:hint="default"/>
          <w:lang w:val="en-US" w:eastAsia="zh-CN"/>
        </w:rPr>
        <w:t>-410422-</w:t>
      </w:r>
      <w:r>
        <w:rPr>
          <w:rFonts w:hint="eastAsia"/>
          <w:lang w:val="en-US" w:eastAsia="zh-CN"/>
        </w:rPr>
        <w:t>04</w:t>
      </w:r>
      <w:r>
        <w:rPr>
          <w:rFonts w:hint="default"/>
          <w:lang w:val="en-US" w:eastAsia="zh-CN"/>
        </w:rPr>
        <w:t>-0</w:t>
      </w:r>
      <w:r>
        <w:rPr>
          <w:rFonts w:hint="eastAsia"/>
          <w:lang w:val="en-US" w:eastAsia="zh-CN"/>
        </w:rPr>
        <w:t>5</w:t>
      </w:r>
      <w:r>
        <w:rPr>
          <w:rFonts w:hint="default"/>
          <w:lang w:val="en-US" w:eastAsia="zh-CN"/>
        </w:rPr>
        <w:t>-</w:t>
      </w:r>
      <w:r>
        <w:rPr>
          <w:rFonts w:hint="eastAsia"/>
          <w:lang w:val="en-US" w:eastAsia="zh-CN"/>
        </w:rPr>
        <w:t>678265），因此，本次工程的建设符合国家产业政策。</w:t>
      </w:r>
      <w:r>
        <w:rPr>
          <w:rFonts w:hint="eastAsia"/>
          <w:color w:val="000000" w:themeColor="text1"/>
          <w:lang w:val="en-US" w:eastAsia="zh-CN"/>
          <w14:textFill>
            <w14:solidFill>
              <w14:schemeClr w14:val="tx1"/>
            </w14:solidFill>
          </w14:textFill>
        </w:rPr>
        <w:t>根据叶县自然资源局和叶县廉村镇人民政府出具证明，项目占地属建设用地，廉村镇人民政府同意在此建设本项目。</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18" w:name="_Toc13459"/>
      <w:bookmarkStart w:id="19" w:name="_Toc3351"/>
      <w:bookmarkStart w:id="20" w:name="_Toc943"/>
      <w:r>
        <w:rPr>
          <w:rFonts w:hint="default"/>
          <w:lang w:val="en-US" w:eastAsia="zh-CN"/>
        </w:rPr>
        <w:t>1.6 关注的主要环境问题及环境影响</w:t>
      </w:r>
      <w:bookmarkEnd w:id="18"/>
      <w:bookmarkEnd w:id="19"/>
      <w:bookmarkEnd w:id="20"/>
    </w:p>
    <w:p>
      <w:pPr>
        <w:pStyle w:val="4"/>
        <w:bidi w:val="0"/>
      </w:pPr>
      <w:r>
        <w:rPr>
          <w:rFonts w:hint="default"/>
          <w:lang w:val="en-US" w:eastAsia="zh-CN"/>
        </w:rPr>
        <w:t xml:space="preserve">1.6.1 </w:t>
      </w:r>
      <w:r>
        <w:rPr>
          <w:lang w:val="en-US" w:eastAsia="zh-CN"/>
        </w:rPr>
        <w:t>主要关注的环境问题</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结合项目工程特点和环境特征，本次环评工作应重点关注以下环境问题：</w:t>
      </w:r>
    </w:p>
    <w:p>
      <w:pPr>
        <w:ind w:firstLine="480"/>
        <w:jc w:val="both"/>
        <w:rPr>
          <w:b w:val="0"/>
          <w:bCs w:val="0"/>
          <w:u w:val="none"/>
          <w:lang w:val="en-US"/>
        </w:rPr>
      </w:pPr>
      <w:r>
        <w:rPr>
          <w:rFonts w:hint="eastAsia"/>
          <w:b w:val="0"/>
          <w:bCs w:val="0"/>
          <w:u w:val="none"/>
          <w:lang w:val="en-US"/>
        </w:rPr>
        <w:t>（1）根据平顶山市2020年环境状况公报</w:t>
      </w:r>
      <w:r>
        <w:rPr>
          <w:rFonts w:hint="eastAsia"/>
          <w:b w:val="0"/>
          <w:bCs w:val="0"/>
          <w:u w:val="none"/>
          <w:lang w:val="en-US" w:eastAsia="zh-CN"/>
        </w:rPr>
        <w:t>显示数据</w:t>
      </w:r>
      <w:r>
        <w:rPr>
          <w:rFonts w:hint="eastAsia"/>
          <w:b w:val="0"/>
          <w:bCs w:val="0"/>
          <w:u w:val="none"/>
          <w:lang w:val="en-US"/>
        </w:rPr>
        <w:t>，2020年，我市“优”天36天，同比增加14天，增幅63.6%；“良”天228天，同比增加63天，增幅38.2%；污染天数显著减少，其中</w:t>
      </w:r>
      <w:r>
        <w:rPr>
          <w:rFonts w:hint="eastAsia"/>
          <w:b w:val="0"/>
          <w:bCs w:val="0"/>
          <w:u w:val="none"/>
          <w:lang w:val="en-US" w:eastAsia="zh-CN"/>
        </w:rPr>
        <w:t>：</w:t>
      </w:r>
      <w:r>
        <w:rPr>
          <w:rFonts w:hint="eastAsia"/>
          <w:b w:val="0"/>
          <w:bCs w:val="0"/>
          <w:u w:val="none"/>
          <w:lang w:val="en-US"/>
        </w:rPr>
        <w:t>轻中度污染天数94天，同比减少64天，降幅40.5%</w:t>
      </w:r>
      <w:r>
        <w:rPr>
          <w:rFonts w:hint="eastAsia"/>
          <w:b w:val="0"/>
          <w:bCs w:val="0"/>
          <w:u w:val="none"/>
          <w:lang w:val="en-US" w:eastAsia="zh-CN"/>
        </w:rPr>
        <w:t>；</w:t>
      </w:r>
      <w:r>
        <w:rPr>
          <w:rFonts w:hint="eastAsia"/>
          <w:b w:val="0"/>
          <w:bCs w:val="0"/>
          <w:u w:val="none"/>
          <w:lang w:val="en-US"/>
        </w:rPr>
        <w:t>重度污染天数8天，同比减少12天，降幅60%，且全年无严重污染天。</w:t>
      </w:r>
    </w:p>
    <w:p>
      <w:pPr>
        <w:ind w:firstLine="480"/>
        <w:jc w:val="both"/>
        <w:rPr>
          <w:u w:val="none"/>
        </w:rPr>
      </w:pPr>
      <w:r>
        <w:rPr>
          <w:rFonts w:hint="eastAsia"/>
          <w:b w:val="0"/>
          <w:bCs w:val="0"/>
          <w:u w:val="none"/>
          <w:lang w:val="en-US"/>
        </w:rPr>
        <w:t>项目废气应采取严格的污染防护措施，在确保稳定达标排放的基础上，最大限度减少污染物的排放量。</w:t>
      </w:r>
    </w:p>
    <w:p>
      <w:pPr>
        <w:numPr>
          <w:ilvl w:val="0"/>
          <w:numId w:val="0"/>
        </w:numPr>
        <w:bidi w:val="0"/>
        <w:ind w:firstLine="480" w:firstLineChars="200"/>
        <w:rPr>
          <w:rFonts w:hint="eastAsia"/>
          <w:u w:val="single"/>
        </w:rPr>
      </w:pPr>
      <w:r>
        <w:rPr>
          <w:rFonts w:hint="eastAsia"/>
          <w:lang w:val="en-US" w:eastAsia="zh-CN"/>
        </w:rPr>
        <w:t>（2）项目附近水体为灰河，水体规划功能为地表水</w:t>
      </w:r>
      <w:r>
        <w:rPr>
          <w:rFonts w:hint="default"/>
          <w:lang w:val="en-US" w:eastAsia="zh-CN"/>
        </w:rPr>
        <w:t>Ⅲ</w:t>
      </w:r>
      <w:r>
        <w:rPr>
          <w:rFonts w:hint="eastAsia"/>
          <w:lang w:val="en-US" w:eastAsia="zh-CN"/>
        </w:rPr>
        <w:t>类。</w:t>
      </w:r>
      <w:r>
        <w:rPr>
          <w:rFonts w:hint="eastAsia"/>
          <w:u w:val="single"/>
          <w:lang w:val="en-US" w:eastAsia="zh-CN"/>
        </w:rPr>
        <w:t>根据平顶山市生态环境局2019年灰河屈庄断面常规监测因子数据。地表水环境灰河屈庄断面2019年内COD、总氮、总磷因子常规监测数据不能稳定达标，氨氮因子能够满足《地表水环境质量标准》（GB3838-2002）Ⅲ类标准要求</w:t>
      </w:r>
      <w:r>
        <w:rPr>
          <w:rFonts w:hint="eastAsia"/>
          <w:u w:val="single"/>
        </w:rPr>
        <w:t>。</w:t>
      </w:r>
    </w:p>
    <w:p>
      <w:pPr>
        <w:bidi w:val="0"/>
      </w:pPr>
      <w:r>
        <w:rPr>
          <w:rFonts w:hint="eastAsia"/>
          <w:lang w:val="en-US" w:eastAsia="zh-CN"/>
        </w:rPr>
        <w:t>（</w:t>
      </w:r>
      <w:r>
        <w:rPr>
          <w:rFonts w:hint="default"/>
          <w:lang w:val="en-US" w:eastAsia="zh-CN"/>
        </w:rPr>
        <w:t>3</w:t>
      </w:r>
      <w:r>
        <w:rPr>
          <w:rFonts w:hint="eastAsia"/>
          <w:lang w:val="en-US" w:eastAsia="zh-CN"/>
        </w:rPr>
        <w:t>）本项目不需设置大气环境防护距离。</w:t>
      </w:r>
    </w:p>
    <w:p>
      <w:pPr>
        <w:pStyle w:val="4"/>
        <w:bidi w:val="0"/>
      </w:pPr>
      <w:r>
        <w:rPr>
          <w:rFonts w:hint="default"/>
          <w:lang w:val="en-US" w:eastAsia="zh-CN"/>
        </w:rPr>
        <w:t xml:space="preserve">1.6.2 </w:t>
      </w:r>
      <w:r>
        <w:rPr>
          <w:lang w:val="en-US" w:eastAsia="zh-CN"/>
        </w:rPr>
        <w:t>运营期内环境影响</w:t>
      </w:r>
    </w:p>
    <w:p>
      <w:pPr>
        <w:bidi w:val="0"/>
        <w:rPr>
          <w:rFonts w:hint="default"/>
          <w:u w:val="single"/>
          <w:lang w:val="en-US" w:eastAsia="zh-CN"/>
        </w:rPr>
      </w:pPr>
      <w:r>
        <w:rPr>
          <w:rFonts w:hint="eastAsia"/>
          <w:lang w:val="en-US" w:eastAsia="zh-CN"/>
        </w:rPr>
        <w:t>大气环境：</w:t>
      </w:r>
      <w:r>
        <w:rPr>
          <w:rFonts w:hint="default"/>
          <w:lang w:val="en-US" w:eastAsia="zh-CN"/>
        </w:rPr>
        <w:t>废气采用不同收集及处理方式。本次评价重点分析废气源强、治理措施的可行性、厂界废气达标的可行性及对周边环境空气的影响。不论哪个区域，无论废气浓度大小，都采用负压引压收集系统，减少废气逃逸，并尽可能减少收集目标点的空间，减少收集所需的风量，同时通过引压系统将无组织排放转变为有组织收集，将所有转化为有组织废气高空排放。</w:t>
      </w:r>
      <w:r>
        <w:rPr>
          <w:rFonts w:hint="eastAsia"/>
          <w:u w:val="single"/>
          <w:lang w:val="en-US" w:eastAsia="zh-CN"/>
        </w:rPr>
        <w:t>重点分析废气排放是否对周边环境有较大影响以及废气污染防治设施是否合理可行。</w:t>
      </w:r>
    </w:p>
    <w:p>
      <w:pPr>
        <w:bidi w:val="0"/>
        <w:rPr>
          <w:color w:val="000000" w:themeColor="text1"/>
          <w:u w:val="single"/>
          <w14:textFill>
            <w14:solidFill>
              <w14:schemeClr w14:val="tx1"/>
            </w14:solidFill>
          </w14:textFill>
        </w:rPr>
      </w:pPr>
      <w:r>
        <w:rPr>
          <w:rFonts w:hint="eastAsia"/>
          <w:lang w:val="en-US" w:eastAsia="zh-CN"/>
        </w:rPr>
        <w:t>地表水环境：</w:t>
      </w:r>
      <w:r>
        <w:rPr>
          <w:rFonts w:hint="eastAsia" w:ascii="宋体" w:hAnsi="宋体" w:eastAsia="宋体" w:cs="宋体"/>
          <w:color w:val="000000" w:themeColor="text1"/>
          <w:kern w:val="0"/>
          <w:sz w:val="24"/>
          <w:szCs w:val="24"/>
          <w:lang w:val="en-US" w:eastAsia="zh-CN" w:bidi="ar"/>
          <w14:textFill>
            <w14:solidFill>
              <w14:schemeClr w14:val="tx1"/>
            </w14:solidFill>
          </w14:textFill>
        </w:rPr>
        <w:t>本项目</w:t>
      </w:r>
      <w:r>
        <w:rPr>
          <w:rFonts w:hint="eastAsia" w:ascii="宋体" w:hAnsi="宋体" w:cs="宋体"/>
          <w:color w:val="000000" w:themeColor="text1"/>
          <w:kern w:val="0"/>
          <w:sz w:val="24"/>
          <w:szCs w:val="24"/>
          <w:lang w:val="en-US" w:eastAsia="zh-CN" w:bidi="ar"/>
          <w14:textFill>
            <w14:solidFill>
              <w14:schemeClr w14:val="tx1"/>
            </w14:solidFill>
          </w14:textFill>
        </w:rPr>
        <w:t>新建污水站处理生产废水</w:t>
      </w:r>
      <w:r>
        <w:rPr>
          <w:rFonts w:hint="eastAsia" w:ascii="宋体" w:hAnsi="宋体" w:eastAsia="宋体" w:cs="宋体"/>
          <w:color w:val="000000" w:themeColor="text1"/>
          <w:kern w:val="0"/>
          <w:sz w:val="24"/>
          <w:szCs w:val="24"/>
          <w:lang w:val="en-US" w:eastAsia="zh-CN" w:bidi="ar"/>
          <w14:textFill>
            <w14:solidFill>
              <w14:schemeClr w14:val="tx1"/>
            </w14:solidFill>
          </w14:textFill>
        </w:rPr>
        <w:t>，经处理后废水进入</w:t>
      </w:r>
      <w:r>
        <w:rPr>
          <w:rFonts w:hint="eastAsia" w:ascii="宋体" w:hAnsi="宋体" w:cs="宋体"/>
          <w:color w:val="000000" w:themeColor="text1"/>
          <w:kern w:val="0"/>
          <w:sz w:val="24"/>
          <w:szCs w:val="24"/>
          <w:lang w:val="en-US" w:eastAsia="zh-CN" w:bidi="ar"/>
          <w14:textFill>
            <w14:solidFill>
              <w14:schemeClr w14:val="tx1"/>
            </w14:solidFill>
          </w14:textFill>
        </w:rPr>
        <w:t>清洗环节使用。餐厅废水经隔油池处理后排入化粪池，与生活污水一起定期清掏肥田。</w:t>
      </w:r>
      <w:r>
        <w:rPr>
          <w:rFonts w:hint="eastAsia" w:ascii="宋体" w:hAnsi="宋体" w:eastAsia="宋体" w:cs="宋体"/>
          <w:color w:val="000000" w:themeColor="text1"/>
          <w:kern w:val="0"/>
          <w:sz w:val="24"/>
          <w:szCs w:val="24"/>
          <w:lang w:val="en-US" w:eastAsia="zh-CN" w:bidi="ar"/>
          <w14:textFill>
            <w14:solidFill>
              <w14:schemeClr w14:val="tx1"/>
            </w14:solidFill>
          </w14:textFill>
        </w:rPr>
        <w:t>因此，</w:t>
      </w:r>
      <w:r>
        <w:rPr>
          <w:rFonts w:hint="eastAsia" w:ascii="宋体" w:hAnsi="宋体" w:cs="宋体"/>
          <w:color w:val="000000" w:themeColor="text1"/>
          <w:kern w:val="0"/>
          <w:sz w:val="24"/>
          <w:szCs w:val="24"/>
          <w:lang w:val="en-US" w:eastAsia="zh-CN" w:bidi="ar"/>
          <w14:textFill>
            <w14:solidFill>
              <w14:schemeClr w14:val="tx1"/>
            </w14:solidFill>
          </w14:textFill>
        </w:rPr>
        <w:t>本项目废水不外排，</w:t>
      </w:r>
      <w:r>
        <w:rPr>
          <w:rFonts w:hint="eastAsia" w:ascii="宋体" w:hAnsi="宋体" w:eastAsia="宋体" w:cs="宋体"/>
          <w:color w:val="000000" w:themeColor="text1"/>
          <w:kern w:val="0"/>
          <w:sz w:val="24"/>
          <w:szCs w:val="24"/>
          <w:lang w:val="en-US" w:eastAsia="zh-CN" w:bidi="ar"/>
          <w14:textFill>
            <w14:solidFill>
              <w14:schemeClr w14:val="tx1"/>
            </w14:solidFill>
          </w14:textFill>
        </w:rPr>
        <w:t>评价认为本项目对区域地表水环境影响较小，项目排水方案可行。</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重点分析废水</w:t>
      </w:r>
      <w:r>
        <w:rPr>
          <w:rFonts w:hint="eastAsia" w:ascii="宋体" w:hAnsi="宋体" w:cs="宋体"/>
          <w:color w:val="000000" w:themeColor="text1"/>
          <w:kern w:val="0"/>
          <w:sz w:val="24"/>
          <w:szCs w:val="24"/>
          <w:u w:val="single"/>
          <w:lang w:val="en-US" w:eastAsia="zh-CN" w:bidi="ar"/>
          <w14:textFill>
            <w14:solidFill>
              <w14:schemeClr w14:val="tx1"/>
            </w14:solidFill>
          </w14:textFill>
        </w:rPr>
        <w:t>循环利用的</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可行性</w:t>
      </w:r>
      <w:r>
        <w:rPr>
          <w:rFonts w:hint="eastAsia" w:ascii="宋体" w:hAnsi="宋体" w:cs="宋体"/>
          <w:color w:val="000000" w:themeColor="text1"/>
          <w:kern w:val="0"/>
          <w:sz w:val="24"/>
          <w:szCs w:val="24"/>
          <w:u w:val="single"/>
          <w:lang w:val="en-US" w:eastAsia="zh-CN" w:bidi="ar"/>
          <w14:textFill>
            <w14:solidFill>
              <w14:schemeClr w14:val="tx1"/>
            </w14:solidFill>
          </w14:textFill>
        </w:rPr>
        <w:t>。</w:t>
      </w:r>
    </w:p>
    <w:p>
      <w:pPr>
        <w:bidi w:val="0"/>
        <w:rPr>
          <w:color w:val="000000" w:themeColor="text1"/>
          <w:u w:val="single"/>
          <w14:textFill>
            <w14:solidFill>
              <w14:schemeClr w14:val="tx1"/>
            </w14:solidFill>
          </w14:textFill>
        </w:rPr>
      </w:pPr>
      <w:r>
        <w:rPr>
          <w:rFonts w:hint="eastAsia"/>
          <w:lang w:val="en-US" w:eastAsia="zh-CN"/>
        </w:rPr>
        <w:t>声环境：</w:t>
      </w:r>
      <w:r>
        <w:rPr>
          <w:rFonts w:hint="eastAsia" w:ascii="宋体" w:hAnsi="宋体" w:eastAsia="宋体" w:cs="宋体"/>
          <w:color w:val="000000" w:themeColor="text1"/>
          <w:kern w:val="0"/>
          <w:sz w:val="24"/>
          <w:szCs w:val="24"/>
          <w:lang w:val="en-US" w:eastAsia="zh-CN" w:bidi="ar"/>
          <w14:textFill>
            <w14:solidFill>
              <w14:schemeClr w14:val="tx1"/>
            </w14:solidFill>
          </w14:textFill>
        </w:rPr>
        <w:t>本次工程新增高噪声设备主要为</w:t>
      </w:r>
      <w:r>
        <w:rPr>
          <w:rFonts w:hint="eastAsia" w:ascii="宋体" w:hAnsi="宋体" w:cs="宋体"/>
          <w:color w:val="000000" w:themeColor="text1"/>
          <w:kern w:val="0"/>
          <w:sz w:val="24"/>
          <w:szCs w:val="24"/>
          <w:lang w:val="en-US" w:eastAsia="zh-CN" w:bidi="ar"/>
          <w14:textFill>
            <w14:solidFill>
              <w14:schemeClr w14:val="tx1"/>
            </w14:solidFill>
          </w14:textFill>
        </w:rPr>
        <w:t>造粒机</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清洗机</w:t>
      </w:r>
      <w:r>
        <w:rPr>
          <w:rFonts w:hint="eastAsia" w:ascii="宋体" w:hAnsi="宋体" w:eastAsia="宋体" w:cs="宋体"/>
          <w:color w:val="000000" w:themeColor="text1"/>
          <w:kern w:val="0"/>
          <w:sz w:val="24"/>
          <w:szCs w:val="24"/>
          <w:lang w:val="en-US" w:eastAsia="zh-CN" w:bidi="ar"/>
          <w14:textFill>
            <w14:solidFill>
              <w14:schemeClr w14:val="tx1"/>
            </w14:solidFill>
          </w14:textFill>
        </w:rPr>
        <w:t>、风机等，经采取隔声、消声、减振等治理措施。</w:t>
      </w: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本环评重点分析噪声控制措施的可行性、厂界噪声达标的可行性及对周围声环境的影响。</w:t>
      </w:r>
    </w:p>
    <w:p>
      <w:pPr>
        <w:bidi w:val="0"/>
        <w:rPr>
          <w:rFonts w:ascii="宋体" w:hAnsi="宋体" w:eastAsia="宋体" w:cs="宋体"/>
          <w:spacing w:val="0"/>
          <w:sz w:val="24"/>
          <w:szCs w:val="24"/>
          <w:u w:val="single"/>
        </w:rPr>
      </w:pPr>
      <w:r>
        <w:rPr>
          <w:rFonts w:hint="eastAsia"/>
          <w:lang w:val="en-US" w:eastAsia="zh-CN"/>
        </w:rPr>
        <w:t>固体废物：</w:t>
      </w:r>
      <w:r>
        <w:rPr>
          <w:rFonts w:hint="eastAsia"/>
          <w:u w:val="single"/>
          <w:lang w:val="en-US" w:eastAsia="zh-CN"/>
        </w:rPr>
        <w:t>本次工程所产生的一般固体废物包括分拣固废、废包装、清洗污泥废渣、除尘器卸灰、废滤网、废催化剂、生活垃圾</w:t>
      </w:r>
      <w:r>
        <w:rPr>
          <w:rFonts w:hint="eastAsia"/>
          <w:lang w:val="en-US" w:eastAsia="zh-CN"/>
        </w:rPr>
        <w:t>。其中分拣固废、清洗污泥废渣</w:t>
      </w:r>
      <w:r>
        <w:t>收集送至当地垃圾填埋场进行处置。</w:t>
      </w:r>
      <w:r>
        <w:rPr>
          <w:rFonts w:hint="eastAsia"/>
          <w:lang w:eastAsia="zh-CN"/>
        </w:rPr>
        <w:t>生活垃圾集中收集后交环卫部门处理。废包装和除尘器卸灰定期外售。废滤网和废催化剂厂家回收处理。危险废物主要包括废机油、</w:t>
      </w:r>
      <w:r>
        <w:rPr>
          <w:rFonts w:hint="eastAsia"/>
          <w:u w:val="single"/>
          <w:lang w:val="en-US" w:eastAsia="zh-CN"/>
        </w:rPr>
        <w:t>喷淋塔漂浮物及沉渣</w:t>
      </w:r>
      <w:r>
        <w:rPr>
          <w:rFonts w:hint="eastAsia"/>
          <w:lang w:eastAsia="zh-CN"/>
        </w:rPr>
        <w:t>和废活性炭，危废经暂存间暂存后定期交危废处理资质单位处理。</w:t>
      </w:r>
      <w:r>
        <w:rPr>
          <w:rFonts w:ascii="宋体" w:hAnsi="宋体" w:eastAsia="宋体" w:cs="宋体"/>
          <w:sz w:val="24"/>
          <w:szCs w:val="24"/>
          <w:u w:val="single"/>
        </w:rPr>
        <w:t>本环评重点分析</w:t>
      </w:r>
      <w:r>
        <w:rPr>
          <w:rFonts w:ascii="宋体" w:hAnsi="宋体" w:eastAsia="宋体" w:cs="宋体"/>
          <w:spacing w:val="0"/>
          <w:sz w:val="24"/>
          <w:szCs w:val="24"/>
          <w:u w:val="single"/>
        </w:rPr>
        <w:t>危险废物的产生情况、暂存设施设置的规范要求以及最终处置是否符合环保管理要求。</w:t>
      </w:r>
    </w:p>
    <w:p>
      <w:pPr>
        <w:bidi w:val="0"/>
        <w:rPr>
          <w:u w:val="single"/>
        </w:rPr>
      </w:pPr>
      <w:r>
        <w:rPr>
          <w:u w:val="single"/>
        </w:rPr>
        <w:t>环境风险：本项目生产</w:t>
      </w:r>
      <w:r>
        <w:rPr>
          <w:rFonts w:hint="eastAsia"/>
          <w:u w:val="single"/>
          <w:lang w:eastAsia="zh-CN"/>
        </w:rPr>
        <w:t>不涉及有毒有害物质储存与使用</w:t>
      </w:r>
      <w:r>
        <w:rPr>
          <w:u w:val="single"/>
        </w:rPr>
        <w:t>。因此，本次评价重点关注项目生产及物料储存过程中存在的潜在环境风险是否可防可控。</w:t>
      </w:r>
    </w:p>
    <w:p>
      <w:pPr>
        <w:bidi w:val="0"/>
      </w:pPr>
      <w:r>
        <w:t>通过对消耗量较小的物料不在厂区存储随用随买，减少厂区物料的存储</w:t>
      </w:r>
      <w:r>
        <w:rPr>
          <w:rFonts w:hint="eastAsia"/>
          <w:lang w:eastAsia="zh-CN"/>
        </w:rPr>
        <w:t>来降低环境风险的发生</w:t>
      </w:r>
      <w:r>
        <w:t>。</w:t>
      </w:r>
    </w:p>
    <w:p>
      <w:pPr>
        <w:bidi w:val="0"/>
        <w:rPr>
          <w:u w:val="single"/>
        </w:rPr>
      </w:pPr>
      <w:r>
        <w:rPr>
          <w:u w:val="single"/>
        </w:rPr>
        <w:t>地下水和土壤：本次评价重点关注生产区、原料产品</w:t>
      </w:r>
      <w:r>
        <w:rPr>
          <w:rFonts w:hint="eastAsia"/>
          <w:u w:val="single"/>
          <w:lang w:eastAsia="zh-CN"/>
        </w:rPr>
        <w:t>储存</w:t>
      </w:r>
      <w:r>
        <w:rPr>
          <w:u w:val="single"/>
        </w:rPr>
        <w:t>区、危废暂存间和废水处理站的防渗措施和防渗要求，结合车间优化立体布置，减少和地面的接触。</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21" w:name="_Toc14853"/>
      <w:bookmarkStart w:id="22" w:name="_Toc17568"/>
      <w:bookmarkStart w:id="23" w:name="_Toc4948"/>
      <w:r>
        <w:rPr>
          <w:rFonts w:hint="default"/>
          <w:lang w:val="en-US" w:eastAsia="zh-CN"/>
        </w:rPr>
        <w:t>1.</w:t>
      </w:r>
      <w:r>
        <w:rPr>
          <w:rFonts w:hint="eastAsia"/>
          <w:lang w:val="en-US" w:eastAsia="zh-CN"/>
        </w:rPr>
        <w:t>7</w:t>
      </w:r>
      <w:r>
        <w:rPr>
          <w:rFonts w:hint="default"/>
          <w:lang w:val="en-US" w:eastAsia="zh-CN"/>
        </w:rPr>
        <w:t xml:space="preserve"> 环境影响报告书主要结论</w:t>
      </w:r>
      <w:bookmarkEnd w:id="21"/>
      <w:bookmarkEnd w:id="22"/>
      <w:bookmarkEnd w:id="23"/>
    </w:p>
    <w:p>
      <w:pPr>
        <w:bidi w:val="0"/>
      </w:pPr>
      <w:r>
        <w:t>本项目为</w:t>
      </w:r>
      <w:r>
        <w:rPr>
          <w:rFonts w:hint="eastAsia"/>
          <w:lang w:val="en-US" w:eastAsia="zh-CN"/>
        </w:rPr>
        <w:t>叶县景喻再生资源回收有限公司年处置6000吨废旧塑料再生资源综合利用项目</w:t>
      </w:r>
      <w:r>
        <w:t>，项目符合现阶段国家产业政策，选址位于</w:t>
      </w:r>
      <w:r>
        <w:rPr>
          <w:rFonts w:hint="eastAsia"/>
          <w:lang w:val="en-US" w:eastAsia="zh-CN"/>
        </w:rPr>
        <w:t>平顶山市叶县廉村镇二郎庙村村北200米路东</w:t>
      </w:r>
      <w:r>
        <w:t>，符合“三线一单”的要求。</w:t>
      </w:r>
    </w:p>
    <w:p>
      <w:pPr>
        <w:bidi w:val="0"/>
      </w:pPr>
      <w:r>
        <w:t>本项目建成运营后具有较明显的社会、经济、环境综合效益；项目建成投入使用后，在采取相应的治理措施后，可满足相应的国家排放标准；项目实施后能满足区域环境质量与环境功能的要求。建设方在施工期、运营期应当在执行“三同时”原则的基础上，严格执行国家的环保法律法规，切实落实本环评中提出的各项污染防治和生态保护措施，将对周围环境的影响降低到可接受的程度，从环保角度看，本项目的建设可行。</w:t>
      </w:r>
    </w:p>
    <w:p>
      <w:pPr>
        <w:bidi w:val="0"/>
      </w:pPr>
      <w:r>
        <w:t>本次评价工作得到了</w:t>
      </w:r>
      <w:r>
        <w:rPr>
          <w:rFonts w:hint="eastAsia"/>
          <w:lang w:eastAsia="zh-CN"/>
        </w:rPr>
        <w:t>企业</w:t>
      </w:r>
      <w:r>
        <w:t>有关人员的积极配合和支持，也得到了平顶山市生态环境局，</w:t>
      </w:r>
      <w:r>
        <w:rPr>
          <w:u w:val="single"/>
        </w:rPr>
        <w:t>平顶山市生态环境局</w:t>
      </w:r>
      <w:r>
        <w:rPr>
          <w:rFonts w:hint="eastAsia"/>
          <w:u w:val="single"/>
          <w:lang w:eastAsia="zh-CN"/>
        </w:rPr>
        <w:t>叶县</w:t>
      </w:r>
      <w:r>
        <w:rPr>
          <w:u w:val="single"/>
        </w:rPr>
        <w:t>分局</w:t>
      </w:r>
      <w:r>
        <w:t>等单位的技术指导和大力支持，在此一并致谢。</w:t>
      </w:r>
    </w:p>
    <w:p>
      <w:pPr>
        <w:bidi w:val="0"/>
      </w:pPr>
    </w:p>
    <w:p>
      <w:pPr>
        <w:rPr>
          <w:rFonts w:hint="eastAsia"/>
          <w:lang w:val="en-US" w:eastAsia="zh-CN"/>
        </w:rPr>
      </w:pPr>
      <w:r>
        <w:rPr>
          <w:rFonts w:hint="eastAsia"/>
          <w:lang w:val="en-US" w:eastAsia="zh-CN"/>
        </w:rPr>
        <w:br w:type="page"/>
      </w:r>
    </w:p>
    <w:p>
      <w:pPr>
        <w:pStyle w:val="2"/>
        <w:bidi w:val="0"/>
      </w:pPr>
      <w:bookmarkStart w:id="24" w:name="_Toc25297"/>
      <w:bookmarkStart w:id="25" w:name="_Toc22497"/>
      <w:bookmarkStart w:id="26" w:name="_Toc18467"/>
      <w:r>
        <w:rPr>
          <w:lang w:val="en-US" w:eastAsia="zh-CN"/>
        </w:rPr>
        <w:t>第二章</w:t>
      </w:r>
      <w:r>
        <w:rPr>
          <w:rFonts w:hint="default"/>
          <w:lang w:val="en-US" w:eastAsia="zh-CN"/>
        </w:rPr>
        <w:t xml:space="preserve"> </w:t>
      </w:r>
      <w:r>
        <w:rPr>
          <w:rFonts w:hint="eastAsia"/>
          <w:lang w:val="en-US" w:eastAsia="zh-CN"/>
        </w:rPr>
        <w:t>总则</w:t>
      </w:r>
      <w:bookmarkEnd w:id="24"/>
      <w:bookmarkEnd w:id="25"/>
      <w:bookmarkEnd w:id="26"/>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27" w:name="_Toc3237"/>
      <w:bookmarkStart w:id="28" w:name="_Toc18350"/>
      <w:bookmarkStart w:id="29" w:name="_Toc20362"/>
      <w:r>
        <w:rPr>
          <w:rFonts w:hint="default"/>
          <w:lang w:val="en-US" w:eastAsia="zh-CN"/>
        </w:rPr>
        <w:t xml:space="preserve">2.1 </w:t>
      </w:r>
      <w:r>
        <w:rPr>
          <w:rFonts w:hint="eastAsia"/>
          <w:lang w:val="en-US" w:eastAsia="zh-CN"/>
        </w:rPr>
        <w:t>编制依据</w:t>
      </w:r>
      <w:bookmarkEnd w:id="27"/>
      <w:bookmarkEnd w:id="28"/>
      <w:bookmarkEnd w:id="29"/>
    </w:p>
    <w:p>
      <w:pPr>
        <w:pStyle w:val="4"/>
        <w:bidi w:val="0"/>
      </w:pPr>
      <w:r>
        <w:rPr>
          <w:rFonts w:hint="default"/>
          <w:lang w:val="en-US" w:eastAsia="zh-CN"/>
        </w:rPr>
        <w:t xml:space="preserve">2.1.1 </w:t>
      </w:r>
      <w:r>
        <w:rPr>
          <w:lang w:val="en-US" w:eastAsia="zh-CN"/>
        </w:rPr>
        <w:t>法律法规及部门规章</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）《中华人民共和国环境保护法》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(2015</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日施行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）《中华人民共和国大气污染防治法》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(2018</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26</w:t>
      </w:r>
      <w:r>
        <w:rPr>
          <w:rFonts w:hint="eastAsia" w:ascii="宋体" w:hAnsi="宋体" w:eastAsia="宋体" w:cs="宋体"/>
          <w:color w:val="000000" w:themeColor="text1"/>
          <w:kern w:val="0"/>
          <w:sz w:val="24"/>
          <w:szCs w:val="24"/>
          <w:lang w:val="en-US" w:eastAsia="zh-CN" w:bidi="ar"/>
          <w14:textFill>
            <w14:solidFill>
              <w14:schemeClr w14:val="tx1"/>
            </w14:solidFill>
          </w14:textFill>
        </w:rPr>
        <w:t>日修订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）《中华人民共和国水污染防治法》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(2018</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）《中华人民共和国环境噪声污染防治法》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(2018</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29</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）《中华人民共和国固体废物污染防治法》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(2020</w:t>
      </w:r>
      <w:r>
        <w:rPr>
          <w:rFonts w:hint="eastAsia" w:ascii="宋体" w:hAnsi="宋体" w:eastAsia="宋体" w:cs="宋体"/>
          <w:color w:val="000000" w:themeColor="text1"/>
          <w:kern w:val="0"/>
          <w:sz w:val="24"/>
          <w:szCs w:val="24"/>
          <w:lang w:val="en-US" w:eastAsia="zh-CN" w:bidi="ar"/>
          <w14:textFill>
            <w14:solidFill>
              <w14:schemeClr w14:val="tx1"/>
            </w14:solidFill>
          </w14:textFill>
        </w:rPr>
        <w:t>年修订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）《中华人民共和国清洁生产促进法》（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2013</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宋体" w:hAnsi="宋体" w:eastAsia="宋体" w:cs="宋体"/>
          <w:color w:val="000000" w:themeColor="text1"/>
          <w:kern w:val="0"/>
          <w:sz w:val="24"/>
          <w:szCs w:val="24"/>
          <w:lang w:val="en-US" w:eastAsia="zh-CN" w:bidi="ar"/>
          <w14:textFill>
            <w14:solidFill>
              <w14:schemeClr w14:val="tx1"/>
            </w14:solidFill>
          </w14:textFill>
        </w:rPr>
        <w:t>）《中华人民共和国环境影响评价法》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(2018</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29</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w:t>
      </w:r>
      <w:r>
        <w:rPr>
          <w:rFonts w:hint="eastAsia" w:ascii="宋体" w:hAnsi="宋体" w:eastAsia="宋体" w:cs="宋体"/>
          <w:color w:val="000000" w:themeColor="text1"/>
          <w:kern w:val="0"/>
          <w:sz w:val="24"/>
          <w:szCs w:val="24"/>
          <w:lang w:val="en-US" w:eastAsia="zh-CN" w:bidi="ar"/>
          <w14:textFill>
            <w14:solidFill>
              <w14:schemeClr w14:val="tx1"/>
            </w14:solidFill>
          </w14:textFill>
        </w:rPr>
        <w:t>）《建设项目环境保护管理条例》（国务院令第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682</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w:t>
      </w:r>
      <w:r>
        <w:rPr>
          <w:rFonts w:hint="eastAsia" w:cs="Times New Roman"/>
          <w:color w:val="000000" w:themeColor="text1"/>
          <w:kern w:val="0"/>
          <w:sz w:val="24"/>
          <w:szCs w:val="24"/>
          <w:lang w:val="en-US" w:eastAsia="zh-CN" w:bidi="ar"/>
          <w14:textFill>
            <w14:solidFill>
              <w14:schemeClr w14:val="tx1"/>
            </w14:solidFill>
          </w14:textFill>
        </w:rPr>
        <w:t>7</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0</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eastAsia"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w:t>
      </w:r>
      <w:r>
        <w:rPr>
          <w:rFonts w:hint="eastAsia" w:ascii="宋体" w:hAnsi="宋体" w:eastAsia="宋体" w:cs="宋体"/>
          <w:color w:val="000000" w:themeColor="text1"/>
          <w:kern w:val="0"/>
          <w:sz w:val="24"/>
          <w:szCs w:val="24"/>
          <w:lang w:val="en-US" w:eastAsia="zh-CN" w:bidi="ar"/>
          <w14:textFill>
            <w14:solidFill>
              <w14:schemeClr w14:val="tx1"/>
            </w14:solidFill>
          </w14:textFill>
        </w:rPr>
        <w:t>）《建设项目环境影响评价分类管理名录》（部令第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44</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r>
        <w:rPr>
          <w:rFonts w:hint="eastAsia" w:cs="Times New Roman"/>
          <w:color w:val="000000" w:themeColor="text1"/>
          <w:kern w:val="0"/>
          <w:sz w:val="24"/>
          <w:szCs w:val="24"/>
          <w:lang w:val="en-US" w:eastAsia="zh-CN" w:bidi="ar"/>
          <w14:textFill>
            <w14:solidFill>
              <w14:schemeClr w14:val="tx1"/>
            </w14:solidFill>
          </w14:textFill>
        </w:rPr>
        <w:t>2021年版</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eastAsia" w:ascii="宋体" w:hAnsi="宋体" w:eastAsia="宋体" w:cs="宋体"/>
          <w:color w:val="000000" w:themeColor="text1"/>
          <w:kern w:val="0"/>
          <w:sz w:val="24"/>
          <w:szCs w:val="24"/>
          <w:lang w:val="en-US" w:eastAsia="zh-CN" w:bidi="ar"/>
          <w14:textFill>
            <w14:solidFill>
              <w14:schemeClr w14:val="tx1"/>
            </w14:solidFill>
          </w14:textFill>
        </w:rPr>
        <w:t>）《关于进一步加强环境影响评价管理防范环境风险的通知》（环发</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77</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11</w:t>
      </w:r>
      <w:r>
        <w:rPr>
          <w:rFonts w:hint="eastAsia" w:ascii="宋体" w:hAnsi="宋体" w:eastAsia="宋体" w:cs="宋体"/>
          <w:color w:val="000000" w:themeColor="text1"/>
          <w:kern w:val="0"/>
          <w:sz w:val="24"/>
          <w:szCs w:val="24"/>
          <w:lang w:val="en-US" w:eastAsia="zh-CN" w:bidi="ar"/>
          <w14:textFill>
            <w14:solidFill>
              <w14:schemeClr w14:val="tx1"/>
            </w14:solidFill>
          </w14:textFill>
        </w:rPr>
        <w:t>）《关于切实加强风险防范严格环境影响评价管理的通知》（环发</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2012</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98</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w:t>
      </w:r>
      <w:r>
        <w:rPr>
          <w:rFonts w:hint="eastAsia" w:ascii="宋体" w:hAnsi="宋体" w:eastAsia="宋体" w:cs="宋体"/>
          <w:color w:val="000000" w:themeColor="text1"/>
          <w:kern w:val="0"/>
          <w:sz w:val="24"/>
          <w:szCs w:val="24"/>
          <w:lang w:val="en-US" w:eastAsia="zh-CN" w:bidi="ar"/>
          <w14:textFill>
            <w14:solidFill>
              <w14:schemeClr w14:val="tx1"/>
            </w14:solidFill>
          </w14:textFill>
        </w:rPr>
        <w:t>）《产业结构调整指导目录》（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2019</w:t>
      </w:r>
      <w:r>
        <w:rPr>
          <w:rFonts w:hint="eastAsia" w:ascii="宋体" w:hAnsi="宋体" w:eastAsia="宋体" w:cs="宋体"/>
          <w:color w:val="000000" w:themeColor="text1"/>
          <w:kern w:val="0"/>
          <w:sz w:val="24"/>
          <w:szCs w:val="24"/>
          <w:lang w:val="en-US" w:eastAsia="zh-CN" w:bidi="ar"/>
          <w14:textFill>
            <w14:solidFill>
              <w14:schemeClr w14:val="tx1"/>
            </w14:solidFill>
          </w14:textFill>
        </w:rPr>
        <w:t>年本）；</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13</w:t>
      </w:r>
      <w:r>
        <w:rPr>
          <w:rFonts w:hint="eastAsia" w:ascii="宋体" w:hAnsi="宋体" w:eastAsia="宋体" w:cs="宋体"/>
          <w:color w:val="000000" w:themeColor="text1"/>
          <w:kern w:val="0"/>
          <w:sz w:val="24"/>
          <w:szCs w:val="24"/>
          <w:lang w:val="en-US" w:eastAsia="zh-CN" w:bidi="ar"/>
          <w14:textFill>
            <w14:solidFill>
              <w14:schemeClr w14:val="tx1"/>
            </w14:solidFill>
          </w14:textFill>
        </w:rPr>
        <w:t>）《环境影响评价公众参与办法》（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2019</w:t>
      </w:r>
      <w:r>
        <w:rPr>
          <w:rFonts w:hint="eastAsia" w:ascii="宋体" w:hAnsi="宋体" w:eastAsia="宋体" w:cs="宋体"/>
          <w:color w:val="000000" w:themeColor="text1"/>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日实施）；</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14</w:t>
      </w:r>
      <w:r>
        <w:rPr>
          <w:rFonts w:hint="eastAsia" w:ascii="宋体" w:hAnsi="宋体" w:eastAsia="宋体" w:cs="宋体"/>
          <w:color w:val="000000" w:themeColor="text1"/>
          <w:kern w:val="0"/>
          <w:sz w:val="24"/>
          <w:szCs w:val="24"/>
          <w:lang w:val="en-US" w:eastAsia="zh-CN" w:bidi="ar"/>
          <w14:textFill>
            <w14:solidFill>
              <w14:schemeClr w14:val="tx1"/>
            </w14:solidFill>
          </w14:textFill>
        </w:rPr>
        <w:t>）《国家发展改革委工业和信息化部关于促进石化产业绿色发展的指导意见》（发改产业</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2017</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2105</w:t>
      </w:r>
      <w:r>
        <w:rPr>
          <w:rFonts w:hint="eastAsia" w:ascii="宋体" w:hAnsi="宋体" w:eastAsia="宋体" w:cs="宋体"/>
          <w:color w:val="000000" w:themeColor="text1"/>
          <w:kern w:val="0"/>
          <w:sz w:val="24"/>
          <w:szCs w:val="24"/>
          <w:lang w:val="en-US" w:eastAsia="zh-CN" w:bidi="ar"/>
          <w14:textFill>
            <w14:solidFill>
              <w14:schemeClr w14:val="tx1"/>
            </w14:solidFill>
          </w14:textFill>
        </w:rPr>
        <w:t>号）；</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eastAsia="宋体" w:cs="Times New Roman"/>
          <w:color w:val="000000" w:themeColor="text1"/>
          <w:kern w:val="0"/>
          <w:sz w:val="24"/>
          <w:szCs w:val="24"/>
          <w:lang w:val="en-US" w:eastAsia="zh-CN" w:bidi="ar"/>
          <w14:textFill>
            <w14:solidFill>
              <w14:schemeClr w14:val="tx1"/>
            </w14:solidFill>
          </w14:textFill>
        </w:rPr>
        <w:t>5</w:t>
      </w:r>
      <w:r>
        <w:rPr>
          <w:rFonts w:hint="eastAsia" w:ascii="宋体" w:hAnsi="宋体" w:eastAsia="宋体" w:cs="宋体"/>
          <w:color w:val="000000" w:themeColor="text1"/>
          <w:kern w:val="0"/>
          <w:sz w:val="24"/>
          <w:szCs w:val="24"/>
          <w:lang w:val="en-US" w:eastAsia="zh-CN" w:bidi="ar"/>
          <w14:textFill>
            <w14:solidFill>
              <w14:schemeClr w14:val="tx1"/>
            </w14:solidFill>
          </w14:textFill>
        </w:rPr>
        <w:t>）《国家危险废物名录》（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w:t>
      </w:r>
      <w:r>
        <w:rPr>
          <w:rFonts w:hint="eastAsia" w:ascii="宋体" w:hAnsi="宋体" w:eastAsia="宋体" w:cs="宋体"/>
          <w:color w:val="000000" w:themeColor="text1"/>
          <w:kern w:val="0"/>
          <w:sz w:val="24"/>
          <w:szCs w:val="24"/>
          <w:lang w:val="en-US" w:eastAsia="zh-CN" w:bidi="ar"/>
          <w14:textFill>
            <w14:solidFill>
              <w14:schemeClr w14:val="tx1"/>
            </w14:solidFill>
          </w14:textFill>
        </w:rPr>
        <w:t>年版）。</w:t>
      </w:r>
    </w:p>
    <w:p>
      <w:pPr>
        <w:ind w:firstLine="480"/>
      </w:pPr>
      <w:r>
        <w:rPr>
          <w:rFonts w:hint="eastAsia"/>
          <w:lang w:val="en-US"/>
        </w:rPr>
        <w:t>（</w:t>
      </w:r>
      <w:r>
        <w:rPr>
          <w:lang w:val="en-US"/>
        </w:rPr>
        <w:t>1</w:t>
      </w:r>
      <w:r>
        <w:rPr>
          <w:rFonts w:hint="eastAsia"/>
          <w:lang w:val="en-US" w:eastAsia="zh-CN"/>
        </w:rPr>
        <w:t>6</w:t>
      </w:r>
      <w:r>
        <w:rPr>
          <w:rFonts w:hint="eastAsia"/>
          <w:lang w:val="en-US"/>
        </w:rPr>
        <w:t>）《国务院关于印发大气污染防治行动计划的通知》（国发〔</w:t>
      </w:r>
      <w:r>
        <w:rPr>
          <w:lang w:val="en-US"/>
        </w:rPr>
        <w:t>2013</w:t>
      </w:r>
      <w:r>
        <w:rPr>
          <w:rFonts w:hint="eastAsia"/>
          <w:lang w:val="en-US"/>
        </w:rPr>
        <w:t>〕</w:t>
      </w:r>
      <w:r>
        <w:rPr>
          <w:lang w:val="en-US"/>
        </w:rPr>
        <w:t>37</w:t>
      </w:r>
      <w:r>
        <w:rPr>
          <w:rFonts w:hint="eastAsia"/>
          <w:lang w:val="en-US"/>
        </w:rPr>
        <w:t>号）；</w:t>
      </w:r>
    </w:p>
    <w:p>
      <w:pPr>
        <w:ind w:firstLine="480"/>
      </w:pPr>
      <w:r>
        <w:rPr>
          <w:rFonts w:hint="eastAsia"/>
          <w:lang w:val="en-US"/>
        </w:rPr>
        <w:t>（</w:t>
      </w:r>
      <w:r>
        <w:rPr>
          <w:lang w:val="en-US"/>
        </w:rPr>
        <w:t>1</w:t>
      </w:r>
      <w:r>
        <w:rPr>
          <w:rFonts w:hint="eastAsia"/>
          <w:lang w:val="en-US" w:eastAsia="zh-CN"/>
        </w:rPr>
        <w:t>7</w:t>
      </w:r>
      <w:r>
        <w:rPr>
          <w:rFonts w:hint="eastAsia"/>
          <w:lang w:val="en-US"/>
        </w:rPr>
        <w:t>）《关于落实大气污染防治行动计划严格环境影响评价准入的通知》（环办〔</w:t>
      </w:r>
      <w:r>
        <w:rPr>
          <w:lang w:val="en-US"/>
        </w:rPr>
        <w:t>2014</w:t>
      </w:r>
      <w:r>
        <w:rPr>
          <w:rFonts w:hint="eastAsia"/>
          <w:lang w:val="en-US"/>
        </w:rPr>
        <w:t>〕</w:t>
      </w:r>
      <w:r>
        <w:rPr>
          <w:lang w:val="en-US"/>
        </w:rPr>
        <w:t>30</w:t>
      </w:r>
      <w:r>
        <w:rPr>
          <w:rFonts w:hint="eastAsia"/>
          <w:lang w:val="en-US"/>
        </w:rPr>
        <w:t>号）；</w:t>
      </w:r>
    </w:p>
    <w:p>
      <w:pPr>
        <w:ind w:firstLine="480"/>
      </w:pPr>
      <w:r>
        <w:rPr>
          <w:rFonts w:hint="eastAsia"/>
          <w:lang w:val="en-US"/>
        </w:rPr>
        <w:t>（</w:t>
      </w:r>
      <w:r>
        <w:rPr>
          <w:lang w:val="en-US"/>
        </w:rPr>
        <w:t>1</w:t>
      </w:r>
      <w:r>
        <w:rPr>
          <w:rFonts w:hint="eastAsia"/>
          <w:lang w:val="en-US" w:eastAsia="zh-CN"/>
        </w:rPr>
        <w:t>8</w:t>
      </w:r>
      <w:r>
        <w:rPr>
          <w:rFonts w:hint="eastAsia"/>
          <w:lang w:val="en-US"/>
        </w:rPr>
        <w:t>）《国务院关于印发土壤污染防治行动计划的通知》（国发〔</w:t>
      </w:r>
      <w:r>
        <w:rPr>
          <w:lang w:val="en-US"/>
        </w:rPr>
        <w:t>2016</w:t>
      </w:r>
      <w:r>
        <w:rPr>
          <w:rFonts w:hint="eastAsia"/>
          <w:lang w:val="en-US"/>
        </w:rPr>
        <w:t>〕</w:t>
      </w:r>
      <w:r>
        <w:rPr>
          <w:lang w:val="en-US"/>
        </w:rPr>
        <w:t>31</w:t>
      </w:r>
      <w:r>
        <w:rPr>
          <w:rFonts w:hint="eastAsia"/>
          <w:lang w:val="en-US"/>
        </w:rPr>
        <w:t>号）；</w:t>
      </w:r>
    </w:p>
    <w:p>
      <w:pPr>
        <w:ind w:firstLine="480"/>
      </w:pPr>
      <w:r>
        <w:rPr>
          <w:rFonts w:hint="eastAsia"/>
          <w:lang w:val="en-US"/>
        </w:rPr>
        <w:t>（</w:t>
      </w:r>
      <w:r>
        <w:rPr>
          <w:lang w:val="en-US"/>
        </w:rPr>
        <w:t>1</w:t>
      </w:r>
      <w:r>
        <w:rPr>
          <w:rFonts w:hint="eastAsia"/>
          <w:lang w:val="en-US" w:eastAsia="zh-CN"/>
        </w:rPr>
        <w:t>9</w:t>
      </w:r>
      <w:r>
        <w:rPr>
          <w:rFonts w:hint="eastAsia"/>
          <w:lang w:val="en-US"/>
        </w:rPr>
        <w:t>）《国务院关于印发水污染防治行动计划的通知》（国发〔</w:t>
      </w:r>
      <w:r>
        <w:rPr>
          <w:lang w:val="en-US"/>
        </w:rPr>
        <w:t>2015</w:t>
      </w:r>
      <w:r>
        <w:rPr>
          <w:rFonts w:hint="eastAsia"/>
          <w:lang w:val="en-US"/>
        </w:rPr>
        <w:t>〕</w:t>
      </w:r>
      <w:r>
        <w:rPr>
          <w:lang w:val="en-US"/>
        </w:rPr>
        <w:t>17</w:t>
      </w:r>
      <w:r>
        <w:rPr>
          <w:rFonts w:hint="eastAsia"/>
          <w:lang w:val="en-US"/>
        </w:rPr>
        <w:t>号）；</w:t>
      </w:r>
    </w:p>
    <w:p>
      <w:pPr>
        <w:ind w:firstLine="480"/>
      </w:pPr>
      <w:r>
        <w:rPr>
          <w:rFonts w:hint="eastAsia"/>
          <w:lang w:val="en-US"/>
        </w:rPr>
        <w:t>（</w:t>
      </w:r>
      <w:r>
        <w:rPr>
          <w:rFonts w:hint="eastAsia"/>
          <w:lang w:val="en-US" w:eastAsia="zh-CN"/>
        </w:rPr>
        <w:t>20</w:t>
      </w:r>
      <w:r>
        <w:rPr>
          <w:rFonts w:hint="eastAsia"/>
          <w:lang w:val="en-US"/>
        </w:rPr>
        <w:t>）《国务院办公厅关于印发控制污染物排放许可制实施方案的通知》，国发〔</w:t>
      </w:r>
      <w:r>
        <w:rPr>
          <w:lang w:val="en-US"/>
        </w:rPr>
        <w:t>2016</w:t>
      </w:r>
      <w:r>
        <w:rPr>
          <w:rFonts w:hint="eastAsia"/>
          <w:lang w:val="en-US"/>
        </w:rPr>
        <w:t>〕</w:t>
      </w:r>
      <w:r>
        <w:rPr>
          <w:lang w:val="en-US"/>
        </w:rPr>
        <w:t>81</w:t>
      </w:r>
      <w:r>
        <w:rPr>
          <w:rFonts w:hint="eastAsia"/>
          <w:lang w:val="en-US"/>
        </w:rPr>
        <w:t>号；</w:t>
      </w:r>
    </w:p>
    <w:p>
      <w:pPr>
        <w:ind w:firstLine="480"/>
        <w:rPr>
          <w:rFonts w:hint="eastAsia"/>
          <w:lang w:val="en-US"/>
        </w:rPr>
      </w:pPr>
      <w:r>
        <w:rPr>
          <w:rFonts w:hint="eastAsia"/>
          <w:lang w:val="en-US"/>
        </w:rPr>
        <w:t>（</w:t>
      </w:r>
      <w:r>
        <w:rPr>
          <w:lang w:val="en-US"/>
        </w:rPr>
        <w:t>2</w:t>
      </w:r>
      <w:r>
        <w:rPr>
          <w:rFonts w:hint="eastAsia"/>
          <w:lang w:val="en-US" w:eastAsia="zh-CN"/>
        </w:rPr>
        <w:t>1</w:t>
      </w:r>
      <w:r>
        <w:rPr>
          <w:rFonts w:hint="eastAsia"/>
          <w:lang w:val="en-US"/>
        </w:rPr>
        <w:t>）《排污许可管理办法（试行）》，部令第</w:t>
      </w:r>
      <w:r>
        <w:rPr>
          <w:lang w:val="en-US"/>
        </w:rPr>
        <w:t>48</w:t>
      </w:r>
      <w:r>
        <w:rPr>
          <w:rFonts w:hint="eastAsia"/>
          <w:lang w:val="en-US"/>
        </w:rPr>
        <w:t>号，</w:t>
      </w:r>
      <w:r>
        <w:rPr>
          <w:lang w:val="en-US"/>
        </w:rPr>
        <w:t>2018</w:t>
      </w:r>
      <w:r>
        <w:rPr>
          <w:rFonts w:hint="eastAsia"/>
          <w:lang w:val="en-US"/>
        </w:rPr>
        <w:t>年</w:t>
      </w:r>
      <w:r>
        <w:rPr>
          <w:lang w:val="en-US"/>
        </w:rPr>
        <w:t>1</w:t>
      </w:r>
      <w:r>
        <w:rPr>
          <w:rFonts w:hint="eastAsia"/>
          <w:lang w:val="en-US"/>
        </w:rPr>
        <w:t>月</w:t>
      </w:r>
      <w:r>
        <w:rPr>
          <w:lang w:val="en-US"/>
        </w:rPr>
        <w:t>10</w:t>
      </w:r>
      <w:r>
        <w:rPr>
          <w:rFonts w:hint="eastAsia"/>
          <w:lang w:val="en-US"/>
        </w:rPr>
        <w:t>日实施；</w:t>
      </w:r>
    </w:p>
    <w:p>
      <w:pPr>
        <w:pStyle w:val="4"/>
        <w:bidi w:val="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 xml:space="preserve">2.1.2 </w:t>
      </w:r>
      <w:r>
        <w:rPr>
          <w:rFonts w:hint="eastAsia"/>
          <w:color w:val="000000" w:themeColor="text1"/>
          <w:lang w:val="en-US" w:eastAsia="zh-CN"/>
          <w14:textFill>
            <w14:solidFill>
              <w14:schemeClr w14:val="tx1"/>
            </w14:solidFill>
          </w14:textFill>
        </w:rPr>
        <w:t>地方性法规</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（1）《河南省建设项目环境保护管理条例》（2016.3.29）；</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（2）《河南省大气污染防治条例》（2018年3月1日）；</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（3）《河南省水污染防治条例》（2019年10月1日）；</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（4）《河南省固体废物污染环境防治条例》（2012年1月1日）；</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）《河南省环境保护厅关于印发深化建设项目环境影响评价审批制度改革实施意见的通知》（豫环文（2015）33号）；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）《河南省生态环境厅审批环境影响评价文件的建设项目目录（2019年本）》（河南省环保厅公告2019年第6号，2019年5月27日起施行）；</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）《河南省生态环境厅下放环境影响评价文件审批权限的建设项目目录》（2019年8月29日）</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）《河南省环境保护厅关于加强环评管理防范环境风险的通知》（豫环文〔2012〕159号）；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）《关于印发河南省202</w:t>
      </w: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年大气、水、土壤污染防治攻坚战</w:t>
      </w:r>
      <w:r>
        <w:rPr>
          <w:rFonts w:hint="eastAsia" w:cs="Times New Roman"/>
          <w:color w:val="000000" w:themeColor="text1"/>
          <w:kern w:val="0"/>
          <w:sz w:val="24"/>
          <w:szCs w:val="24"/>
          <w:lang w:val="en-US" w:eastAsia="zh-CN" w:bidi="ar"/>
          <w14:textFill>
            <w14:solidFill>
              <w14:schemeClr w14:val="tx1"/>
            </w14:solidFill>
          </w14:textFill>
        </w:rPr>
        <w:t>及农村农业污染治理攻坚战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实施方案的通知》（豫环攻坚办</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w:t>
      </w: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）《河南省生态环境厅关于印发河南省工业大气污染防治6个专项方案的通知》（豫环文）（2019年84号）；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《平顶山市2021年大气</w:t>
      </w:r>
      <w:r>
        <w:rPr>
          <w:rFonts w:hint="eastAsia" w:cs="Times New Roman"/>
          <w:color w:val="000000" w:themeColor="text1"/>
          <w:lang w:val="en-US" w:eastAsia="zh-CN"/>
          <w14:textFill>
            <w14:solidFill>
              <w14:schemeClr w14:val="tx1"/>
            </w14:solidFill>
          </w14:textFill>
        </w:rPr>
        <w:t>、水、土壤</w:t>
      </w:r>
      <w:r>
        <w:rPr>
          <w:rFonts w:hint="default" w:ascii="Times New Roman" w:hAnsi="Times New Roman" w:cs="Times New Roman"/>
          <w:color w:val="000000" w:themeColor="text1"/>
          <w:lang w:val="en-US"/>
          <w14:textFill>
            <w14:solidFill>
              <w14:schemeClr w14:val="tx1"/>
            </w14:solidFill>
          </w14:textFill>
        </w:rPr>
        <w:t>污染防治攻坚战</w:t>
      </w:r>
      <w:r>
        <w:rPr>
          <w:rFonts w:hint="eastAsia" w:cs="Times New Roman"/>
          <w:color w:val="000000" w:themeColor="text1"/>
          <w:kern w:val="0"/>
          <w:sz w:val="24"/>
          <w:szCs w:val="24"/>
          <w:lang w:val="en-US" w:eastAsia="zh-CN" w:bidi="ar"/>
          <w14:textFill>
            <w14:solidFill>
              <w14:schemeClr w14:val="tx1"/>
            </w14:solidFill>
          </w14:textFill>
        </w:rPr>
        <w:t>及农村农业污染治理攻坚战</w:t>
      </w:r>
      <w:r>
        <w:rPr>
          <w:rFonts w:hint="default" w:ascii="Times New Roman" w:hAnsi="Times New Roman" w:cs="Times New Roman"/>
          <w:color w:val="000000" w:themeColor="text1"/>
          <w:lang w:val="en-US"/>
          <w14:textFill>
            <w14:solidFill>
              <w14:schemeClr w14:val="tx1"/>
            </w14:solidFill>
          </w14:textFill>
        </w:rPr>
        <w:t>实施方案》（平攻坚办〔2021〕37号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）《河南省人民政府办公厅关于印发河南省城市集中式饮用水源保护区划的通知》（豫政办</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2007</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125号）</w:t>
      </w:r>
      <w:r>
        <w:rPr>
          <w:rFonts w:hint="eastAsia"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）《河南省人民政府办公厅关于印发河南省县级集中式饮用水源保护区划的通知》（豫政办</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2013</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107号）；</w:t>
      </w:r>
    </w:p>
    <w:p>
      <w:pPr>
        <w:keepNext w:val="0"/>
        <w:keepLines w:val="0"/>
        <w:pageBreakBefore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）《河南省人民政府办公厅关于印发河南省乡镇集中式饮用水源保护区划的通知》（豫政办</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23号）；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）《平顶山市环境保护局关于平顶山市深化建设项目环境影响评价审批制度改革实施细则》的通知（平环</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2016</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38号）；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）《平顶山市环境保护局关于调整建设项目环境影响评价审批权限的通知》，2019年6月4日实施</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）《平顶山市环境保护局关于调整建设项目环境影响评价审批权限的通知》，2019年6月4日实施；</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30" w:name="_Toc44493931"/>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eastAsia"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）《重污染天气重点行业应急减排措施制定</w:t>
      </w:r>
      <w:bookmarkEnd w:id="30"/>
      <w:bookmarkStart w:id="31" w:name="_Toc44493932"/>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技术指南</w:t>
      </w:r>
      <w:bookmarkEnd w:id="31"/>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（2020年修订版）》；</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）《河南省重污染天气重点行业应急减排措施制定技术指南》（2021年修订版）；</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）《河南省2020-2021年秋冬季大气污染综合治理攻坚行动方案》</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p>
    <w:p>
      <w:pPr>
        <w:ind w:firstLine="480"/>
        <w:rPr>
          <w:rFonts w:hint="eastAsia"/>
          <w:lang w:val="en-US" w:eastAsia="zh-CN"/>
        </w:rPr>
      </w:pPr>
      <w:r>
        <w:rPr>
          <w:rFonts w:hint="eastAsia"/>
          <w:lang w:val="en-US" w:eastAsia="zh-CN"/>
        </w:rPr>
        <w:t>（21）</w:t>
      </w:r>
      <w:r>
        <w:rPr>
          <w:rFonts w:hint="default"/>
          <w:lang w:val="en-US" w:eastAsia="zh-CN"/>
        </w:rPr>
        <w:t>《平顶山市人民政府关于实施</w:t>
      </w:r>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生态环境分区管控的意见》</w:t>
      </w:r>
      <w:r>
        <w:rPr>
          <w:rFonts w:hint="eastAsia"/>
          <w:lang w:val="en-US" w:eastAsia="zh-CN"/>
        </w:rPr>
        <w:t>（平政〔2021〕10号）；</w:t>
      </w:r>
    </w:p>
    <w:p>
      <w:pPr>
        <w:pStyle w:val="4"/>
        <w:bidi w:val="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 xml:space="preserve">2.1.3 </w:t>
      </w:r>
      <w:r>
        <w:rPr>
          <w:color w:val="000000" w:themeColor="text1"/>
          <w:lang w:val="en-US" w:eastAsia="zh-CN"/>
          <w14:textFill>
            <w14:solidFill>
              <w14:schemeClr w14:val="tx1"/>
            </w14:solidFill>
          </w14:textFill>
        </w:rPr>
        <w:t>技术规范</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（1）《环境影响评价技术导则—总纲》（HJ2.1-2016）；</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（2）《环境影响评价技术导则—大气环境》（HJ2.2-2018）；</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（3）《环境影响评价技术导则—地面水环境》（HJ/T2.3-2018）；</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（4）《环境影响评价技术导则—声环境》（HJ2.4-2009）；</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（5）《环境影响评价技术导则—地下水环境》（HJ610-2016）；</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（6）《建设项目环境风险评价技术导则》（HJ/T169-2018）；</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（7）《环境影响评价技术导则—土壤环境（试行）》（HJ964-2018）；</w:t>
      </w:r>
    </w:p>
    <w:p>
      <w:pPr>
        <w:keepNext w:val="0"/>
        <w:keepLines w:val="0"/>
        <w:widowControl/>
        <w:suppressLineNumbers w:val="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（8）《环境影响评价技术导则—生态影响》（HJ19-2011）；</w:t>
      </w:r>
    </w:p>
    <w:p>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（9）《建设项目危险废物环境影响评价指南》（2017年9月1日）。</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《大气污染治理工程技术导则》（HJ2000-2010）</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《水污染治理工程技术导则》（HJ2015-2012）</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《固体废物处理处置工程技术导则》（HJ 2035-2013）</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《废塑料回收与再生利用污染控制技术规范（试行）》（HJ/T364-2007）</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废塑料再生利用技术规范</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GB/T 37821—2019</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废塑料回收技术规范</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GB/T39171—2020</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《危险化学品重大危险源辨识》（GB18218-2014）</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20"/>
        <w:spacing w:after="0"/>
        <w:ind w:left="0" w:leftChars="0" w:firstLine="480"/>
        <w:rPr>
          <w:lang w:val="en-US"/>
        </w:rPr>
      </w:pPr>
      <w:r>
        <w:rPr>
          <w:rFonts w:hint="eastAsia"/>
          <w:lang w:val="en-US"/>
        </w:rPr>
        <w:t>（</w:t>
      </w:r>
      <w:r>
        <w:rPr>
          <w:rFonts w:hint="eastAsia"/>
          <w:lang w:val="en-US" w:eastAsia="zh-CN"/>
        </w:rPr>
        <w:t>17</w:t>
      </w:r>
      <w:r>
        <w:rPr>
          <w:rFonts w:hint="eastAsia"/>
          <w:lang w:val="en-US"/>
        </w:rPr>
        <w:t>）</w:t>
      </w:r>
      <w:r>
        <w:rPr>
          <w:rFonts w:hint="eastAsia"/>
          <w:lang w:val="en-US" w:eastAsia="zh-CN"/>
        </w:rPr>
        <w:t>《</w:t>
      </w:r>
      <w:r>
        <w:rPr>
          <w:rFonts w:hint="eastAsia"/>
          <w:lang w:val="en-US"/>
        </w:rPr>
        <w:t>一般工业固体废物贮存和填埋污染控制标准</w:t>
      </w:r>
      <w:r>
        <w:rPr>
          <w:rFonts w:hint="eastAsia"/>
          <w:lang w:val="en-US" w:eastAsia="zh-CN"/>
        </w:rPr>
        <w:t>》</w:t>
      </w:r>
      <w:r>
        <w:rPr>
          <w:rFonts w:hint="eastAsia"/>
          <w:lang w:val="en-US"/>
        </w:rPr>
        <w:t>(GB18599-2020)；</w:t>
      </w:r>
    </w:p>
    <w:p>
      <w:pPr>
        <w:ind w:firstLine="480"/>
        <w:rPr>
          <w:lang w:val="en-US"/>
        </w:rPr>
      </w:pPr>
      <w:r>
        <w:rPr>
          <w:rFonts w:hint="eastAsia"/>
          <w:lang w:val="en-US"/>
        </w:rPr>
        <w:t>（</w:t>
      </w:r>
      <w:r>
        <w:rPr>
          <w:rFonts w:hint="eastAsia"/>
          <w:lang w:val="en-US" w:eastAsia="zh-CN"/>
        </w:rPr>
        <w:t>18</w:t>
      </w:r>
      <w:r>
        <w:rPr>
          <w:rFonts w:hint="eastAsia"/>
          <w:lang w:val="en-US"/>
        </w:rPr>
        <w:t>）《危险废物贮存污染控制标准》（</w:t>
      </w:r>
      <w:r>
        <w:rPr>
          <w:lang w:val="en-US"/>
        </w:rPr>
        <w:t>GB18597-2001</w:t>
      </w:r>
      <w:r>
        <w:rPr>
          <w:rFonts w:hint="eastAsia"/>
          <w:lang w:val="en-US"/>
        </w:rPr>
        <w:t>）及其修改单；</w:t>
      </w:r>
    </w:p>
    <w:p>
      <w:pPr>
        <w:ind w:firstLine="480"/>
        <w:rPr>
          <w:rFonts w:hint="eastAsia"/>
          <w:lang w:val="en-US"/>
        </w:rPr>
      </w:pPr>
      <w:r>
        <w:rPr>
          <w:rFonts w:hint="eastAsia"/>
          <w:lang w:val="en-US"/>
        </w:rPr>
        <w:t>（</w:t>
      </w:r>
      <w:r>
        <w:rPr>
          <w:rFonts w:hint="eastAsia"/>
          <w:lang w:val="en-US" w:eastAsia="zh-CN"/>
        </w:rPr>
        <w:t>19</w:t>
      </w:r>
      <w:r>
        <w:rPr>
          <w:rFonts w:hint="eastAsia"/>
          <w:lang w:val="en-US"/>
        </w:rPr>
        <w:t>）《危险废物转移联单管理办法》，国家环境保护总局令第</w:t>
      </w:r>
      <w:r>
        <w:rPr>
          <w:lang w:val="en-US"/>
        </w:rPr>
        <w:t>5</w:t>
      </w:r>
      <w:r>
        <w:rPr>
          <w:rFonts w:hint="eastAsia"/>
          <w:lang w:val="en-US"/>
        </w:rPr>
        <w:t>号，</w:t>
      </w:r>
      <w:r>
        <w:rPr>
          <w:lang w:val="en-US"/>
        </w:rPr>
        <w:t>1999.6.22</w:t>
      </w:r>
      <w:r>
        <w:rPr>
          <w:rFonts w:hint="eastAsia"/>
          <w:lang w:val="en-US"/>
        </w:rPr>
        <w:t>；</w:t>
      </w:r>
    </w:p>
    <w:p>
      <w:pPr>
        <w:ind w:firstLine="480"/>
        <w:rPr>
          <w:lang w:val="en-US"/>
        </w:rPr>
      </w:pPr>
      <w:r>
        <w:rPr>
          <w:rFonts w:hint="eastAsia"/>
          <w:lang w:val="en-US"/>
        </w:rPr>
        <w:t>（</w:t>
      </w:r>
      <w:r>
        <w:rPr>
          <w:rFonts w:hint="eastAsia"/>
          <w:lang w:val="en-US" w:eastAsia="zh-CN"/>
        </w:rPr>
        <w:t>20</w:t>
      </w:r>
      <w:r>
        <w:rPr>
          <w:rFonts w:hint="eastAsia"/>
          <w:lang w:val="en-US"/>
        </w:rPr>
        <w:t>）《排污单位环境管理台账及排污许可证执行报告技术规范 总则（试行）》（</w:t>
      </w:r>
      <w:r>
        <w:rPr>
          <w:lang w:val="en-US"/>
        </w:rPr>
        <w:t>HJ 944-2018</w:t>
      </w:r>
      <w:r>
        <w:rPr>
          <w:rFonts w:hint="eastAsia"/>
          <w:lang w:val="en-US"/>
        </w:rPr>
        <w:t>）；</w:t>
      </w:r>
    </w:p>
    <w:p>
      <w:pPr>
        <w:ind w:firstLine="48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lang w:val="en-US"/>
        </w:rPr>
        <w:t>（</w:t>
      </w:r>
      <w:r>
        <w:rPr>
          <w:rFonts w:hint="eastAsia"/>
          <w:lang w:val="en-US" w:eastAsia="zh-CN"/>
        </w:rPr>
        <w:t>21</w:t>
      </w:r>
      <w:r>
        <w:rPr>
          <w:rFonts w:hint="eastAsia" w:ascii="Times New Roman" w:hAnsi="Times New Roman"/>
          <w:lang w:val="en-US" w:eastAsia="zh-CN"/>
        </w:rPr>
        <w:t>）《</w:t>
      </w:r>
      <w:r>
        <w:rPr>
          <w:rFonts w:hint="eastAsia" w:ascii="Times New Roman" w:hAnsi="Times New Roman"/>
          <w:lang w:val="en-US" w:eastAsia="zh-CN"/>
        </w:rPr>
        <w:fldChar w:fldCharType="begin"/>
      </w:r>
      <w:r>
        <w:rPr>
          <w:rFonts w:hint="eastAsia" w:ascii="Times New Roman" w:hAnsi="Times New Roman"/>
          <w:lang w:val="en-US" w:eastAsia="zh-CN"/>
        </w:rPr>
        <w:instrText xml:space="preserve"> HYPERLINK "http://kjs.mee.gov.cn/hjbhbz/bzwb/other/hjbhgc/201908/W020190828514974076303.pdf" </w:instrText>
      </w:r>
      <w:r>
        <w:rPr>
          <w:rFonts w:hint="eastAsia" w:ascii="Times New Roman" w:hAnsi="Times New Roman"/>
          <w:lang w:val="en-US" w:eastAsia="zh-CN"/>
        </w:rPr>
        <w:fldChar w:fldCharType="separate"/>
      </w:r>
      <w:r>
        <w:rPr>
          <w:rFonts w:hint="eastAsia" w:ascii="Times New Roman" w:hAnsi="Times New Roman"/>
          <w:lang w:val="en-US" w:eastAsia="zh-CN"/>
        </w:rPr>
        <w:t>排污许可证申请与核发技术规范 废弃资源加工工业</w:t>
      </w:r>
      <w:r>
        <w:rPr>
          <w:rFonts w:hint="eastAsia" w:ascii="Times New Roman" w:hAnsi="Times New Roman"/>
          <w:lang w:val="en-US" w:eastAsia="zh-CN"/>
        </w:rPr>
        <w:fldChar w:fldCharType="end"/>
      </w:r>
      <w:r>
        <w:rPr>
          <w:rFonts w:hint="eastAsia" w:ascii="Times New Roman" w:hAnsi="Times New Roman"/>
          <w:lang w:val="en-US" w:eastAsia="zh-CN"/>
        </w:rPr>
        <w:t>》（HJ 1034—2019）。</w:t>
      </w:r>
    </w:p>
    <w:p>
      <w:pPr>
        <w:pStyle w:val="4"/>
        <w:bidi w:val="0"/>
      </w:pPr>
      <w:r>
        <w:rPr>
          <w:rFonts w:hint="default"/>
          <w:lang w:val="en-US" w:eastAsia="zh-CN"/>
        </w:rPr>
        <w:t xml:space="preserve">2.1.4 </w:t>
      </w:r>
      <w:r>
        <w:rPr>
          <w:lang w:val="en-US" w:eastAsia="zh-CN"/>
        </w:rPr>
        <w:t>项目依据</w:t>
      </w:r>
    </w:p>
    <w:p>
      <w:pPr>
        <w:bidi w:val="0"/>
        <w:rPr>
          <w:rFonts w:hint="eastAsia"/>
          <w:lang w:eastAsia="zh-CN"/>
        </w:rPr>
      </w:pPr>
      <w:r>
        <w:t>1、</w:t>
      </w:r>
      <w:r>
        <w:rPr>
          <w:rFonts w:hint="eastAsia"/>
          <w:lang w:eastAsia="zh-CN"/>
        </w:rPr>
        <w:t>叶县景喻再生资源回收有限公司年处置6000吨废旧塑料再生资源综合利用项目</w:t>
      </w:r>
      <w:r>
        <w:t>环境影响评价委托书</w:t>
      </w:r>
      <w:r>
        <w:rPr>
          <w:rFonts w:hint="eastAsia"/>
          <w:lang w:eastAsia="zh-CN"/>
        </w:rPr>
        <w:t>；</w:t>
      </w:r>
    </w:p>
    <w:p>
      <w:pPr>
        <w:bidi w:val="0"/>
        <w:rPr>
          <w:rFonts w:hint="eastAsia"/>
          <w:lang w:eastAsia="zh-CN"/>
        </w:rPr>
      </w:pPr>
      <w:r>
        <w:rPr>
          <w:rFonts w:hint="eastAsia"/>
          <w:lang w:val="en-US" w:eastAsia="zh-CN"/>
        </w:rPr>
        <w:t>2</w:t>
      </w:r>
      <w:r>
        <w:t>、</w:t>
      </w:r>
      <w:r>
        <w:rPr>
          <w:rFonts w:hint="eastAsia"/>
          <w:lang w:eastAsia="zh-CN"/>
        </w:rPr>
        <w:t>叶县景喻再生资源回收有限公司年处置6000吨废旧塑料再生资源综合利用项目</w:t>
      </w:r>
      <w:r>
        <w:t>登记备案证明</w:t>
      </w:r>
      <w:r>
        <w:rPr>
          <w:rFonts w:hint="eastAsia"/>
          <w:lang w:eastAsia="zh-CN"/>
        </w:rPr>
        <w:t>；</w:t>
      </w:r>
    </w:p>
    <w:p>
      <w:pPr>
        <w:bidi w:val="0"/>
        <w:rPr>
          <w:rFonts w:hint="eastAsia"/>
          <w:lang w:eastAsia="zh-CN"/>
        </w:rPr>
      </w:pPr>
      <w:r>
        <w:rPr>
          <w:rFonts w:hint="eastAsia"/>
          <w:lang w:val="en-US" w:eastAsia="zh-CN"/>
        </w:rPr>
        <w:t>3</w:t>
      </w:r>
      <w:r>
        <w:t>、</w:t>
      </w:r>
      <w:r>
        <w:rPr>
          <w:rFonts w:hint="eastAsia"/>
          <w:lang w:eastAsia="zh-CN"/>
        </w:rPr>
        <w:t>环境质量现状</w:t>
      </w:r>
      <w:r>
        <w:t>监测报</w:t>
      </w:r>
      <w:r>
        <w:rPr>
          <w:rFonts w:hint="eastAsia"/>
          <w:lang w:eastAsia="zh-CN"/>
        </w:rPr>
        <w:t>告；</w:t>
      </w:r>
    </w:p>
    <w:p>
      <w:pPr>
        <w:bidi w:val="0"/>
      </w:pPr>
      <w:r>
        <w:rPr>
          <w:rFonts w:hint="eastAsia"/>
          <w:lang w:val="en-US" w:eastAsia="zh-CN"/>
        </w:rPr>
        <w:t>4</w:t>
      </w:r>
      <w:r>
        <w:t>、项目承办单位提供的其他技术资料。</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32" w:name="_Toc30532"/>
      <w:bookmarkStart w:id="33" w:name="_Toc31636"/>
      <w:bookmarkStart w:id="34" w:name="_Toc19363"/>
      <w:r>
        <w:rPr>
          <w:rFonts w:hint="default"/>
          <w:lang w:val="en-US" w:eastAsia="zh-CN"/>
        </w:rPr>
        <w:t>2.2 评价目的与原则</w:t>
      </w:r>
      <w:bookmarkEnd w:id="32"/>
      <w:bookmarkEnd w:id="33"/>
      <w:bookmarkEnd w:id="34"/>
    </w:p>
    <w:p>
      <w:pPr>
        <w:pStyle w:val="4"/>
        <w:bidi w:val="0"/>
      </w:pPr>
      <w:r>
        <w:rPr>
          <w:rFonts w:hint="default"/>
          <w:lang w:val="en-US" w:eastAsia="zh-CN"/>
        </w:rPr>
        <w:t xml:space="preserve">2.2.1 </w:t>
      </w:r>
      <w:r>
        <w:rPr>
          <w:lang w:val="en-US" w:eastAsia="zh-CN"/>
        </w:rPr>
        <w:t>评价目的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次评价通过现场调查、监测，摸清项目所在地环境质量状况及周围环境特征。通过类比调查，摸清项目运营期的污染物排放情况，评价其采用的污染防治措施的可行性，得出项目的环境可行性结论，提出有关污染防治措施的对策与建议。根据环境保护审批原则综合分析得出项目在拟建地建设可行与否的结论，为项目环境管理提供审批依据，为项目工程设计提供支持。</w:t>
      </w:r>
    </w:p>
    <w:p>
      <w:pPr>
        <w:pStyle w:val="4"/>
        <w:bidi w:val="0"/>
      </w:pPr>
      <w:r>
        <w:rPr>
          <w:rFonts w:hint="default"/>
          <w:lang w:val="en-US" w:eastAsia="zh-CN"/>
        </w:rPr>
        <w:t xml:space="preserve">2.2.2 </w:t>
      </w:r>
      <w:r>
        <w:rPr>
          <w:rFonts w:hint="eastAsia"/>
          <w:lang w:val="en-US" w:eastAsia="zh-CN"/>
        </w:rPr>
        <w:t>评价原则</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突出环境影响评价的源头预防作用，坚持保护和改善环境质量。</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）依法评价</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贯彻执行我国环境保护相关法律法规、标准、政策和规划等，优化项目建设，服务环境管理。</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）科学评价</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规范环境影响评价方法，科学分析项目建设对环境质量的影响。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）突出重点</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35" w:name="_Toc15397"/>
      <w:bookmarkStart w:id="36" w:name="_Toc3235"/>
      <w:bookmarkStart w:id="37" w:name="_Toc25343"/>
      <w:r>
        <w:rPr>
          <w:rFonts w:hint="default"/>
          <w:lang w:val="en-US" w:eastAsia="zh-CN"/>
        </w:rPr>
        <w:t>2.3 环境影响识别及评价因子筛选</w:t>
      </w:r>
      <w:bookmarkEnd w:id="35"/>
      <w:bookmarkEnd w:id="36"/>
      <w:bookmarkEnd w:id="37"/>
    </w:p>
    <w:p>
      <w:pPr>
        <w:pStyle w:val="4"/>
        <w:bidi w:val="0"/>
      </w:pPr>
      <w:r>
        <w:rPr>
          <w:rFonts w:hint="default"/>
          <w:lang w:val="en-US" w:eastAsia="zh-CN"/>
        </w:rPr>
        <w:t xml:space="preserve">2.3.1 </w:t>
      </w:r>
      <w:r>
        <w:rPr>
          <w:lang w:val="en-US" w:eastAsia="zh-CN"/>
        </w:rPr>
        <w:t>环境影响识别</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根据工程特点和区域环境特征，进行环境影响因子识别，以确定工程在施工期和运行期对自然环境及生态环境等的影响情况。</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工程环境影响因素识别内容见表</w:t>
      </w:r>
      <w:r>
        <w:rPr>
          <w:rFonts w:hint="default" w:ascii="Times New Roman" w:hAnsi="Times New Roman" w:eastAsia="宋体" w:cs="Times New Roman"/>
          <w:color w:val="000000"/>
          <w:kern w:val="0"/>
          <w:sz w:val="24"/>
          <w:szCs w:val="24"/>
          <w:lang w:val="en-US" w:eastAsia="zh-CN" w:bidi="ar"/>
        </w:rPr>
        <w:t>2.</w:t>
      </w:r>
      <w:r>
        <w:rPr>
          <w:rFonts w:hint="eastAsia"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表2.3-1  环境影响因素识别表</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1174"/>
        <w:gridCol w:w="778"/>
        <w:gridCol w:w="808"/>
        <w:gridCol w:w="822"/>
        <w:gridCol w:w="808"/>
        <w:gridCol w:w="765"/>
        <w:gridCol w:w="824"/>
        <w:gridCol w:w="826"/>
        <w:gridCol w:w="826"/>
        <w:gridCol w:w="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restar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4764" w:type="dxa"/>
            <w:gridSpan w:val="5"/>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施工期</w:t>
            </w:r>
          </w:p>
        </w:tc>
        <w:tc>
          <w:tcPr>
            <w:tcW w:w="4415" w:type="dxa"/>
            <w:gridSpan w:val="5"/>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运行期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类别因素</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土建</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安装</w:t>
            </w: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运输</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restar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自然生态环境</w:t>
            </w: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2SP</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土壤</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1LP</w:t>
            </w: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植被</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1SP</w:t>
            </w: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1"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127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气候</w:t>
            </w:r>
          </w:p>
        </w:tc>
        <w:tc>
          <w:tcPr>
            <w:tcW w:w="84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2"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7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30"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4"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c>
          <w:tcPr>
            <w:tcW w:w="897" w:type="dxa"/>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860" w:type="dxa"/>
            <w:gridSpan w:val="11"/>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备注：</w:t>
            </w:r>
            <w:r>
              <w:rPr>
                <w:rFonts w:hint="eastAsia"/>
                <w:color w:val="000000" w:themeColor="text1"/>
                <w:lang w:eastAsia="zh-CN"/>
                <w14:textFill>
                  <w14:solidFill>
                    <w14:schemeClr w14:val="tx1"/>
                  </w14:solidFill>
                </w14:textFill>
              </w:rPr>
              <w:t>影</w:t>
            </w:r>
            <w:r>
              <w:rPr>
                <w:color w:val="000000" w:themeColor="text1"/>
                <w14:textFill>
                  <w14:solidFill>
                    <w14:schemeClr w14:val="tx1"/>
                  </w14:solidFill>
                </w14:textFill>
              </w:rPr>
              <w:t>响程度：1-轻微；2-一般；3-显著。影响时段：S-短期；L-长期。</w:t>
            </w:r>
          </w:p>
          <w:p>
            <w:pPr>
              <w:pStyle w:val="30"/>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影响范围：P-局部；W-大范围</w:t>
            </w:r>
          </w:p>
        </w:tc>
      </w:tr>
    </w:tbl>
    <w:p>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由表</w:t>
      </w:r>
      <w:r>
        <w:rPr>
          <w:rFonts w:hint="default"/>
          <w:color w:val="000000" w:themeColor="text1"/>
          <w:lang w:val="en-US" w:eastAsia="zh-CN"/>
          <w14:textFill>
            <w14:solidFill>
              <w14:schemeClr w14:val="tx1"/>
            </w14:solidFill>
          </w14:textFill>
        </w:rPr>
        <w:t>2.3-1</w:t>
      </w:r>
      <w:r>
        <w:rPr>
          <w:rFonts w:hint="eastAsia"/>
          <w:color w:val="000000" w:themeColor="text1"/>
          <w:lang w:val="en-US" w:eastAsia="zh-CN"/>
          <w14:textFill>
            <w14:solidFill>
              <w14:schemeClr w14:val="tx1"/>
            </w14:solidFill>
          </w14:textFill>
        </w:rPr>
        <w:t>可知，本项目在施工期对周围自然环境的影响是轻微、短期和局部的；运行期产生的废水、废气、噪声和固体废物对周围自然环境会造成一定的不利影响。</w:t>
      </w:r>
    </w:p>
    <w:p>
      <w:pPr>
        <w:pStyle w:val="4"/>
        <w:bidi w:val="0"/>
      </w:pPr>
      <w:r>
        <w:rPr>
          <w:rFonts w:hint="default"/>
          <w:lang w:val="en-US" w:eastAsia="zh-CN"/>
        </w:rPr>
        <w:t xml:space="preserve">2.3.2 </w:t>
      </w:r>
      <w:r>
        <w:rPr>
          <w:lang w:val="en-US" w:eastAsia="zh-CN"/>
        </w:rPr>
        <w:t>评价因子筛选</w:t>
      </w:r>
    </w:p>
    <w:p>
      <w:pPr>
        <w:bidi w:val="0"/>
      </w:pPr>
      <w:r>
        <w:rPr>
          <w:rFonts w:hint="eastAsia"/>
          <w:lang w:val="en-US" w:eastAsia="zh-CN"/>
        </w:rPr>
        <w:t>根据工程污染物排放特征和区域环境状况、环境影响因素等，确定本项目的评价因子。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w:t>
      </w:r>
      <w:r>
        <w:rPr>
          <w:rFonts w:hint="default"/>
          <w:b/>
          <w:bCs/>
          <w:lang w:val="en-US" w:eastAsia="zh-CN"/>
        </w:rPr>
        <w:t>2.3-2</w:t>
      </w:r>
      <w:r>
        <w:rPr>
          <w:rFonts w:hint="eastAsia"/>
          <w:b/>
          <w:bCs/>
          <w:lang w:val="en-US" w:eastAsia="zh-CN"/>
        </w:rPr>
        <w:t xml:space="preserve">  本项目评价因子一览表</w:t>
      </w:r>
    </w:p>
    <w:tbl>
      <w:tblPr>
        <w:tblStyle w:val="21"/>
        <w:tblW w:w="50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1480"/>
        <w:gridCol w:w="6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要素</w:t>
            </w: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项目</w:t>
            </w:r>
          </w:p>
        </w:tc>
        <w:tc>
          <w:tcPr>
            <w:tcW w:w="7277"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评价因子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2"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环境空气</w:t>
            </w: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现状评价</w:t>
            </w:r>
          </w:p>
        </w:tc>
        <w:tc>
          <w:tcPr>
            <w:tcW w:w="7277"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eastAsia="宋体"/>
                <w:sz w:val="21"/>
                <w:vertAlign w:val="baseline"/>
                <w:lang w:eastAsia="zh-CN"/>
              </w:rPr>
            </w:pPr>
            <w:r>
              <w:rPr>
                <w:rFonts w:ascii="Times New Roman" w:eastAsia="Times New Roman"/>
                <w:position w:val="2"/>
                <w:sz w:val="21"/>
                <w:szCs w:val="21"/>
                <w:u w:val="single"/>
              </w:rPr>
              <w:t>PM</w:t>
            </w:r>
            <w:r>
              <w:rPr>
                <w:rFonts w:ascii="Times New Roman" w:eastAsia="Times New Roman"/>
                <w:sz w:val="21"/>
                <w:szCs w:val="21"/>
                <w:u w:val="single"/>
                <w:vertAlign w:val="subscript"/>
              </w:rPr>
              <w:t>10</w:t>
            </w:r>
            <w:r>
              <w:rPr>
                <w:position w:val="2"/>
                <w:sz w:val="21"/>
                <w:szCs w:val="21"/>
                <w:u w:val="single"/>
              </w:rPr>
              <w:t>、</w:t>
            </w:r>
            <w:r>
              <w:rPr>
                <w:rFonts w:ascii="Times New Roman" w:eastAsia="Times New Roman"/>
                <w:position w:val="2"/>
                <w:sz w:val="21"/>
                <w:szCs w:val="21"/>
                <w:u w:val="single"/>
              </w:rPr>
              <w:t>PM</w:t>
            </w:r>
            <w:r>
              <w:rPr>
                <w:rFonts w:ascii="Times New Roman" w:eastAsia="Times New Roman"/>
                <w:sz w:val="21"/>
                <w:szCs w:val="21"/>
                <w:u w:val="single"/>
                <w:vertAlign w:val="subscript"/>
              </w:rPr>
              <w:t>2.5</w:t>
            </w:r>
            <w:r>
              <w:rPr>
                <w:position w:val="2"/>
                <w:sz w:val="21"/>
                <w:szCs w:val="21"/>
                <w:u w:val="single"/>
              </w:rPr>
              <w:t>、</w:t>
            </w:r>
            <w:r>
              <w:rPr>
                <w:rFonts w:ascii="Times New Roman" w:eastAsia="Times New Roman"/>
                <w:position w:val="2"/>
                <w:sz w:val="21"/>
                <w:szCs w:val="21"/>
                <w:u w:val="single"/>
              </w:rPr>
              <w:t>SO</w:t>
            </w:r>
            <w:r>
              <w:rPr>
                <w:rFonts w:ascii="Times New Roman" w:eastAsia="Times New Roman"/>
                <w:sz w:val="21"/>
                <w:szCs w:val="21"/>
                <w:u w:val="single"/>
                <w:vertAlign w:val="subscript"/>
              </w:rPr>
              <w:t>2</w:t>
            </w:r>
            <w:r>
              <w:rPr>
                <w:position w:val="2"/>
                <w:sz w:val="21"/>
                <w:szCs w:val="21"/>
                <w:u w:val="single"/>
              </w:rPr>
              <w:t>、</w:t>
            </w:r>
            <w:r>
              <w:rPr>
                <w:rFonts w:ascii="Times New Roman" w:eastAsia="Times New Roman"/>
                <w:position w:val="2"/>
                <w:sz w:val="21"/>
                <w:szCs w:val="21"/>
                <w:u w:val="single"/>
              </w:rPr>
              <w:t>NO</w:t>
            </w:r>
            <w:r>
              <w:rPr>
                <w:rFonts w:ascii="Times New Roman" w:eastAsia="Times New Roman"/>
                <w:sz w:val="21"/>
                <w:szCs w:val="21"/>
                <w:u w:val="single"/>
                <w:vertAlign w:val="subscript"/>
              </w:rPr>
              <w:t>2</w:t>
            </w:r>
            <w:r>
              <w:rPr>
                <w:position w:val="2"/>
                <w:sz w:val="21"/>
                <w:szCs w:val="21"/>
                <w:u w:val="single"/>
              </w:rPr>
              <w:t>、</w:t>
            </w:r>
            <w:r>
              <w:rPr>
                <w:rFonts w:ascii="Times New Roman" w:eastAsia="Times New Roman"/>
                <w:position w:val="2"/>
                <w:sz w:val="21"/>
                <w:szCs w:val="21"/>
                <w:u w:val="single"/>
              </w:rPr>
              <w:t>CO</w:t>
            </w:r>
            <w:r>
              <w:rPr>
                <w:position w:val="2"/>
                <w:sz w:val="21"/>
                <w:szCs w:val="21"/>
                <w:u w:val="single"/>
              </w:rPr>
              <w:t>、</w:t>
            </w:r>
            <w:r>
              <w:rPr>
                <w:rFonts w:ascii="Times New Roman" w:eastAsia="Times New Roman"/>
                <w:position w:val="2"/>
                <w:sz w:val="21"/>
                <w:szCs w:val="21"/>
                <w:u w:val="single"/>
              </w:rPr>
              <w:t>O</w:t>
            </w:r>
            <w:r>
              <w:rPr>
                <w:rFonts w:ascii="Times New Roman" w:eastAsia="Times New Roman"/>
                <w:sz w:val="21"/>
                <w:szCs w:val="21"/>
                <w:u w:val="single"/>
                <w:vertAlign w:val="subscript"/>
              </w:rPr>
              <w:t>3</w:t>
            </w:r>
            <w:r>
              <w:rPr>
                <w:rFonts w:hint="eastAsia" w:ascii="Times New Roman" w:eastAsia="宋体"/>
                <w:sz w:val="21"/>
                <w:szCs w:val="21"/>
                <w:u w:val="single"/>
                <w:lang w:eastAsia="zh-CN"/>
              </w:rPr>
              <w:t>、</w:t>
            </w:r>
            <w:r>
              <w:rPr>
                <w:rFonts w:hint="eastAsia" w:ascii="Times New Roman" w:hAnsi="宋体" w:eastAsia="Times New Roman" w:cs="宋体"/>
                <w:position w:val="2"/>
                <w:sz w:val="21"/>
                <w:szCs w:val="21"/>
                <w:u w:val="single"/>
                <w:lang w:val="en-US" w:eastAsia="zh-CN"/>
              </w:rPr>
              <w:t>非甲烷总烃</w:t>
            </w:r>
            <w:r>
              <w:rPr>
                <w:rFonts w:hint="eastAsia" w:ascii="Times New Roman" w:eastAsia="Times New Roman" w:cs="宋体"/>
                <w:position w:val="2"/>
                <w:sz w:val="21"/>
                <w:szCs w:val="21"/>
                <w:u w:val="single"/>
                <w:lang w:val="en-US" w:eastAsia="zh-CN"/>
              </w:rPr>
              <w:t>、氨、苯乙烯、硫化氢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污染源</w:t>
            </w:r>
          </w:p>
        </w:tc>
        <w:tc>
          <w:tcPr>
            <w:tcW w:w="7277"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宋体" w:eastAsia="Times New Roman" w:cs="宋体"/>
                <w:position w:val="2"/>
                <w:sz w:val="21"/>
              </w:rPr>
            </w:pPr>
            <w:r>
              <w:rPr>
                <w:rFonts w:hint="eastAsia" w:ascii="Times New Roman" w:hAnsi="宋体" w:eastAsia="Times New Roman" w:cs="宋体"/>
                <w:position w:val="2"/>
                <w:sz w:val="21"/>
                <w:szCs w:val="21"/>
                <w:u w:val="single"/>
                <w:lang w:val="en-US" w:eastAsia="zh-CN"/>
              </w:rPr>
              <w:t>非甲烷总烃</w:t>
            </w:r>
            <w:r>
              <w:rPr>
                <w:rFonts w:hint="eastAsia" w:ascii="Times New Roman" w:eastAsia="Times New Roman" w:cs="宋体"/>
                <w:position w:val="2"/>
                <w:sz w:val="21"/>
                <w:szCs w:val="21"/>
                <w:u w:val="single"/>
                <w:lang w:val="en-US" w:eastAsia="zh-CN"/>
              </w:rPr>
              <w:t>、氨、苯乙烯、硫化氢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影响评价</w:t>
            </w:r>
          </w:p>
        </w:tc>
        <w:tc>
          <w:tcPr>
            <w:tcW w:w="7277"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宋体" w:eastAsia="Times New Roman" w:cs="宋体"/>
                <w:position w:val="2"/>
                <w:sz w:val="21"/>
              </w:rPr>
            </w:pPr>
            <w:r>
              <w:rPr>
                <w:rFonts w:hint="eastAsia" w:ascii="Times New Roman" w:hAnsi="宋体" w:eastAsia="Times New Roman" w:cs="宋体"/>
                <w:position w:val="2"/>
                <w:sz w:val="21"/>
                <w:szCs w:val="21"/>
                <w:u w:val="single"/>
                <w:lang w:val="en-US" w:eastAsia="zh-CN"/>
              </w:rPr>
              <w:t>非甲烷总烃</w:t>
            </w:r>
            <w:r>
              <w:rPr>
                <w:rFonts w:hint="eastAsia" w:ascii="Times New Roman" w:eastAsia="Times New Roman" w:cs="宋体"/>
                <w:position w:val="2"/>
                <w:sz w:val="21"/>
                <w:szCs w:val="21"/>
                <w:u w:val="single"/>
                <w:lang w:val="en-US" w:eastAsia="zh-CN"/>
              </w:rPr>
              <w:t>、氨、苯乙烯、硫化氢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1042"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地表水环境</w:t>
            </w: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现状评价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u w:val="single"/>
              </w:rPr>
            </w:pPr>
            <w:r>
              <w:rPr>
                <w:rFonts w:hint="default" w:ascii="Times New Roman" w:hAnsi="Times New Roman" w:eastAsia="宋体" w:cs="Times New Roman"/>
                <w:color w:val="000000"/>
                <w:kern w:val="0"/>
                <w:sz w:val="21"/>
                <w:szCs w:val="21"/>
                <w:u w:val="single"/>
                <w:lang w:val="en-US" w:eastAsia="zh-CN" w:bidi="ar"/>
              </w:rPr>
              <w:t>COD</w:t>
            </w:r>
            <w:r>
              <w:rPr>
                <w:rFonts w:hint="eastAsia" w:ascii="宋体" w:hAnsi="宋体" w:eastAsia="宋体" w:cs="宋体"/>
                <w:color w:val="000000"/>
                <w:kern w:val="0"/>
                <w:sz w:val="21"/>
                <w:szCs w:val="21"/>
                <w:u w:val="single"/>
                <w:lang w:val="en-US" w:eastAsia="zh-CN" w:bidi="ar"/>
              </w:rPr>
              <w:t>、氨氮、总磷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污染源</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sz w:val="21"/>
                <w:u w:val="single"/>
                <w:lang w:val="en-US"/>
              </w:rPr>
            </w:pPr>
            <w:r>
              <w:rPr>
                <w:rFonts w:hint="eastAsia" w:ascii="Times New Roman" w:hAnsi="Times New Roman" w:cs="Times New Roman"/>
                <w:color w:val="000000"/>
                <w:kern w:val="0"/>
                <w:sz w:val="21"/>
                <w:szCs w:val="21"/>
                <w:u w:val="singl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影响评价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eastAsiaTheme="minorEastAsia"/>
                <w:sz w:val="21"/>
                <w:lang w:val="en-US" w:eastAsia="zh-CN"/>
              </w:rPr>
            </w:pPr>
            <w:r>
              <w:rPr>
                <w:rFonts w:hint="eastAsia" w:ascii="Times New Roman" w:hAnsi="Times New Roman" w:cs="Times New Roman"/>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r>
              <w:rPr>
                <w:sz w:val="21"/>
              </w:rPr>
              <w:t>地下水环境</w:t>
            </w: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现状评价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pH、</w:t>
            </w:r>
            <w:r>
              <w:rPr>
                <w:rFonts w:hint="eastAsia" w:cs="Times New Roman"/>
                <w:color w:val="000000"/>
                <w:kern w:val="0"/>
                <w:sz w:val="21"/>
                <w:szCs w:val="21"/>
                <w:lang w:val="en-US" w:eastAsia="zh-CN" w:bidi="ar"/>
              </w:rPr>
              <w:t>耗氧量</w:t>
            </w:r>
            <w:r>
              <w:rPr>
                <w:rFonts w:hint="default" w:ascii="Times New Roman" w:hAnsi="Times New Roman" w:eastAsia="宋体" w:cs="Times New Roman"/>
                <w:color w:val="000000"/>
                <w:kern w:val="0"/>
                <w:sz w:val="21"/>
                <w:szCs w:val="21"/>
                <w:lang w:val="en-US" w:eastAsia="zh-CN" w:bidi="ar"/>
              </w:rPr>
              <w:t>、溶解性总固体、总硬度、硝酸盐、亚硝酸盐、氨氮、挥发性酚类、氰化物、氟化物、砷、铅、汞、</w:t>
            </w:r>
            <w:r>
              <w:rPr>
                <w:rFonts w:hint="eastAsia" w:ascii="Times New Roman" w:hAnsi="Times New Roman" w:cs="Times New Roman"/>
                <w:color w:val="000000"/>
                <w:kern w:val="0"/>
                <w:sz w:val="21"/>
                <w:szCs w:val="21"/>
                <w:lang w:val="en-US" w:eastAsia="zh-CN" w:bidi="ar"/>
              </w:rPr>
              <w:t>六价铬</w:t>
            </w:r>
            <w:r>
              <w:rPr>
                <w:rFonts w:hint="default" w:ascii="Times New Roman" w:hAnsi="Times New Roman" w:eastAsia="宋体" w:cs="Times New Roman"/>
                <w:color w:val="000000"/>
                <w:kern w:val="0"/>
                <w:sz w:val="21"/>
                <w:szCs w:val="21"/>
                <w:lang w:val="en-US" w:eastAsia="zh-CN" w:bidi="ar"/>
              </w:rPr>
              <w:t>、镉、铁、锰、</w:t>
            </w:r>
            <w:r>
              <w:rPr>
                <w:rFonts w:hint="eastAsia" w:ascii="Times New Roman" w:hAnsi="Times New Roman" w:eastAsia="宋体" w:cs="Times New Roman"/>
                <w:color w:val="000000"/>
                <w:kern w:val="0"/>
                <w:sz w:val="21"/>
                <w:szCs w:val="21"/>
                <w:lang w:val="en-US" w:eastAsia="zh-CN" w:bidi="ar"/>
              </w:rPr>
              <w:t>锌、</w:t>
            </w:r>
            <w:r>
              <w:rPr>
                <w:rFonts w:hint="default" w:ascii="Times New Roman" w:hAnsi="Times New Roman" w:eastAsia="宋体" w:cs="Times New Roman"/>
                <w:color w:val="000000"/>
                <w:kern w:val="0"/>
                <w:sz w:val="21"/>
                <w:szCs w:val="21"/>
                <w:lang w:val="en-US" w:eastAsia="zh-CN" w:bidi="ar"/>
              </w:rPr>
              <w:t>总大肠菌群、硫酸盐、氯化物、菌落总数等共2</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项</w:t>
            </w:r>
            <w:r>
              <w:rPr>
                <w:rFonts w:hint="eastAsia" w:ascii="Times New Roman" w:hAnsi="Times New Roman" w:eastAsia="宋体" w:cs="Times New Roman"/>
                <w:color w:val="000000"/>
                <w:kern w:val="0"/>
                <w:sz w:val="21"/>
                <w:szCs w:val="21"/>
                <w:lang w:val="en-US" w:eastAsia="zh-CN" w:bidi="ar"/>
              </w:rPr>
              <w:t>、井深、水位和水温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污染源</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影响评价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u w:val="single"/>
                <w:lang w:val="en-US" w:eastAsia="zh-CN" w:bidi="ar"/>
              </w:rPr>
              <w:t>耗氧量</w:t>
            </w:r>
            <w:r>
              <w:rPr>
                <w:rFonts w:hint="default" w:ascii="Times New Roman" w:hAnsi="Times New Roman" w:eastAsia="宋体" w:cs="Times New Roman"/>
                <w:color w:val="000000"/>
                <w:kern w:val="0"/>
                <w:sz w:val="21"/>
                <w:szCs w:val="21"/>
                <w:u w:val="single"/>
                <w:lang w:val="en-US" w:eastAsia="zh-CN" w:bidi="ar"/>
              </w:rPr>
              <w:t>、氨氮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r>
              <w:rPr>
                <w:sz w:val="21"/>
              </w:rPr>
              <w:t>土壤环境</w:t>
            </w: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现状评价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pH</w:t>
            </w:r>
            <w:r>
              <w:rPr>
                <w:rFonts w:hint="eastAsia" w:ascii="Times New Roman" w:hAnsi="Times New Roman" w:eastAsia="宋体"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锌、</w:t>
            </w:r>
            <w:r>
              <w:rPr>
                <w:rFonts w:hint="eastAsia" w:ascii="Times New Roman" w:hAnsi="Times New Roman" w:eastAsia="宋体" w:cs="Times New Roman"/>
                <w:color w:val="000000"/>
                <w:kern w:val="0"/>
                <w:sz w:val="21"/>
                <w:szCs w:val="21"/>
                <w:lang w:val="en-US" w:eastAsia="zh-CN" w:bidi="ar"/>
              </w:rPr>
              <w:t>砷、镉、铬（六价）、铜、铅、汞、镍、四氯化碳、 氯仿、氯甲烷、</w:t>
            </w:r>
            <w:r>
              <w:rPr>
                <w:rFonts w:hint="default" w:ascii="Times New Roman" w:hAnsi="Times New Roman" w:eastAsia="宋体" w:cs="Times New Roman"/>
                <w:color w:val="000000"/>
                <w:kern w:val="0"/>
                <w:sz w:val="21"/>
                <w:szCs w:val="21"/>
                <w:lang w:val="en-US" w:eastAsia="zh-CN" w:bidi="ar"/>
              </w:rPr>
              <w:t>1,1-</w:t>
            </w:r>
            <w:r>
              <w:rPr>
                <w:rFonts w:hint="eastAsia" w:ascii="Times New Roman" w:hAnsi="Times New Roman" w:eastAsia="宋体" w:cs="Times New Roman"/>
                <w:color w:val="000000"/>
                <w:kern w:val="0"/>
                <w:sz w:val="21"/>
                <w:szCs w:val="21"/>
                <w:lang w:val="en-US" w:eastAsia="zh-CN" w:bidi="ar"/>
              </w:rPr>
              <w:t>二氯乙烷、</w:t>
            </w:r>
            <w:r>
              <w:rPr>
                <w:rFonts w:hint="default" w:ascii="Times New Roman" w:hAnsi="Times New Roman" w:eastAsia="宋体" w:cs="Times New Roman"/>
                <w:color w:val="000000"/>
                <w:kern w:val="0"/>
                <w:sz w:val="21"/>
                <w:szCs w:val="21"/>
                <w:lang w:val="en-US" w:eastAsia="zh-CN" w:bidi="ar"/>
              </w:rPr>
              <w:t>1,2-</w:t>
            </w:r>
            <w:r>
              <w:rPr>
                <w:rFonts w:hint="eastAsia" w:ascii="Times New Roman" w:hAnsi="Times New Roman" w:eastAsia="宋体" w:cs="Times New Roman"/>
                <w:color w:val="000000"/>
                <w:kern w:val="0"/>
                <w:sz w:val="21"/>
                <w:szCs w:val="21"/>
                <w:lang w:val="en-US" w:eastAsia="zh-CN" w:bidi="ar"/>
              </w:rPr>
              <w:t>二氯乙烷、</w:t>
            </w:r>
            <w:r>
              <w:rPr>
                <w:rFonts w:hint="default" w:ascii="Times New Roman" w:hAnsi="Times New Roman" w:eastAsia="宋体" w:cs="Times New Roman"/>
                <w:color w:val="000000"/>
                <w:kern w:val="0"/>
                <w:sz w:val="21"/>
                <w:szCs w:val="21"/>
                <w:lang w:val="en-US" w:eastAsia="zh-CN" w:bidi="ar"/>
              </w:rPr>
              <w:t>1,1-</w:t>
            </w:r>
            <w:r>
              <w:rPr>
                <w:rFonts w:hint="eastAsia" w:ascii="Times New Roman" w:hAnsi="Times New Roman" w:eastAsia="宋体" w:cs="Times New Roman"/>
                <w:color w:val="000000"/>
                <w:kern w:val="0"/>
                <w:sz w:val="21"/>
                <w:szCs w:val="21"/>
                <w:lang w:val="en-US" w:eastAsia="zh-CN" w:bidi="ar"/>
              </w:rPr>
              <w:t>二氯乙烯、顺</w:t>
            </w:r>
            <w:r>
              <w:rPr>
                <w:rFonts w:hint="default" w:ascii="Times New Roman" w:hAnsi="Times New Roman" w:eastAsia="宋体" w:cs="Times New Roman"/>
                <w:color w:val="000000"/>
                <w:kern w:val="0"/>
                <w:sz w:val="21"/>
                <w:szCs w:val="21"/>
                <w:lang w:val="en-US" w:eastAsia="zh-CN" w:bidi="ar"/>
              </w:rPr>
              <w:t>-1,2-</w:t>
            </w:r>
            <w:r>
              <w:rPr>
                <w:rFonts w:hint="eastAsia" w:ascii="Times New Roman" w:hAnsi="Times New Roman" w:eastAsia="宋体" w:cs="Times New Roman"/>
                <w:color w:val="000000"/>
                <w:kern w:val="0"/>
                <w:sz w:val="21"/>
                <w:szCs w:val="21"/>
                <w:lang w:val="en-US" w:eastAsia="zh-CN" w:bidi="ar"/>
              </w:rPr>
              <w:t>二氯乙烯、反</w:t>
            </w:r>
            <w:r>
              <w:rPr>
                <w:rFonts w:hint="default" w:ascii="Times New Roman" w:hAnsi="Times New Roman" w:eastAsia="宋体" w:cs="Times New Roman"/>
                <w:color w:val="000000"/>
                <w:kern w:val="0"/>
                <w:sz w:val="21"/>
                <w:szCs w:val="21"/>
                <w:lang w:val="en-US" w:eastAsia="zh-CN" w:bidi="ar"/>
              </w:rPr>
              <w:t>-1,2-</w:t>
            </w:r>
            <w:r>
              <w:rPr>
                <w:rFonts w:hint="eastAsia" w:ascii="Times New Roman" w:hAnsi="Times New Roman" w:eastAsia="宋体" w:cs="Times New Roman"/>
                <w:color w:val="000000"/>
                <w:kern w:val="0"/>
                <w:sz w:val="21"/>
                <w:szCs w:val="21"/>
                <w:lang w:val="en-US" w:eastAsia="zh-CN" w:bidi="ar"/>
              </w:rPr>
              <w:t>二氯乙烯、二氯甲烷、</w:t>
            </w:r>
            <w:r>
              <w:rPr>
                <w:rFonts w:hint="default" w:ascii="Times New Roman" w:hAnsi="Times New Roman" w:eastAsia="宋体" w:cs="Times New Roman"/>
                <w:color w:val="000000"/>
                <w:kern w:val="0"/>
                <w:sz w:val="21"/>
                <w:szCs w:val="21"/>
                <w:lang w:val="en-US" w:eastAsia="zh-CN" w:bidi="ar"/>
              </w:rPr>
              <w:t>1,2-</w:t>
            </w:r>
            <w:r>
              <w:rPr>
                <w:rFonts w:hint="eastAsia" w:ascii="Times New Roman" w:hAnsi="Times New Roman" w:eastAsia="宋体" w:cs="Times New Roman"/>
                <w:color w:val="000000"/>
                <w:kern w:val="0"/>
                <w:sz w:val="21"/>
                <w:szCs w:val="21"/>
                <w:lang w:val="en-US" w:eastAsia="zh-CN" w:bidi="ar"/>
              </w:rPr>
              <w:t>二氯丙烷、</w:t>
            </w:r>
            <w:r>
              <w:rPr>
                <w:rFonts w:hint="default" w:ascii="Times New Roman" w:hAnsi="Times New Roman" w:eastAsia="宋体" w:cs="Times New Roman"/>
                <w:color w:val="000000"/>
                <w:kern w:val="0"/>
                <w:sz w:val="21"/>
                <w:szCs w:val="21"/>
                <w:lang w:val="en-US" w:eastAsia="zh-CN" w:bidi="ar"/>
              </w:rPr>
              <w:t>1,1,1,2-</w:t>
            </w:r>
            <w:r>
              <w:rPr>
                <w:rFonts w:hint="eastAsia" w:ascii="Times New Roman" w:hAnsi="Times New Roman" w:eastAsia="宋体" w:cs="Times New Roman"/>
                <w:color w:val="000000"/>
                <w:kern w:val="0"/>
                <w:sz w:val="21"/>
                <w:szCs w:val="21"/>
                <w:lang w:val="en-US" w:eastAsia="zh-CN" w:bidi="ar"/>
              </w:rPr>
              <w:t>四氯乙烷、</w:t>
            </w:r>
            <w:r>
              <w:rPr>
                <w:rFonts w:hint="default" w:ascii="Times New Roman" w:hAnsi="Times New Roman" w:eastAsia="宋体" w:cs="Times New Roman"/>
                <w:color w:val="000000"/>
                <w:kern w:val="0"/>
                <w:sz w:val="21"/>
                <w:szCs w:val="21"/>
                <w:lang w:val="en-US" w:eastAsia="zh-CN" w:bidi="ar"/>
              </w:rPr>
              <w:t>1,1,2,2-</w:t>
            </w:r>
            <w:r>
              <w:rPr>
                <w:rFonts w:hint="eastAsia" w:ascii="Times New Roman" w:hAnsi="Times New Roman" w:eastAsia="宋体" w:cs="Times New Roman"/>
                <w:color w:val="000000"/>
                <w:kern w:val="0"/>
                <w:sz w:val="21"/>
                <w:szCs w:val="21"/>
                <w:lang w:val="en-US" w:eastAsia="zh-CN" w:bidi="ar"/>
              </w:rPr>
              <w:t>四氯乙烷、四氯乙烯、</w:t>
            </w:r>
            <w:r>
              <w:rPr>
                <w:rFonts w:hint="default" w:ascii="Times New Roman" w:hAnsi="Times New Roman" w:eastAsia="宋体" w:cs="Times New Roman"/>
                <w:color w:val="000000"/>
                <w:kern w:val="0"/>
                <w:sz w:val="21"/>
                <w:szCs w:val="21"/>
                <w:lang w:val="en-US" w:eastAsia="zh-CN" w:bidi="ar"/>
              </w:rPr>
              <w:t>1,1,1-</w:t>
            </w:r>
            <w:r>
              <w:rPr>
                <w:rFonts w:hint="eastAsia" w:ascii="Times New Roman" w:hAnsi="Times New Roman" w:eastAsia="宋体" w:cs="Times New Roman"/>
                <w:color w:val="000000"/>
                <w:kern w:val="0"/>
                <w:sz w:val="21"/>
                <w:szCs w:val="21"/>
                <w:lang w:val="en-US" w:eastAsia="zh-CN" w:bidi="ar"/>
              </w:rPr>
              <w:t>三氯乙烷、</w:t>
            </w:r>
            <w:r>
              <w:rPr>
                <w:rFonts w:hint="default" w:ascii="Times New Roman" w:hAnsi="Times New Roman" w:eastAsia="宋体" w:cs="Times New Roman"/>
                <w:color w:val="000000"/>
                <w:kern w:val="0"/>
                <w:sz w:val="21"/>
                <w:szCs w:val="21"/>
                <w:lang w:val="en-US" w:eastAsia="zh-CN" w:bidi="ar"/>
              </w:rPr>
              <w:t>1,1,2-</w:t>
            </w:r>
            <w:r>
              <w:rPr>
                <w:rFonts w:hint="eastAsia" w:ascii="Times New Roman" w:hAnsi="Times New Roman" w:eastAsia="宋体" w:cs="Times New Roman"/>
                <w:color w:val="000000"/>
                <w:kern w:val="0"/>
                <w:sz w:val="21"/>
                <w:szCs w:val="21"/>
                <w:lang w:val="en-US" w:eastAsia="zh-CN" w:bidi="ar"/>
              </w:rPr>
              <w:t>三氯乙烷、三氯乙烯、</w:t>
            </w:r>
            <w:r>
              <w:rPr>
                <w:rFonts w:hint="default" w:ascii="Times New Roman" w:hAnsi="Times New Roman" w:eastAsia="宋体" w:cs="Times New Roman"/>
                <w:color w:val="000000"/>
                <w:kern w:val="0"/>
                <w:sz w:val="21"/>
                <w:szCs w:val="21"/>
                <w:lang w:val="en-US" w:eastAsia="zh-CN" w:bidi="ar"/>
              </w:rPr>
              <w:t>1,2,3-</w:t>
            </w:r>
            <w:r>
              <w:rPr>
                <w:rFonts w:hint="eastAsia" w:ascii="Times New Roman" w:hAnsi="Times New Roman" w:eastAsia="宋体" w:cs="Times New Roman"/>
                <w:color w:val="000000"/>
                <w:kern w:val="0"/>
                <w:sz w:val="21"/>
                <w:szCs w:val="21"/>
                <w:lang w:val="en-US" w:eastAsia="zh-CN" w:bidi="ar"/>
              </w:rPr>
              <w:t>三氯丙烷、氯乙烯、苯、氯苯、</w:t>
            </w:r>
            <w:r>
              <w:rPr>
                <w:rFonts w:hint="default" w:ascii="Times New Roman" w:hAnsi="Times New Roman" w:eastAsia="宋体" w:cs="Times New Roman"/>
                <w:color w:val="000000"/>
                <w:kern w:val="0"/>
                <w:sz w:val="21"/>
                <w:szCs w:val="21"/>
                <w:lang w:val="en-US" w:eastAsia="zh-CN" w:bidi="ar"/>
              </w:rPr>
              <w:t>1,2-</w:t>
            </w:r>
            <w:r>
              <w:rPr>
                <w:rFonts w:hint="eastAsia" w:ascii="Times New Roman" w:hAnsi="Times New Roman" w:eastAsia="宋体" w:cs="Times New Roman"/>
                <w:color w:val="000000"/>
                <w:kern w:val="0"/>
                <w:sz w:val="21"/>
                <w:szCs w:val="21"/>
                <w:lang w:val="en-US" w:eastAsia="zh-CN" w:bidi="ar"/>
              </w:rPr>
              <w:t>二氯苯、</w:t>
            </w:r>
            <w:r>
              <w:rPr>
                <w:rFonts w:hint="default" w:ascii="Times New Roman" w:hAnsi="Times New Roman" w:eastAsia="宋体" w:cs="Times New Roman"/>
                <w:color w:val="000000"/>
                <w:kern w:val="0"/>
                <w:sz w:val="21"/>
                <w:szCs w:val="21"/>
                <w:lang w:val="en-US" w:eastAsia="zh-CN" w:bidi="ar"/>
              </w:rPr>
              <w:t>1,4-</w:t>
            </w:r>
            <w:r>
              <w:rPr>
                <w:rFonts w:hint="eastAsia" w:ascii="Times New Roman" w:hAnsi="Times New Roman" w:eastAsia="宋体" w:cs="Times New Roman"/>
                <w:color w:val="000000"/>
                <w:kern w:val="0"/>
                <w:sz w:val="21"/>
                <w:szCs w:val="21"/>
                <w:lang w:val="en-US" w:eastAsia="zh-CN" w:bidi="ar"/>
              </w:rPr>
              <w:t>二氯苯、乙苯、苯乙烯、</w:t>
            </w:r>
            <w:r>
              <w:rPr>
                <w:rFonts w:hint="eastAsia" w:cs="Times New Roman"/>
                <w:color w:val="000000"/>
                <w:kern w:val="0"/>
                <w:sz w:val="21"/>
                <w:szCs w:val="21"/>
                <w:lang w:val="en-US" w:eastAsia="zh-CN" w:bidi="ar"/>
              </w:rPr>
              <w:t>氨</w:t>
            </w:r>
            <w:r>
              <w:rPr>
                <w:rFonts w:hint="eastAsia" w:ascii="Times New Roman" w:hAnsi="Times New Roman" w:eastAsia="宋体" w:cs="Times New Roman"/>
                <w:color w:val="000000"/>
                <w:kern w:val="0"/>
                <w:sz w:val="21"/>
                <w:szCs w:val="21"/>
                <w:lang w:val="en-US" w:eastAsia="zh-CN" w:bidi="ar"/>
              </w:rPr>
              <w:t>、间二</w:t>
            </w:r>
            <w:r>
              <w:rPr>
                <w:rFonts w:hint="eastAsia" w:cs="Times New Roman"/>
                <w:color w:val="000000"/>
                <w:kern w:val="0"/>
                <w:sz w:val="21"/>
                <w:szCs w:val="21"/>
                <w:lang w:val="en-US" w:eastAsia="zh-CN" w:bidi="ar"/>
              </w:rPr>
              <w:t>氨</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对二</w:t>
            </w:r>
            <w:r>
              <w:rPr>
                <w:rFonts w:hint="eastAsia" w:cs="Times New Roman"/>
                <w:color w:val="000000"/>
                <w:kern w:val="0"/>
                <w:sz w:val="21"/>
                <w:szCs w:val="21"/>
                <w:lang w:val="en-US" w:eastAsia="zh-CN" w:bidi="ar"/>
              </w:rPr>
              <w:t>氨</w:t>
            </w:r>
            <w:r>
              <w:rPr>
                <w:rFonts w:hint="eastAsia" w:ascii="Times New Roman" w:hAnsi="Times New Roman" w:eastAsia="宋体" w:cs="Times New Roman"/>
                <w:color w:val="000000"/>
                <w:kern w:val="0"/>
                <w:sz w:val="21"/>
                <w:szCs w:val="21"/>
                <w:lang w:val="en-US" w:eastAsia="zh-CN" w:bidi="ar"/>
              </w:rPr>
              <w:t>、邻二</w:t>
            </w:r>
            <w:r>
              <w:rPr>
                <w:rFonts w:hint="eastAsia" w:cs="Times New Roman"/>
                <w:color w:val="000000"/>
                <w:kern w:val="0"/>
                <w:sz w:val="21"/>
                <w:szCs w:val="21"/>
                <w:lang w:val="en-US" w:eastAsia="zh-CN" w:bidi="ar"/>
              </w:rPr>
              <w:t>氨</w:t>
            </w:r>
            <w:r>
              <w:rPr>
                <w:rFonts w:hint="eastAsia" w:ascii="Times New Roman" w:hAnsi="Times New Roman" w:eastAsia="宋体" w:cs="Times New Roman"/>
                <w:color w:val="000000"/>
                <w:kern w:val="0"/>
                <w:sz w:val="21"/>
                <w:szCs w:val="21"/>
                <w:lang w:val="en-US" w:eastAsia="zh-CN" w:bidi="ar"/>
              </w:rPr>
              <w:t>、硝基苯、苯胺、</w:t>
            </w: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Times New Roman"/>
                <w:color w:val="000000"/>
                <w:kern w:val="0"/>
                <w:sz w:val="21"/>
                <w:szCs w:val="21"/>
                <w:lang w:val="en-US" w:eastAsia="zh-CN" w:bidi="ar"/>
              </w:rPr>
              <w:t>氯酚、苯并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蔥、苯并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芘、苯并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b</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荧蔥、苯并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k</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荧蔥、䓛、二苯并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a,h</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蔥、茚 并</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1,2,3-cd</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芘、萘</w:t>
            </w:r>
            <w:r>
              <w:rPr>
                <w:rFonts w:hint="default" w:ascii="Times New Roman" w:hAnsi="Times New Roman" w:eastAsia="宋体" w:cs="Times New Roman"/>
                <w:color w:val="000000"/>
                <w:kern w:val="0"/>
                <w:sz w:val="21"/>
                <w:szCs w:val="21"/>
                <w:lang w:val="en-US" w:eastAsia="zh-CN" w:bidi="ar"/>
              </w:rPr>
              <w:t>共</w:t>
            </w:r>
            <w:r>
              <w:rPr>
                <w:rFonts w:hint="eastAsia" w:ascii="Times New Roman" w:hAnsi="Times New Roman" w:eastAsia="宋体" w:cs="Times New Roman"/>
                <w:color w:val="000000"/>
                <w:kern w:val="0"/>
                <w:sz w:val="21"/>
                <w:szCs w:val="21"/>
                <w:lang w:val="en-US" w:eastAsia="zh-CN" w:bidi="ar"/>
              </w:rPr>
              <w:t>4</w:t>
            </w:r>
            <w:r>
              <w:rPr>
                <w:rFonts w:hint="eastAsia" w:cs="Times New Roman"/>
                <w:color w:val="000000"/>
                <w:kern w:val="0"/>
                <w:sz w:val="21"/>
                <w:szCs w:val="21"/>
                <w:lang w:val="en-US" w:eastAsia="zh-CN" w:bidi="ar"/>
              </w:rPr>
              <w:t>7</w:t>
            </w:r>
            <w:r>
              <w:rPr>
                <w:rFonts w:hint="default" w:ascii="Times New Roman" w:hAnsi="Times New Roman" w:eastAsia="宋体" w:cs="Times New Roman"/>
                <w:color w:val="000000"/>
                <w:kern w:val="0"/>
                <w:sz w:val="21"/>
                <w:szCs w:val="21"/>
                <w:lang w:val="en-US" w:eastAsia="zh-CN" w:bidi="ar"/>
              </w:rPr>
              <w:t>项</w:t>
            </w:r>
            <w:r>
              <w:rPr>
                <w:rFonts w:hint="eastAsia" w:ascii="Times New Roman" w:hAnsi="Times New Roman" w:eastAsia="宋体" w:cs="Times New Roman"/>
                <w:color w:val="000000"/>
                <w:kern w:val="0"/>
                <w:sz w:val="21"/>
                <w:szCs w:val="21"/>
                <w:lang w:val="en-US" w:eastAsia="zh-CN" w:bidi="ar"/>
              </w:rPr>
              <w:t>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污染源</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影响评价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
                <w:szCs w:val="2"/>
              </w:rPr>
            </w:pPr>
            <w:r>
              <w:rPr>
                <w:sz w:val="21"/>
              </w:rPr>
              <w:t>声环境</w:t>
            </w: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现状评价</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Leq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污染源</w:t>
            </w:r>
          </w:p>
        </w:tc>
        <w:tc>
          <w:tcPr>
            <w:tcW w:w="7277"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影响评价</w:t>
            </w:r>
          </w:p>
        </w:tc>
        <w:tc>
          <w:tcPr>
            <w:tcW w:w="7277"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color w:val="000000"/>
                <w:kern w:val="0"/>
                <w:sz w:val="21"/>
                <w:szCs w:val="21"/>
                <w:lang w:val="en-US" w:eastAsia="zh-CN" w:bidi="ar"/>
              </w:rPr>
            </w:pPr>
            <w:r>
              <w:rPr>
                <w:rFonts w:ascii="Times New Roman"/>
                <w:sz w:val="21"/>
              </w:rPr>
              <w:t>Leq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
                <w:szCs w:val="2"/>
              </w:rPr>
            </w:pPr>
            <w:r>
              <w:rPr>
                <w:sz w:val="21"/>
              </w:rPr>
              <w:t>固体废物</w:t>
            </w: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污染因子</w:t>
            </w:r>
          </w:p>
        </w:tc>
        <w:tc>
          <w:tcPr>
            <w:tcW w:w="727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color w:val="000000" w:themeColor="text1"/>
                <w:sz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分拣固废、废包装、清洗污泥残渣、除尘器卸灰、废滤网</w:t>
            </w:r>
            <w:r>
              <w:rPr>
                <w:rFonts w:hint="eastAsia" w:cs="Times New Roman"/>
                <w:color w:val="000000" w:themeColor="text1"/>
                <w:kern w:val="0"/>
                <w:sz w:val="21"/>
                <w:szCs w:val="21"/>
                <w:u w:val="single"/>
                <w:lang w:val="en-US" w:eastAsia="zh-CN" w:bidi="ar"/>
                <w14:textFill>
                  <w14:solidFill>
                    <w14:schemeClr w14:val="tx1"/>
                  </w14:solidFill>
                </w14:textFill>
              </w:rPr>
              <w:t>、废催化剂</w:t>
            </w:r>
            <w:r>
              <w:rPr>
                <w:rFonts w:hint="eastAsia" w:cs="Times New Roman"/>
                <w:color w:val="000000" w:themeColor="text1"/>
                <w:kern w:val="0"/>
                <w:sz w:val="21"/>
                <w:szCs w:val="21"/>
                <w:lang w:val="en-US" w:eastAsia="zh-CN" w:bidi="ar"/>
                <w14:textFill>
                  <w14:solidFill>
                    <w14:schemeClr w14:val="tx1"/>
                  </w14:solidFill>
                </w14:textFill>
              </w:rPr>
              <w:t>、生活垃圾、废机油、废活性炭</w:t>
            </w:r>
            <w:r>
              <w:rPr>
                <w:rFonts w:hint="eastAsia" w:cs="Times New Roman"/>
                <w:color w:val="000000" w:themeColor="text1"/>
                <w:kern w:val="0"/>
                <w:sz w:val="21"/>
                <w:szCs w:val="21"/>
                <w:u w:val="single"/>
                <w:lang w:val="en-US" w:eastAsia="zh-CN" w:bidi="ar"/>
                <w14:textFill>
                  <w14:solidFill>
                    <w14:schemeClr w14:val="tx1"/>
                  </w14:solidFill>
                </w14:textFill>
              </w:rPr>
              <w:t>、喷淋塔漂浮物及沉渣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1042" w:type="dxa"/>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
                <w:szCs w:val="2"/>
              </w:rPr>
            </w:pPr>
          </w:p>
        </w:tc>
        <w:tc>
          <w:tcPr>
            <w:tcW w:w="1604" w:type="dxa"/>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影响分析</w:t>
            </w:r>
          </w:p>
        </w:tc>
        <w:tc>
          <w:tcPr>
            <w:tcW w:w="7277" w:type="dxa"/>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sz w:val="21"/>
              </w:rPr>
            </w:pPr>
          </w:p>
        </w:tc>
      </w:tr>
    </w:tbl>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38" w:name="_Toc15568"/>
      <w:bookmarkStart w:id="39" w:name="_Toc31068"/>
      <w:bookmarkStart w:id="40" w:name="_Toc4955"/>
      <w:r>
        <w:rPr>
          <w:rFonts w:hint="default"/>
          <w:lang w:val="en-US" w:eastAsia="zh-CN"/>
        </w:rPr>
        <w:t>2.4 环境功能区划及评价标准</w:t>
      </w:r>
      <w:bookmarkEnd w:id="38"/>
      <w:bookmarkEnd w:id="39"/>
      <w:bookmarkEnd w:id="40"/>
    </w:p>
    <w:p>
      <w:pPr>
        <w:pStyle w:val="4"/>
        <w:bidi w:val="0"/>
      </w:pPr>
      <w:r>
        <w:rPr>
          <w:rFonts w:hint="default"/>
          <w:lang w:val="en-US" w:eastAsia="zh-CN"/>
        </w:rPr>
        <w:t xml:space="preserve">2.4.1 </w:t>
      </w:r>
      <w:r>
        <w:rPr>
          <w:lang w:val="en-US" w:eastAsia="zh-CN"/>
        </w:rPr>
        <w:t>环境功能区划</w:t>
      </w:r>
    </w:p>
    <w:p>
      <w:pPr>
        <w:bidi w:val="0"/>
        <w:jc w:val="both"/>
      </w:pPr>
      <w:r>
        <w:rPr>
          <w:rFonts w:hint="eastAsia"/>
          <w:lang w:val="en-US" w:eastAsia="zh-CN"/>
        </w:rPr>
        <w:t>（</w:t>
      </w:r>
      <w:r>
        <w:rPr>
          <w:rFonts w:hint="default"/>
          <w:lang w:val="en-US" w:eastAsia="zh-CN"/>
        </w:rPr>
        <w:t>1</w:t>
      </w:r>
      <w:r>
        <w:rPr>
          <w:rFonts w:hint="eastAsia"/>
          <w:lang w:val="en-US" w:eastAsia="zh-CN"/>
        </w:rPr>
        <w:t>）环境空气功能区划</w:t>
      </w:r>
    </w:p>
    <w:p>
      <w:pPr>
        <w:bidi w:val="0"/>
        <w:jc w:val="both"/>
      </w:pPr>
      <w:r>
        <w:rPr>
          <w:rFonts w:hint="eastAsia"/>
          <w:lang w:val="en-US" w:eastAsia="zh-CN"/>
        </w:rPr>
        <w:t>项目选址区域环境空气功能区划为二类保护区，应执行《环境空气质量标准》（</w:t>
      </w:r>
      <w:r>
        <w:rPr>
          <w:rFonts w:hint="default"/>
          <w:lang w:val="en-US" w:eastAsia="zh-CN"/>
        </w:rPr>
        <w:t>GB3095-2012</w:t>
      </w:r>
      <w:r>
        <w:rPr>
          <w:rFonts w:hint="eastAsia"/>
          <w:lang w:val="en-US" w:eastAsia="zh-CN"/>
        </w:rPr>
        <w:t>）中的二级标准。</w:t>
      </w:r>
    </w:p>
    <w:p>
      <w:pPr>
        <w:bidi w:val="0"/>
        <w:jc w:val="both"/>
      </w:pPr>
      <w:r>
        <w:rPr>
          <w:rFonts w:hint="eastAsia"/>
          <w:lang w:val="en-US" w:eastAsia="zh-CN"/>
        </w:rPr>
        <w:t>（</w:t>
      </w:r>
      <w:r>
        <w:rPr>
          <w:rFonts w:hint="default"/>
          <w:lang w:val="en-US" w:eastAsia="zh-CN"/>
        </w:rPr>
        <w:t>2</w:t>
      </w:r>
      <w:r>
        <w:rPr>
          <w:rFonts w:hint="eastAsia"/>
          <w:lang w:val="en-US" w:eastAsia="zh-CN"/>
        </w:rPr>
        <w:t>）水环境功能区划</w:t>
      </w:r>
    </w:p>
    <w:p>
      <w:pPr>
        <w:bidi w:val="0"/>
        <w:jc w:val="both"/>
        <w:rPr>
          <w:rFonts w:hint="eastAsia"/>
          <w:lang w:val="en-US" w:eastAsia="zh-CN"/>
        </w:rPr>
      </w:pPr>
      <w:r>
        <w:rPr>
          <w:rFonts w:hint="eastAsia"/>
          <w:lang w:val="en-US" w:eastAsia="zh-CN"/>
        </w:rPr>
        <w:t>本项目区域地表水体主要为灰河，属于沙河支流，根据水环境功能区域划分规定，其规划水体功能为Ⅲ类，执行《地表水环境质量标准》（</w:t>
      </w:r>
      <w:r>
        <w:rPr>
          <w:rFonts w:hint="default"/>
          <w:lang w:val="en-US" w:eastAsia="zh-CN"/>
        </w:rPr>
        <w:t>GB3838-2002</w:t>
      </w:r>
      <w:r>
        <w:rPr>
          <w:rFonts w:hint="eastAsia"/>
          <w:lang w:val="en-US" w:eastAsia="zh-CN"/>
        </w:rPr>
        <w:t>））Ⅲ类标准。区域地下水执行《地下水质量标准》（</w:t>
      </w:r>
      <w:r>
        <w:rPr>
          <w:rFonts w:hint="default"/>
          <w:lang w:val="en-US" w:eastAsia="zh-CN"/>
        </w:rPr>
        <w:t>GB/T14848-2017</w:t>
      </w:r>
      <w:r>
        <w:rPr>
          <w:rFonts w:hint="eastAsia"/>
          <w:lang w:val="en-US" w:eastAsia="zh-CN"/>
        </w:rPr>
        <w:t>）中Ⅲ类标准的有关规定。</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）声功能区划</w:t>
      </w:r>
    </w:p>
    <w:p>
      <w:pPr>
        <w:bidi w:val="0"/>
        <w:jc w:val="both"/>
      </w:pPr>
      <w:r>
        <w:rPr>
          <w:rFonts w:hint="eastAsia"/>
          <w:lang w:val="en-US" w:eastAsia="zh-CN"/>
        </w:rPr>
        <w:t>本项目位于产业聚集区，属于</w:t>
      </w:r>
      <w:r>
        <w:rPr>
          <w:rFonts w:hint="default"/>
          <w:lang w:val="en-US" w:eastAsia="zh-CN"/>
        </w:rPr>
        <w:t>2</w:t>
      </w:r>
      <w:r>
        <w:rPr>
          <w:rFonts w:hint="eastAsia"/>
          <w:lang w:val="en-US" w:eastAsia="zh-CN"/>
        </w:rPr>
        <w:t>类声环境功能区，项目区声环境执行《声环境质量标准》（</w:t>
      </w:r>
      <w:r>
        <w:rPr>
          <w:rFonts w:hint="default"/>
          <w:lang w:val="en-US" w:eastAsia="zh-CN"/>
        </w:rPr>
        <w:t>GB3096-2008</w:t>
      </w:r>
      <w:r>
        <w:rPr>
          <w:rFonts w:hint="eastAsia"/>
          <w:lang w:val="en-US" w:eastAsia="zh-CN"/>
        </w:rPr>
        <w:t>）</w:t>
      </w:r>
      <w:r>
        <w:rPr>
          <w:rFonts w:hint="default"/>
          <w:lang w:val="en-US" w:eastAsia="zh-CN"/>
        </w:rPr>
        <w:t>2</w:t>
      </w:r>
      <w:r>
        <w:rPr>
          <w:rFonts w:hint="eastAsia"/>
          <w:lang w:val="en-US" w:eastAsia="zh-CN"/>
        </w:rPr>
        <w:t>类标准。</w:t>
      </w:r>
    </w:p>
    <w:p>
      <w:pPr>
        <w:pStyle w:val="4"/>
        <w:bidi w:val="0"/>
      </w:pPr>
      <w:r>
        <w:rPr>
          <w:rFonts w:hint="default"/>
          <w:lang w:val="en-US" w:eastAsia="zh-CN"/>
        </w:rPr>
        <w:t xml:space="preserve">2.4.2 </w:t>
      </w:r>
      <w:r>
        <w:rPr>
          <w:lang w:val="en-US" w:eastAsia="zh-CN"/>
        </w:rPr>
        <w:t>环境质量标准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）环境空气质量标准</w:t>
      </w:r>
    </w:p>
    <w:p>
      <w:pPr>
        <w:keepNext w:val="0"/>
        <w:keepLines w:val="0"/>
        <w:widowControl/>
        <w:suppressLineNumbers w:val="0"/>
        <w:jc w:val="left"/>
        <w:rPr>
          <w:rFonts w:hint="default"/>
          <w:u w:val="single"/>
          <w:lang w:val="en-US"/>
        </w:rPr>
      </w:pPr>
      <w:r>
        <w:rPr>
          <w:rFonts w:hint="eastAsia" w:ascii="宋体" w:hAnsi="宋体" w:eastAsia="宋体" w:cs="宋体"/>
          <w:color w:val="000000"/>
          <w:kern w:val="0"/>
          <w:sz w:val="24"/>
          <w:szCs w:val="24"/>
          <w:lang w:val="en-US" w:eastAsia="zh-CN" w:bidi="ar"/>
        </w:rPr>
        <w:t>项目常规大气污染物执行《环境空气质量标准》（</w:t>
      </w:r>
      <w:r>
        <w:rPr>
          <w:rFonts w:hint="default" w:ascii="Times New Roman" w:hAnsi="Times New Roman" w:eastAsia="宋体" w:cs="Times New Roman"/>
          <w:color w:val="000000"/>
          <w:kern w:val="0"/>
          <w:sz w:val="24"/>
          <w:szCs w:val="24"/>
          <w:lang w:val="en-US" w:eastAsia="zh-CN" w:bidi="ar"/>
        </w:rPr>
        <w:t>GB3095-2012</w:t>
      </w:r>
      <w:r>
        <w:rPr>
          <w:rFonts w:hint="eastAsia" w:ascii="宋体" w:hAnsi="宋体" w:eastAsia="宋体" w:cs="宋体"/>
          <w:color w:val="000000"/>
          <w:kern w:val="0"/>
          <w:sz w:val="24"/>
          <w:szCs w:val="24"/>
          <w:lang w:val="en-US" w:eastAsia="zh-CN" w:bidi="ar"/>
        </w:rPr>
        <w:t>）二级标准；非甲烷总烃执行《大气污染物综合排放标准详解》中非甲烷总烃排放限值；</w:t>
      </w:r>
      <w:r>
        <w:rPr>
          <w:rFonts w:hint="eastAsia" w:ascii="宋体" w:hAnsi="宋体" w:cs="宋体"/>
          <w:color w:val="000000"/>
          <w:kern w:val="0"/>
          <w:sz w:val="24"/>
          <w:szCs w:val="24"/>
          <w:u w:val="single"/>
          <w:lang w:val="en-US" w:eastAsia="zh-CN" w:bidi="ar"/>
        </w:rPr>
        <w:t>苯乙烯、氨、硫化氢执</w:t>
      </w:r>
      <w:r>
        <w:rPr>
          <w:rFonts w:hint="default" w:ascii="Times New Roman" w:hAnsi="Times New Roman" w:cs="Times New Roman"/>
          <w:color w:val="000000"/>
          <w:kern w:val="0"/>
          <w:sz w:val="24"/>
          <w:szCs w:val="24"/>
          <w:u w:val="single"/>
          <w:lang w:val="en-US" w:eastAsia="zh-CN" w:bidi="ar"/>
        </w:rPr>
        <w:t>行《环境影响评价技术导则  大气环境》（HJ2.2-2018）附录D</w:t>
      </w:r>
      <w:r>
        <w:rPr>
          <w:rFonts w:hint="eastAsia" w:ascii="Times New Roman" w:hAnsi="Times New Roman" w:cs="Times New Roman"/>
          <w:color w:val="000000"/>
          <w:kern w:val="0"/>
          <w:sz w:val="24"/>
          <w:szCs w:val="24"/>
          <w:u w:val="single"/>
          <w:lang w:val="en-US" w:eastAsia="zh-CN" w:bidi="ar"/>
        </w:rPr>
        <w:t>；</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）声环境质量评价标准采用《声环境质量标准》（</w:t>
      </w:r>
      <w:r>
        <w:rPr>
          <w:rFonts w:hint="default" w:ascii="Times New Roman" w:hAnsi="Times New Roman" w:eastAsia="宋体" w:cs="Times New Roman"/>
          <w:color w:val="000000"/>
          <w:kern w:val="0"/>
          <w:sz w:val="24"/>
          <w:szCs w:val="24"/>
          <w:u w:val="single"/>
          <w:lang w:val="en-US" w:eastAsia="zh-CN" w:bidi="ar"/>
        </w:rPr>
        <w:t>GB3096-2008</w:t>
      </w:r>
      <w:r>
        <w:rPr>
          <w:rFonts w:hint="eastAsia" w:ascii="宋体" w:hAnsi="宋体" w:eastAsia="宋体" w:cs="宋体"/>
          <w:color w:val="000000"/>
          <w:kern w:val="0"/>
          <w:sz w:val="24"/>
          <w:szCs w:val="24"/>
          <w:u w:val="single"/>
          <w:lang w:val="en-US" w:eastAsia="zh-CN" w:bidi="ar"/>
        </w:rPr>
        <w:t>）</w:t>
      </w:r>
      <w:r>
        <w:rPr>
          <w:rFonts w:hint="eastAsia"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类；</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）地表水环境评价标准采用《地表水环境质量标准》（</w:t>
      </w:r>
      <w:r>
        <w:rPr>
          <w:rFonts w:hint="default" w:ascii="Times New Roman" w:hAnsi="Times New Roman" w:eastAsia="宋体" w:cs="Times New Roman"/>
          <w:color w:val="000000"/>
          <w:kern w:val="0"/>
          <w:sz w:val="24"/>
          <w:szCs w:val="24"/>
          <w:lang w:val="en-US" w:eastAsia="zh-CN" w:bidi="ar"/>
        </w:rPr>
        <w:t>GB3838-2002</w:t>
      </w:r>
      <w:r>
        <w:rPr>
          <w:rFonts w:hint="eastAsia" w:ascii="宋体" w:hAnsi="宋体" w:eastAsia="宋体" w:cs="宋体"/>
          <w:color w:val="000000"/>
          <w:kern w:val="0"/>
          <w:sz w:val="24"/>
          <w:szCs w:val="24"/>
          <w:lang w:val="en-US" w:eastAsia="zh-CN" w:bidi="ar"/>
        </w:rPr>
        <w:t>）Ⅲ类标准；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）地下水质量执行《地下水质量标准》（</w:t>
      </w:r>
      <w:r>
        <w:rPr>
          <w:rFonts w:hint="default" w:ascii="Times New Roman" w:hAnsi="Times New Roman" w:eastAsia="宋体" w:cs="Times New Roman"/>
          <w:color w:val="000000"/>
          <w:kern w:val="0"/>
          <w:sz w:val="24"/>
          <w:szCs w:val="24"/>
          <w:lang w:val="en-US" w:eastAsia="zh-CN" w:bidi="ar"/>
        </w:rPr>
        <w:t>GB/T14848-2017</w:t>
      </w:r>
      <w:r>
        <w:rPr>
          <w:rFonts w:hint="eastAsia" w:ascii="宋体" w:hAnsi="宋体" w:eastAsia="宋体" w:cs="宋体"/>
          <w:color w:val="000000"/>
          <w:kern w:val="0"/>
          <w:sz w:val="24"/>
          <w:szCs w:val="24"/>
          <w:lang w:val="en-US" w:eastAsia="zh-CN" w:bidi="ar"/>
        </w:rPr>
        <w:t>）Ⅲ类标准；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）建设用地土壤环境质量执行《土壤环境质量 建设用地土壤污染风险监控标准（试行）》（</w:t>
      </w:r>
      <w:r>
        <w:rPr>
          <w:rFonts w:hint="default" w:ascii="Times New Roman" w:hAnsi="Times New Roman" w:eastAsia="宋体" w:cs="Times New Roman"/>
          <w:color w:val="000000"/>
          <w:kern w:val="0"/>
          <w:sz w:val="24"/>
          <w:szCs w:val="24"/>
          <w:lang w:val="en-US" w:eastAsia="zh-CN" w:bidi="ar"/>
        </w:rPr>
        <w:t>GB36600-2018</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第二类用地筛选值；</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）农用地土壤环境质量执行《土壤环境质量农用地土壤污染风险监控标准（试行）》（</w:t>
      </w:r>
      <w:r>
        <w:rPr>
          <w:rFonts w:hint="default" w:ascii="Times New Roman" w:hAnsi="Times New Roman" w:eastAsia="宋体" w:cs="Times New Roman"/>
          <w:color w:val="000000"/>
          <w:kern w:val="0"/>
          <w:sz w:val="24"/>
          <w:szCs w:val="24"/>
          <w:lang w:val="en-US" w:eastAsia="zh-CN" w:bidi="ar"/>
        </w:rPr>
        <w:t>GB15618-2018</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筛选值。</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各环境质量标准限值见表</w:t>
      </w:r>
      <w:r>
        <w:rPr>
          <w:rFonts w:hint="default" w:ascii="Times New Roman" w:hAnsi="Times New Roman" w:eastAsia="宋体" w:cs="Times New Roman"/>
          <w:color w:val="000000"/>
          <w:kern w:val="0"/>
          <w:sz w:val="24"/>
          <w:szCs w:val="24"/>
          <w:lang w:val="en-US" w:eastAsia="zh-CN" w:bidi="ar"/>
        </w:rPr>
        <w:t>2.4-1~2.4-</w:t>
      </w:r>
      <w:r>
        <w:rPr>
          <w:rFonts w:hint="eastAsia"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表2.4-1  环境空气质量标准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9"/>
        <w:gridCol w:w="1887"/>
        <w:gridCol w:w="2071"/>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污染物名称</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取值时间</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浓度限值</w:t>
            </w:r>
          </w:p>
        </w:tc>
        <w:tc>
          <w:tcPr>
            <w:tcW w:w="1988"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4"/>
              </w:rPr>
            </w:pPr>
            <w:r>
              <w:rPr>
                <w:rFonts w:ascii="Times New Roman"/>
                <w:position w:val="2"/>
                <w:sz w:val="21"/>
              </w:rPr>
              <w:t>SO</w:t>
            </w:r>
            <w:r>
              <w:rPr>
                <w:rFonts w:ascii="Times New Roman"/>
                <w:sz w:val="14"/>
              </w:rPr>
              <w:t>2</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年平均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sz w:val="14"/>
              </w:rPr>
            </w:pPr>
            <w:r>
              <w:rPr>
                <w:rFonts w:ascii="Times New Roman" w:hAnsi="Times New Roman"/>
                <w:sz w:val="21"/>
              </w:rPr>
              <w:t>60μg/m</w:t>
            </w:r>
            <w:r>
              <w:rPr>
                <w:rFonts w:ascii="Times New Roman" w:hAnsi="Times New Roman"/>
                <w:position w:val="7"/>
                <w:sz w:val="14"/>
              </w:rPr>
              <w:t>3</w:t>
            </w:r>
          </w:p>
        </w:tc>
        <w:tc>
          <w:tcPr>
            <w:tcW w:w="1988"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r>
              <w:rPr>
                <w:rFonts w:ascii="Times New Roman" w:eastAsia="Times New Roman"/>
                <w:sz w:val="21"/>
              </w:rPr>
              <w:t>《环境空气质量标准》</w:t>
            </w:r>
          </w:p>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r>
              <w:rPr>
                <w:rFonts w:ascii="Times New Roman" w:eastAsia="Times New Roman"/>
                <w:sz w:val="21"/>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rFonts w:ascii="Times New Roman" w:eastAsia="Times New Roman"/>
                <w:sz w:val="21"/>
              </w:rPr>
              <w:t>24</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sz w:val="14"/>
              </w:rPr>
            </w:pPr>
            <w:r>
              <w:rPr>
                <w:rFonts w:ascii="Times New Roman" w:hAnsi="Times New Roman"/>
                <w:sz w:val="21"/>
              </w:rPr>
              <w:t>150μg/m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
                <w:szCs w:val="2"/>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rFonts w:ascii="Times New Roman" w:eastAsia="Times New Roman"/>
                <w:sz w:val="21"/>
              </w:rPr>
              <w:t>1</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sz w:val="14"/>
              </w:rPr>
            </w:pPr>
            <w:r>
              <w:rPr>
                <w:rFonts w:ascii="Times New Roman" w:hAnsi="Times New Roman"/>
                <w:sz w:val="21"/>
              </w:rPr>
              <w:t>500μg/m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4"/>
              </w:rPr>
            </w:pPr>
            <w:r>
              <w:rPr>
                <w:rFonts w:ascii="Times New Roman"/>
                <w:position w:val="2"/>
                <w:sz w:val="21"/>
              </w:rPr>
              <w:t>NO</w:t>
            </w:r>
            <w:r>
              <w:rPr>
                <w:rFonts w:ascii="Times New Roman"/>
                <w:sz w:val="14"/>
              </w:rPr>
              <w:t>2</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年平均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sz w:val="14"/>
              </w:rPr>
            </w:pPr>
            <w:r>
              <w:rPr>
                <w:rFonts w:ascii="Times New Roman" w:hAnsi="Times New Roman"/>
                <w:sz w:val="21"/>
              </w:rPr>
              <w:t>40μg/m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position w:val="2"/>
                <w:sz w:val="21"/>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24</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80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position w:val="2"/>
                <w:sz w:val="21"/>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1</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200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position w:val="2"/>
                <w:sz w:val="21"/>
                <w:lang w:val="en-US"/>
              </w:rPr>
            </w:pPr>
            <w:r>
              <w:rPr>
                <w:rFonts w:hint="default" w:ascii="Times New Roman" w:hAnsi="Times New Roman" w:eastAsia="宋体" w:cs="Times New Roman"/>
                <w:color w:val="000000"/>
                <w:kern w:val="0"/>
                <w:sz w:val="21"/>
                <w:szCs w:val="21"/>
                <w:lang w:val="en-US" w:eastAsia="zh-CN" w:bidi="ar"/>
              </w:rPr>
              <w:t>PM</w:t>
            </w:r>
            <w:r>
              <w:rPr>
                <w:rFonts w:hint="eastAsia" w:ascii="Times New Roman" w:hAnsi="Times New Roman" w:eastAsia="宋体" w:cs="Times New Roman"/>
                <w:color w:val="000000"/>
                <w:kern w:val="0"/>
                <w:sz w:val="13"/>
                <w:szCs w:val="13"/>
                <w:lang w:val="en-US" w:eastAsia="zh-CN" w:bidi="ar"/>
              </w:rPr>
              <w:t>2.5</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年平均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35</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position w:val="2"/>
                <w:sz w:val="21"/>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24</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75</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position w:val="2"/>
                <w:sz w:val="21"/>
                <w:lang w:val="en-US"/>
              </w:rPr>
            </w:pPr>
            <w:r>
              <w:rPr>
                <w:rFonts w:hint="default" w:ascii="Times New Roman" w:hAnsi="Times New Roman" w:eastAsia="宋体" w:cs="Times New Roman"/>
                <w:color w:val="000000"/>
                <w:kern w:val="0"/>
                <w:sz w:val="21"/>
                <w:szCs w:val="21"/>
                <w:lang w:val="en-US" w:eastAsia="zh-CN" w:bidi="ar"/>
              </w:rPr>
              <w:t>PM</w:t>
            </w:r>
            <w:r>
              <w:rPr>
                <w:rFonts w:hint="eastAsia" w:ascii="Times New Roman" w:hAnsi="Times New Roman" w:cs="Times New Roman"/>
                <w:color w:val="000000"/>
                <w:kern w:val="0"/>
                <w:sz w:val="13"/>
                <w:szCs w:val="13"/>
                <w:lang w:val="en-US" w:eastAsia="zh-CN" w:bidi="ar"/>
              </w:rPr>
              <w:t>10</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年平均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70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position w:val="2"/>
                <w:sz w:val="21"/>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24</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150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CO</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sz w:val="21"/>
              </w:rPr>
              <w:t>年平均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sz w:val="21"/>
                <w:lang w:val="en-US" w:eastAsia="zh-CN"/>
              </w:rPr>
            </w:pPr>
            <w:r>
              <w:rPr>
                <w:rFonts w:hint="eastAsia" w:ascii="Times New Roman" w:hAnsi="Times New Roman"/>
                <w:sz w:val="21"/>
                <w:lang w:val="en-US" w:eastAsia="zh-CN"/>
              </w:rPr>
              <w:t>4m</w:t>
            </w:r>
            <w:r>
              <w:rPr>
                <w:rFonts w:ascii="Times New Roman" w:hAnsi="Times New Roman"/>
                <w:sz w:val="21"/>
              </w:rPr>
              <w:t>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24</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10m</w:t>
            </w:r>
            <w:r>
              <w:rPr>
                <w:rFonts w:ascii="Times New Roman" w:hAnsi="Times New Roman"/>
                <w:sz w:val="21"/>
              </w:rPr>
              <w:t>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31"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hint="eastAsia" w:ascii="Times New Roman" w:eastAsia="宋体"/>
                <w:sz w:val="21"/>
                <w:lang w:eastAsia="zh-CN"/>
              </w:rPr>
              <w:t>日最大</w:t>
            </w:r>
            <w:r>
              <w:rPr>
                <w:rFonts w:hint="eastAsia" w:ascii="Times New Roman" w:eastAsia="宋体"/>
                <w:sz w:val="21"/>
                <w:lang w:val="en-US" w:eastAsia="zh-CN"/>
              </w:rPr>
              <w:t>8小时</w:t>
            </w:r>
            <w:r>
              <w:rPr>
                <w:sz w:val="21"/>
              </w:rPr>
              <w:t>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1 60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831"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rPr>
            </w:pPr>
            <w:r>
              <w:rPr>
                <w:rFonts w:ascii="Times New Roman" w:eastAsia="Times New Roman"/>
                <w:sz w:val="21"/>
              </w:rPr>
              <w:t>1</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200</w:t>
            </w:r>
            <w:r>
              <w:rPr>
                <w:rFonts w:ascii="Times New Roman" w:hAnsi="Times New Roman"/>
                <w:sz w:val="21"/>
              </w:rPr>
              <w:t>μg/m</w:t>
            </w:r>
            <w:r>
              <w:rPr>
                <w:rFonts w:ascii="Times New Roman" w:hAnsi="Times New Roman"/>
                <w:position w:val="7"/>
                <w:sz w:val="14"/>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831"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苯乙烯</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r>
              <w:rPr>
                <w:rFonts w:ascii="Times New Roman" w:eastAsia="Times New Roman"/>
                <w:sz w:val="21"/>
                <w:u w:val="single"/>
              </w:rPr>
              <w:t>1</w:t>
            </w:r>
            <w:r>
              <w:rPr>
                <w:sz w:val="21"/>
                <w:u w:val="single"/>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sz w:val="21"/>
                <w:u w:val="single"/>
                <w:lang w:val="en-US" w:eastAsia="zh-CN"/>
              </w:rPr>
            </w:pPr>
            <w:r>
              <w:rPr>
                <w:rFonts w:hint="eastAsia" w:ascii="Times New Roman" w:hAnsi="Times New Roman"/>
                <w:sz w:val="21"/>
                <w:u w:val="single"/>
                <w:lang w:val="en-US" w:eastAsia="zh-CN"/>
              </w:rPr>
              <w:t>10</w:t>
            </w:r>
            <w:r>
              <w:rPr>
                <w:rFonts w:ascii="Times New Roman" w:hAnsi="Times New Roman"/>
                <w:sz w:val="21"/>
                <w:u w:val="single"/>
              </w:rPr>
              <w:t>μg/m</w:t>
            </w:r>
            <w:r>
              <w:rPr>
                <w:rFonts w:ascii="Times New Roman" w:hAnsi="Times New Roman"/>
                <w:position w:val="7"/>
                <w:sz w:val="14"/>
                <w:u w:val="single"/>
              </w:rPr>
              <w:t>3</w:t>
            </w:r>
          </w:p>
        </w:tc>
        <w:tc>
          <w:tcPr>
            <w:tcW w:w="1988" w:type="pct"/>
            <w:vMerge w:val="restar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r>
              <w:rPr>
                <w:rFonts w:hint="default" w:ascii="Times New Roman" w:eastAsia="Times New Roman"/>
                <w:sz w:val="21"/>
                <w:u w:val="single"/>
                <w:lang w:val="en-US" w:eastAsia="zh-CN"/>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831"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硫化氢</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r>
              <w:rPr>
                <w:rFonts w:ascii="Times New Roman" w:eastAsia="Times New Roman"/>
                <w:sz w:val="21"/>
                <w:u w:val="single"/>
              </w:rPr>
              <w:t>1</w:t>
            </w:r>
            <w:r>
              <w:rPr>
                <w:sz w:val="21"/>
                <w:u w:val="single"/>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sz w:val="21"/>
                <w:u w:val="single"/>
                <w:lang w:val="en-US" w:eastAsia="zh-CN"/>
              </w:rPr>
            </w:pPr>
            <w:r>
              <w:rPr>
                <w:rFonts w:hint="eastAsia" w:ascii="Times New Roman" w:hAnsi="Times New Roman"/>
                <w:sz w:val="21"/>
                <w:u w:val="single"/>
                <w:lang w:val="en-US" w:eastAsia="zh-CN"/>
              </w:rPr>
              <w:t>10</w:t>
            </w:r>
            <w:r>
              <w:rPr>
                <w:rFonts w:ascii="Times New Roman" w:hAnsi="Times New Roman"/>
                <w:sz w:val="21"/>
                <w:u w:val="single"/>
              </w:rPr>
              <w:t>μg/m</w:t>
            </w:r>
            <w:r>
              <w:rPr>
                <w:rFonts w:ascii="Times New Roman" w:hAnsi="Times New Roman"/>
                <w:position w:val="7"/>
                <w:sz w:val="14"/>
                <w:u w:val="single"/>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831"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氨</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r>
              <w:rPr>
                <w:rFonts w:ascii="Times New Roman" w:eastAsia="Times New Roman"/>
                <w:sz w:val="21"/>
                <w:u w:val="single"/>
              </w:rPr>
              <w:t>1</w:t>
            </w:r>
            <w:r>
              <w:rPr>
                <w:sz w:val="21"/>
                <w:u w:val="single"/>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sz w:val="21"/>
                <w:u w:val="single"/>
                <w:lang w:val="en-US" w:eastAsia="zh-CN"/>
              </w:rPr>
            </w:pPr>
            <w:r>
              <w:rPr>
                <w:rFonts w:hint="eastAsia" w:ascii="Times New Roman" w:hAnsi="Times New Roman"/>
                <w:sz w:val="21"/>
                <w:u w:val="single"/>
                <w:lang w:val="en-US" w:eastAsia="zh-CN"/>
              </w:rPr>
              <w:t>200</w:t>
            </w:r>
            <w:r>
              <w:rPr>
                <w:rFonts w:ascii="Times New Roman" w:hAnsi="Times New Roman"/>
                <w:sz w:val="21"/>
                <w:u w:val="single"/>
              </w:rPr>
              <w:t>μg/m</w:t>
            </w:r>
            <w:r>
              <w:rPr>
                <w:rFonts w:ascii="Times New Roman" w:hAnsi="Times New Roman"/>
                <w:position w:val="7"/>
                <w:sz w:val="14"/>
                <w:u w:val="single"/>
              </w:rPr>
              <w:t>3</w:t>
            </w:r>
          </w:p>
        </w:tc>
        <w:tc>
          <w:tcPr>
            <w:tcW w:w="1988" w:type="pct"/>
            <w:vMerge w:val="continue"/>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eastAsia="Times New Roman"/>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31"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非甲烷总烃</w:t>
            </w:r>
          </w:p>
        </w:tc>
        <w:tc>
          <w:tcPr>
            <w:tcW w:w="1039"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ascii="Times New Roman" w:eastAsia="Times New Roman"/>
                <w:sz w:val="21"/>
              </w:rPr>
              <w:t>1</w:t>
            </w:r>
            <w:r>
              <w:rPr>
                <w:sz w:val="21"/>
              </w:rPr>
              <w:t>小时平均</w:t>
            </w:r>
          </w:p>
        </w:tc>
        <w:tc>
          <w:tcPr>
            <w:tcW w:w="1140"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2.0m</w:t>
            </w:r>
            <w:r>
              <w:rPr>
                <w:rFonts w:ascii="Times New Roman" w:hAnsi="Times New Roman"/>
                <w:sz w:val="21"/>
              </w:rPr>
              <w:t>g/m</w:t>
            </w:r>
            <w:r>
              <w:rPr>
                <w:rFonts w:ascii="Times New Roman" w:hAnsi="Times New Roman"/>
                <w:position w:val="7"/>
                <w:sz w:val="14"/>
              </w:rPr>
              <w:t>3</w:t>
            </w:r>
          </w:p>
        </w:tc>
        <w:tc>
          <w:tcPr>
            <w:tcW w:w="1988" w:type="pct"/>
            <w:tcBorders>
              <w:tl2br w:val="nil"/>
              <w:tr2bl w:val="nil"/>
            </w:tcBorders>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eastAsia="Times New Roman"/>
                <w:sz w:val="21"/>
                <w:lang w:val="en-US" w:eastAsia="zh-CN"/>
              </w:rPr>
            </w:pPr>
            <w:r>
              <w:rPr>
                <w:rFonts w:hint="eastAsia" w:ascii="Times New Roman" w:eastAsia="Times New Roman"/>
                <w:sz w:val="21"/>
                <w:lang w:val="en-US" w:eastAsia="zh-CN"/>
              </w:rPr>
              <w:t>《大气污染物综合排放标准详解》（中国环境科学出版社出版）</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表2.4-2  声环境质量标准</w:t>
      </w:r>
    </w:p>
    <w:tbl>
      <w:tblPr>
        <w:tblStyle w:val="21"/>
        <w:tblW w:w="501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30"/>
        <w:gridCol w:w="1520"/>
        <w:gridCol w:w="1261"/>
        <w:gridCol w:w="41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12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pacing w:val="0"/>
                <w:sz w:val="21"/>
                <w:szCs w:val="21"/>
              </w:rPr>
            </w:pPr>
            <w:r>
              <w:rPr>
                <w:spacing w:val="0"/>
                <w:sz w:val="21"/>
                <w:szCs w:val="21"/>
              </w:rPr>
              <w:t>声环境功能区类别</w:t>
            </w:r>
          </w:p>
        </w:tc>
        <w:tc>
          <w:tcPr>
            <w:tcW w:w="151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spacing w:val="0"/>
                <w:sz w:val="21"/>
                <w:szCs w:val="21"/>
              </w:rPr>
            </w:pPr>
            <w:r>
              <w:rPr>
                <w:spacing w:val="0"/>
                <w:sz w:val="21"/>
                <w:szCs w:val="21"/>
              </w:rPr>
              <w:t>昼间</w:t>
            </w:r>
            <w:r>
              <w:rPr>
                <w:rFonts w:ascii="Times New Roman" w:eastAsia="Times New Roman"/>
                <w:spacing w:val="0"/>
                <w:sz w:val="21"/>
                <w:szCs w:val="21"/>
              </w:rPr>
              <w:t>dB</w:t>
            </w:r>
            <w:r>
              <w:rPr>
                <w:rFonts w:hint="eastAsia" w:ascii="Times New Roman"/>
                <w:spacing w:val="0"/>
                <w:sz w:val="21"/>
                <w:szCs w:val="21"/>
                <w:lang w:eastAsia="zh-CN"/>
              </w:rPr>
              <w:t>（</w:t>
            </w:r>
            <w:r>
              <w:rPr>
                <w:rFonts w:ascii="Times New Roman" w:eastAsia="Times New Roman"/>
                <w:spacing w:val="0"/>
                <w:sz w:val="21"/>
                <w:szCs w:val="21"/>
              </w:rPr>
              <w:t>A</w:t>
            </w:r>
            <w:r>
              <w:rPr>
                <w:rFonts w:hint="eastAsia" w:ascii="Times New Roman"/>
                <w:spacing w:val="0"/>
                <w:sz w:val="21"/>
                <w:szCs w:val="21"/>
                <w:lang w:eastAsia="zh-CN"/>
              </w:rPr>
              <w:t>）</w:t>
            </w:r>
          </w:p>
        </w:tc>
        <w:tc>
          <w:tcPr>
            <w:tcW w:w="1260"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spacing w:val="0"/>
                <w:sz w:val="21"/>
                <w:szCs w:val="21"/>
              </w:rPr>
            </w:pPr>
            <w:r>
              <w:rPr>
                <w:spacing w:val="0"/>
                <w:sz w:val="21"/>
                <w:szCs w:val="21"/>
              </w:rPr>
              <w:t>夜间</w:t>
            </w:r>
            <w:r>
              <w:rPr>
                <w:rFonts w:ascii="Times New Roman" w:eastAsia="Times New Roman"/>
                <w:spacing w:val="0"/>
                <w:sz w:val="21"/>
                <w:szCs w:val="21"/>
              </w:rPr>
              <w:t>dB</w:t>
            </w:r>
            <w:r>
              <w:rPr>
                <w:rFonts w:hint="eastAsia" w:ascii="Times New Roman"/>
                <w:spacing w:val="0"/>
                <w:sz w:val="21"/>
                <w:szCs w:val="21"/>
                <w:lang w:eastAsia="zh-CN"/>
              </w:rPr>
              <w:t>（</w:t>
            </w:r>
            <w:r>
              <w:rPr>
                <w:rFonts w:ascii="Times New Roman" w:eastAsia="Times New Roman"/>
                <w:spacing w:val="0"/>
                <w:sz w:val="21"/>
                <w:szCs w:val="21"/>
              </w:rPr>
              <w:t>A</w:t>
            </w:r>
            <w:r>
              <w:rPr>
                <w:rFonts w:hint="eastAsia" w:ascii="Times New Roman"/>
                <w:spacing w:val="0"/>
                <w:sz w:val="21"/>
                <w:szCs w:val="21"/>
                <w:lang w:eastAsia="zh-CN"/>
              </w:rPr>
              <w:t>）</w:t>
            </w:r>
          </w:p>
        </w:tc>
        <w:tc>
          <w:tcPr>
            <w:tcW w:w="4185"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pacing w:val="0"/>
                <w:sz w:val="21"/>
                <w:szCs w:val="21"/>
              </w:rPr>
            </w:pPr>
            <w:r>
              <w:rPr>
                <w:spacing w:val="0"/>
                <w:sz w:val="21"/>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12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pacing w:val="0"/>
                <w:sz w:val="21"/>
                <w:szCs w:val="21"/>
                <w:u w:val="single"/>
              </w:rPr>
            </w:pPr>
            <w:r>
              <w:rPr>
                <w:rFonts w:hint="eastAsia" w:ascii="Times New Roman"/>
                <w:spacing w:val="0"/>
                <w:sz w:val="21"/>
                <w:szCs w:val="21"/>
                <w:u w:val="single"/>
                <w:lang w:val="en-US" w:eastAsia="zh-CN"/>
              </w:rPr>
              <w:t>1</w:t>
            </w:r>
            <w:r>
              <w:rPr>
                <w:spacing w:val="0"/>
                <w:sz w:val="21"/>
                <w:szCs w:val="21"/>
                <w:u w:val="single"/>
              </w:rPr>
              <w:t>类</w:t>
            </w:r>
          </w:p>
        </w:tc>
        <w:tc>
          <w:tcPr>
            <w:tcW w:w="151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eastAsia="Times New Roman"/>
                <w:spacing w:val="0"/>
                <w:sz w:val="21"/>
                <w:szCs w:val="21"/>
                <w:u w:val="single"/>
                <w:lang w:val="en-US"/>
              </w:rPr>
            </w:pPr>
            <w:r>
              <w:rPr>
                <w:rFonts w:hint="eastAsia" w:ascii="Times New Roman"/>
                <w:spacing w:val="0"/>
                <w:sz w:val="21"/>
                <w:szCs w:val="21"/>
                <w:u w:val="single"/>
                <w:lang w:val="en-US" w:eastAsia="zh-CN"/>
              </w:rPr>
              <w:t>55</w:t>
            </w:r>
          </w:p>
        </w:tc>
        <w:tc>
          <w:tcPr>
            <w:tcW w:w="1260"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spacing w:val="0"/>
                <w:sz w:val="21"/>
                <w:szCs w:val="21"/>
                <w:u w:val="single"/>
                <w:lang w:val="en-US"/>
              </w:rPr>
            </w:pPr>
            <w:r>
              <w:rPr>
                <w:rFonts w:hint="eastAsia" w:ascii="Times New Roman"/>
                <w:spacing w:val="0"/>
                <w:sz w:val="21"/>
                <w:szCs w:val="21"/>
                <w:u w:val="single"/>
                <w:lang w:val="en-US" w:eastAsia="zh-CN"/>
              </w:rPr>
              <w:t>45</w:t>
            </w:r>
          </w:p>
        </w:tc>
        <w:tc>
          <w:tcPr>
            <w:tcW w:w="4185"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pacing w:val="0"/>
                <w:sz w:val="21"/>
                <w:szCs w:val="21"/>
                <w:u w:val="single"/>
              </w:rPr>
            </w:pPr>
            <w:r>
              <w:rPr>
                <w:spacing w:val="0"/>
                <w:sz w:val="21"/>
                <w:szCs w:val="21"/>
                <w:u w:val="single"/>
              </w:rPr>
              <w:t>《声环境质量标准》（</w:t>
            </w:r>
            <w:r>
              <w:rPr>
                <w:rFonts w:ascii="Times New Roman" w:eastAsia="Times New Roman"/>
                <w:spacing w:val="0"/>
                <w:sz w:val="21"/>
                <w:szCs w:val="21"/>
                <w:u w:val="single"/>
              </w:rPr>
              <w:t>GB3096-2008</w:t>
            </w:r>
            <w:r>
              <w:rPr>
                <w:spacing w:val="0"/>
                <w:sz w:val="21"/>
                <w:szCs w:val="21"/>
                <w:u w:val="single"/>
              </w:rPr>
              <w:t>）</w:t>
            </w:r>
            <w:r>
              <w:rPr>
                <w:rFonts w:hint="eastAsia" w:ascii="Times New Roman"/>
                <w:spacing w:val="0"/>
                <w:sz w:val="21"/>
                <w:szCs w:val="21"/>
                <w:u w:val="single"/>
                <w:lang w:val="en-US" w:eastAsia="zh-CN"/>
              </w:rPr>
              <w:t>1</w:t>
            </w:r>
            <w:r>
              <w:rPr>
                <w:spacing w:val="0"/>
                <w:sz w:val="21"/>
                <w:szCs w:val="21"/>
                <w:u w:val="single"/>
              </w:rPr>
              <w:t>类</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表2.4-3  地表水环境质量标准</w:t>
      </w:r>
      <w:r>
        <w:rPr>
          <w:rFonts w:hint="eastAsia"/>
          <w:b/>
          <w:bCs/>
          <w:lang w:val="en-US" w:eastAsia="zh-CN"/>
        </w:rPr>
        <w:tab/>
      </w:r>
      <w:r>
        <w:rPr>
          <w:rFonts w:hint="eastAsia"/>
          <w:b/>
          <w:bCs/>
          <w:lang w:val="en-US" w:eastAsia="zh-CN"/>
        </w:rPr>
        <w:t>单位：mg/L（pH 无量纲）</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62"/>
        <w:gridCol w:w="1317"/>
        <w:gridCol w:w="1133"/>
        <w:gridCol w:w="1164"/>
        <w:gridCol w:w="1333"/>
        <w:gridCol w:w="1395"/>
        <w:gridCol w:w="15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640"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污染因子</w:t>
            </w:r>
          </w:p>
        </w:tc>
        <w:tc>
          <w:tcPr>
            <w:tcW w:w="725"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sz w:val="21"/>
              </w:rPr>
              <w:t>pH</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sz w:val="21"/>
              </w:rPr>
              <w:t>COD</w:t>
            </w:r>
          </w:p>
        </w:tc>
        <w:tc>
          <w:tcPr>
            <w:tcW w:w="641"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14"/>
              </w:rPr>
            </w:pPr>
            <w:r>
              <w:rPr>
                <w:rFonts w:ascii="Times New Roman"/>
                <w:position w:val="2"/>
                <w:sz w:val="21"/>
              </w:rPr>
              <w:t>BOD</w:t>
            </w:r>
            <w:r>
              <w:rPr>
                <w:rFonts w:ascii="Times New Roman"/>
                <w:sz w:val="14"/>
              </w:rPr>
              <w:t>5</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总磷</w:t>
            </w:r>
          </w:p>
        </w:tc>
        <w:tc>
          <w:tcPr>
            <w:tcW w:w="863"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eastAsia="宋体"/>
                <w:sz w:val="21"/>
                <w:lang w:val="en-US" w:eastAsia="zh-CN"/>
              </w:rPr>
            </w:pPr>
            <w:r>
              <w:rPr>
                <w:rFonts w:hint="eastAsia"/>
                <w:sz w:val="21"/>
                <w:lang w:val="en-US" w:eastAsia="zh-CN"/>
              </w:rPr>
              <w:t>悬浮物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640"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标准值</w:t>
            </w:r>
          </w:p>
        </w:tc>
        <w:tc>
          <w:tcPr>
            <w:tcW w:w="725"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sz w:val="21"/>
              </w:rPr>
              <w:t>20</w:t>
            </w:r>
          </w:p>
        </w:tc>
        <w:tc>
          <w:tcPr>
            <w:tcW w:w="641"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w w:val="100"/>
                <w:sz w:val="21"/>
              </w:rPr>
              <w:t>4</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sz w:val="21"/>
              </w:rPr>
              <w:t>1.0</w:t>
            </w:r>
          </w:p>
        </w:tc>
        <w:tc>
          <w:tcPr>
            <w:tcW w:w="768"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sz w:val="21"/>
              </w:rPr>
            </w:pPr>
            <w:r>
              <w:rPr>
                <w:rFonts w:ascii="Times New Roman"/>
                <w:sz w:val="21"/>
              </w:rPr>
              <w:t>0.2</w:t>
            </w:r>
          </w:p>
        </w:tc>
        <w:tc>
          <w:tcPr>
            <w:tcW w:w="863"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640" w:type="pct"/>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标准来源</w:t>
            </w:r>
          </w:p>
        </w:tc>
        <w:tc>
          <w:tcPr>
            <w:tcW w:w="4359" w:type="pct"/>
            <w:gridSpan w:val="6"/>
            <w:tcBorders>
              <w:top w:val="single" w:color="000000" w:sz="4" w:space="0"/>
              <w:left w:val="single" w:color="000000" w:sz="4" w:space="0"/>
              <w:bottom w:val="single" w:color="000000" w:sz="4" w:space="0"/>
              <w:right w:val="single" w:color="000000" w:sz="4" w:space="0"/>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rPr>
            </w:pPr>
            <w:r>
              <w:rPr>
                <w:sz w:val="21"/>
              </w:rPr>
              <w:t>《地表水环境质量标准》（</w:t>
            </w:r>
            <w:r>
              <w:rPr>
                <w:rFonts w:ascii="Times New Roman" w:hAnsi="Times New Roman" w:eastAsia="Times New Roman"/>
                <w:sz w:val="21"/>
              </w:rPr>
              <w:t>GB3838-2002</w:t>
            </w:r>
            <w:r>
              <w:rPr>
                <w:sz w:val="21"/>
              </w:rPr>
              <w:t>）Ⅲ类标准</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表2.4-4  地下水质量标准     单位：mg/L（pH 无量纲）</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80"/>
        <w:gridCol w:w="3211"/>
        <w:gridCol w:w="2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评价因子</w:t>
            </w:r>
          </w:p>
        </w:tc>
        <w:tc>
          <w:tcPr>
            <w:tcW w:w="3503" w:type="dxa"/>
            <w:vAlign w:val="center"/>
          </w:tcPr>
          <w:p>
            <w:pPr>
              <w:pStyle w:val="30"/>
              <w:bidi w:val="0"/>
            </w:pPr>
            <w:r>
              <w:t>标准限值</w:t>
            </w:r>
          </w:p>
        </w:tc>
        <w:tc>
          <w:tcPr>
            <w:tcW w:w="2610" w:type="dxa"/>
          </w:tcPr>
          <w:p>
            <w:pPr>
              <w:pStyle w:val="30"/>
              <w:bidi w:val="0"/>
            </w:pPr>
            <w: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8" w:type="dxa"/>
            <w:vAlign w:val="center"/>
          </w:tcPr>
          <w:p>
            <w:pPr>
              <w:pStyle w:val="30"/>
              <w:bidi w:val="0"/>
            </w:pPr>
            <w:r>
              <w:t>pH</w:t>
            </w:r>
          </w:p>
        </w:tc>
        <w:tc>
          <w:tcPr>
            <w:tcW w:w="3503" w:type="dxa"/>
            <w:vAlign w:val="center"/>
          </w:tcPr>
          <w:p>
            <w:pPr>
              <w:pStyle w:val="30"/>
              <w:bidi w:val="0"/>
            </w:pPr>
            <w:r>
              <w:t>6.5～8.5</w:t>
            </w:r>
          </w:p>
        </w:tc>
        <w:tc>
          <w:tcPr>
            <w:tcW w:w="2610" w:type="dxa"/>
            <w:vMerge w:val="restart"/>
            <w:vAlign w:val="center"/>
          </w:tcPr>
          <w:p>
            <w:pPr>
              <w:pStyle w:val="30"/>
              <w:bidi w:val="0"/>
            </w:pPr>
            <w:r>
              <w:t>《地下水质量标准》</w:t>
            </w:r>
          </w:p>
          <w:p>
            <w:pPr>
              <w:pStyle w:val="30"/>
              <w:bidi w:val="0"/>
            </w:pPr>
            <w:r>
              <w:t>（GB/T14848-2017）Ⅲ</w:t>
            </w:r>
          </w:p>
          <w:p>
            <w:pPr>
              <w:pStyle w:val="30"/>
              <w:bidi w:val="0"/>
            </w:pPr>
            <w: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氨氮</w:t>
            </w:r>
          </w:p>
        </w:tc>
        <w:tc>
          <w:tcPr>
            <w:tcW w:w="3503" w:type="dxa"/>
            <w:vAlign w:val="center"/>
          </w:tcPr>
          <w:p>
            <w:pPr>
              <w:pStyle w:val="30"/>
              <w:bidi w:val="0"/>
            </w:pPr>
            <w:r>
              <w:t>0.5mg/L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硝酸盐（以N计）</w:t>
            </w:r>
          </w:p>
        </w:tc>
        <w:tc>
          <w:tcPr>
            <w:tcW w:w="3503" w:type="dxa"/>
            <w:vAlign w:val="center"/>
          </w:tcPr>
          <w:p>
            <w:pPr>
              <w:pStyle w:val="30"/>
              <w:bidi w:val="0"/>
            </w:pPr>
            <w:r>
              <w:t>20mg/L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亚硝酸盐（以N计）</w:t>
            </w:r>
          </w:p>
        </w:tc>
        <w:tc>
          <w:tcPr>
            <w:tcW w:w="3503" w:type="dxa"/>
            <w:vAlign w:val="center"/>
          </w:tcPr>
          <w:p>
            <w:pPr>
              <w:pStyle w:val="30"/>
              <w:bidi w:val="0"/>
            </w:pPr>
            <w:r>
              <w:t>1.0mg/L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总硬度</w:t>
            </w:r>
          </w:p>
        </w:tc>
        <w:tc>
          <w:tcPr>
            <w:tcW w:w="3503" w:type="dxa"/>
            <w:vAlign w:val="center"/>
          </w:tcPr>
          <w:p>
            <w:pPr>
              <w:pStyle w:val="30"/>
              <w:bidi w:val="0"/>
            </w:pPr>
            <w:r>
              <w:t>450mg/L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溶解性总固体</w:t>
            </w:r>
          </w:p>
        </w:tc>
        <w:tc>
          <w:tcPr>
            <w:tcW w:w="3503" w:type="dxa"/>
            <w:vAlign w:val="center"/>
          </w:tcPr>
          <w:p>
            <w:pPr>
              <w:pStyle w:val="30"/>
              <w:bidi w:val="0"/>
            </w:pPr>
            <w:r>
              <w:t>1000mg/L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总大肠菌群</w:t>
            </w:r>
          </w:p>
        </w:tc>
        <w:tc>
          <w:tcPr>
            <w:tcW w:w="3503" w:type="dxa"/>
            <w:vAlign w:val="center"/>
          </w:tcPr>
          <w:p>
            <w:pPr>
              <w:pStyle w:val="30"/>
              <w:bidi w:val="0"/>
            </w:pPr>
            <w:r>
              <w:t>3.0MPN/100ml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default"/>
                <w:lang w:val="en-US" w:eastAsia="zh-CN"/>
              </w:rPr>
            </w:pPr>
            <w:r>
              <w:rPr>
                <w:rFonts w:hint="eastAsia"/>
                <w:lang w:val="en-US" w:eastAsia="zh-CN"/>
              </w:rPr>
              <w:t>菌落总数</w:t>
            </w:r>
          </w:p>
        </w:tc>
        <w:tc>
          <w:tcPr>
            <w:tcW w:w="3503" w:type="dxa"/>
            <w:vAlign w:val="center"/>
          </w:tcPr>
          <w:p>
            <w:pPr>
              <w:pStyle w:val="30"/>
              <w:bidi w:val="0"/>
              <w:rPr>
                <w:rFonts w:hint="default"/>
                <w:lang w:val="en-US" w:eastAsia="zh-CN"/>
              </w:rPr>
            </w:pPr>
            <w:r>
              <w:rPr>
                <w:rFonts w:hint="eastAsia"/>
                <w:lang w:val="en-US" w:eastAsia="zh-CN"/>
              </w:rPr>
              <w:t>100CFU/mL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t>氯化物</w:t>
            </w:r>
          </w:p>
        </w:tc>
        <w:tc>
          <w:tcPr>
            <w:tcW w:w="3503" w:type="dxa"/>
            <w:vAlign w:val="center"/>
          </w:tcPr>
          <w:p>
            <w:pPr>
              <w:pStyle w:val="30"/>
              <w:bidi w:val="0"/>
            </w:pPr>
            <w:r>
              <w:t>250mg/L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pPr>
            <w:r>
              <w:rPr>
                <w:rFonts w:hint="eastAsia"/>
                <w:lang w:eastAsia="zh-CN"/>
              </w:rPr>
              <w:t>氟</w:t>
            </w:r>
            <w:r>
              <w:t>化物</w:t>
            </w:r>
          </w:p>
        </w:tc>
        <w:tc>
          <w:tcPr>
            <w:tcW w:w="3503" w:type="dxa"/>
            <w:vAlign w:val="center"/>
          </w:tcPr>
          <w:p>
            <w:pPr>
              <w:pStyle w:val="30"/>
              <w:bidi w:val="0"/>
            </w:pPr>
            <w:r>
              <w:rPr>
                <w:rFonts w:hint="eastAsia"/>
                <w:lang w:val="en-US" w:eastAsia="zh-CN"/>
              </w:rPr>
              <w:t>1.0</w:t>
            </w:r>
            <w:r>
              <w:t>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氰化物</w:t>
            </w:r>
          </w:p>
        </w:tc>
        <w:tc>
          <w:tcPr>
            <w:tcW w:w="3503" w:type="dxa"/>
            <w:vAlign w:val="center"/>
          </w:tcPr>
          <w:p>
            <w:pPr>
              <w:pStyle w:val="30"/>
              <w:bidi w:val="0"/>
              <w:rPr>
                <w:rFonts w:hint="default"/>
                <w:lang w:val="en-US" w:eastAsia="zh-CN"/>
              </w:rPr>
            </w:pPr>
            <w:r>
              <w:rPr>
                <w:rFonts w:hint="eastAsia"/>
                <w:lang w:val="en-US" w:eastAsia="zh-CN"/>
              </w:rPr>
              <w:t>0.05</w:t>
            </w:r>
            <w:r>
              <w:t>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硫酸盐</w:t>
            </w:r>
          </w:p>
        </w:tc>
        <w:tc>
          <w:tcPr>
            <w:tcW w:w="3503" w:type="dxa"/>
            <w:vAlign w:val="center"/>
          </w:tcPr>
          <w:p>
            <w:pPr>
              <w:pStyle w:val="30"/>
              <w:bidi w:val="0"/>
            </w:pPr>
            <w:r>
              <w:rPr>
                <w:rFonts w:hint="eastAsia"/>
                <w:lang w:val="en-US" w:eastAsia="zh-CN"/>
              </w:rPr>
              <w:t>250m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default"/>
                <w:lang w:val="en-US" w:eastAsia="zh-CN"/>
              </w:rPr>
            </w:pPr>
            <w:r>
              <w:rPr>
                <w:rFonts w:hint="eastAsia"/>
                <w:lang w:val="en-US" w:eastAsia="zh-CN"/>
              </w:rPr>
              <w:t>砷</w:t>
            </w:r>
          </w:p>
        </w:tc>
        <w:tc>
          <w:tcPr>
            <w:tcW w:w="3503" w:type="dxa"/>
            <w:vAlign w:val="center"/>
          </w:tcPr>
          <w:p>
            <w:pPr>
              <w:pStyle w:val="30"/>
              <w:bidi w:val="0"/>
              <w:rPr>
                <w:rFonts w:hint="default"/>
                <w:lang w:val="en-US" w:eastAsia="zh-CN"/>
              </w:rPr>
            </w:pPr>
            <w:r>
              <w:rPr>
                <w:rFonts w:hint="eastAsia"/>
                <w:lang w:val="en-US" w:eastAsia="zh-CN"/>
              </w:rPr>
              <w:t>0.01m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铅</w:t>
            </w:r>
          </w:p>
        </w:tc>
        <w:tc>
          <w:tcPr>
            <w:tcW w:w="3503" w:type="dxa"/>
            <w:vAlign w:val="center"/>
          </w:tcPr>
          <w:p>
            <w:pPr>
              <w:pStyle w:val="30"/>
              <w:bidi w:val="0"/>
            </w:pPr>
            <w:r>
              <w:rPr>
                <w:rFonts w:hint="eastAsia"/>
                <w:lang w:val="en-US" w:eastAsia="zh-CN"/>
              </w:rPr>
              <w:t>0.01</w:t>
            </w:r>
            <w:r>
              <w:t>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汞</w:t>
            </w:r>
          </w:p>
        </w:tc>
        <w:tc>
          <w:tcPr>
            <w:tcW w:w="3503" w:type="dxa"/>
            <w:vAlign w:val="center"/>
          </w:tcPr>
          <w:p>
            <w:pPr>
              <w:pStyle w:val="30"/>
              <w:bidi w:val="0"/>
              <w:rPr>
                <w:rFonts w:hint="default"/>
                <w:lang w:val="en-US" w:eastAsia="zh-CN"/>
              </w:rPr>
            </w:pPr>
            <w:r>
              <w:rPr>
                <w:rFonts w:hint="eastAsia"/>
                <w:lang w:val="en-US" w:eastAsia="zh-CN"/>
              </w:rPr>
              <w:t>0.001m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铬（六价）</w:t>
            </w:r>
          </w:p>
        </w:tc>
        <w:tc>
          <w:tcPr>
            <w:tcW w:w="3503" w:type="dxa"/>
            <w:vAlign w:val="center"/>
          </w:tcPr>
          <w:p>
            <w:pPr>
              <w:pStyle w:val="30"/>
              <w:bidi w:val="0"/>
              <w:rPr>
                <w:rFonts w:hint="default"/>
                <w:lang w:val="en-US" w:eastAsia="zh-CN"/>
              </w:rPr>
            </w:pPr>
            <w:r>
              <w:rPr>
                <w:rFonts w:hint="eastAsia"/>
                <w:lang w:val="en-US" w:eastAsia="zh-CN"/>
              </w:rPr>
              <w:t>0.05m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镉</w:t>
            </w:r>
          </w:p>
        </w:tc>
        <w:tc>
          <w:tcPr>
            <w:tcW w:w="3503" w:type="dxa"/>
            <w:vAlign w:val="center"/>
          </w:tcPr>
          <w:p>
            <w:pPr>
              <w:pStyle w:val="30"/>
              <w:bidi w:val="0"/>
              <w:rPr>
                <w:rFonts w:hint="default"/>
                <w:lang w:val="en-US" w:eastAsia="zh-CN"/>
              </w:rPr>
            </w:pPr>
            <w:r>
              <w:rPr>
                <w:rFonts w:hint="eastAsia"/>
                <w:lang w:val="en-US" w:eastAsia="zh-CN"/>
              </w:rPr>
              <w:t>0.005m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铁</w:t>
            </w:r>
          </w:p>
        </w:tc>
        <w:tc>
          <w:tcPr>
            <w:tcW w:w="3503" w:type="dxa"/>
            <w:vAlign w:val="center"/>
          </w:tcPr>
          <w:p>
            <w:pPr>
              <w:pStyle w:val="30"/>
              <w:bidi w:val="0"/>
              <w:rPr>
                <w:rFonts w:hint="default"/>
                <w:lang w:val="en-US" w:eastAsia="zh-CN"/>
              </w:rPr>
            </w:pPr>
            <w:r>
              <w:rPr>
                <w:rFonts w:hint="eastAsia"/>
                <w:lang w:val="en-US" w:eastAsia="zh-CN"/>
              </w:rPr>
              <w:t>0.3m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eastAsia="zh-CN"/>
              </w:rPr>
            </w:pPr>
            <w:r>
              <w:rPr>
                <w:rFonts w:hint="eastAsia"/>
                <w:lang w:eastAsia="zh-CN"/>
              </w:rPr>
              <w:t>锰</w:t>
            </w:r>
          </w:p>
        </w:tc>
        <w:tc>
          <w:tcPr>
            <w:tcW w:w="3503" w:type="dxa"/>
            <w:vAlign w:val="center"/>
          </w:tcPr>
          <w:p>
            <w:pPr>
              <w:pStyle w:val="30"/>
              <w:bidi w:val="0"/>
              <w:rPr>
                <w:rFonts w:hint="default"/>
                <w:lang w:val="en-US" w:eastAsia="zh-CN"/>
              </w:rPr>
            </w:pPr>
            <w:r>
              <w:rPr>
                <w:rFonts w:hint="eastAsia"/>
                <w:lang w:val="en-US" w:eastAsia="zh-CN"/>
              </w:rPr>
              <w:t>0.010m</w:t>
            </w:r>
            <w:r>
              <w:t>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val="en-US" w:eastAsia="zh-CN"/>
              </w:rPr>
            </w:pPr>
            <w:r>
              <w:rPr>
                <w:rFonts w:hint="eastAsia"/>
                <w:lang w:val="en-US" w:eastAsia="zh-CN"/>
              </w:rPr>
              <w:t>锌</w:t>
            </w:r>
          </w:p>
        </w:tc>
        <w:tc>
          <w:tcPr>
            <w:tcW w:w="3503" w:type="dxa"/>
            <w:vAlign w:val="center"/>
          </w:tcPr>
          <w:p>
            <w:pPr>
              <w:pStyle w:val="30"/>
              <w:bidi w:val="0"/>
              <w:rPr>
                <w:rFonts w:hint="default"/>
                <w:lang w:val="en-US" w:eastAsia="zh-CN"/>
              </w:rPr>
            </w:pPr>
            <w:r>
              <w:rPr>
                <w:rFonts w:hint="eastAsia"/>
                <w:lang w:val="en-US" w:eastAsia="zh-CN"/>
              </w:rPr>
              <w:t>1.00mg/L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eastAsia"/>
                <w:lang w:val="en-US" w:eastAsia="zh-CN"/>
              </w:rPr>
            </w:pPr>
            <w:r>
              <w:rPr>
                <w:rFonts w:hint="eastAsia"/>
                <w:lang w:val="en-US" w:eastAsia="zh-CN"/>
              </w:rPr>
              <w:t>挥发酚类</w:t>
            </w:r>
          </w:p>
        </w:tc>
        <w:tc>
          <w:tcPr>
            <w:tcW w:w="3503" w:type="dxa"/>
            <w:vAlign w:val="center"/>
          </w:tcPr>
          <w:p>
            <w:pPr>
              <w:pStyle w:val="30"/>
              <w:bidi w:val="0"/>
              <w:rPr>
                <w:rFonts w:hint="eastAsia"/>
                <w:lang w:val="en-US" w:eastAsia="zh-CN"/>
              </w:rPr>
            </w:pPr>
            <w:r>
              <w:rPr>
                <w:rFonts w:hint="eastAsia"/>
                <w:lang w:val="en-US" w:eastAsia="zh-CN"/>
              </w:rPr>
              <w:t>0.002mg/L</w:t>
            </w:r>
          </w:p>
        </w:tc>
        <w:tc>
          <w:tcPr>
            <w:tcW w:w="2610" w:type="dxa"/>
            <w:vMerge w:val="continue"/>
          </w:tcPr>
          <w:p>
            <w:pPr>
              <w:pStyle w:val="30"/>
              <w:bidi w:val="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98" w:type="dxa"/>
            <w:vAlign w:val="center"/>
          </w:tcPr>
          <w:p>
            <w:pPr>
              <w:pStyle w:val="30"/>
              <w:bidi w:val="0"/>
              <w:rPr>
                <w:rFonts w:hint="default"/>
                <w:lang w:val="en-US" w:eastAsia="zh-CN"/>
              </w:rPr>
            </w:pPr>
            <w:r>
              <w:rPr>
                <w:rFonts w:hint="eastAsia"/>
                <w:lang w:val="en-US" w:eastAsia="zh-CN"/>
              </w:rPr>
              <w:t>耗氧量（COD</w:t>
            </w:r>
            <w:r>
              <w:rPr>
                <w:rFonts w:hint="eastAsia"/>
                <w:vertAlign w:val="subscript"/>
                <w:lang w:val="en-US" w:eastAsia="zh-CN"/>
              </w:rPr>
              <w:t>Mn</w:t>
            </w:r>
            <w:r>
              <w:rPr>
                <w:rFonts w:hint="eastAsia"/>
                <w:lang w:val="en-US" w:eastAsia="zh-CN"/>
              </w:rPr>
              <w:t>法，以O</w:t>
            </w:r>
            <w:r>
              <w:rPr>
                <w:rFonts w:hint="eastAsia"/>
                <w:vertAlign w:val="subscript"/>
                <w:lang w:val="en-US" w:eastAsia="zh-CN"/>
              </w:rPr>
              <w:t>2</w:t>
            </w:r>
            <w:r>
              <w:rPr>
                <w:rFonts w:hint="eastAsia"/>
                <w:lang w:val="en-US" w:eastAsia="zh-CN"/>
              </w:rPr>
              <w:t>计)</w:t>
            </w:r>
          </w:p>
        </w:tc>
        <w:tc>
          <w:tcPr>
            <w:tcW w:w="3503" w:type="dxa"/>
            <w:vAlign w:val="center"/>
          </w:tcPr>
          <w:p>
            <w:pPr>
              <w:pStyle w:val="30"/>
              <w:bidi w:val="0"/>
              <w:rPr>
                <w:rFonts w:hint="eastAsia"/>
                <w:lang w:val="en-US" w:eastAsia="zh-CN"/>
              </w:rPr>
            </w:pPr>
            <w:r>
              <w:rPr>
                <w:rFonts w:hint="eastAsia"/>
                <w:lang w:val="en-US" w:eastAsia="zh-CN"/>
              </w:rPr>
              <w:t>3.0mg/L</w:t>
            </w:r>
          </w:p>
        </w:tc>
        <w:tc>
          <w:tcPr>
            <w:tcW w:w="2610" w:type="dxa"/>
            <w:vMerge w:val="continue"/>
          </w:tcPr>
          <w:p>
            <w:pPr>
              <w:pStyle w:val="30"/>
              <w:bidi w:val="0"/>
            </w:pP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表2.4-5  建设用地土壤环境质量标准</w:t>
      </w:r>
    </w:p>
    <w:tbl>
      <w:tblPr>
        <w:tblStyle w:val="21"/>
        <w:tblW w:w="500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67"/>
        <w:gridCol w:w="1129"/>
        <w:gridCol w:w="1556"/>
        <w:gridCol w:w="2114"/>
        <w:gridCol w:w="1129"/>
        <w:gridCol w:w="12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vMerge w:val="restar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污染物</w:t>
            </w:r>
          </w:p>
        </w:tc>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单位</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第</w:t>
            </w:r>
            <w:r>
              <w:rPr>
                <w:rFonts w:hint="eastAsia"/>
                <w:lang w:eastAsia="zh-CN"/>
              </w:rPr>
              <w:t>二</w:t>
            </w:r>
            <w:r>
              <w:t>类用地</w:t>
            </w:r>
          </w:p>
        </w:tc>
        <w:tc>
          <w:tcPr>
            <w:tcW w:w="2292" w:type="dxa"/>
            <w:vMerge w:val="restar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污染物</w:t>
            </w:r>
          </w:p>
        </w:tc>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单位</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第</w:t>
            </w:r>
            <w:r>
              <w:rPr>
                <w:rFonts w:hint="eastAsia"/>
                <w:lang w:eastAsia="zh-CN"/>
              </w:rPr>
              <w:t>二</w:t>
            </w:r>
            <w:r>
              <w:t>类用地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vMerge w:val="continue"/>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筛选值</w:t>
            </w:r>
          </w:p>
        </w:tc>
        <w:tc>
          <w:tcPr>
            <w:tcW w:w="2292" w:type="dxa"/>
            <w:vMerge w:val="continue"/>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筛选值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hint="default" w:ascii="Times New Roman" w:hAnsi="Times New Roman" w:eastAsia="宋体" w:cs="Times New Roman"/>
                <w:color w:val="000000"/>
                <w:kern w:val="0"/>
                <w:sz w:val="21"/>
                <w:szCs w:val="21"/>
                <w:lang w:val="en-US" w:eastAsia="zh-CN" w:bidi="ar"/>
              </w:rPr>
              <w:t>60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1,2,3-三氯丙烷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default"/>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镉</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hint="default" w:ascii="Times New Roman" w:hAnsi="Times New Roman" w:eastAsia="宋体" w:cs="Times New Roman"/>
                <w:color w:val="000000"/>
                <w:kern w:val="0"/>
                <w:sz w:val="21"/>
                <w:szCs w:val="21"/>
                <w:lang w:val="en-US" w:eastAsia="zh-CN" w:bidi="ar"/>
              </w:rPr>
              <w:t>65</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铬（六价）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hint="default" w:ascii="Times New Roman" w:hAnsi="Times New Roman" w:eastAsia="宋体" w:cs="Times New Roman"/>
                <w:color w:val="000000"/>
                <w:kern w:val="0"/>
                <w:sz w:val="21"/>
                <w:szCs w:val="21"/>
                <w:lang w:val="en-US" w:eastAsia="zh-CN" w:bidi="ar"/>
              </w:rPr>
              <w:t>5.7</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铜</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hint="default" w:ascii="Times New Roman" w:hAnsi="Times New Roman" w:eastAsia="宋体" w:cs="Times New Roman"/>
                <w:color w:val="000000"/>
                <w:kern w:val="0"/>
                <w:sz w:val="21"/>
                <w:szCs w:val="21"/>
                <w:lang w:val="en-US" w:eastAsia="zh-CN" w:bidi="ar"/>
              </w:rPr>
              <w:t>18000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氯苯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270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铅</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pPr>
            <w:r>
              <w:rPr>
                <w:rFonts w:hint="default" w:ascii="Times New Roman" w:hAnsi="Times New Roman" w:eastAsia="宋体" w:cs="Times New Roman"/>
                <w:color w:val="000000"/>
                <w:kern w:val="0"/>
                <w:sz w:val="21"/>
                <w:szCs w:val="21"/>
                <w:lang w:val="en-US" w:eastAsia="zh-CN" w:bidi="ar"/>
              </w:rPr>
              <w:t>800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1,2-二氯苯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default"/>
                <w:lang w:val="en-US" w:eastAsia="zh-CN"/>
              </w:rPr>
              <w:t>560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汞</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8</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1,4-二氯苯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镍</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ascii="Times New Roman" w:hAnsi="Times New Roman" w:eastAsia="宋体" w:cs="Times New Roman"/>
                <w:color w:val="000000"/>
                <w:kern w:val="0"/>
                <w:sz w:val="21"/>
                <w:szCs w:val="21"/>
                <w:lang w:val="en-US" w:eastAsia="zh-CN" w:bidi="ar"/>
              </w:rPr>
              <w:t>900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乙苯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四氯化碳</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2.8</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default"/>
                <w:lang w:val="en-US" w:eastAsia="zh-CN"/>
              </w:rPr>
              <w:t>1290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氯仿</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0.9</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rPr>
                <w:rFonts w:hint="eastAsia"/>
                <w:lang w:eastAsia="zh-CN"/>
              </w:rPr>
              <w:t>氨</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default"/>
                <w:lang w:val="en-US" w:eastAsia="zh-CN"/>
              </w:rPr>
              <w:t>1200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氯甲烷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37</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t>间（对）二</w:t>
            </w:r>
            <w:r>
              <w:rPr>
                <w:rFonts w:hint="eastAsia"/>
                <w:lang w:eastAsia="zh-CN"/>
              </w:rPr>
              <w:t>氨</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570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1,1-二氯乙烷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9</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t>邻二</w:t>
            </w:r>
            <w:r>
              <w:rPr>
                <w:rFonts w:hint="eastAsia"/>
                <w:lang w:eastAsia="zh-CN"/>
              </w:rPr>
              <w:t>氨</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640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1,2-二氯乙烷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5</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硝基苯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1,1-二氯乙烯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66</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苯胺</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260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顺-1,2-二氯乙烯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596</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2-氯酚</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2256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反-1,2-二氯乙烯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54</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苯并</w:t>
            </w:r>
            <w:r>
              <w:rPr>
                <w:rFonts w:hint="eastAsia"/>
                <w:lang w:eastAsia="zh-CN"/>
              </w:rPr>
              <w:t>〔</w:t>
            </w:r>
            <w:r>
              <w:t>a</w:t>
            </w:r>
            <w:r>
              <w:rPr>
                <w:rFonts w:hint="eastAsia"/>
                <w:lang w:eastAsia="zh-CN"/>
              </w:rPr>
              <w:t>〕</w:t>
            </w:r>
            <w:r>
              <w:t>蒽</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二氯甲烷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616</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苯并</w:t>
            </w:r>
            <w:r>
              <w:rPr>
                <w:rFonts w:hint="eastAsia"/>
                <w:lang w:eastAsia="zh-CN"/>
              </w:rPr>
              <w:t>〔</w:t>
            </w:r>
            <w:r>
              <w:t>a</w:t>
            </w:r>
            <w:r>
              <w:rPr>
                <w:rFonts w:hint="eastAsia"/>
                <w:lang w:eastAsia="zh-CN"/>
              </w:rPr>
              <w:t>〕</w:t>
            </w:r>
            <w:r>
              <w:t>芘</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1,2-二氯丙烷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val="en-US" w:eastAsia="zh-CN"/>
              </w:rPr>
              <w:t>5</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苯并</w:t>
            </w:r>
            <w:r>
              <w:rPr>
                <w:rFonts w:hint="eastAsia"/>
                <w:lang w:eastAsia="zh-CN"/>
              </w:rPr>
              <w:t>〔</w:t>
            </w:r>
            <w:r>
              <w:t>b</w:t>
            </w:r>
            <w:r>
              <w:rPr>
                <w:rFonts w:hint="eastAsia"/>
                <w:lang w:eastAsia="zh-CN"/>
              </w:rPr>
              <w:t>〕</w:t>
            </w:r>
            <w:r>
              <w:t>荧蒽</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rPr>
            </w:pPr>
            <w:r>
              <w:rPr>
                <w:rFonts w:hint="eastAsia"/>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1,1,1,2-四氯乙烷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10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苯并</w:t>
            </w:r>
            <w:r>
              <w:rPr>
                <w:rFonts w:hint="eastAsia"/>
                <w:lang w:eastAsia="zh-CN"/>
              </w:rPr>
              <w:t>〔</w:t>
            </w:r>
            <w:r>
              <w:t>k</w:t>
            </w:r>
            <w:r>
              <w:rPr>
                <w:rFonts w:hint="eastAsia"/>
                <w:lang w:eastAsia="zh-CN"/>
              </w:rPr>
              <w:t>〕</w:t>
            </w:r>
            <w:r>
              <w:t>荧蒽</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1,1,2,2-四氯乙烷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6.8</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䓛</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1293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四氯乙烯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53</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二苯并</w:t>
            </w:r>
            <w:r>
              <w:rPr>
                <w:rFonts w:hint="eastAsia"/>
                <w:lang w:eastAsia="zh-CN"/>
              </w:rPr>
              <w:t>〔</w:t>
            </w:r>
            <w:r>
              <w:t>a,h</w:t>
            </w:r>
            <w:r>
              <w:rPr>
                <w:rFonts w:hint="eastAsia"/>
                <w:lang w:eastAsia="zh-CN"/>
              </w:rPr>
              <w:t>〕</w:t>
            </w:r>
            <w:r>
              <w:t>蒽</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1,1,1-三氯乙烷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840</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茚并</w:t>
            </w:r>
            <w:r>
              <w:rPr>
                <w:rFonts w:hint="eastAsia"/>
                <w:lang w:eastAsia="zh-CN"/>
              </w:rPr>
              <w:t>〔</w:t>
            </w:r>
            <w:r>
              <w:t>1,2,3-cd</w:t>
            </w:r>
            <w:r>
              <w:rPr>
                <w:rFonts w:hint="eastAsia"/>
                <w:lang w:eastAsia="zh-CN"/>
              </w:rPr>
              <w:t>〕</w:t>
            </w:r>
            <w:r>
              <w:t>芘</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1,1,2-三氯乙烷</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2.8</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lang w:val="en-US" w:eastAsia="zh-CN"/>
              </w:rPr>
              <w:t>萘</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2026"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t>三氯</w:t>
            </w:r>
            <w:r>
              <w:rPr>
                <w:rFonts w:hint="eastAsia"/>
                <w:lang w:eastAsia="zh-CN"/>
              </w:rPr>
              <w:t>乙烯</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mg/kg</w:t>
            </w:r>
          </w:p>
        </w:tc>
        <w:tc>
          <w:tcPr>
            <w:tcW w:w="168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2.8</w:t>
            </w:r>
          </w:p>
        </w:tc>
        <w:tc>
          <w:tcPr>
            <w:tcW w:w="229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w:t>
            </w:r>
          </w:p>
        </w:tc>
        <w:tc>
          <w:tcPr>
            <w:tcW w:w="140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w:t>
      </w:r>
      <w:r>
        <w:rPr>
          <w:rFonts w:hint="default"/>
          <w:b/>
          <w:bCs/>
          <w:lang w:val="en-US" w:eastAsia="zh-CN"/>
        </w:rPr>
        <w:t>2.4-6</w:t>
      </w:r>
      <w:r>
        <w:rPr>
          <w:rFonts w:hint="eastAsia"/>
          <w:b/>
          <w:bCs/>
          <w:lang w:val="en-US" w:eastAsia="zh-CN"/>
        </w:rPr>
        <w:t xml:space="preserve"> </w:t>
      </w:r>
      <w:r>
        <w:rPr>
          <w:rFonts w:hint="default"/>
          <w:b/>
          <w:bCs/>
          <w:lang w:val="en-US" w:eastAsia="zh-CN"/>
        </w:rPr>
        <w:t xml:space="preserve"> </w:t>
      </w:r>
      <w:r>
        <w:rPr>
          <w:rFonts w:hint="eastAsia"/>
          <w:b/>
          <w:bCs/>
          <w:lang w:val="en-US" w:eastAsia="zh-CN"/>
        </w:rPr>
        <w:t>农用地土壤环境质量标准</w:t>
      </w:r>
    </w:p>
    <w:tbl>
      <w:tblPr>
        <w:tblStyle w:val="22"/>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547"/>
        <w:gridCol w:w="1547"/>
        <w:gridCol w:w="1125"/>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Merge w:val="restart"/>
            <w:vAlign w:val="center"/>
          </w:tcPr>
          <w:p>
            <w:pPr>
              <w:pStyle w:val="30"/>
              <w:bidi w:val="0"/>
              <w:jc w:val="center"/>
              <w:rPr>
                <w:rFonts w:hint="eastAsia"/>
                <w:lang w:val="en-US" w:eastAsia="zh-CN"/>
              </w:rPr>
            </w:pPr>
            <w:r>
              <w:rPr>
                <w:rFonts w:hint="eastAsia"/>
                <w:lang w:val="en-US" w:eastAsia="zh-CN"/>
              </w:rPr>
              <w:t>污染物</w:t>
            </w:r>
          </w:p>
        </w:tc>
        <w:tc>
          <w:tcPr>
            <w:tcW w:w="848" w:type="pct"/>
            <w:vMerge w:val="restart"/>
            <w:vAlign w:val="center"/>
          </w:tcPr>
          <w:p>
            <w:pPr>
              <w:pStyle w:val="30"/>
              <w:bidi w:val="0"/>
              <w:jc w:val="center"/>
              <w:rPr>
                <w:rFonts w:hint="eastAsia"/>
                <w:lang w:val="en-US" w:eastAsia="zh-CN"/>
              </w:rPr>
            </w:pPr>
            <w:r>
              <w:rPr>
                <w:rFonts w:hint="eastAsia"/>
                <w:lang w:val="en-US" w:eastAsia="zh-CN"/>
              </w:rPr>
              <w:t>单位</w:t>
            </w:r>
          </w:p>
        </w:tc>
        <w:tc>
          <w:tcPr>
            <w:tcW w:w="848" w:type="pct"/>
            <w:vAlign w:val="center"/>
          </w:tcPr>
          <w:p>
            <w:pPr>
              <w:pStyle w:val="30"/>
              <w:bidi w:val="0"/>
              <w:jc w:val="center"/>
              <w:rPr>
                <w:rFonts w:hint="eastAsia"/>
                <w:lang w:val="en-US" w:eastAsia="zh-CN"/>
              </w:rPr>
            </w:pPr>
            <w:r>
              <w:rPr>
                <w:rFonts w:hint="eastAsia"/>
                <w:lang w:val="en-US" w:eastAsia="zh-CN"/>
              </w:rPr>
              <w:t>其他，</w:t>
            </w:r>
            <w:r>
              <w:rPr>
                <w:rFonts w:hint="default"/>
                <w:lang w:val="en-US" w:eastAsia="zh-CN"/>
              </w:rPr>
              <w:t>pH</w:t>
            </w:r>
            <w:r>
              <w:rPr>
                <w:rFonts w:hint="eastAsia"/>
                <w:lang w:val="en-US" w:eastAsia="zh-CN"/>
              </w:rPr>
              <w:t>＞</w:t>
            </w:r>
            <w:r>
              <w:rPr>
                <w:rFonts w:hint="default"/>
                <w:lang w:val="en-US" w:eastAsia="zh-CN"/>
              </w:rPr>
              <w:t>7.5</w:t>
            </w:r>
          </w:p>
        </w:tc>
        <w:tc>
          <w:tcPr>
            <w:tcW w:w="848" w:type="pct"/>
            <w:vMerge w:val="restart"/>
            <w:vAlign w:val="center"/>
          </w:tcPr>
          <w:p>
            <w:pPr>
              <w:pStyle w:val="30"/>
              <w:bidi w:val="0"/>
              <w:jc w:val="center"/>
              <w:rPr>
                <w:rFonts w:hint="eastAsia"/>
                <w:lang w:val="en-US" w:eastAsia="zh-CN"/>
              </w:rPr>
            </w:pPr>
            <w:r>
              <w:rPr>
                <w:rFonts w:hint="eastAsia"/>
                <w:lang w:val="en-US" w:eastAsia="zh-CN"/>
              </w:rPr>
              <w:t>污染物</w:t>
            </w:r>
          </w:p>
        </w:tc>
        <w:tc>
          <w:tcPr>
            <w:tcW w:w="616" w:type="pct"/>
            <w:vMerge w:val="restart"/>
            <w:vAlign w:val="center"/>
          </w:tcPr>
          <w:p>
            <w:pPr>
              <w:pStyle w:val="30"/>
              <w:bidi w:val="0"/>
              <w:jc w:val="center"/>
              <w:rPr>
                <w:rFonts w:hint="eastAsia"/>
                <w:lang w:val="en-US" w:eastAsia="zh-CN"/>
              </w:rPr>
            </w:pPr>
            <w:r>
              <w:rPr>
                <w:rFonts w:hint="eastAsia"/>
                <w:lang w:val="en-US" w:eastAsia="zh-CN"/>
              </w:rPr>
              <w:t>单位</w:t>
            </w:r>
          </w:p>
        </w:tc>
        <w:tc>
          <w:tcPr>
            <w:tcW w:w="989" w:type="pct"/>
            <w:vAlign w:val="center"/>
          </w:tcPr>
          <w:p>
            <w:pPr>
              <w:pStyle w:val="30"/>
              <w:bidi w:val="0"/>
              <w:jc w:val="center"/>
              <w:rPr>
                <w:rFonts w:hint="eastAsia"/>
                <w:lang w:val="en-US" w:eastAsia="zh-CN"/>
              </w:rPr>
            </w:pPr>
            <w:r>
              <w:rPr>
                <w:rFonts w:hint="eastAsia"/>
                <w:lang w:val="en-US" w:eastAsia="zh-CN"/>
              </w:rPr>
              <w:t>其他，</w:t>
            </w:r>
            <w:r>
              <w:rPr>
                <w:rFonts w:hint="default"/>
                <w:lang w:val="en-US" w:eastAsia="zh-CN"/>
              </w:rPr>
              <w:t>pH</w:t>
            </w:r>
            <w:r>
              <w:rPr>
                <w:rFonts w:hint="eastAsia"/>
                <w:lang w:val="en-US" w:eastAsia="zh-CN"/>
              </w:rPr>
              <w:t>＞</w:t>
            </w:r>
            <w:r>
              <w:rPr>
                <w:rFonts w:hint="default"/>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Merge w:val="continue"/>
            <w:vAlign w:val="center"/>
          </w:tcPr>
          <w:p>
            <w:pPr>
              <w:pStyle w:val="30"/>
              <w:bidi w:val="0"/>
              <w:jc w:val="center"/>
              <w:rPr>
                <w:rFonts w:hint="eastAsia"/>
                <w:lang w:val="en-US" w:eastAsia="zh-CN"/>
              </w:rPr>
            </w:pPr>
          </w:p>
        </w:tc>
        <w:tc>
          <w:tcPr>
            <w:tcW w:w="848" w:type="pct"/>
            <w:vMerge w:val="continue"/>
            <w:vAlign w:val="center"/>
          </w:tcPr>
          <w:p>
            <w:pPr>
              <w:pStyle w:val="30"/>
              <w:bidi w:val="0"/>
              <w:jc w:val="center"/>
              <w:rPr>
                <w:rFonts w:hint="eastAsia"/>
                <w:lang w:val="en-US" w:eastAsia="zh-CN"/>
              </w:rPr>
            </w:pPr>
          </w:p>
        </w:tc>
        <w:tc>
          <w:tcPr>
            <w:tcW w:w="848" w:type="pct"/>
            <w:vAlign w:val="center"/>
          </w:tcPr>
          <w:p>
            <w:pPr>
              <w:pStyle w:val="30"/>
              <w:bidi w:val="0"/>
              <w:jc w:val="center"/>
              <w:rPr>
                <w:rFonts w:hint="eastAsia"/>
                <w:lang w:val="en-US" w:eastAsia="zh-CN"/>
              </w:rPr>
            </w:pPr>
            <w:r>
              <w:rPr>
                <w:rFonts w:hint="eastAsia"/>
                <w:lang w:val="en-US" w:eastAsia="zh-CN"/>
              </w:rPr>
              <w:t>筛选值</w:t>
            </w:r>
          </w:p>
        </w:tc>
        <w:tc>
          <w:tcPr>
            <w:tcW w:w="848" w:type="pct"/>
            <w:vMerge w:val="continue"/>
            <w:vAlign w:val="center"/>
          </w:tcPr>
          <w:p>
            <w:pPr>
              <w:pStyle w:val="30"/>
              <w:bidi w:val="0"/>
              <w:jc w:val="center"/>
              <w:rPr>
                <w:rFonts w:hint="eastAsia"/>
                <w:lang w:val="en-US" w:eastAsia="zh-CN"/>
              </w:rPr>
            </w:pPr>
          </w:p>
        </w:tc>
        <w:tc>
          <w:tcPr>
            <w:tcW w:w="616" w:type="pct"/>
            <w:vMerge w:val="continue"/>
            <w:vAlign w:val="center"/>
          </w:tcPr>
          <w:p>
            <w:pPr>
              <w:pStyle w:val="30"/>
              <w:bidi w:val="0"/>
              <w:jc w:val="center"/>
              <w:rPr>
                <w:rFonts w:hint="eastAsia"/>
                <w:lang w:val="en-US" w:eastAsia="zh-CN"/>
              </w:rPr>
            </w:pPr>
          </w:p>
        </w:tc>
        <w:tc>
          <w:tcPr>
            <w:tcW w:w="989" w:type="pct"/>
            <w:vAlign w:val="center"/>
          </w:tcPr>
          <w:p>
            <w:pPr>
              <w:pStyle w:val="30"/>
              <w:bidi w:val="0"/>
              <w:jc w:val="center"/>
              <w:rPr>
                <w:rFonts w:hint="eastAsia"/>
                <w:lang w:val="en-US" w:eastAsia="zh-CN"/>
              </w:rPr>
            </w:pPr>
            <w:r>
              <w:rPr>
                <w:rFonts w:hint="eastAsia"/>
                <w:lang w:val="en-US" w:eastAsia="zh-CN"/>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Align w:val="center"/>
          </w:tcPr>
          <w:p>
            <w:pPr>
              <w:pStyle w:val="30"/>
              <w:bidi w:val="0"/>
              <w:jc w:val="center"/>
              <w:rPr>
                <w:rFonts w:hint="eastAsia"/>
                <w:lang w:val="en-US" w:eastAsia="zh-CN"/>
              </w:rPr>
            </w:pPr>
            <w:r>
              <w:rPr>
                <w:rFonts w:hint="eastAsia"/>
                <w:lang w:val="en-US" w:eastAsia="zh-CN"/>
              </w:rPr>
              <w:t>镉</w:t>
            </w:r>
          </w:p>
        </w:tc>
        <w:tc>
          <w:tcPr>
            <w:tcW w:w="848" w:type="pct"/>
            <w:vAlign w:val="center"/>
          </w:tcPr>
          <w:p>
            <w:pPr>
              <w:pStyle w:val="30"/>
              <w:bidi w:val="0"/>
              <w:jc w:val="center"/>
              <w:rPr>
                <w:rFonts w:hint="eastAsia"/>
                <w:lang w:val="en-US" w:eastAsia="zh-CN"/>
              </w:rPr>
            </w:pPr>
            <w:r>
              <w:rPr>
                <w:rFonts w:hint="default"/>
                <w:lang w:val="en-US" w:eastAsia="zh-CN"/>
              </w:rPr>
              <w:t>mg/kg</w:t>
            </w:r>
          </w:p>
        </w:tc>
        <w:tc>
          <w:tcPr>
            <w:tcW w:w="848" w:type="pct"/>
            <w:vAlign w:val="center"/>
          </w:tcPr>
          <w:p>
            <w:pPr>
              <w:pStyle w:val="30"/>
              <w:bidi w:val="0"/>
              <w:jc w:val="center"/>
              <w:rPr>
                <w:rFonts w:hint="default"/>
                <w:lang w:val="en-US" w:eastAsia="zh-CN"/>
              </w:rPr>
            </w:pPr>
            <w:r>
              <w:rPr>
                <w:rFonts w:hint="eastAsia"/>
                <w:lang w:val="en-US" w:eastAsia="zh-CN"/>
              </w:rPr>
              <w:t>0.6</w:t>
            </w:r>
          </w:p>
        </w:tc>
        <w:tc>
          <w:tcPr>
            <w:tcW w:w="848" w:type="pct"/>
            <w:vAlign w:val="center"/>
          </w:tcPr>
          <w:p>
            <w:pPr>
              <w:pStyle w:val="30"/>
              <w:bidi w:val="0"/>
              <w:jc w:val="center"/>
              <w:rPr>
                <w:rFonts w:hint="eastAsia"/>
                <w:lang w:val="en-US" w:eastAsia="zh-CN"/>
              </w:rPr>
            </w:pPr>
            <w:r>
              <w:rPr>
                <w:rFonts w:hint="eastAsia"/>
                <w:lang w:val="en-US" w:eastAsia="zh-CN"/>
              </w:rPr>
              <w:t>铬</w:t>
            </w:r>
          </w:p>
        </w:tc>
        <w:tc>
          <w:tcPr>
            <w:tcW w:w="616" w:type="pct"/>
            <w:vAlign w:val="center"/>
          </w:tcPr>
          <w:p>
            <w:pPr>
              <w:pStyle w:val="30"/>
              <w:bidi w:val="0"/>
              <w:jc w:val="center"/>
              <w:rPr>
                <w:rFonts w:hint="eastAsia"/>
                <w:lang w:val="en-US" w:eastAsia="zh-CN"/>
              </w:rPr>
            </w:pPr>
            <w:r>
              <w:rPr>
                <w:rFonts w:hint="default"/>
                <w:lang w:val="en-US" w:eastAsia="zh-CN"/>
              </w:rPr>
              <w:t>mg/kg</w:t>
            </w:r>
          </w:p>
        </w:tc>
        <w:tc>
          <w:tcPr>
            <w:tcW w:w="989" w:type="pct"/>
            <w:vAlign w:val="center"/>
          </w:tcPr>
          <w:p>
            <w:pPr>
              <w:pStyle w:val="30"/>
              <w:bidi w:val="0"/>
              <w:jc w:val="center"/>
              <w:rPr>
                <w:rFonts w:hint="default"/>
                <w:lang w:val="en-US" w:eastAsia="zh-CN"/>
              </w:rPr>
            </w:pPr>
            <w:r>
              <w:rPr>
                <w:rFonts w:hint="eastAsia"/>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Align w:val="center"/>
          </w:tcPr>
          <w:p>
            <w:pPr>
              <w:pStyle w:val="30"/>
              <w:bidi w:val="0"/>
              <w:jc w:val="center"/>
              <w:rPr>
                <w:rFonts w:hint="eastAsia"/>
                <w:lang w:val="en-US" w:eastAsia="zh-CN"/>
              </w:rPr>
            </w:pPr>
            <w:r>
              <w:rPr>
                <w:rFonts w:hint="eastAsia"/>
                <w:lang w:val="en-US" w:eastAsia="zh-CN"/>
              </w:rPr>
              <w:t>汞</w:t>
            </w:r>
          </w:p>
        </w:tc>
        <w:tc>
          <w:tcPr>
            <w:tcW w:w="848" w:type="pct"/>
            <w:vAlign w:val="center"/>
          </w:tcPr>
          <w:p>
            <w:pPr>
              <w:pStyle w:val="30"/>
              <w:bidi w:val="0"/>
              <w:jc w:val="center"/>
              <w:rPr>
                <w:rFonts w:hint="eastAsia"/>
                <w:lang w:val="en-US" w:eastAsia="zh-CN"/>
              </w:rPr>
            </w:pPr>
            <w:r>
              <w:rPr>
                <w:rFonts w:hint="default"/>
                <w:lang w:val="en-US" w:eastAsia="zh-CN"/>
              </w:rPr>
              <w:t>mg/kg</w:t>
            </w:r>
          </w:p>
        </w:tc>
        <w:tc>
          <w:tcPr>
            <w:tcW w:w="848" w:type="pct"/>
            <w:vAlign w:val="center"/>
          </w:tcPr>
          <w:p>
            <w:pPr>
              <w:pStyle w:val="30"/>
              <w:bidi w:val="0"/>
              <w:jc w:val="center"/>
              <w:rPr>
                <w:rFonts w:hint="default"/>
                <w:lang w:val="en-US" w:eastAsia="zh-CN"/>
              </w:rPr>
            </w:pPr>
            <w:r>
              <w:rPr>
                <w:rFonts w:hint="eastAsia"/>
                <w:lang w:val="en-US" w:eastAsia="zh-CN"/>
              </w:rPr>
              <w:t>3.4</w:t>
            </w:r>
          </w:p>
        </w:tc>
        <w:tc>
          <w:tcPr>
            <w:tcW w:w="848" w:type="pct"/>
            <w:vAlign w:val="center"/>
          </w:tcPr>
          <w:p>
            <w:pPr>
              <w:pStyle w:val="30"/>
              <w:bidi w:val="0"/>
              <w:jc w:val="center"/>
              <w:rPr>
                <w:rFonts w:hint="eastAsia"/>
                <w:lang w:val="en-US" w:eastAsia="zh-CN"/>
              </w:rPr>
            </w:pPr>
            <w:r>
              <w:rPr>
                <w:rFonts w:hint="eastAsia"/>
                <w:lang w:val="en-US" w:eastAsia="zh-CN"/>
              </w:rPr>
              <w:t>铜</w:t>
            </w:r>
          </w:p>
        </w:tc>
        <w:tc>
          <w:tcPr>
            <w:tcW w:w="616" w:type="pct"/>
            <w:vAlign w:val="center"/>
          </w:tcPr>
          <w:p>
            <w:pPr>
              <w:pStyle w:val="30"/>
              <w:bidi w:val="0"/>
              <w:jc w:val="center"/>
              <w:rPr>
                <w:rFonts w:hint="eastAsia"/>
                <w:lang w:val="en-US" w:eastAsia="zh-CN"/>
              </w:rPr>
            </w:pPr>
            <w:r>
              <w:rPr>
                <w:rFonts w:hint="default"/>
                <w:lang w:val="en-US" w:eastAsia="zh-CN"/>
              </w:rPr>
              <w:t>mg/kg</w:t>
            </w:r>
          </w:p>
        </w:tc>
        <w:tc>
          <w:tcPr>
            <w:tcW w:w="989" w:type="pct"/>
            <w:vAlign w:val="center"/>
          </w:tcPr>
          <w:p>
            <w:pPr>
              <w:pStyle w:val="30"/>
              <w:bidi w:val="0"/>
              <w:jc w:val="center"/>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Align w:val="center"/>
          </w:tcPr>
          <w:p>
            <w:pPr>
              <w:pStyle w:val="30"/>
              <w:bidi w:val="0"/>
              <w:jc w:val="center"/>
              <w:rPr>
                <w:rFonts w:hint="eastAsia"/>
                <w:lang w:val="en-US" w:eastAsia="zh-CN"/>
              </w:rPr>
            </w:pPr>
            <w:r>
              <w:rPr>
                <w:rFonts w:hint="eastAsia"/>
                <w:lang w:val="en-US" w:eastAsia="zh-CN"/>
              </w:rPr>
              <w:t>砷</w:t>
            </w:r>
          </w:p>
        </w:tc>
        <w:tc>
          <w:tcPr>
            <w:tcW w:w="848" w:type="pct"/>
            <w:vAlign w:val="center"/>
          </w:tcPr>
          <w:p>
            <w:pPr>
              <w:pStyle w:val="30"/>
              <w:bidi w:val="0"/>
              <w:jc w:val="center"/>
              <w:rPr>
                <w:rFonts w:hint="eastAsia"/>
                <w:lang w:val="en-US" w:eastAsia="zh-CN"/>
              </w:rPr>
            </w:pPr>
            <w:r>
              <w:rPr>
                <w:rFonts w:hint="default"/>
                <w:lang w:val="en-US" w:eastAsia="zh-CN"/>
              </w:rPr>
              <w:t>mg/kg</w:t>
            </w:r>
          </w:p>
        </w:tc>
        <w:tc>
          <w:tcPr>
            <w:tcW w:w="848" w:type="pct"/>
            <w:vAlign w:val="center"/>
          </w:tcPr>
          <w:p>
            <w:pPr>
              <w:pStyle w:val="30"/>
              <w:bidi w:val="0"/>
              <w:jc w:val="center"/>
              <w:rPr>
                <w:rFonts w:hint="default"/>
                <w:lang w:val="en-US" w:eastAsia="zh-CN"/>
              </w:rPr>
            </w:pPr>
            <w:r>
              <w:rPr>
                <w:rFonts w:hint="eastAsia"/>
                <w:lang w:val="en-US" w:eastAsia="zh-CN"/>
              </w:rPr>
              <w:t>25</w:t>
            </w:r>
          </w:p>
        </w:tc>
        <w:tc>
          <w:tcPr>
            <w:tcW w:w="848" w:type="pct"/>
            <w:vAlign w:val="center"/>
          </w:tcPr>
          <w:p>
            <w:pPr>
              <w:pStyle w:val="30"/>
              <w:bidi w:val="0"/>
              <w:jc w:val="center"/>
              <w:rPr>
                <w:rFonts w:hint="eastAsia"/>
                <w:lang w:val="en-US" w:eastAsia="zh-CN"/>
              </w:rPr>
            </w:pPr>
            <w:r>
              <w:rPr>
                <w:rFonts w:hint="eastAsia"/>
                <w:lang w:val="en-US" w:eastAsia="zh-CN"/>
              </w:rPr>
              <w:t>镍</w:t>
            </w:r>
          </w:p>
        </w:tc>
        <w:tc>
          <w:tcPr>
            <w:tcW w:w="616" w:type="pct"/>
            <w:vAlign w:val="center"/>
          </w:tcPr>
          <w:p>
            <w:pPr>
              <w:pStyle w:val="30"/>
              <w:bidi w:val="0"/>
              <w:jc w:val="center"/>
              <w:rPr>
                <w:rFonts w:hint="eastAsia"/>
                <w:lang w:val="en-US" w:eastAsia="zh-CN"/>
              </w:rPr>
            </w:pPr>
            <w:r>
              <w:rPr>
                <w:rFonts w:hint="default"/>
                <w:lang w:val="en-US" w:eastAsia="zh-CN"/>
              </w:rPr>
              <w:t>mg/kg</w:t>
            </w:r>
          </w:p>
        </w:tc>
        <w:tc>
          <w:tcPr>
            <w:tcW w:w="989" w:type="pct"/>
            <w:vAlign w:val="center"/>
          </w:tcPr>
          <w:p>
            <w:pPr>
              <w:pStyle w:val="30"/>
              <w:bidi w:val="0"/>
              <w:jc w:val="center"/>
              <w:rPr>
                <w:rFonts w:hint="default"/>
                <w:lang w:val="en-US" w:eastAsia="zh-CN"/>
              </w:rPr>
            </w:pPr>
            <w:r>
              <w:rPr>
                <w:rFonts w:hint="eastAsia"/>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pct"/>
            <w:vAlign w:val="center"/>
          </w:tcPr>
          <w:p>
            <w:pPr>
              <w:pStyle w:val="30"/>
              <w:bidi w:val="0"/>
              <w:jc w:val="center"/>
              <w:rPr>
                <w:rFonts w:hint="eastAsia"/>
                <w:lang w:val="en-US" w:eastAsia="zh-CN"/>
              </w:rPr>
            </w:pPr>
            <w:r>
              <w:rPr>
                <w:rFonts w:hint="eastAsia"/>
                <w:lang w:val="en-US" w:eastAsia="zh-CN"/>
              </w:rPr>
              <w:t>铅</w:t>
            </w:r>
          </w:p>
        </w:tc>
        <w:tc>
          <w:tcPr>
            <w:tcW w:w="848" w:type="pct"/>
            <w:vAlign w:val="center"/>
          </w:tcPr>
          <w:p>
            <w:pPr>
              <w:pStyle w:val="30"/>
              <w:bidi w:val="0"/>
              <w:jc w:val="center"/>
              <w:rPr>
                <w:rFonts w:hint="eastAsia"/>
                <w:lang w:val="en-US" w:eastAsia="zh-CN"/>
              </w:rPr>
            </w:pPr>
            <w:r>
              <w:rPr>
                <w:rFonts w:hint="default"/>
                <w:lang w:val="en-US" w:eastAsia="zh-CN"/>
              </w:rPr>
              <w:t>mg/kg</w:t>
            </w:r>
          </w:p>
        </w:tc>
        <w:tc>
          <w:tcPr>
            <w:tcW w:w="848" w:type="pct"/>
            <w:vAlign w:val="center"/>
          </w:tcPr>
          <w:p>
            <w:pPr>
              <w:pStyle w:val="30"/>
              <w:bidi w:val="0"/>
              <w:jc w:val="center"/>
              <w:rPr>
                <w:rFonts w:hint="default"/>
                <w:lang w:val="en-US" w:eastAsia="zh-CN"/>
              </w:rPr>
            </w:pPr>
            <w:r>
              <w:rPr>
                <w:rFonts w:hint="eastAsia"/>
                <w:lang w:val="en-US" w:eastAsia="zh-CN"/>
              </w:rPr>
              <w:t>170</w:t>
            </w:r>
          </w:p>
        </w:tc>
        <w:tc>
          <w:tcPr>
            <w:tcW w:w="848" w:type="pct"/>
            <w:vAlign w:val="center"/>
          </w:tcPr>
          <w:p>
            <w:pPr>
              <w:pStyle w:val="30"/>
              <w:bidi w:val="0"/>
              <w:jc w:val="center"/>
              <w:rPr>
                <w:rFonts w:hint="eastAsia"/>
                <w:lang w:val="en-US" w:eastAsia="zh-CN"/>
              </w:rPr>
            </w:pPr>
            <w:r>
              <w:rPr>
                <w:rFonts w:hint="eastAsia"/>
                <w:lang w:val="en-US" w:eastAsia="zh-CN"/>
              </w:rPr>
              <w:t>锌</w:t>
            </w:r>
          </w:p>
        </w:tc>
        <w:tc>
          <w:tcPr>
            <w:tcW w:w="616" w:type="pct"/>
            <w:vAlign w:val="center"/>
          </w:tcPr>
          <w:p>
            <w:pPr>
              <w:pStyle w:val="30"/>
              <w:bidi w:val="0"/>
              <w:jc w:val="center"/>
              <w:rPr>
                <w:rFonts w:hint="eastAsia"/>
                <w:lang w:val="en-US" w:eastAsia="zh-CN"/>
              </w:rPr>
            </w:pPr>
            <w:r>
              <w:rPr>
                <w:rFonts w:hint="default"/>
                <w:lang w:val="en-US" w:eastAsia="zh-CN"/>
              </w:rPr>
              <w:t>mg/kg</w:t>
            </w:r>
          </w:p>
        </w:tc>
        <w:tc>
          <w:tcPr>
            <w:tcW w:w="989" w:type="pct"/>
            <w:vAlign w:val="center"/>
          </w:tcPr>
          <w:p>
            <w:pPr>
              <w:pStyle w:val="30"/>
              <w:bidi w:val="0"/>
              <w:jc w:val="center"/>
              <w:rPr>
                <w:rFonts w:hint="default"/>
                <w:lang w:val="en-US" w:eastAsia="zh-CN"/>
              </w:rPr>
            </w:pPr>
            <w:r>
              <w:rPr>
                <w:rFonts w:hint="eastAsia"/>
                <w:lang w:val="en-US" w:eastAsia="zh-CN"/>
              </w:rPr>
              <w:t>300</w:t>
            </w:r>
          </w:p>
        </w:tc>
      </w:tr>
    </w:tbl>
    <w:p>
      <w:pPr>
        <w:pStyle w:val="4"/>
        <w:bidi w:val="0"/>
      </w:pPr>
      <w:r>
        <w:rPr>
          <w:rFonts w:hint="default"/>
          <w:lang w:val="en-US" w:eastAsia="zh-CN"/>
        </w:rPr>
        <w:t xml:space="preserve">2.4.3 </w:t>
      </w:r>
      <w:r>
        <w:rPr>
          <w:lang w:val="en-US" w:eastAsia="zh-CN"/>
        </w:rPr>
        <w:t>污染物排放标准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）大气污染物排放标准</w:t>
      </w:r>
    </w:p>
    <w:p>
      <w:pPr>
        <w:bidi w:val="0"/>
        <w:rPr>
          <w:rFonts w:hint="eastAsia"/>
          <w:u w:val="single"/>
          <w:lang w:val="en-US" w:eastAsia="zh-CN"/>
        </w:rPr>
      </w:pPr>
      <w:r>
        <w:rPr>
          <w:rFonts w:hint="eastAsia"/>
          <w:u w:val="single"/>
          <w:lang w:val="en-US" w:eastAsia="zh-CN"/>
        </w:rPr>
        <w:t>非甲烷总烃排放执行《关于全省开展工业企业挥发性有机物专项治理工作中排放建议值的通知》（豫环攻坚办〔</w:t>
      </w:r>
      <w:r>
        <w:rPr>
          <w:rFonts w:hint="default"/>
          <w:u w:val="single"/>
          <w:lang w:val="en-US" w:eastAsia="zh-CN"/>
        </w:rPr>
        <w:t>2017</w:t>
      </w:r>
      <w:r>
        <w:rPr>
          <w:rFonts w:hint="eastAsia"/>
          <w:u w:val="single"/>
          <w:lang w:val="en-US" w:eastAsia="zh-CN"/>
        </w:rPr>
        <w:t>〕</w:t>
      </w:r>
      <w:r>
        <w:rPr>
          <w:rFonts w:hint="default"/>
          <w:u w:val="single"/>
          <w:lang w:val="en-US" w:eastAsia="zh-CN"/>
        </w:rPr>
        <w:t>162</w:t>
      </w:r>
      <w:r>
        <w:rPr>
          <w:rFonts w:hint="eastAsia"/>
          <w:u w:val="single"/>
          <w:lang w:val="en-US" w:eastAsia="zh-CN"/>
        </w:rPr>
        <w:t>号）附件</w:t>
      </w:r>
      <w:r>
        <w:rPr>
          <w:rFonts w:hint="default"/>
          <w:u w:val="single"/>
          <w:lang w:val="en-US" w:eastAsia="zh-CN"/>
        </w:rPr>
        <w:t>2</w:t>
      </w:r>
      <w:r>
        <w:rPr>
          <w:rFonts w:hint="eastAsia"/>
          <w:u w:val="single"/>
          <w:lang w:val="en-US" w:eastAsia="zh-CN"/>
        </w:rPr>
        <w:t>（其他企业）要求，《合成树脂工业污染物排放标准》（GB31572-2015）表5特别排放限值要求和表9限值要求及《挥发性有机物无组织排放控制标准》（</w:t>
      </w:r>
      <w:r>
        <w:rPr>
          <w:rFonts w:hint="default"/>
          <w:u w:val="single"/>
          <w:lang w:val="en-US" w:eastAsia="zh-CN"/>
        </w:rPr>
        <w:t>GB37822-2019</w:t>
      </w:r>
      <w:r>
        <w:rPr>
          <w:rFonts w:hint="eastAsia"/>
          <w:u w:val="single"/>
          <w:lang w:val="en-US" w:eastAsia="zh-CN"/>
        </w:rPr>
        <w:t>）表</w:t>
      </w:r>
      <w:r>
        <w:rPr>
          <w:rFonts w:hint="default"/>
          <w:u w:val="single"/>
          <w:lang w:val="en-US" w:eastAsia="zh-CN"/>
        </w:rPr>
        <w:t>A.1</w:t>
      </w:r>
      <w:r>
        <w:rPr>
          <w:rFonts w:hint="eastAsia"/>
          <w:u w:val="single"/>
          <w:lang w:val="en-US" w:eastAsia="zh-CN"/>
        </w:rPr>
        <w:t>限值要求。</w:t>
      </w:r>
    </w:p>
    <w:p>
      <w:pPr>
        <w:keepNext w:val="0"/>
        <w:keepLines w:val="0"/>
        <w:widowControl/>
        <w:suppressLineNumbers w:val="0"/>
        <w:jc w:val="both"/>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颗粒物执行</w:t>
      </w:r>
      <w:r>
        <w:rPr>
          <w:rFonts w:hint="eastAsia"/>
          <w:u w:val="single"/>
          <w:lang w:val="en-US" w:eastAsia="zh-CN"/>
        </w:rPr>
        <w:t>《合成树脂工业污染物排放标准》（GB31572-2015）表5和表9限值要求</w:t>
      </w:r>
      <w:r>
        <w:rPr>
          <w:rFonts w:hint="eastAsia" w:ascii="宋体" w:hAnsi="宋体" w:eastAsia="宋体" w:cs="宋体"/>
          <w:color w:val="000000"/>
          <w:kern w:val="0"/>
          <w:sz w:val="24"/>
          <w:szCs w:val="24"/>
          <w:u w:val="single"/>
          <w:lang w:val="en-US" w:eastAsia="zh-CN" w:bidi="ar"/>
        </w:rPr>
        <w:t>。</w:t>
      </w:r>
    </w:p>
    <w:p>
      <w:pPr>
        <w:keepNext w:val="0"/>
        <w:keepLines w:val="0"/>
        <w:widowControl/>
        <w:suppressLineNumbers w:val="0"/>
        <w:jc w:val="both"/>
        <w:rPr>
          <w:rFonts w:hint="eastAsia"/>
          <w:u w:val="single"/>
          <w:lang w:val="en-US" w:eastAsia="zh-CN"/>
        </w:rPr>
      </w:pPr>
      <w:r>
        <w:rPr>
          <w:rFonts w:hint="eastAsia"/>
          <w:u w:val="single"/>
          <w:lang w:val="en-US" w:eastAsia="zh-CN"/>
        </w:rPr>
        <w:t>苯乙烯执行《合成树脂工业污染物排放标准》（GB31572-2015）表5和表9限值要求。</w:t>
      </w:r>
    </w:p>
    <w:p>
      <w:pPr>
        <w:bidi w:val="0"/>
        <w:rPr>
          <w:rFonts w:hint="eastAsia"/>
          <w:u w:val="single"/>
          <w:lang w:val="en-US" w:eastAsia="zh-CN"/>
        </w:rPr>
      </w:pPr>
      <w:r>
        <w:rPr>
          <w:rFonts w:hint="eastAsia"/>
          <w:u w:val="single"/>
          <w:lang w:val="en-US" w:eastAsia="zh-CN"/>
        </w:rPr>
        <w:t>氨和硫化氢浓度执行《恶臭污染物排放标准》（</w:t>
      </w:r>
      <w:r>
        <w:rPr>
          <w:rFonts w:hint="default"/>
          <w:u w:val="single"/>
          <w:lang w:val="en-US" w:eastAsia="zh-CN"/>
        </w:rPr>
        <w:t>GB14554-93</w:t>
      </w:r>
      <w:r>
        <w:rPr>
          <w:rFonts w:hint="eastAsia"/>
          <w:u w:val="single"/>
          <w:lang w:val="en-US" w:eastAsia="zh-CN"/>
        </w:rPr>
        <w:t>）中表1标准。</w:t>
      </w:r>
    </w:p>
    <w:p>
      <w:pPr>
        <w:pStyle w:val="20"/>
        <w:ind w:left="0" w:leftChars="0" w:firstLine="480" w:firstLineChars="200"/>
        <w:rPr>
          <w:rFonts w:hint="default"/>
          <w:u w:val="single"/>
          <w:lang w:val="en-US" w:eastAsia="zh-CN"/>
        </w:rPr>
      </w:pPr>
      <w:r>
        <w:rPr>
          <w:rFonts w:hint="eastAsia"/>
          <w:u w:val="single"/>
          <w:lang w:val="en-US" w:eastAsia="zh-CN"/>
        </w:rPr>
        <w:t>饮食业油烟执行</w:t>
      </w:r>
      <w:r>
        <w:rPr>
          <w:rFonts w:hint="eastAsia"/>
          <w:u w:val="single"/>
          <w:lang w:val="en-US" w:eastAsia="zh-CN"/>
        </w:rPr>
        <w:fldChar w:fldCharType="begin"/>
      </w:r>
      <w:r>
        <w:rPr>
          <w:rFonts w:hint="eastAsia"/>
          <w:u w:val="single"/>
          <w:lang w:val="en-US" w:eastAsia="zh-CN"/>
        </w:rPr>
        <w:instrText xml:space="preserve"> HYPERLINK "http://www.gongyishi.gov.cn/zfxxgk/rootfiles/2020/06/01/1592341878786307-1592341879523427.pdf" \t "http://www.gongyishi.gov.cn/zfxxgk/zdly/hjbhxx/hjwrfzhbh/webinfo/2020/06/CMSFILEINCONTENT" </w:instrText>
      </w:r>
      <w:r>
        <w:rPr>
          <w:rFonts w:hint="eastAsia"/>
          <w:u w:val="single"/>
          <w:lang w:val="en-US" w:eastAsia="zh-CN"/>
        </w:rPr>
        <w:fldChar w:fldCharType="separate"/>
      </w:r>
      <w:r>
        <w:rPr>
          <w:rFonts w:hint="eastAsia"/>
          <w:u w:val="single"/>
          <w:lang w:val="en-US" w:eastAsia="zh-CN"/>
        </w:rPr>
        <w:t>《河南省餐饮业油烟污染物排放标准》</w:t>
      </w:r>
      <w:r>
        <w:rPr>
          <w:rFonts w:hint="eastAsia"/>
          <w:u w:val="single"/>
          <w:lang w:val="en-US" w:eastAsia="zh-CN"/>
        </w:rPr>
        <w:fldChar w:fldCharType="end"/>
      </w:r>
      <w:r>
        <w:rPr>
          <w:rFonts w:hint="eastAsia"/>
          <w:u w:val="single"/>
          <w:lang w:val="en-US" w:eastAsia="zh-CN"/>
        </w:rPr>
        <w:t>（</w:t>
      </w:r>
      <w:r>
        <w:rPr>
          <w:rFonts w:hint="default"/>
          <w:u w:val="single"/>
          <w:lang w:val="en-US" w:eastAsia="zh-CN"/>
        </w:rPr>
        <w:t>GB</w:t>
      </w:r>
      <w:r>
        <w:rPr>
          <w:rFonts w:hint="eastAsia"/>
          <w:u w:val="single"/>
          <w:lang w:val="en-US" w:eastAsia="zh-CN"/>
        </w:rPr>
        <w:t>41/1604</w:t>
      </w:r>
      <w:r>
        <w:rPr>
          <w:rFonts w:hint="default"/>
          <w:u w:val="single"/>
          <w:lang w:val="en-US" w:eastAsia="zh-CN"/>
        </w:rPr>
        <w:t>-20</w:t>
      </w:r>
      <w:r>
        <w:rPr>
          <w:rFonts w:hint="eastAsia"/>
          <w:u w:val="single"/>
          <w:lang w:val="en-US" w:eastAsia="zh-CN"/>
        </w:rPr>
        <w:t>18）表1中相关标准。</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表2.4-7  大气污染物排放标准限值</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1"/>
        <w:gridCol w:w="976"/>
        <w:gridCol w:w="2949"/>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标准名称及类别</w:t>
            </w:r>
          </w:p>
        </w:tc>
        <w:tc>
          <w:tcPr>
            <w:tcW w:w="5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污染物因子</w:t>
            </w:r>
          </w:p>
        </w:tc>
        <w:tc>
          <w:tcPr>
            <w:tcW w:w="250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hint="eastAsia" w:ascii="Times New Roman" w:hAnsi="Times New Roman" w:cs="Times New Roman"/>
                <w:color w:val="000000"/>
                <w:sz w:val="21"/>
                <w:szCs w:val="21"/>
                <w:u w:val="single"/>
                <w:lang w:val="en-US" w:eastAsia="zh-CN"/>
              </w:rPr>
              <w:t>《合成树脂工业污染物排放标准》（GB31572-2015）表5</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ascii="Times New Roman" w:hAnsi="Times New Roman" w:cs="Times New Roman"/>
                <w:b w:val="0"/>
                <w:bCs w:val="0"/>
                <w:color w:val="000000"/>
                <w:sz w:val="21"/>
                <w:szCs w:val="21"/>
                <w:u w:val="single"/>
              </w:rPr>
              <w:t>非甲烷总烃</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最高允许排放浓度</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cs="Times New Roman"/>
                <w:b w:val="0"/>
                <w:bCs w:val="0"/>
                <w:color w:val="000000"/>
                <w:sz w:val="21"/>
                <w:szCs w:val="21"/>
                <w:lang w:val="en-US" w:eastAsia="zh-CN"/>
              </w:rPr>
              <w:t>60</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ascii="Times New Roman" w:hAnsi="Times New Roman" w:cs="Times New Roman"/>
                <w:b w:val="0"/>
                <w:bCs w:val="0"/>
                <w:color w:val="000000"/>
                <w:sz w:val="21"/>
                <w:szCs w:val="21"/>
                <w:u w:val="single"/>
              </w:rPr>
              <w:t>《关于全省开展工业企业挥发性有机物专项治理工作中排放建议值的通知》（豫环攻坚办〔2017〕162号）</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企业边界大气污染物浓度限值</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cs="Times New Roman"/>
                <w:b w:val="0"/>
                <w:bCs w:val="0"/>
                <w:color w:val="000000"/>
                <w:sz w:val="21"/>
                <w:szCs w:val="21"/>
                <w:lang w:val="en-US" w:eastAsia="zh-CN"/>
              </w:rPr>
              <w:t>2</w:t>
            </w:r>
            <w:r>
              <w:rPr>
                <w:rFonts w:ascii="Times New Roman" w:hAnsi="Times New Roman" w:cs="Times New Roman"/>
                <w:b w:val="0"/>
                <w:bCs w:val="0"/>
                <w:color w:val="000000"/>
                <w:sz w:val="21"/>
                <w:szCs w:val="21"/>
              </w:rPr>
              <w:t>.0mg/m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hint="eastAsia" w:ascii="Times New Roman" w:hAnsi="Times New Roman" w:cs="Times New Roman"/>
                <w:b w:val="0"/>
                <w:bCs w:val="0"/>
                <w:sz w:val="21"/>
                <w:szCs w:val="21"/>
                <w:u w:val="single"/>
                <w:lang w:val="en-US" w:eastAsia="zh-CN"/>
              </w:rPr>
              <w:t>《挥发性有机物无组织排放控制标准》（</w:t>
            </w:r>
            <w:r>
              <w:rPr>
                <w:rFonts w:hint="default" w:ascii="Times New Roman" w:hAnsi="Times New Roman" w:cs="Times New Roman"/>
                <w:b w:val="0"/>
                <w:bCs w:val="0"/>
                <w:sz w:val="21"/>
                <w:szCs w:val="21"/>
                <w:u w:val="single"/>
                <w:lang w:val="en-US" w:eastAsia="zh-CN"/>
              </w:rPr>
              <w:t>GB37822-2019</w:t>
            </w:r>
            <w:r>
              <w:rPr>
                <w:rFonts w:hint="eastAsia" w:ascii="Times New Roman" w:hAnsi="Times New Roman" w:cs="Times New Roman"/>
                <w:b w:val="0"/>
                <w:bCs w:val="0"/>
                <w:sz w:val="21"/>
                <w:szCs w:val="21"/>
                <w:u w:val="single"/>
                <w:lang w:val="en-US" w:eastAsia="zh-CN"/>
              </w:rPr>
              <w:t>）表</w:t>
            </w:r>
            <w:r>
              <w:rPr>
                <w:rFonts w:hint="default" w:ascii="Times New Roman" w:hAnsi="Times New Roman" w:cs="Times New Roman"/>
                <w:b w:val="0"/>
                <w:bCs w:val="0"/>
                <w:sz w:val="21"/>
                <w:szCs w:val="21"/>
                <w:u w:val="single"/>
                <w:lang w:val="en-US" w:eastAsia="zh-CN"/>
              </w:rPr>
              <w:t>A.1</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eastAsia="zh-CN"/>
              </w:rPr>
              <w:t>监测点处</w:t>
            </w:r>
            <w:r>
              <w:rPr>
                <w:rFonts w:hint="eastAsia" w:ascii="Times New Roman" w:hAnsi="Times New Roman" w:cs="Times New Roman"/>
                <w:b w:val="0"/>
                <w:bCs w:val="0"/>
                <w:color w:val="000000"/>
                <w:sz w:val="21"/>
                <w:szCs w:val="21"/>
                <w:lang w:val="en-US" w:eastAsia="zh-CN"/>
              </w:rPr>
              <w:t>1h平均浓度值</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10</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b w:val="0"/>
                <w:bCs w:val="0"/>
                <w:sz w:val="21"/>
                <w:szCs w:val="21"/>
                <w:u w:val="single"/>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监控点处任意一次浓度值</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val="en-US" w:eastAsia="zh-CN"/>
              </w:rPr>
              <w:t>30</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s="Times New Roman"/>
                <w:b w:val="0"/>
                <w:bCs w:val="0"/>
                <w:color w:val="000000"/>
                <w:sz w:val="21"/>
                <w:szCs w:val="21"/>
                <w:u w:val="single"/>
              </w:rPr>
            </w:pPr>
            <w:r>
              <w:rPr>
                <w:rFonts w:hint="eastAsia" w:ascii="Times New Roman" w:hAnsi="Times New Roman" w:cs="Times New Roman"/>
                <w:color w:val="000000"/>
                <w:sz w:val="21"/>
                <w:szCs w:val="21"/>
                <w:u w:val="single"/>
                <w:lang w:val="en-US" w:eastAsia="zh-CN"/>
              </w:rPr>
              <w:t>《合成树脂工业污染物排放标准》（GB31572-2015）表5</w:t>
            </w:r>
          </w:p>
        </w:tc>
        <w:tc>
          <w:tcPr>
            <w:tcW w:w="525" w:type="pct"/>
            <w:vMerge w:val="restart"/>
            <w:tcBorders>
              <w:tl2br w:val="nil"/>
              <w:tr2bl w:val="nil"/>
            </w:tcBorders>
            <w:vAlign w:val="center"/>
          </w:tcPr>
          <w:p>
            <w:pPr>
              <w:pStyle w:val="31"/>
              <w:keepNext w:val="0"/>
              <w:keepLines w:val="0"/>
              <w:pageBreakBefore w:val="0"/>
              <w:widowControl w:val="0"/>
              <w:numPr>
                <w:ilvl w:val="0"/>
                <w:numId w:val="0"/>
              </w:numPr>
              <w:kinsoku/>
              <w:wordWrap/>
              <w:overflowPunct/>
              <w:topLinePunct w:val="0"/>
              <w:autoSpaceDE w:val="0"/>
              <w:autoSpaceDN/>
              <w:bidi w:val="0"/>
              <w:adjustRightInd w:val="0"/>
              <w:snapToGrid w:val="0"/>
              <w:spacing w:before="0"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hint="eastAsia" w:ascii="Times New Roman" w:hAnsi="Times New Roman" w:cs="Times New Roman"/>
                <w:sz w:val="21"/>
                <w:u w:val="single"/>
                <w:vertAlign w:val="baseline"/>
                <w:lang w:val="en-US" w:eastAsia="zh-CN"/>
              </w:rPr>
              <w:t>颗粒物</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color w:val="000000"/>
                <w:sz w:val="21"/>
                <w:szCs w:val="21"/>
              </w:rPr>
              <w:t>最高允许排放浓度</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b w:val="0"/>
                <w:bCs w:val="0"/>
                <w:color w:val="000000"/>
                <w:sz w:val="21"/>
                <w:szCs w:val="21"/>
                <w:lang w:val="en-US" w:eastAsia="zh-CN"/>
              </w:rPr>
            </w:pPr>
            <w:r>
              <w:rPr>
                <w:rFonts w:hint="eastAsia" w:cs="Times New Roman"/>
                <w:color w:val="000000"/>
                <w:sz w:val="21"/>
                <w:szCs w:val="21"/>
                <w:lang w:val="en-US" w:eastAsia="zh-CN"/>
              </w:rPr>
              <w:t>20</w:t>
            </w:r>
            <w:r>
              <w:rPr>
                <w:rFonts w:ascii="Times New Roman" w:hAnsi="Times New Roman" w:cs="Times New Roman"/>
                <w:color w:val="000000"/>
                <w:sz w:val="21"/>
                <w:szCs w:val="21"/>
              </w:rPr>
              <w:t>mg/m</w:t>
            </w:r>
            <w:r>
              <w:rPr>
                <w:rFonts w:ascii="Times New Roman" w:hAnsi="Times New Roman"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continue"/>
            <w:tcBorders>
              <w:tl2br w:val="nil"/>
              <w:tr2bl w:val="nil"/>
            </w:tcBorders>
            <w:vAlign w:val="center"/>
          </w:tcPr>
          <w:p>
            <w:pPr>
              <w:snapToGrid w:val="0"/>
              <w:spacing w:line="240" w:lineRule="auto"/>
              <w:ind w:firstLine="480" w:firstLineChars="200"/>
              <w:jc w:val="cente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N/>
              <w:bidi w:val="0"/>
              <w:snapToGrid w:val="0"/>
              <w:spacing w:line="240" w:lineRule="auto"/>
              <w:ind w:firstLine="0" w:firstLineChars="0"/>
              <w:jc w:val="center"/>
              <w:textAlignment w:val="auto"/>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color w:val="000000"/>
                <w:sz w:val="21"/>
                <w:szCs w:val="21"/>
              </w:rPr>
              <w:t>企业边界大气污染物浓度限值</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s="Times New Roman"/>
                <w:b w:val="0"/>
                <w:bCs w:val="0"/>
                <w:color w:val="000000"/>
                <w:sz w:val="21"/>
                <w:szCs w:val="21"/>
              </w:rPr>
            </w:pPr>
            <w:r>
              <w:rPr>
                <w:rFonts w:hint="eastAsia" w:ascii="Times New Roman" w:hAnsi="Times New Roman" w:cs="Times New Roman"/>
                <w:color w:val="000000"/>
                <w:sz w:val="21"/>
                <w:szCs w:val="21"/>
                <w:lang w:val="en-US" w:eastAsia="zh-CN"/>
              </w:rPr>
              <w:t>1.0</w:t>
            </w:r>
            <w:r>
              <w:rPr>
                <w:rFonts w:ascii="Times New Roman" w:hAnsi="Times New Roman" w:cs="Times New Roman"/>
                <w:color w:val="000000"/>
                <w:sz w:val="21"/>
                <w:szCs w:val="21"/>
              </w:rPr>
              <w:t>mg/m</w:t>
            </w:r>
            <w:r>
              <w:rPr>
                <w:rFonts w:ascii="Times New Roman" w:hAnsi="Times New Roman"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color w:val="000000"/>
                <w:sz w:val="21"/>
                <w:szCs w:val="21"/>
                <w:u w:val="single"/>
                <w:lang w:val="en-US" w:eastAsia="zh-CN"/>
              </w:rPr>
              <w:t>《合成树脂工业污染物排放标准》（GB31572-2015）表5</w:t>
            </w:r>
          </w:p>
        </w:tc>
        <w:tc>
          <w:tcPr>
            <w:tcW w:w="5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21"/>
                <w:szCs w:val="21"/>
                <w:lang w:eastAsia="zh-CN"/>
              </w:rPr>
            </w:pPr>
            <w:r>
              <w:rPr>
                <w:rFonts w:hint="eastAsia" w:cs="Times New Roman"/>
                <w:b w:val="0"/>
                <w:bCs w:val="0"/>
                <w:color w:val="000000"/>
                <w:sz w:val="21"/>
                <w:szCs w:val="21"/>
                <w:lang w:eastAsia="zh-CN"/>
              </w:rPr>
              <w:t>苯乙烯</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ascii="Times New Roman" w:hAnsi="Times New Roman" w:cs="Times New Roman"/>
                <w:b w:val="0"/>
                <w:bCs w:val="0"/>
                <w:color w:val="000000"/>
                <w:sz w:val="21"/>
                <w:szCs w:val="21"/>
              </w:rPr>
              <w:t>最高允许排放浓度</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r>
              <w:rPr>
                <w:rFonts w:hint="eastAsia" w:cs="Times New Roman"/>
                <w:b w:val="0"/>
                <w:bCs w:val="0"/>
                <w:color w:val="000000"/>
                <w:sz w:val="21"/>
                <w:szCs w:val="21"/>
                <w:lang w:val="en-US" w:eastAsia="zh-CN"/>
              </w:rPr>
              <w:t>20</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9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b w:val="0"/>
                <w:bCs w:val="0"/>
                <w:sz w:val="21"/>
                <w:szCs w:val="21"/>
                <w:lang w:val="en-US" w:eastAsia="zh-CN"/>
              </w:rPr>
            </w:pPr>
            <w:r>
              <w:rPr>
                <w:rFonts w:hint="eastAsia"/>
                <w:b w:val="0"/>
                <w:bCs w:val="0"/>
                <w:sz w:val="21"/>
                <w:szCs w:val="21"/>
                <w:lang w:val="en-US" w:eastAsia="zh-CN"/>
              </w:rPr>
              <w:t>《恶臭污染物排放标准》（</w:t>
            </w:r>
            <w:r>
              <w:rPr>
                <w:rFonts w:hint="default"/>
                <w:b w:val="0"/>
                <w:bCs w:val="0"/>
                <w:sz w:val="21"/>
                <w:szCs w:val="21"/>
                <w:lang w:val="en-US" w:eastAsia="zh-CN"/>
              </w:rPr>
              <w:t>GB14554-93</w:t>
            </w:r>
            <w:r>
              <w:rPr>
                <w:rFonts w:hint="eastAsia"/>
                <w:b w:val="0"/>
                <w:bCs w:val="0"/>
                <w:sz w:val="21"/>
                <w:szCs w:val="21"/>
                <w:lang w:val="en-US" w:eastAsia="zh-CN"/>
              </w:rPr>
              <w:t>）</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000000"/>
                <w:sz w:val="21"/>
                <w:szCs w:val="21"/>
                <w:u w:val="single"/>
                <w:lang w:eastAsia="zh-CN"/>
              </w:rPr>
            </w:pPr>
            <w:r>
              <w:rPr>
                <w:rFonts w:hint="eastAsia" w:cs="Times New Roman" w:eastAsiaTheme="minorEastAsia"/>
                <w:b w:val="0"/>
                <w:bCs w:val="0"/>
                <w:color w:val="000000"/>
                <w:sz w:val="21"/>
                <w:szCs w:val="21"/>
                <w:u w:val="single"/>
                <w:lang w:eastAsia="zh-CN"/>
              </w:rPr>
              <w:t>氨</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u w:val="single"/>
                <w:lang w:val="en-US" w:eastAsia="zh-CN"/>
              </w:rPr>
            </w:pPr>
            <w:r>
              <w:rPr>
                <w:rFonts w:hint="eastAsia" w:cs="Times New Roman"/>
                <w:b w:val="0"/>
                <w:bCs w:val="0"/>
                <w:color w:val="000000"/>
                <w:sz w:val="21"/>
                <w:szCs w:val="21"/>
                <w:u w:val="single"/>
                <w:lang w:val="en-US" w:eastAsia="zh-CN"/>
              </w:rPr>
              <w:t>15m高排气筒排放速率</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u w:val="single"/>
                <w:lang w:val="en-US" w:eastAsia="zh-CN"/>
              </w:rPr>
            </w:pPr>
            <w:r>
              <w:rPr>
                <w:rFonts w:cs="Times New Roman"/>
                <w:sz w:val="21"/>
                <w:u w:val="single"/>
              </w:rPr>
              <w:t>4.9</w:t>
            </w:r>
            <w:r>
              <w:rPr>
                <w:rFonts w:hint="eastAsia" w:cs="Times New Roman"/>
                <w:sz w:val="21"/>
                <w:u w:val="singl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b w:val="0"/>
                <w:bCs w:val="0"/>
                <w:sz w:val="21"/>
                <w:szCs w:val="21"/>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s="Times New Roman" w:eastAsiaTheme="minorEastAsia"/>
                <w:b w:val="0"/>
                <w:bCs w:val="0"/>
                <w:color w:val="000000"/>
                <w:sz w:val="21"/>
                <w:szCs w:val="21"/>
                <w:u w:val="single"/>
                <w:lang w:eastAsia="zh-CN"/>
              </w:rPr>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ascii="Times New Roman" w:hAnsi="Times New Roman" w:cs="Times New Roman"/>
                <w:color w:val="000000"/>
                <w:sz w:val="21"/>
                <w:szCs w:val="21"/>
                <w:u w:val="single"/>
              </w:rPr>
              <w:t>企业边界大气污染物浓度限</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u w:val="single"/>
                <w:lang w:val="en-US" w:eastAsia="zh-CN"/>
              </w:rPr>
            </w:pPr>
            <w:r>
              <w:rPr>
                <w:rFonts w:hint="eastAsia" w:cs="Times New Roman"/>
                <w:b w:val="0"/>
                <w:bCs w:val="0"/>
                <w:color w:val="000000"/>
                <w:sz w:val="21"/>
                <w:szCs w:val="21"/>
                <w:u w:val="single"/>
                <w:lang w:val="en-US" w:eastAsia="zh-CN"/>
              </w:rPr>
              <w:t>1.5</w:t>
            </w:r>
            <w:r>
              <w:rPr>
                <w:rFonts w:ascii="Times New Roman" w:hAnsi="Times New Roman" w:cs="Times New Roman"/>
                <w:b w:val="0"/>
                <w:bCs w:val="0"/>
                <w:color w:val="000000"/>
                <w:sz w:val="21"/>
                <w:szCs w:val="21"/>
                <w:u w:val="single"/>
              </w:rPr>
              <w:t>mg/m</w:t>
            </w:r>
            <w:r>
              <w:rPr>
                <w:rFonts w:ascii="Times New Roman" w:hAnsi="Times New Roman" w:cs="Times New Roman"/>
                <w:b w:val="0"/>
                <w:bCs w:val="0"/>
                <w:color w:val="000000"/>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val="0"/>
                <w:bCs w:val="0"/>
              </w:rPr>
            </w:pP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eastAsia="宋体"/>
                <w:b w:val="0"/>
                <w:bCs w:val="0"/>
                <w:u w:val="single"/>
                <w:lang w:eastAsia="zh-CN"/>
              </w:rPr>
            </w:pPr>
            <w:r>
              <w:rPr>
                <w:rFonts w:hint="eastAsia"/>
                <w:b w:val="0"/>
                <w:bCs w:val="0"/>
                <w:sz w:val="21"/>
                <w:szCs w:val="21"/>
                <w:u w:val="single"/>
                <w:lang w:eastAsia="zh-CN"/>
              </w:rPr>
              <w:t>硫化氢</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hint="eastAsia" w:cs="Times New Roman"/>
                <w:b w:val="0"/>
                <w:bCs w:val="0"/>
                <w:color w:val="000000"/>
                <w:sz w:val="21"/>
                <w:szCs w:val="21"/>
                <w:u w:val="single"/>
                <w:lang w:val="en-US" w:eastAsia="zh-CN"/>
              </w:rPr>
              <w:t>15m高排气筒排放速率</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000000"/>
                <w:sz w:val="21"/>
                <w:szCs w:val="21"/>
                <w:u w:val="single"/>
                <w:lang w:val="en-US" w:eastAsia="zh-CN"/>
              </w:rPr>
            </w:pPr>
            <w:r>
              <w:rPr>
                <w:rFonts w:cs="Times New Roman"/>
                <w:sz w:val="21"/>
                <w:u w:val="single"/>
              </w:rPr>
              <w:t>0.33</w:t>
            </w:r>
            <w:r>
              <w:rPr>
                <w:rFonts w:hint="eastAsia" w:cs="Times New Roman"/>
                <w:sz w:val="21"/>
                <w:u w:val="singl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val="0"/>
                <w:bCs w:val="0"/>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b w:val="0"/>
                <w:bCs w:val="0"/>
                <w:sz w:val="21"/>
                <w:szCs w:val="21"/>
                <w:u w:val="single"/>
                <w:lang w:eastAsia="zh-CN"/>
              </w:rPr>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u w:val="single"/>
              </w:rPr>
            </w:pPr>
            <w:r>
              <w:rPr>
                <w:rFonts w:ascii="Times New Roman" w:hAnsi="Times New Roman" w:cs="Times New Roman"/>
                <w:color w:val="000000"/>
                <w:sz w:val="21"/>
                <w:szCs w:val="21"/>
                <w:u w:val="single"/>
              </w:rPr>
              <w:t>企业边界大气污染物浓度限</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000000"/>
                <w:sz w:val="21"/>
                <w:szCs w:val="21"/>
                <w:u w:val="single"/>
                <w:lang w:val="en-US" w:eastAsia="zh-CN"/>
              </w:rPr>
            </w:pPr>
            <w:r>
              <w:rPr>
                <w:rFonts w:hint="eastAsia" w:ascii="Times New Roman" w:hAnsi="Times New Roman" w:cs="Times New Roman" w:eastAsiaTheme="minorEastAsia"/>
                <w:b w:val="0"/>
                <w:bCs w:val="0"/>
                <w:color w:val="000000"/>
                <w:sz w:val="21"/>
                <w:szCs w:val="21"/>
                <w:u w:val="single"/>
                <w:lang w:val="en-US" w:eastAsia="zh-CN"/>
              </w:rPr>
              <w:t>0.06</w:t>
            </w:r>
            <w:r>
              <w:rPr>
                <w:rFonts w:ascii="Times New Roman" w:hAnsi="Times New Roman" w:cs="Times New Roman"/>
                <w:b w:val="0"/>
                <w:bCs w:val="0"/>
                <w:color w:val="000000"/>
                <w:sz w:val="21"/>
                <w:szCs w:val="21"/>
                <w:u w:val="single"/>
              </w:rPr>
              <w:t>mg/m</w:t>
            </w:r>
            <w:r>
              <w:rPr>
                <w:rFonts w:ascii="Times New Roman" w:hAnsi="Times New Roman" w:cs="Times New Roman"/>
                <w:b w:val="0"/>
                <w:bCs w:val="0"/>
                <w:color w:val="000000"/>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cs="Times New Roman"/>
                <w:b w:val="0"/>
                <w:bCs w:val="0"/>
                <w:color w:val="000000"/>
                <w:sz w:val="21"/>
                <w:szCs w:val="21"/>
              </w:rPr>
            </w:pPr>
          </w:p>
        </w:tc>
        <w:tc>
          <w:tcPr>
            <w:tcW w:w="5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sz w:val="21"/>
                <w:szCs w:val="21"/>
                <w:lang w:eastAsia="zh-CN"/>
              </w:rPr>
            </w:pPr>
            <w:r>
              <w:rPr>
                <w:rFonts w:hint="eastAsia" w:cs="Times New Roman"/>
                <w:b w:val="0"/>
                <w:bCs w:val="0"/>
                <w:color w:val="000000"/>
                <w:sz w:val="21"/>
                <w:szCs w:val="21"/>
                <w:lang w:eastAsia="zh-CN"/>
              </w:rPr>
              <w:t>苯乙烯</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b w:val="0"/>
                <w:bCs w:val="0"/>
                <w:sz w:val="21"/>
                <w:vertAlign w:val="baseline"/>
                <w:lang w:val="en-US" w:eastAsia="zh-CN"/>
              </w:rPr>
            </w:pPr>
            <w:r>
              <w:rPr>
                <w:rFonts w:hint="eastAsia" w:ascii="Times New Roman" w:hAnsi="Times New Roman" w:cs="Times New Roman"/>
                <w:b w:val="0"/>
                <w:bCs w:val="0"/>
                <w:sz w:val="21"/>
                <w:vertAlign w:val="baseline"/>
                <w:lang w:val="en-US" w:eastAsia="zh-CN"/>
              </w:rPr>
              <w:t>厂界标准值</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lang w:val="en-US" w:eastAsia="zh-CN"/>
              </w:rPr>
            </w:pPr>
            <w:r>
              <w:rPr>
                <w:rFonts w:hint="eastAsia" w:cs="Times New Roman"/>
                <w:b w:val="0"/>
                <w:bCs w:val="0"/>
                <w:color w:val="000000"/>
                <w:sz w:val="21"/>
                <w:szCs w:val="21"/>
                <w:lang w:val="en-US" w:eastAsia="zh-CN"/>
              </w:rPr>
              <w:t>5.0</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fldChar w:fldCharType="begin"/>
            </w:r>
            <w:r>
              <w:rPr>
                <w:rFonts w:hint="eastAsia"/>
                <w:b w:val="0"/>
                <w:bCs w:val="0"/>
                <w:sz w:val="21"/>
                <w:szCs w:val="21"/>
                <w:lang w:val="en-US" w:eastAsia="zh-CN"/>
              </w:rPr>
              <w:instrText xml:space="preserve"> HYPERLINK "http://www.gongyishi.gov.cn/zfxxgk/rootfiles/2020/06/01/1592341878786307-1592341879523427.pdf" \t "http://www.gongyishi.gov.cn/zfxxgk/zdly/hjbhxx/hjwrfzhbh/webinfo/2020/06/CMSFILEINCONTENT" </w:instrText>
            </w:r>
            <w:r>
              <w:rPr>
                <w:rFonts w:hint="eastAsia"/>
                <w:b w:val="0"/>
                <w:bCs w:val="0"/>
                <w:sz w:val="21"/>
                <w:szCs w:val="21"/>
                <w:lang w:val="en-US" w:eastAsia="zh-CN"/>
              </w:rPr>
              <w:fldChar w:fldCharType="separate"/>
            </w:r>
            <w:r>
              <w:rPr>
                <w:rFonts w:hint="eastAsia"/>
                <w:b w:val="0"/>
                <w:bCs w:val="0"/>
                <w:sz w:val="21"/>
                <w:szCs w:val="21"/>
                <w:lang w:val="en-US" w:eastAsia="zh-CN"/>
              </w:rPr>
              <w:t>《河南省餐饮业油烟污染物排放标准》</w:t>
            </w:r>
            <w:r>
              <w:rPr>
                <w:rFonts w:hint="eastAsia"/>
                <w:b w:val="0"/>
                <w:bCs w:val="0"/>
                <w:sz w:val="21"/>
                <w:szCs w:val="21"/>
                <w:lang w:val="en-US" w:eastAsia="zh-CN"/>
              </w:rPr>
              <w:fldChar w:fldCharType="end"/>
            </w:r>
            <w:r>
              <w:rPr>
                <w:rFonts w:hint="eastAsia"/>
                <w:b w:val="0"/>
                <w:bCs w:val="0"/>
                <w:sz w:val="21"/>
                <w:szCs w:val="21"/>
                <w:lang w:val="en-US" w:eastAsia="zh-CN"/>
              </w:rPr>
              <w:t>（</w:t>
            </w:r>
            <w:r>
              <w:rPr>
                <w:rFonts w:hint="default"/>
                <w:b w:val="0"/>
                <w:bCs w:val="0"/>
                <w:sz w:val="21"/>
                <w:szCs w:val="21"/>
                <w:lang w:val="en-US" w:eastAsia="zh-CN"/>
              </w:rPr>
              <w:t>GB</w:t>
            </w:r>
            <w:r>
              <w:rPr>
                <w:rFonts w:hint="eastAsia"/>
                <w:b w:val="0"/>
                <w:bCs w:val="0"/>
                <w:sz w:val="21"/>
                <w:szCs w:val="21"/>
                <w:lang w:val="en-US" w:eastAsia="zh-CN"/>
              </w:rPr>
              <w:t>41/1604</w:t>
            </w:r>
            <w:r>
              <w:rPr>
                <w:rFonts w:hint="default"/>
                <w:b w:val="0"/>
                <w:bCs w:val="0"/>
                <w:sz w:val="21"/>
                <w:szCs w:val="21"/>
                <w:lang w:val="en-US" w:eastAsia="zh-CN"/>
              </w:rPr>
              <w:t>-20</w:t>
            </w:r>
            <w:r>
              <w:rPr>
                <w:rFonts w:hint="eastAsia"/>
                <w:b w:val="0"/>
                <w:bCs w:val="0"/>
                <w:sz w:val="21"/>
                <w:szCs w:val="21"/>
                <w:lang w:val="en-US" w:eastAsia="zh-CN"/>
              </w:rPr>
              <w:t>18）</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饮食业油烟</w:t>
            </w: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b w:val="0"/>
                <w:bCs w:val="0"/>
                <w:sz w:val="21"/>
                <w:vertAlign w:val="baseline"/>
                <w:lang w:val="en-US" w:eastAsia="zh-CN"/>
              </w:rPr>
            </w:pPr>
            <w:r>
              <w:rPr>
                <w:rFonts w:hint="eastAsia" w:cs="Times New Roman"/>
                <w:b w:val="0"/>
                <w:bCs w:val="0"/>
                <w:sz w:val="21"/>
                <w:vertAlign w:val="baseline"/>
                <w:lang w:val="en-US" w:eastAsia="zh-CN"/>
              </w:rPr>
              <w:t>排放浓度</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lang w:val="en-US" w:eastAsia="zh-CN"/>
              </w:rPr>
            </w:pPr>
            <w:r>
              <w:rPr>
                <w:rFonts w:hint="eastAsia" w:cs="Times New Roman"/>
                <w:b w:val="0"/>
                <w:bCs w:val="0"/>
                <w:color w:val="000000"/>
                <w:sz w:val="21"/>
                <w:szCs w:val="21"/>
                <w:lang w:val="en-US" w:eastAsia="zh-CN"/>
              </w:rPr>
              <w:t>1.5</w:t>
            </w:r>
            <w:r>
              <w:rPr>
                <w:rFonts w:ascii="Times New Roman" w:hAnsi="Times New Roman" w:cs="Times New Roman"/>
                <w:b w:val="0"/>
                <w:bCs w:val="0"/>
                <w:color w:val="000000"/>
                <w:sz w:val="21"/>
                <w:szCs w:val="21"/>
              </w:rPr>
              <w:t>mg/m</w:t>
            </w:r>
            <w:r>
              <w:rPr>
                <w:rFonts w:ascii="Times New Roman" w:hAnsi="Times New Roman" w:cs="Times New Roman"/>
                <w:b w:val="0"/>
                <w:bCs w:val="0"/>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pPr>
          </w:p>
        </w:tc>
        <w:tc>
          <w:tcPr>
            <w:tcW w:w="15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b w:val="0"/>
                <w:bCs w:val="0"/>
                <w:sz w:val="21"/>
                <w:vertAlign w:val="baseline"/>
                <w:lang w:val="en-US" w:eastAsia="zh-CN"/>
              </w:rPr>
            </w:pPr>
            <w:r>
              <w:rPr>
                <w:rFonts w:hint="eastAsia" w:cs="Times New Roman"/>
                <w:b w:val="0"/>
                <w:bCs w:val="0"/>
                <w:sz w:val="21"/>
                <w:vertAlign w:val="baseline"/>
                <w:lang w:val="en-US" w:eastAsia="zh-CN"/>
              </w:rPr>
              <w:t>去除效率</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sz w:val="21"/>
                <w:vertAlign w:val="baseline"/>
                <w:lang w:val="en-US" w:eastAsia="zh-CN"/>
              </w:rPr>
            </w:pPr>
            <w:r>
              <w:rPr>
                <w:rFonts w:hint="eastAsia" w:cs="Times New Roman"/>
                <w:b w:val="0"/>
                <w:bCs w:val="0"/>
                <w:sz w:val="21"/>
                <w:vertAlign w:val="baseline"/>
                <w:lang w:val="en-US" w:eastAsia="zh-CN"/>
              </w:rPr>
              <w:t>90%</w:t>
            </w:r>
          </w:p>
        </w:tc>
      </w:tr>
    </w:tbl>
    <w:p>
      <w:pPr>
        <w:pStyle w:val="19"/>
        <w:keepNext w:val="0"/>
        <w:keepLines w:val="0"/>
        <w:widowControl/>
        <w:suppressLineNumbers w:val="0"/>
        <w:spacing w:before="0" w:beforeAutospacing="0" w:after="0" w:afterAutospacing="0"/>
        <w:ind w:left="0" w:right="0" w:firstLine="0"/>
      </w:pPr>
      <w:r>
        <w:rPr>
          <w:rFonts w:hint="eastAsia"/>
          <w:lang w:eastAsia="zh-CN"/>
        </w:rPr>
        <w:t>（</w:t>
      </w:r>
      <w:r>
        <w:rPr>
          <w:rFonts w:hint="eastAsia"/>
          <w:lang w:val="en-US" w:eastAsia="zh-CN"/>
        </w:rPr>
        <w:t>2）</w:t>
      </w:r>
      <w:r>
        <w:t>水污染物排放及回用水标准</w:t>
      </w:r>
    </w:p>
    <w:p>
      <w:pPr>
        <w:bidi w:val="0"/>
        <w:rPr>
          <w:u w:val="single"/>
        </w:rPr>
      </w:pPr>
      <w:r>
        <w:rPr>
          <w:u w:val="single"/>
        </w:rPr>
        <w:t>本项目设</w:t>
      </w:r>
      <w:r>
        <w:rPr>
          <w:rFonts w:hint="eastAsia"/>
          <w:u w:val="single"/>
          <w:lang w:eastAsia="zh-CN"/>
        </w:rPr>
        <w:t>化粪池</w:t>
      </w:r>
      <w:r>
        <w:rPr>
          <w:u w:val="single"/>
        </w:rPr>
        <w:t>供员工使用，由农户定期由农户清掏做农肥</w:t>
      </w:r>
      <w:r>
        <w:rPr>
          <w:rFonts w:hint="eastAsia"/>
          <w:u w:val="single"/>
          <w:lang w:eastAsia="zh-CN"/>
        </w:rPr>
        <w:t>；</w:t>
      </w:r>
      <w:r>
        <w:rPr>
          <w:u w:val="single"/>
        </w:rPr>
        <w:t>生产废水排入</w:t>
      </w:r>
      <w:r>
        <w:rPr>
          <w:rFonts w:hint="eastAsia"/>
          <w:u w:val="single"/>
          <w:lang w:eastAsia="zh-CN"/>
        </w:rPr>
        <w:t>厂区污水处理站，经沉淀+气浮+A/O+二级沉淀</w:t>
      </w:r>
      <w:r>
        <w:rPr>
          <w:u w:val="single"/>
        </w:rPr>
        <w:t>处理后作为原料清洗水循环使用，满足回用水质要求即可，回用水执行《城市污水再生利用 工业用水水质》（GB/T19923-2005）中洗涤用水水质标准。</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表2.4-8  废水排放执行标准限值（mg/L，pH值 无量纲）</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3330"/>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lang w:eastAsia="zh-CN"/>
              </w:rPr>
            </w:pPr>
            <w:r>
              <w:rPr>
                <w:rFonts w:hint="eastAsia"/>
                <w:b w:val="0"/>
                <w:bCs w:val="0"/>
                <w:sz w:val="21"/>
                <w:szCs w:val="21"/>
                <w:lang w:eastAsia="zh-CN"/>
              </w:rPr>
              <w:t>排放因子</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lang w:val="en-US" w:eastAsia="zh-CN"/>
              </w:rPr>
            </w:pPr>
            <w:r>
              <w:rPr>
                <w:rFonts w:hint="eastAsia"/>
                <w:b w:val="0"/>
                <w:bCs w:val="0"/>
                <w:sz w:val="21"/>
                <w:szCs w:val="21"/>
                <w:lang w:val="en-US" w:eastAsia="zh-CN"/>
              </w:rPr>
              <w:t>标准值</w:t>
            </w:r>
          </w:p>
        </w:tc>
        <w:tc>
          <w:tcPr>
            <w:tcW w:w="2265" w:type="pct"/>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lang w:val="en-US" w:eastAsia="zh-CN"/>
              </w:rPr>
            </w:pPr>
            <w:r>
              <w:rPr>
                <w:rFonts w:hint="eastAsia"/>
                <w:b w:val="0"/>
                <w:bCs w:val="0"/>
                <w:sz w:val="21"/>
                <w:szCs w:val="21"/>
                <w:u w:val="single"/>
                <w:lang w:val="en-US" w:eastAsia="zh-CN"/>
              </w:rPr>
              <w:t>PH</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6.5~9.0</w:t>
            </w:r>
          </w:p>
        </w:tc>
        <w:tc>
          <w:tcPr>
            <w:tcW w:w="2265" w:type="pct"/>
            <w:vMerge w:val="restart"/>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《城市污水再生利用 工业用水水质》</w:t>
            </w:r>
            <w:r>
              <w:rPr>
                <w:rFonts w:hint="default" w:ascii="Times New Roman" w:hAnsi="Times New Roman" w:eastAsia="宋体" w:cs="Times New Roman"/>
                <w:b w:val="0"/>
                <w:bCs w:val="0"/>
                <w:sz w:val="21"/>
                <w:szCs w:val="21"/>
                <w:lang w:eastAsia="zh-CN"/>
              </w:rPr>
              <w:t>（GB/T19923-2005）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lang w:val="en-US" w:eastAsia="zh-CN"/>
              </w:rPr>
            </w:pPr>
            <w:r>
              <w:rPr>
                <w:rFonts w:hint="eastAsia"/>
                <w:b w:val="0"/>
                <w:bCs w:val="0"/>
                <w:sz w:val="21"/>
                <w:szCs w:val="21"/>
                <w:u w:val="single"/>
                <w:lang w:val="en-US" w:eastAsia="zh-CN"/>
              </w:rPr>
              <w:t>SS</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≤30mg/m</w:t>
            </w:r>
            <w:r>
              <w:rPr>
                <w:rFonts w:hint="eastAsia"/>
                <w:b w:val="0"/>
                <w:bCs w:val="0"/>
                <w:sz w:val="21"/>
                <w:szCs w:val="21"/>
                <w:u w:val="single"/>
                <w:vertAlign w:val="superscript"/>
                <w:lang w:val="en-US" w:eastAsia="zh-CN"/>
              </w:rPr>
              <w:t>3</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u w:val="single"/>
                <w:lang w:eastAsia="zh-CN"/>
              </w:rPr>
            </w:pPr>
            <w:r>
              <w:rPr>
                <w:rFonts w:hint="eastAsia"/>
                <w:b w:val="0"/>
                <w:bCs w:val="0"/>
                <w:sz w:val="21"/>
                <w:szCs w:val="21"/>
                <w:u w:val="single"/>
                <w:lang w:eastAsia="zh-CN"/>
              </w:rPr>
              <w:t>色度</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≤30mg/m</w:t>
            </w:r>
            <w:r>
              <w:rPr>
                <w:rFonts w:hint="eastAsia"/>
                <w:b w:val="0"/>
                <w:bCs w:val="0"/>
                <w:sz w:val="21"/>
                <w:szCs w:val="21"/>
                <w:u w:val="single"/>
                <w:vertAlign w:val="superscript"/>
                <w:lang w:val="en-US" w:eastAsia="zh-CN"/>
              </w:rPr>
              <w:t>3</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lang w:val="en-US" w:eastAsia="zh-CN"/>
              </w:rPr>
            </w:pPr>
            <w:r>
              <w:rPr>
                <w:rFonts w:hint="eastAsia"/>
                <w:b w:val="0"/>
                <w:bCs w:val="0"/>
                <w:sz w:val="21"/>
                <w:szCs w:val="21"/>
                <w:u w:val="single"/>
                <w:lang w:val="en-US" w:eastAsia="zh-CN"/>
              </w:rPr>
              <w:t>BOD</w:t>
            </w:r>
            <w:r>
              <w:rPr>
                <w:rFonts w:hint="eastAsia"/>
                <w:b w:val="0"/>
                <w:bCs w:val="0"/>
                <w:sz w:val="21"/>
                <w:szCs w:val="21"/>
                <w:u w:val="single"/>
                <w:vertAlign w:val="subscript"/>
                <w:lang w:val="en-US" w:eastAsia="zh-CN"/>
              </w:rPr>
              <w:t>5</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≤30mg/m</w:t>
            </w:r>
            <w:r>
              <w:rPr>
                <w:rFonts w:hint="eastAsia"/>
                <w:b w:val="0"/>
                <w:bCs w:val="0"/>
                <w:sz w:val="21"/>
                <w:szCs w:val="21"/>
                <w:u w:val="single"/>
                <w:vertAlign w:val="superscript"/>
                <w:lang w:val="en-US" w:eastAsia="zh-CN"/>
              </w:rPr>
              <w:t>3</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lang w:val="en-US" w:eastAsia="zh-CN"/>
              </w:rPr>
            </w:pPr>
            <w:r>
              <w:rPr>
                <w:rFonts w:hint="eastAsia"/>
                <w:b w:val="0"/>
                <w:bCs w:val="0"/>
                <w:sz w:val="21"/>
                <w:szCs w:val="21"/>
                <w:u w:val="single"/>
                <w:lang w:val="en-US" w:eastAsia="zh-CN"/>
              </w:rPr>
              <w:t>COD</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u w:val="single"/>
                <w:lang w:eastAsia="zh-CN"/>
              </w:rPr>
            </w:pPr>
            <w:r>
              <w:rPr>
                <w:rFonts w:hint="eastAsia"/>
                <w:b w:val="0"/>
                <w:bCs w:val="0"/>
                <w:sz w:val="21"/>
                <w:szCs w:val="21"/>
                <w:u w:val="single"/>
                <w:lang w:eastAsia="zh-CN"/>
              </w:rPr>
              <w:t>氨氮</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94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u w:val="single"/>
                <w:lang w:eastAsia="zh-CN"/>
              </w:rPr>
            </w:pPr>
            <w:r>
              <w:rPr>
                <w:rFonts w:hint="eastAsia"/>
                <w:b w:val="0"/>
                <w:bCs w:val="0"/>
                <w:sz w:val="21"/>
                <w:szCs w:val="21"/>
                <w:u w:val="single"/>
                <w:lang w:eastAsia="zh-CN"/>
              </w:rPr>
              <w:t>总磷</w:t>
            </w:r>
          </w:p>
        </w:tc>
        <w:tc>
          <w:tcPr>
            <w:tcW w:w="1792"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sz w:val="21"/>
                <w:szCs w:val="21"/>
                <w:u w:val="single"/>
                <w:lang w:val="en-US" w:eastAsia="zh-CN"/>
              </w:rPr>
            </w:pPr>
            <w:r>
              <w:rPr>
                <w:rFonts w:hint="eastAsia"/>
                <w:b w:val="0"/>
                <w:bCs w:val="0"/>
                <w:sz w:val="21"/>
                <w:szCs w:val="21"/>
                <w:u w:val="single"/>
                <w:lang w:val="en-US" w:eastAsia="zh-CN"/>
              </w:rPr>
              <w:t>/</w:t>
            </w:r>
          </w:p>
        </w:tc>
        <w:tc>
          <w:tcPr>
            <w:tcW w:w="2265" w:type="pct"/>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1"/>
                <w:szCs w:val="21"/>
                <w:lang w:eastAsia="zh-CN"/>
              </w:rPr>
            </w:pPr>
          </w:p>
        </w:tc>
      </w:tr>
    </w:tbl>
    <w:p>
      <w:pPr>
        <w:pStyle w:val="19"/>
        <w:keepNext w:val="0"/>
        <w:keepLines w:val="0"/>
        <w:widowControl/>
        <w:suppressLineNumbers w:val="0"/>
        <w:spacing w:before="0" w:beforeAutospacing="0" w:after="0" w:afterAutospacing="0"/>
        <w:ind w:left="0" w:right="0" w:firstLine="0"/>
        <w:rPr>
          <w:rFonts w:hint="default" w:ascii="Times New Roman" w:hAnsi="Times New Roman" w:eastAsia="宋体"/>
          <w:lang w:val="en-US" w:eastAsia="zh-CN"/>
        </w:rPr>
      </w:pPr>
      <w:r>
        <w:rPr>
          <w:rFonts w:hint="eastAsia" w:ascii="Times New Roman" w:hAnsi="Times New Roman" w:eastAsia="宋体"/>
          <w:lang w:val="en-US" w:eastAsia="zh-CN"/>
        </w:rPr>
        <w:t>（3）噪声</w:t>
      </w:r>
    </w:p>
    <w:p>
      <w:pPr>
        <w:pStyle w:val="19"/>
        <w:keepNext w:val="0"/>
        <w:keepLines w:val="0"/>
        <w:widowControl/>
        <w:suppressLineNumbers w:val="0"/>
        <w:spacing w:before="0" w:beforeAutospacing="0" w:after="0" w:afterAutospacing="0"/>
        <w:ind w:left="0" w:right="0" w:firstLine="0"/>
        <w:rPr>
          <w:rFonts w:hint="eastAsia" w:ascii="Times New Roman" w:hAnsi="Times New Roman" w:eastAsia="宋体"/>
          <w:lang w:eastAsia="zh-CN"/>
        </w:rPr>
      </w:pPr>
      <w:r>
        <w:rPr>
          <w:rFonts w:hint="eastAsia" w:ascii="Times New Roman" w:hAnsi="Times New Roman" w:eastAsia="宋体"/>
          <w:lang w:eastAsia="zh-CN"/>
        </w:rPr>
        <w:t>①施工噪声执行《建筑施工场界环境噪声排放标准》（GB12523-2011），具体标准值见表2.</w:t>
      </w:r>
      <w:r>
        <w:rPr>
          <w:rFonts w:hint="eastAsia" w:ascii="Times New Roman" w:hAnsi="Times New Roman" w:eastAsia="宋体"/>
          <w:lang w:val="en-US" w:eastAsia="zh-CN"/>
        </w:rPr>
        <w:t>4</w:t>
      </w:r>
      <w:r>
        <w:rPr>
          <w:rFonts w:hint="eastAsia" w:ascii="Times New Roman" w:hAnsi="Times New Roman" w:eastAsia="宋体"/>
          <w:lang w:eastAsia="zh-CN"/>
        </w:rPr>
        <w:t>-</w:t>
      </w:r>
      <w:r>
        <w:rPr>
          <w:rFonts w:hint="eastAsia"/>
          <w:lang w:val="en-US" w:eastAsia="zh-CN"/>
        </w:rPr>
        <w:t>9</w:t>
      </w:r>
      <w:r>
        <w:rPr>
          <w:rFonts w:hint="eastAsia" w:ascii="Times New Roman" w:hAnsi="Times New Roman" w:eastAsia="宋体"/>
          <w:lang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表2.4-9  建筑施工场界环境噪声排放限值         单位：dB（A）</w:t>
      </w:r>
    </w:p>
    <w:tbl>
      <w:tblPr>
        <w:tblStyle w:val="2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4"/>
        <w:gridCol w:w="4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4801" w:type="dxa"/>
            <w:tcBorders>
              <w:tl2br w:val="nil"/>
              <w:tr2bl w:val="nil"/>
            </w:tcBorders>
            <w:vAlign w:val="center"/>
          </w:tcPr>
          <w:p>
            <w:pPr>
              <w:pStyle w:val="30"/>
              <w:bidi w:val="0"/>
              <w:jc w:val="center"/>
            </w:pPr>
            <w:r>
              <w:t>昼间</w:t>
            </w:r>
          </w:p>
        </w:tc>
        <w:tc>
          <w:tcPr>
            <w:tcW w:w="5079" w:type="dxa"/>
            <w:tcBorders>
              <w:tl2br w:val="nil"/>
              <w:tr2bl w:val="nil"/>
            </w:tcBorders>
            <w:vAlign w:val="center"/>
          </w:tcPr>
          <w:p>
            <w:pPr>
              <w:pStyle w:val="30"/>
              <w:bidi w:val="0"/>
              <w:jc w:val="center"/>
            </w:pPr>
            <w: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4801" w:type="dxa"/>
            <w:tcBorders>
              <w:tl2br w:val="nil"/>
              <w:tr2bl w:val="nil"/>
            </w:tcBorders>
            <w:vAlign w:val="center"/>
          </w:tcPr>
          <w:p>
            <w:pPr>
              <w:pStyle w:val="30"/>
              <w:bidi w:val="0"/>
              <w:jc w:val="center"/>
            </w:pPr>
            <w:r>
              <w:t>70</w:t>
            </w:r>
          </w:p>
        </w:tc>
        <w:tc>
          <w:tcPr>
            <w:tcW w:w="5079" w:type="dxa"/>
            <w:tcBorders>
              <w:tl2br w:val="nil"/>
              <w:tr2bl w:val="nil"/>
            </w:tcBorders>
            <w:vAlign w:val="center"/>
          </w:tcPr>
          <w:p>
            <w:pPr>
              <w:pStyle w:val="30"/>
              <w:bidi w:val="0"/>
              <w:jc w:val="center"/>
            </w:pPr>
            <w:r>
              <w:t>55</w:t>
            </w:r>
          </w:p>
        </w:tc>
      </w:tr>
    </w:tbl>
    <w:p>
      <w:pPr>
        <w:pStyle w:val="19"/>
        <w:keepNext w:val="0"/>
        <w:keepLines w:val="0"/>
        <w:widowControl/>
        <w:suppressLineNumbers w:val="0"/>
        <w:spacing w:before="0" w:beforeAutospacing="0" w:after="0" w:afterAutospacing="0"/>
        <w:ind w:left="0" w:right="0" w:firstLine="0"/>
        <w:rPr>
          <w:rFonts w:hint="default" w:ascii="Times New Roman" w:hAnsi="Times New Roman" w:eastAsia="宋体"/>
          <w:u w:val="single"/>
          <w:lang w:val="en-US" w:eastAsia="zh-CN"/>
        </w:rPr>
      </w:pPr>
      <w:r>
        <w:rPr>
          <w:rFonts w:hint="default" w:ascii="Times New Roman" w:hAnsi="Times New Roman" w:eastAsia="宋体"/>
          <w:u w:val="single"/>
          <w:lang w:val="en-US" w:eastAsia="zh-CN"/>
        </w:rPr>
        <w:t>②本项目营运期噪声执行《工业企业厂界环境噪声排放标准》（GB12348-2008）中的</w:t>
      </w:r>
      <w:r>
        <w:rPr>
          <w:rFonts w:hint="eastAsia"/>
          <w:u w:val="single"/>
          <w:lang w:val="en-US" w:eastAsia="zh-CN"/>
        </w:rPr>
        <w:t>1</w:t>
      </w:r>
      <w:r>
        <w:rPr>
          <w:rFonts w:hint="default" w:ascii="Times New Roman" w:hAnsi="Times New Roman" w:eastAsia="宋体"/>
          <w:u w:val="single"/>
          <w:lang w:val="en-US" w:eastAsia="zh-CN"/>
        </w:rPr>
        <w:t>类标准，具体标准值见表2.</w:t>
      </w:r>
      <w:r>
        <w:rPr>
          <w:rFonts w:hint="eastAsia" w:ascii="Times New Roman" w:hAnsi="Times New Roman" w:eastAsia="宋体"/>
          <w:u w:val="single"/>
          <w:lang w:val="en-US" w:eastAsia="zh-CN"/>
        </w:rPr>
        <w:t>4</w:t>
      </w:r>
      <w:r>
        <w:rPr>
          <w:rFonts w:hint="default" w:ascii="Times New Roman" w:hAnsi="Times New Roman" w:eastAsia="宋体"/>
          <w:u w:val="single"/>
          <w:lang w:val="en-US" w:eastAsia="zh-CN"/>
        </w:rPr>
        <w:t>-</w:t>
      </w:r>
      <w:r>
        <w:rPr>
          <w:rFonts w:hint="eastAsia"/>
          <w:u w:val="single"/>
          <w:lang w:val="en-US" w:eastAsia="zh-CN"/>
        </w:rPr>
        <w:t>10</w:t>
      </w:r>
      <w:r>
        <w:rPr>
          <w:rFonts w:hint="default" w:ascii="Times New Roman" w:hAnsi="Times New Roman" w:eastAsia="宋体"/>
          <w:u w:val="singl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表2.4-10  工业企业厂界环境噪声排放标准     单位：dB（A）</w:t>
      </w:r>
    </w:p>
    <w:tbl>
      <w:tblPr>
        <w:tblStyle w:val="21"/>
        <w:tblW w:w="50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1"/>
        <w:gridCol w:w="2923"/>
        <w:gridCol w:w="3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918" w:type="dxa"/>
            <w:tcBorders>
              <w:tl2br w:val="nil"/>
              <w:tr2bl w:val="nil"/>
            </w:tcBorders>
            <w:vAlign w:val="center"/>
          </w:tcPr>
          <w:p>
            <w:pPr>
              <w:pStyle w:val="30"/>
              <w:bidi w:val="0"/>
              <w:rPr>
                <w:rFonts w:hint="eastAsia"/>
                <w:lang w:eastAsia="zh-CN"/>
              </w:rPr>
            </w:pPr>
            <w:r>
              <w:rPr>
                <w:rFonts w:hint="eastAsia"/>
                <w:lang w:eastAsia="zh-CN"/>
              </w:rPr>
              <w:t>厂区外声功能区类别</w:t>
            </w:r>
          </w:p>
        </w:tc>
        <w:tc>
          <w:tcPr>
            <w:tcW w:w="2920" w:type="dxa"/>
            <w:tcBorders>
              <w:tl2br w:val="nil"/>
              <w:tr2bl w:val="nil"/>
            </w:tcBorders>
            <w:vAlign w:val="center"/>
          </w:tcPr>
          <w:p>
            <w:pPr>
              <w:pStyle w:val="30"/>
              <w:bidi w:val="0"/>
            </w:pPr>
            <w:r>
              <w:t>昼间</w:t>
            </w:r>
          </w:p>
        </w:tc>
        <w:tc>
          <w:tcPr>
            <w:tcW w:w="3245" w:type="dxa"/>
            <w:tcBorders>
              <w:tl2br w:val="nil"/>
              <w:tr2bl w:val="nil"/>
            </w:tcBorders>
            <w:vAlign w:val="center"/>
          </w:tcPr>
          <w:p>
            <w:pPr>
              <w:pStyle w:val="30"/>
              <w:bidi w:val="0"/>
            </w:pPr>
            <w: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918" w:type="dxa"/>
            <w:tcBorders>
              <w:tl2br w:val="nil"/>
              <w:tr2bl w:val="nil"/>
            </w:tcBorders>
            <w:vAlign w:val="center"/>
          </w:tcPr>
          <w:p>
            <w:pPr>
              <w:pStyle w:val="30"/>
              <w:bidi w:val="0"/>
              <w:rPr>
                <w:rFonts w:hint="default"/>
                <w:u w:val="single"/>
                <w:lang w:val="en-US" w:eastAsia="zh-CN"/>
              </w:rPr>
            </w:pPr>
            <w:r>
              <w:rPr>
                <w:rFonts w:hint="eastAsia"/>
                <w:u w:val="single"/>
                <w:lang w:val="en-US" w:eastAsia="zh-CN"/>
              </w:rPr>
              <w:t>1类</w:t>
            </w:r>
          </w:p>
        </w:tc>
        <w:tc>
          <w:tcPr>
            <w:tcW w:w="2920" w:type="dxa"/>
            <w:tcBorders>
              <w:tl2br w:val="nil"/>
              <w:tr2bl w:val="nil"/>
            </w:tcBorders>
            <w:vAlign w:val="center"/>
          </w:tcPr>
          <w:p>
            <w:pPr>
              <w:pStyle w:val="30"/>
              <w:bidi w:val="0"/>
              <w:rPr>
                <w:rFonts w:hint="default"/>
                <w:u w:val="single"/>
                <w:lang w:val="en-US" w:eastAsia="zh-CN"/>
              </w:rPr>
            </w:pPr>
            <w:r>
              <w:rPr>
                <w:rFonts w:hint="eastAsia"/>
                <w:u w:val="single"/>
                <w:lang w:val="en-US" w:eastAsia="zh-CN"/>
              </w:rPr>
              <w:t>55</w:t>
            </w:r>
          </w:p>
        </w:tc>
        <w:tc>
          <w:tcPr>
            <w:tcW w:w="3245" w:type="dxa"/>
            <w:tcBorders>
              <w:tl2br w:val="nil"/>
              <w:tr2bl w:val="nil"/>
            </w:tcBorders>
            <w:vAlign w:val="center"/>
          </w:tcPr>
          <w:p>
            <w:pPr>
              <w:pStyle w:val="30"/>
              <w:bidi w:val="0"/>
              <w:rPr>
                <w:rFonts w:hint="default"/>
                <w:u w:val="single"/>
                <w:lang w:val="en-US" w:eastAsia="zh-CN"/>
              </w:rPr>
            </w:pPr>
            <w:r>
              <w:rPr>
                <w:rFonts w:hint="eastAsia"/>
                <w:u w:val="single"/>
                <w:lang w:val="en-US" w:eastAsia="zh-CN"/>
              </w:rPr>
              <w:t>45</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）固体废弃物</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一般固废执行《一般工业固体废物贮存、处置场污染控制标准》（</w:t>
      </w:r>
      <w:r>
        <w:rPr>
          <w:rFonts w:hint="default" w:ascii="Times New Roman" w:hAnsi="Times New Roman" w:eastAsia="宋体" w:cs="Times New Roman"/>
          <w:color w:val="000000"/>
          <w:kern w:val="0"/>
          <w:sz w:val="24"/>
          <w:szCs w:val="24"/>
          <w:lang w:val="en-US" w:eastAsia="zh-CN" w:bidi="ar"/>
        </w:rPr>
        <w:t>GB18599-2</w:t>
      </w:r>
      <w:r>
        <w:rPr>
          <w:rFonts w:hint="eastAsia" w:cs="Times New Roman"/>
          <w:color w:val="000000"/>
          <w:kern w:val="0"/>
          <w:sz w:val="24"/>
          <w:szCs w:val="24"/>
          <w:lang w:val="en-US" w:eastAsia="zh-CN" w:bidi="ar"/>
        </w:rPr>
        <w:t>020</w:t>
      </w:r>
      <w:r>
        <w:rPr>
          <w:rFonts w:hint="eastAsia" w:ascii="宋体" w:hAnsi="宋体" w:eastAsia="宋体" w:cs="宋体"/>
          <w:color w:val="000000"/>
          <w:kern w:val="0"/>
          <w:sz w:val="24"/>
          <w:szCs w:val="24"/>
          <w:lang w:val="en-US" w:eastAsia="zh-CN" w:bidi="ar"/>
        </w:rPr>
        <w:t>）规定</w:t>
      </w:r>
      <w:r>
        <w:rPr>
          <w:rFonts w:hint="eastAsia" w:ascii="宋体" w:hAnsi="宋体" w:cs="宋体"/>
          <w:color w:val="000000"/>
          <w:kern w:val="0"/>
          <w:sz w:val="24"/>
          <w:szCs w:val="24"/>
          <w:lang w:val="en-US" w:eastAsia="zh-CN" w:bidi="ar"/>
        </w:rPr>
        <w:t>和</w:t>
      </w:r>
      <w:r>
        <w:rPr>
          <w:rFonts w:hint="eastAsia"/>
          <w:lang w:val="en-US" w:eastAsia="zh-CN"/>
        </w:rPr>
        <w:t>满足</w:t>
      </w:r>
      <w:r>
        <w:rPr>
          <w:rFonts w:hint="eastAsia"/>
          <w:lang w:val="en-US"/>
        </w:rPr>
        <w:t>《废塑料回收与再生利用污染控制技术规范（试行）》（HJ/T364-2007）</w:t>
      </w:r>
      <w:r>
        <w:rPr>
          <w:rFonts w:hint="eastAsia"/>
          <w:lang w:val="en-US" w:eastAsia="zh-CN"/>
        </w:rPr>
        <w:t>规定</w:t>
      </w:r>
      <w:r>
        <w:rPr>
          <w:rFonts w:hint="eastAsia" w:ascii="宋体" w:hAnsi="宋体" w:eastAsia="宋体" w:cs="宋体"/>
          <w:color w:val="000000"/>
          <w:kern w:val="0"/>
          <w:sz w:val="24"/>
          <w:szCs w:val="24"/>
          <w:lang w:val="en-US" w:eastAsia="zh-CN" w:bidi="ar"/>
        </w:rPr>
        <w:t>；危险废物执行</w:t>
      </w:r>
      <w:bookmarkStart w:id="372" w:name="_GoBack"/>
      <w:r>
        <w:rPr>
          <w:rFonts w:hint="eastAsia" w:ascii="宋体" w:hAnsi="宋体" w:eastAsia="宋体" w:cs="宋体"/>
          <w:color w:val="000000"/>
          <w:kern w:val="0"/>
          <w:sz w:val="24"/>
          <w:szCs w:val="24"/>
          <w:lang w:val="en-US" w:eastAsia="zh-CN" w:bidi="ar"/>
        </w:rPr>
        <w:t>《危险废物贮存污染控制标准》（</w:t>
      </w:r>
      <w:r>
        <w:rPr>
          <w:rFonts w:hint="default" w:ascii="Times New Roman" w:hAnsi="Times New Roman" w:eastAsia="宋体" w:cs="Times New Roman"/>
          <w:color w:val="000000"/>
          <w:kern w:val="0"/>
          <w:sz w:val="24"/>
          <w:szCs w:val="24"/>
          <w:lang w:val="en-US" w:eastAsia="zh-CN" w:bidi="ar"/>
        </w:rPr>
        <w:t>GB18597-2001</w:t>
      </w:r>
      <w:r>
        <w:rPr>
          <w:rFonts w:hint="eastAsia" w:ascii="宋体" w:hAnsi="宋体" w:eastAsia="宋体" w:cs="宋体"/>
          <w:color w:val="000000"/>
          <w:kern w:val="0"/>
          <w:sz w:val="24"/>
          <w:szCs w:val="24"/>
          <w:lang w:val="en-US" w:eastAsia="zh-CN" w:bidi="ar"/>
        </w:rPr>
        <w:t>）及其修改单规定</w:t>
      </w:r>
      <w:bookmarkEnd w:id="372"/>
      <w:r>
        <w:rPr>
          <w:rFonts w:hint="eastAsia" w:ascii="宋体" w:hAnsi="宋体" w:eastAsia="宋体" w:cs="宋体"/>
          <w:color w:val="000000"/>
          <w:kern w:val="0"/>
          <w:sz w:val="24"/>
          <w:szCs w:val="24"/>
          <w:lang w:val="en-US" w:eastAsia="zh-CN" w:bidi="ar"/>
        </w:rPr>
        <w:t>。</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41" w:name="_Toc22941"/>
      <w:bookmarkStart w:id="42" w:name="_Toc4082"/>
      <w:bookmarkStart w:id="43" w:name="_Toc16029"/>
      <w:r>
        <w:rPr>
          <w:rFonts w:hint="eastAsia"/>
          <w:lang w:val="en-US" w:eastAsia="zh-CN"/>
        </w:rPr>
        <w:t>2.5 评价工作等级和范围</w:t>
      </w:r>
      <w:bookmarkEnd w:id="41"/>
      <w:bookmarkEnd w:id="42"/>
      <w:bookmarkEnd w:id="43"/>
    </w:p>
    <w:p>
      <w:pPr>
        <w:pStyle w:val="4"/>
        <w:bidi w:val="0"/>
      </w:pPr>
      <w:r>
        <w:rPr>
          <w:rFonts w:hint="eastAsia"/>
          <w:lang w:val="en-US" w:eastAsia="zh-CN"/>
        </w:rPr>
        <w:t xml:space="preserve">2.5.1 </w:t>
      </w:r>
      <w:r>
        <w:rPr>
          <w:rFonts w:hint="eastAsia"/>
        </w:rPr>
        <w:t>环境空气评价等级</w:t>
      </w:r>
    </w:p>
    <w:p>
      <w:pPr>
        <w:bidi w:val="0"/>
        <w:rPr>
          <w:sz w:val="24"/>
          <w:szCs w:val="24"/>
        </w:rPr>
      </w:pPr>
      <w:r>
        <w:rPr>
          <w:sz w:val="24"/>
          <w:szCs w:val="24"/>
        </w:rPr>
        <w:t>根据《环境影响评价技术导则-大气环境》（HJ2.2-2018）中的有关规定，将大气环境影响评价工作分为一、二、三级，划分依据见表</w:t>
      </w:r>
      <w:r>
        <w:rPr>
          <w:rFonts w:hint="eastAsia"/>
          <w:sz w:val="24"/>
          <w:szCs w:val="24"/>
          <w:lang w:val="en-US" w:eastAsia="zh-CN"/>
        </w:rPr>
        <w:t>2</w:t>
      </w:r>
      <w:r>
        <w:rPr>
          <w:sz w:val="24"/>
          <w:szCs w:val="24"/>
        </w:rPr>
        <w:t>.</w:t>
      </w:r>
      <w:r>
        <w:rPr>
          <w:rFonts w:hint="eastAsia"/>
          <w:sz w:val="24"/>
          <w:szCs w:val="24"/>
          <w:lang w:val="en-US" w:eastAsia="zh-CN"/>
        </w:rPr>
        <w:t>5</w:t>
      </w:r>
      <w:r>
        <w:rPr>
          <w:sz w:val="24"/>
          <w:szCs w:val="24"/>
        </w:rPr>
        <w:t>-1。</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sz w:val="24"/>
          <w:szCs w:val="24"/>
        </w:rPr>
        <w:drawing>
          <wp:anchor distT="0" distB="0" distL="114300" distR="114300" simplePos="0" relativeHeight="251659264" behindDoc="0" locked="0" layoutInCell="1" allowOverlap="1">
            <wp:simplePos x="0" y="0"/>
            <wp:positionH relativeFrom="column">
              <wp:posOffset>3117850</wp:posOffset>
            </wp:positionH>
            <wp:positionV relativeFrom="paragraph">
              <wp:posOffset>27940</wp:posOffset>
            </wp:positionV>
            <wp:extent cx="789305" cy="360045"/>
            <wp:effectExtent l="0" t="0" r="10795"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789305" cy="360045"/>
                    </a:xfrm>
                    <a:prstGeom prst="rect">
                      <a:avLst/>
                    </a:prstGeom>
                    <a:noFill/>
                    <a:ln>
                      <a:noFill/>
                    </a:ln>
                  </pic:spPr>
                </pic:pic>
              </a:graphicData>
            </a:graphic>
          </wp:anchor>
        </w:drawing>
      </w:r>
      <w:r>
        <w:rPr>
          <w:rFonts w:ascii="Times New Roman" w:hAnsi="Times New Roman" w:eastAsia="宋体"/>
          <w:spacing w:val="-4"/>
          <w:position w:val="2"/>
          <w:sz w:val="24"/>
          <w:szCs w:val="24"/>
        </w:rPr>
        <w:t>各污染物的最大地面浓度占标率</w:t>
      </w:r>
      <w:r>
        <w:rPr>
          <w:rFonts w:ascii="Times New Roman" w:hAnsi="Times New Roman" w:eastAsia="宋体"/>
          <w:position w:val="2"/>
          <w:sz w:val="24"/>
          <w:szCs w:val="24"/>
        </w:rPr>
        <w:t>P</w:t>
      </w:r>
      <w:r>
        <w:rPr>
          <w:rFonts w:ascii="Times New Roman" w:hAnsi="Times New Roman" w:eastAsia="宋体"/>
          <w:sz w:val="24"/>
          <w:szCs w:val="24"/>
        </w:rPr>
        <w:t>i</w:t>
      </w:r>
      <w:r>
        <w:rPr>
          <w:rFonts w:ascii="Times New Roman" w:hAnsi="Times New Roman" w:eastAsia="宋体"/>
          <w:spacing w:val="-5"/>
          <w:position w:val="2"/>
          <w:sz w:val="24"/>
          <w:szCs w:val="24"/>
        </w:rPr>
        <w:t>的计算：</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式中：Pi——第i个污染物的最大地面浓度占标率，%；</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Ci——采用估算模式计算出的第i个污染物的最大地面浓度，</w:t>
      </w:r>
      <w:r>
        <w:rPr>
          <w:rFonts w:hint="default" w:ascii="Times New Roman" w:hAnsi="Times New Roman" w:cs="Times New Roman"/>
          <w:sz w:val="24"/>
          <w:szCs w:val="24"/>
          <w:lang w:eastAsia="zh-CN"/>
        </w:rPr>
        <w:t>μ</w:t>
      </w:r>
      <w:r>
        <w:rPr>
          <w:rFonts w:hint="default" w:ascii="Times New Roman" w:hAnsi="Times New Roman" w:eastAsia="宋体" w:cs="Times New Roman"/>
          <w:sz w:val="24"/>
          <w:szCs w:val="24"/>
        </w:rPr>
        <w:t>g/m</w:t>
      </w:r>
      <w:r>
        <w:rPr>
          <w:rFonts w:hint="default" w:ascii="Times New Roman" w:hAnsi="Times New Roman" w:cs="Times New Roman"/>
          <w:sz w:val="24"/>
          <w:szCs w:val="24"/>
          <w:vertAlign w:val="superscript"/>
          <w:lang w:val="en-US" w:eastAsia="zh-CN"/>
        </w:rPr>
        <w:t>3</w:t>
      </w:r>
      <w:r>
        <w:rPr>
          <w:rFonts w:hint="default" w:ascii="Times New Roman" w:hAnsi="Times New Roman" w:eastAsia="宋体" w:cs="Times New Roman"/>
          <w:sz w:val="24"/>
          <w:szCs w:val="24"/>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Coi——第i个污染物的环境空气质量标准，</w:t>
      </w:r>
      <w:r>
        <w:rPr>
          <w:rFonts w:hint="default" w:ascii="Times New Roman" w:hAnsi="Times New Roman" w:cs="Times New Roman"/>
          <w:sz w:val="24"/>
          <w:szCs w:val="24"/>
          <w:lang w:eastAsia="zh-CN"/>
        </w:rPr>
        <w:t>μ</w:t>
      </w:r>
      <w:r>
        <w:rPr>
          <w:rFonts w:hint="default" w:ascii="Times New Roman" w:hAnsi="Times New Roman" w:eastAsia="宋体" w:cs="Times New Roman"/>
          <w:sz w:val="24"/>
          <w:szCs w:val="24"/>
        </w:rPr>
        <w:t>g/m</w:t>
      </w:r>
      <w:r>
        <w:rPr>
          <w:rFonts w:hint="default" w:ascii="Times New Roman" w:hAnsi="Times New Roman" w:cs="Times New Roman"/>
          <w:sz w:val="24"/>
          <w:szCs w:val="24"/>
          <w:vertAlign w:val="superscript"/>
          <w:lang w:val="en-US" w:eastAsia="zh-CN"/>
        </w:rPr>
        <w:t>3</w:t>
      </w:r>
      <w:r>
        <w:rPr>
          <w:rFonts w:ascii="Times New Roman" w:hAnsi="Times New Roman" w:eastAsia="宋体"/>
          <w:sz w:val="24"/>
          <w:szCs w:val="24"/>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default"/>
          <w:b/>
          <w:bCs/>
          <w:lang w:val="en-US" w:eastAsia="zh-CN"/>
        </w:rPr>
        <w:t>表2.5-1  大气环境评价工作级别（一、二、三级）</w:t>
      </w:r>
    </w:p>
    <w:tbl>
      <w:tblPr>
        <w:tblStyle w:val="21"/>
        <w:tblW w:w="501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824"/>
        <w:gridCol w:w="52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jc w:val="center"/>
        </w:trPr>
        <w:tc>
          <w:tcPr>
            <w:tcW w:w="4147" w:type="dxa"/>
            <w:tcBorders>
              <w:top w:val="single" w:color="000000" w:sz="4" w:space="0"/>
              <w:left w:val="single" w:color="000000" w:sz="4" w:space="0"/>
              <w:bottom w:val="single" w:color="000000" w:sz="4" w:space="0"/>
              <w:right w:val="single" w:color="000000" w:sz="4" w:space="0"/>
            </w:tcBorders>
            <w:vAlign w:val="top"/>
          </w:tcPr>
          <w:p>
            <w:pPr>
              <w:pStyle w:val="30"/>
              <w:bidi w:val="0"/>
            </w:pPr>
            <w:r>
              <w:t>评价工作等级</w:t>
            </w:r>
          </w:p>
        </w:tc>
        <w:tc>
          <w:tcPr>
            <w:tcW w:w="5733" w:type="dxa"/>
            <w:tcBorders>
              <w:top w:val="single" w:color="000000" w:sz="4" w:space="0"/>
              <w:left w:val="single" w:color="000000" w:sz="4" w:space="0"/>
              <w:bottom w:val="single" w:color="000000" w:sz="4" w:space="0"/>
              <w:right w:val="single" w:color="000000" w:sz="4" w:space="0"/>
            </w:tcBorders>
            <w:vAlign w:val="top"/>
          </w:tcPr>
          <w:p>
            <w:pPr>
              <w:pStyle w:val="30"/>
              <w:bidi w:val="0"/>
            </w:pPr>
            <w: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 w:hRule="atLeast"/>
          <w:jc w:val="center"/>
        </w:trPr>
        <w:tc>
          <w:tcPr>
            <w:tcW w:w="4147" w:type="dxa"/>
            <w:tcBorders>
              <w:top w:val="single" w:color="000000" w:sz="4" w:space="0"/>
              <w:left w:val="single" w:color="000000" w:sz="4" w:space="0"/>
              <w:bottom w:val="single" w:color="000000" w:sz="4" w:space="0"/>
              <w:right w:val="single" w:color="000000" w:sz="4" w:space="0"/>
            </w:tcBorders>
            <w:vAlign w:val="top"/>
          </w:tcPr>
          <w:p>
            <w:pPr>
              <w:pStyle w:val="30"/>
              <w:bidi w:val="0"/>
            </w:pPr>
            <w:r>
              <w:t>一级</w:t>
            </w:r>
          </w:p>
        </w:tc>
        <w:tc>
          <w:tcPr>
            <w:tcW w:w="5733" w:type="dxa"/>
            <w:tcBorders>
              <w:top w:val="single" w:color="000000" w:sz="4" w:space="0"/>
              <w:left w:val="single" w:color="000000" w:sz="4" w:space="0"/>
              <w:bottom w:val="single" w:color="000000" w:sz="4" w:space="0"/>
              <w:right w:val="single" w:color="000000" w:sz="4" w:space="0"/>
            </w:tcBorders>
            <w:vAlign w:val="top"/>
          </w:tcPr>
          <w:p>
            <w:pPr>
              <w:pStyle w:val="30"/>
              <w:bidi w:val="0"/>
            </w:pPr>
            <w:r>
              <w:t>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jc w:val="center"/>
        </w:trPr>
        <w:tc>
          <w:tcPr>
            <w:tcW w:w="4147" w:type="dxa"/>
            <w:tcBorders>
              <w:top w:val="single" w:color="000000" w:sz="4" w:space="0"/>
              <w:left w:val="single" w:color="000000" w:sz="4" w:space="0"/>
              <w:bottom w:val="single" w:color="000000" w:sz="4" w:space="0"/>
              <w:right w:val="single" w:color="000000" w:sz="4" w:space="0"/>
            </w:tcBorders>
            <w:vAlign w:val="top"/>
          </w:tcPr>
          <w:p>
            <w:pPr>
              <w:pStyle w:val="30"/>
              <w:bidi w:val="0"/>
            </w:pPr>
            <w:r>
              <w:t>二级</w:t>
            </w:r>
          </w:p>
        </w:tc>
        <w:tc>
          <w:tcPr>
            <w:tcW w:w="5733" w:type="dxa"/>
            <w:tcBorders>
              <w:top w:val="single" w:color="000000" w:sz="4" w:space="0"/>
              <w:left w:val="single" w:color="000000" w:sz="4" w:space="0"/>
              <w:bottom w:val="single" w:color="000000" w:sz="4" w:space="0"/>
              <w:right w:val="single" w:color="000000" w:sz="4" w:space="0"/>
            </w:tcBorders>
            <w:vAlign w:val="top"/>
          </w:tcPr>
          <w:p>
            <w:pPr>
              <w:pStyle w:val="30"/>
              <w:bidi w:val="0"/>
            </w:pPr>
            <w:r>
              <w:t>1%≤Pmax＜10%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 w:hRule="atLeast"/>
          <w:jc w:val="center"/>
        </w:trPr>
        <w:tc>
          <w:tcPr>
            <w:tcW w:w="4147" w:type="dxa"/>
            <w:tcBorders>
              <w:top w:val="single" w:color="000000" w:sz="4" w:space="0"/>
              <w:left w:val="single" w:color="000000" w:sz="4" w:space="0"/>
              <w:bottom w:val="single" w:color="000000" w:sz="4" w:space="0"/>
              <w:right w:val="single" w:color="000000" w:sz="4" w:space="0"/>
            </w:tcBorders>
            <w:vAlign w:val="top"/>
          </w:tcPr>
          <w:p>
            <w:pPr>
              <w:pStyle w:val="30"/>
              <w:bidi w:val="0"/>
            </w:pPr>
            <w:r>
              <w:t>三级</w:t>
            </w:r>
          </w:p>
        </w:tc>
        <w:tc>
          <w:tcPr>
            <w:tcW w:w="5733" w:type="dxa"/>
            <w:tcBorders>
              <w:top w:val="single" w:color="000000" w:sz="4" w:space="0"/>
              <w:left w:val="single" w:color="000000" w:sz="4" w:space="0"/>
              <w:bottom w:val="single" w:color="000000" w:sz="4" w:space="0"/>
              <w:right w:val="single" w:color="000000" w:sz="4" w:space="0"/>
            </w:tcBorders>
            <w:vAlign w:val="top"/>
          </w:tcPr>
          <w:p>
            <w:pPr>
              <w:pStyle w:val="30"/>
              <w:bidi w:val="0"/>
            </w:pPr>
            <w:r>
              <w:t>Pmax＜1%</w:t>
            </w:r>
          </w:p>
        </w:tc>
      </w:tr>
    </w:tbl>
    <w:p>
      <w:pPr>
        <w:bidi w:val="0"/>
      </w:pPr>
      <w:r>
        <w:rPr>
          <w:rFonts w:hint="eastAsia"/>
          <w:u w:val="single"/>
          <w:lang w:val="en-US" w:eastAsia="zh-CN"/>
        </w:rPr>
        <w:t>本评价选取非甲烷总烃、苯乙烯、氨、硫化氢和颗粒物为主要污染物进行评价工作等级的确定</w:t>
      </w:r>
      <w:r>
        <w:rPr>
          <w:rFonts w:hint="eastAsia"/>
          <w:lang w:val="en-US" w:eastAsia="zh-CN"/>
        </w:rPr>
        <w:t>，采用《环境影响评价技术导则  大气环境》（</w:t>
      </w:r>
      <w:r>
        <w:rPr>
          <w:rFonts w:hint="default"/>
          <w:lang w:val="en-US" w:eastAsia="zh-CN"/>
        </w:rPr>
        <w:t>HJ2.2-2018</w:t>
      </w:r>
      <w:r>
        <w:rPr>
          <w:rFonts w:hint="eastAsia"/>
          <w:lang w:val="en-US" w:eastAsia="zh-CN"/>
        </w:rPr>
        <w:t>）中推荐的</w:t>
      </w:r>
      <w:r>
        <w:rPr>
          <w:rFonts w:hint="default"/>
          <w:lang w:val="en-US" w:eastAsia="zh-CN"/>
        </w:rPr>
        <w:t>Aerscreen</w:t>
      </w:r>
      <w:r>
        <w:rPr>
          <w:rFonts w:hint="eastAsia"/>
          <w:lang w:val="en-US" w:eastAsia="zh-CN"/>
        </w:rPr>
        <w:t>估算模式进行计算。评价因子和评价标准见表</w:t>
      </w:r>
      <w:r>
        <w:rPr>
          <w:rFonts w:hint="default"/>
          <w:lang w:val="en-US" w:eastAsia="zh-CN"/>
        </w:rPr>
        <w:t>2.</w:t>
      </w:r>
      <w:r>
        <w:rPr>
          <w:rFonts w:hint="eastAsia"/>
          <w:lang w:val="en-US" w:eastAsia="zh-CN"/>
        </w:rPr>
        <w:t>5</w:t>
      </w:r>
      <w:r>
        <w:rPr>
          <w:rFonts w:hint="default"/>
          <w:lang w:val="en-US" w:eastAsia="zh-CN"/>
        </w:rPr>
        <w:t>-2</w:t>
      </w:r>
      <w:r>
        <w:rPr>
          <w:rFonts w:hint="eastAsia"/>
          <w:lang w:val="en-US" w:eastAsia="zh-CN"/>
        </w:rPr>
        <w:t>、估算模型参数见表</w:t>
      </w:r>
      <w:r>
        <w:rPr>
          <w:rFonts w:hint="default"/>
          <w:lang w:val="en-US" w:eastAsia="zh-CN"/>
        </w:rPr>
        <w:t>2.</w:t>
      </w:r>
      <w:r>
        <w:rPr>
          <w:rFonts w:hint="eastAsia"/>
          <w:lang w:val="en-US" w:eastAsia="zh-CN"/>
        </w:rPr>
        <w:t>5</w:t>
      </w:r>
      <w:r>
        <w:rPr>
          <w:rFonts w:hint="default"/>
          <w:lang w:val="en-US" w:eastAsia="zh-CN"/>
        </w:rPr>
        <w:t>-3</w:t>
      </w:r>
      <w:r>
        <w:rPr>
          <w:rFonts w:hint="eastAsia"/>
          <w:lang w:val="en-US" w:eastAsia="zh-CN"/>
        </w:rPr>
        <w:t>、计算结果见表</w:t>
      </w:r>
      <w:r>
        <w:rPr>
          <w:rFonts w:hint="default"/>
          <w:lang w:val="en-US" w:eastAsia="zh-CN"/>
        </w:rPr>
        <w:t>2.</w:t>
      </w:r>
      <w:r>
        <w:rPr>
          <w:rFonts w:hint="eastAsia"/>
          <w:lang w:val="en-US" w:eastAsia="zh-CN"/>
        </w:rPr>
        <w:t>5</w:t>
      </w:r>
      <w:r>
        <w:rPr>
          <w:rFonts w:hint="default"/>
          <w:lang w:val="en-US" w:eastAsia="zh-CN"/>
        </w:rPr>
        <w:t>-4</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表2.5-2  评价因子和评价标准表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1286"/>
        <w:gridCol w:w="1494"/>
        <w:gridCol w:w="1444"/>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污染物名称</w:t>
            </w:r>
          </w:p>
        </w:tc>
        <w:tc>
          <w:tcPr>
            <w:tcW w:w="692"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功能区</w:t>
            </w:r>
          </w:p>
        </w:tc>
        <w:tc>
          <w:tcPr>
            <w:tcW w:w="80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取值时间</w:t>
            </w:r>
          </w:p>
        </w:tc>
        <w:tc>
          <w:tcPr>
            <w:tcW w:w="777"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标准值</w:t>
            </w:r>
          </w:p>
        </w:tc>
        <w:tc>
          <w:tcPr>
            <w:tcW w:w="1727"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4"/>
                <w:vertAlign w:val="baseline"/>
              </w:rPr>
            </w:pPr>
            <w:r>
              <w:rPr>
                <w:rFonts w:hint="eastAsia" w:ascii="宋体" w:hAnsi="宋体" w:eastAsia="宋体" w:cs="宋体"/>
                <w:b w:val="0"/>
                <w:bCs w:val="0"/>
                <w:color w:val="000000"/>
                <w:kern w:val="0"/>
                <w:sz w:val="21"/>
                <w:szCs w:val="21"/>
                <w:lang w:val="en-US" w:eastAsia="zh-CN"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color w:val="000000" w:themeColor="text1"/>
                <w:spacing w:val="-16"/>
                <w:sz w:val="21"/>
                <w:szCs w:val="21"/>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颗粒物</w:t>
            </w:r>
          </w:p>
        </w:tc>
        <w:tc>
          <w:tcPr>
            <w:tcW w:w="692" w:type="pct"/>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二类限区</w:t>
            </w:r>
          </w:p>
        </w:tc>
        <w:tc>
          <w:tcPr>
            <w:tcW w:w="804" w:type="pct"/>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一小时</w:t>
            </w:r>
          </w:p>
        </w:tc>
        <w:tc>
          <w:tcPr>
            <w:tcW w:w="777"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b w:val="0"/>
                <w:bCs w:val="0"/>
                <w:color w:val="000000" w:themeColor="text1"/>
                <w:spacing w:val="-16"/>
                <w:sz w:val="21"/>
                <w:szCs w:val="21"/>
                <w:vertAlign w:val="baseline"/>
                <w:lang w:val="en-US"/>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450</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μg/m</w:t>
            </w:r>
            <w:r>
              <w:rPr>
                <w:rFonts w:hint="eastAsia"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p>
        </w:tc>
        <w:tc>
          <w:tcPr>
            <w:tcW w:w="1727" w:type="pct"/>
            <w:vAlign w:val="center"/>
          </w:tcPr>
          <w:p>
            <w:pPr>
              <w:pStyle w:val="30"/>
              <w:bidi w:val="0"/>
              <w:rPr>
                <w:color w:val="C00000"/>
                <w:sz w:val="21"/>
                <w:szCs w:val="21"/>
              </w:rPr>
            </w:pPr>
            <w:r>
              <w:rPr>
                <w:rFonts w:hint="eastAsia" w:ascii="宋体" w:hAnsi="宋体" w:eastAsia="宋体" w:cs="宋体"/>
                <w:color w:val="000000"/>
                <w:kern w:val="0"/>
                <w:sz w:val="21"/>
                <w:szCs w:val="21"/>
                <w:lang w:val="en-US" w:eastAsia="zh-CN" w:bidi="ar"/>
              </w:rPr>
              <w:t>《环境空气质量标准》（</w:t>
            </w:r>
            <w:r>
              <w:rPr>
                <w:rFonts w:hint="default" w:ascii="Times New Roman" w:hAnsi="Times New Roman" w:eastAsia="宋体" w:cs="Times New Roman"/>
                <w:color w:val="000000"/>
                <w:kern w:val="0"/>
                <w:sz w:val="21"/>
                <w:szCs w:val="21"/>
                <w:lang w:val="en-US" w:eastAsia="zh-CN" w:bidi="ar"/>
              </w:rPr>
              <w:t>GB3095-2012</w:t>
            </w:r>
            <w:r>
              <w:rPr>
                <w:rFonts w:hint="eastAsia" w:ascii="宋体" w:hAnsi="宋体" w:eastAsia="宋体" w:cs="宋体"/>
                <w:color w:val="000000"/>
                <w:kern w:val="0"/>
                <w:sz w:val="21"/>
                <w:szCs w:val="21"/>
                <w:lang w:val="en-US" w:eastAsia="zh-CN" w:bidi="ar"/>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r>
              <w:rPr>
                <w:rFonts w:hint="eastAsia" w:ascii="Times New Roman" w:hAnsi="Times New Roman" w:eastAsia="宋体" w:cs="Times New Roman"/>
                <w:color w:val="000000"/>
                <w:kern w:val="0"/>
                <w:sz w:val="21"/>
                <w:szCs w:val="21"/>
                <w:lang w:val="en-US" w:eastAsia="zh-CN" w:bidi="ar"/>
              </w:rPr>
              <w:t>非甲烷总烃</w:t>
            </w:r>
          </w:p>
        </w:tc>
        <w:tc>
          <w:tcPr>
            <w:tcW w:w="692"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p>
        </w:tc>
        <w:tc>
          <w:tcPr>
            <w:tcW w:w="804"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p>
        </w:tc>
        <w:tc>
          <w:tcPr>
            <w:tcW w:w="777"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spacing w:val="-16"/>
                <w:sz w:val="21"/>
                <w:szCs w:val="21"/>
                <w:vertAlign w:val="baseline"/>
                <w:lang w:val="en-US"/>
              </w:rPr>
            </w:pPr>
            <w:r>
              <w:rPr>
                <w:rFonts w:hint="eastAsia" w:ascii="Times New Roman" w:hAnsi="Times New Roman" w:eastAsia="宋体" w:cs="Times New Roman"/>
                <w:color w:val="000000"/>
                <w:kern w:val="0"/>
                <w:sz w:val="21"/>
                <w:szCs w:val="21"/>
                <w:lang w:val="en-US" w:eastAsia="zh-CN" w:bidi="ar"/>
              </w:rPr>
              <w:t>2.0</w:t>
            </w:r>
            <w:r>
              <w:rPr>
                <w:rFonts w:hint="eastAsia" w:ascii="Times New Roman" w:hAnsi="Times New Roman" w:eastAsia="宋体" w:cs="Times New Roman"/>
                <w:b w:val="0"/>
                <w:bCs w:val="0"/>
                <w:color w:val="000000"/>
                <w:kern w:val="0"/>
                <w:sz w:val="21"/>
                <w:szCs w:val="21"/>
                <w:lang w:val="en-US" w:eastAsia="zh-CN" w:bidi="ar"/>
              </w:rPr>
              <w:t>m</w:t>
            </w:r>
            <w:r>
              <w:rPr>
                <w:rFonts w:hint="default" w:ascii="Times New Roman" w:hAnsi="Times New Roman" w:eastAsia="宋体" w:cs="Times New Roman"/>
                <w:b w:val="0"/>
                <w:bCs w:val="0"/>
                <w:color w:val="000000"/>
                <w:kern w:val="0"/>
                <w:sz w:val="21"/>
                <w:szCs w:val="21"/>
                <w:lang w:val="en-US" w:eastAsia="zh-CN" w:bidi="ar"/>
              </w:rPr>
              <w:t>g/m</w:t>
            </w:r>
            <w:r>
              <w:rPr>
                <w:rFonts w:hint="eastAsia" w:ascii="Times New Roman" w:hAnsi="Times New Roman" w:eastAsia="宋体" w:cs="Times New Roman"/>
                <w:b w:val="0"/>
                <w:bCs w:val="0"/>
                <w:color w:val="000000"/>
                <w:kern w:val="0"/>
                <w:sz w:val="21"/>
                <w:szCs w:val="21"/>
                <w:vertAlign w:val="superscript"/>
                <w:lang w:val="en-US" w:eastAsia="zh-CN" w:bidi="ar"/>
              </w:rPr>
              <w:t>3</w:t>
            </w:r>
          </w:p>
        </w:tc>
        <w:tc>
          <w:tcPr>
            <w:tcW w:w="1727" w:type="pct"/>
            <w:vAlign w:val="center"/>
          </w:tcPr>
          <w:p>
            <w:pPr>
              <w:pStyle w:val="30"/>
              <w:bidi w:val="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《大气污染物综合排放标准详解》（中国环境科学出版社出版）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苯乙烯</w:t>
            </w:r>
          </w:p>
        </w:tc>
        <w:tc>
          <w:tcPr>
            <w:tcW w:w="692"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宋体" w:hAnsi="宋体" w:eastAsia="宋体" w:cs="宋体"/>
                <w:color w:val="000000"/>
                <w:kern w:val="0"/>
                <w:sz w:val="21"/>
                <w:szCs w:val="21"/>
                <w:lang w:val="en-US" w:eastAsia="zh-CN" w:bidi="ar"/>
              </w:rPr>
            </w:pPr>
          </w:p>
        </w:tc>
        <w:tc>
          <w:tcPr>
            <w:tcW w:w="804"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p>
        </w:tc>
        <w:tc>
          <w:tcPr>
            <w:tcW w:w="1444" w:type="dxa"/>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sz w:val="21"/>
                <w:u w:val="single"/>
                <w:lang w:val="en-US" w:eastAsia="zh-CN"/>
              </w:rPr>
              <w:t>10</w:t>
            </w:r>
            <w:r>
              <w:rPr>
                <w:rFonts w:ascii="Times New Roman" w:hAnsi="Times New Roman"/>
                <w:sz w:val="21"/>
                <w:u w:val="single"/>
              </w:rPr>
              <w:t>μg/m</w:t>
            </w:r>
            <w:r>
              <w:rPr>
                <w:rFonts w:ascii="Times New Roman" w:hAnsi="Times New Roman"/>
                <w:position w:val="7"/>
                <w:sz w:val="14"/>
                <w:u w:val="single"/>
              </w:rPr>
              <w:t>3</w:t>
            </w:r>
          </w:p>
        </w:tc>
        <w:tc>
          <w:tcPr>
            <w:tcW w:w="1727" w:type="pct"/>
            <w:vMerge w:val="restart"/>
            <w:vAlign w:val="center"/>
          </w:tcPr>
          <w:p>
            <w:pPr>
              <w:pStyle w:val="30"/>
              <w:bidi w:val="0"/>
              <w:jc w:val="center"/>
              <w:rPr>
                <w:rFonts w:hint="default" w:ascii="Times New Roman" w:hAnsi="Times New Roman" w:cs="Times New Roman"/>
                <w:sz w:val="21"/>
                <w:szCs w:val="21"/>
                <w:u w:val="single"/>
                <w:lang w:val="en-US" w:eastAsia="zh-CN"/>
              </w:rPr>
            </w:pPr>
            <w:r>
              <w:rPr>
                <w:rFonts w:hint="default" w:ascii="Times New Roman" w:hAnsi="Times New Roman" w:eastAsia="宋体" w:cs="Times New Roman"/>
                <w:color w:val="000000"/>
                <w:kern w:val="0"/>
                <w:sz w:val="21"/>
                <w:szCs w:val="21"/>
                <w:u w:val="single"/>
                <w:lang w:val="en-US" w:eastAsia="zh-CN" w:bidi="ar"/>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氨</w:t>
            </w:r>
          </w:p>
        </w:tc>
        <w:tc>
          <w:tcPr>
            <w:tcW w:w="692"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宋体" w:hAnsi="宋体" w:eastAsia="宋体" w:cs="宋体"/>
                <w:color w:val="000000"/>
                <w:kern w:val="0"/>
                <w:sz w:val="21"/>
                <w:szCs w:val="21"/>
                <w:lang w:val="en-US" w:eastAsia="zh-CN" w:bidi="ar"/>
              </w:rPr>
            </w:pPr>
          </w:p>
        </w:tc>
        <w:tc>
          <w:tcPr>
            <w:tcW w:w="804"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p>
        </w:tc>
        <w:tc>
          <w:tcPr>
            <w:tcW w:w="1444" w:type="dxa"/>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sz w:val="21"/>
                <w:u w:val="single"/>
                <w:lang w:val="en-US" w:eastAsia="zh-CN"/>
              </w:rPr>
              <w:t>200</w:t>
            </w:r>
            <w:r>
              <w:rPr>
                <w:rFonts w:ascii="Times New Roman" w:hAnsi="Times New Roman"/>
                <w:sz w:val="21"/>
                <w:u w:val="single"/>
              </w:rPr>
              <w:t>μg/m</w:t>
            </w:r>
            <w:r>
              <w:rPr>
                <w:rFonts w:ascii="Times New Roman" w:hAnsi="Times New Roman"/>
                <w:position w:val="7"/>
                <w:sz w:val="14"/>
                <w:u w:val="single"/>
              </w:rPr>
              <w:t>3</w:t>
            </w:r>
          </w:p>
        </w:tc>
        <w:tc>
          <w:tcPr>
            <w:tcW w:w="1727" w:type="pct"/>
            <w:vMerge w:val="continue"/>
            <w:vAlign w:val="top"/>
          </w:tcPr>
          <w:p>
            <w:pPr>
              <w:pStyle w:val="30"/>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8"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硫化氢</w:t>
            </w:r>
          </w:p>
        </w:tc>
        <w:tc>
          <w:tcPr>
            <w:tcW w:w="692"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宋体" w:hAnsi="宋体" w:eastAsia="宋体" w:cs="宋体"/>
                <w:color w:val="000000"/>
                <w:kern w:val="0"/>
                <w:sz w:val="21"/>
                <w:szCs w:val="21"/>
                <w:lang w:val="en-US" w:eastAsia="zh-CN" w:bidi="ar"/>
              </w:rPr>
            </w:pPr>
          </w:p>
        </w:tc>
        <w:tc>
          <w:tcPr>
            <w:tcW w:w="804" w:type="pct"/>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p>
        </w:tc>
        <w:tc>
          <w:tcPr>
            <w:tcW w:w="1444" w:type="dxa"/>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sz w:val="21"/>
                <w:u w:val="single"/>
                <w:lang w:val="en-US" w:eastAsia="zh-CN"/>
              </w:rPr>
              <w:t>10</w:t>
            </w:r>
            <w:r>
              <w:rPr>
                <w:rFonts w:ascii="Times New Roman" w:hAnsi="Times New Roman"/>
                <w:sz w:val="21"/>
                <w:u w:val="single"/>
              </w:rPr>
              <w:t>μg/m</w:t>
            </w:r>
            <w:r>
              <w:rPr>
                <w:rFonts w:ascii="Times New Roman" w:hAnsi="Times New Roman"/>
                <w:position w:val="7"/>
                <w:sz w:val="14"/>
                <w:u w:val="single"/>
              </w:rPr>
              <w:t>3</w:t>
            </w:r>
          </w:p>
        </w:tc>
        <w:tc>
          <w:tcPr>
            <w:tcW w:w="1727" w:type="pct"/>
            <w:vMerge w:val="continue"/>
            <w:vAlign w:val="top"/>
          </w:tcPr>
          <w:p>
            <w:pPr>
              <w:pStyle w:val="30"/>
              <w:bidi w:val="0"/>
              <w:rPr>
                <w:rFonts w:hint="eastAsia"/>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表2.5-3  估算模型参数表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87"/>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参数</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城市</w:t>
            </w:r>
            <w:r>
              <w:rPr>
                <w:rFonts w:hint="default" w:ascii="Times New Roman" w:hAnsi="Times New Roman" w:eastAsia="宋体"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农村选项</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城市</w:t>
            </w:r>
            <w:r>
              <w:rPr>
                <w:rFonts w:hint="default" w:ascii="Times New Roman" w:hAnsi="Times New Roman" w:eastAsia="宋体"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农村</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人口数（城市选项时）</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最高环境温度</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最低环境温度</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土地利用类型</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区域湿度条件</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半湿润区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是否考虑地形</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考虑地形</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是</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地形数据分辨率</w:t>
            </w:r>
            <w:r>
              <w:rPr>
                <w:rFonts w:hint="default" w:ascii="Times New Roman" w:hAnsi="Times New Roman" w:eastAsia="宋体" w:cs="宋体"/>
                <w:b w:val="0"/>
                <w:bCs w:val="0"/>
                <w:color w:val="000000"/>
                <w:kern w:val="0"/>
                <w:sz w:val="21"/>
                <w:szCs w:val="21"/>
                <w:lang w:val="en-US" w:eastAsia="zh-CN" w:bidi="ar"/>
              </w:rPr>
              <w:t>/m</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cs="宋体"/>
                <w:b w:val="0"/>
                <w:bCs w:val="0"/>
                <w:color w:val="000000"/>
                <w:kern w:val="0"/>
                <w:sz w:val="21"/>
                <w:szCs w:val="21"/>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是否考虑岸线熏烟</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考虑岸线熏烟</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是</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岸线距离</w:t>
            </w:r>
            <w:r>
              <w:rPr>
                <w:rFonts w:hint="default" w:ascii="Times New Roman" w:hAnsi="Times New Roman" w:eastAsia="宋体" w:cs="宋体"/>
                <w:b w:val="0"/>
                <w:bCs w:val="0"/>
                <w:color w:val="000000"/>
                <w:kern w:val="0"/>
                <w:sz w:val="21"/>
                <w:szCs w:val="21"/>
                <w:lang w:val="en-US" w:eastAsia="zh-CN" w:bidi="ar"/>
              </w:rPr>
              <w:t>/km</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岸线方向</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表2.5-4  估算结果表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04"/>
        <w:gridCol w:w="1800"/>
        <w:gridCol w:w="1419"/>
        <w:gridCol w:w="1119"/>
        <w:gridCol w:w="106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污染源名称</w:t>
            </w:r>
          </w:p>
        </w:tc>
        <w:tc>
          <w:tcPr>
            <w:tcW w:w="130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评价因子</w:t>
            </w:r>
          </w:p>
        </w:tc>
        <w:tc>
          <w:tcPr>
            <w:tcW w:w="1800" w:type="dxa"/>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最大地面浓度出现的下风距离</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Cmax(</w:t>
            </w:r>
            <w:r>
              <w:rPr>
                <w:rFonts w:hint="eastAsia" w:cs="宋体"/>
                <w:b w:val="0"/>
                <w:bCs w:val="0"/>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g/m</w:t>
            </w:r>
            <w:r>
              <w:rPr>
                <w:rFonts w:hint="eastAsia" w:ascii="Times New Roman" w:hAnsi="Times New Roman" w:cs="宋体"/>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w:t>
            </w:r>
          </w:p>
        </w:tc>
        <w:tc>
          <w:tcPr>
            <w:tcW w:w="11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Pmax(%)</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D</w:t>
            </w:r>
            <w:r>
              <w:rPr>
                <w:rFonts w:hint="default" w:ascii="Times New Roman" w:hAnsi="Times New Roman" w:eastAsia="宋体" w:cs="宋体"/>
                <w:b w:val="0"/>
                <w:bCs w:val="0"/>
                <w:color w:val="000000" w:themeColor="text1"/>
                <w:kern w:val="0"/>
                <w:sz w:val="21"/>
                <w:szCs w:val="21"/>
                <w:vertAlign w:val="subscript"/>
                <w:lang w:val="en-US" w:eastAsia="zh-CN" w:bidi="ar"/>
                <w14:textFill>
                  <w14:solidFill>
                    <w14:schemeClr w14:val="tx1"/>
                  </w14:solidFill>
                </w14:textFill>
              </w:rPr>
              <w:t>10</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%(m)</w:t>
            </w:r>
          </w:p>
        </w:tc>
        <w:tc>
          <w:tcPr>
            <w:tcW w:w="1084" w:type="dxa"/>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DA001</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0.0008467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0.19</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DA002</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0.0004247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0.02</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2.615E-5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0.26</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u w:val="single"/>
                <w:lang w:eastAsia="zh-CN"/>
              </w:rPr>
            </w:pPr>
            <w:r>
              <w:rPr>
                <w:rFonts w:hint="eastAsia"/>
                <w:u w:val="single"/>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rPr>
            </w:pPr>
            <w:r>
              <w:rPr>
                <w:rFonts w:hint="eastAsia" w:eastAsia="宋体"/>
                <w:sz w:val="21"/>
                <w:szCs w:val="21"/>
                <w:u w:val="single"/>
              </w:rPr>
              <w:t>0.001472</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rPr>
            </w:pPr>
            <w:r>
              <w:rPr>
                <w:rFonts w:hint="eastAsia" w:eastAsia="宋体"/>
                <w:sz w:val="21"/>
                <w:szCs w:val="21"/>
                <w:u w:val="single"/>
              </w:rPr>
              <w:t>0.33</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DA003</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1554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rPr>
              <w:t>0.0001367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1554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0.0001265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rPr>
              <w:t>1.26</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DA004</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氨</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2.987E-6</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硫化氢</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7.656E-8</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2.947E-9</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粉碎车间</w:t>
            </w: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sz w:val="21"/>
                <w:szCs w:val="21"/>
                <w:lang w:val="en-US" w:eastAsia="zh-CN" w:bidi="ar"/>
              </w:rPr>
              <w:t>194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0.002717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0.60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造粒车间</w:t>
            </w: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0.002157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0.11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0.001589</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1.59</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u w:val="single"/>
                <w:lang w:eastAsia="zh-CN"/>
              </w:rPr>
            </w:pPr>
            <w:r>
              <w:rPr>
                <w:rFonts w:hint="eastAsia"/>
                <w:u w:val="single"/>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sz w:val="21"/>
                <w:szCs w:val="21"/>
                <w:u w:val="single"/>
                <w:lang w:val="en-US" w:eastAsia="zh-CN"/>
              </w:rPr>
            </w:pPr>
            <w:r>
              <w:rPr>
                <w:rFonts w:hint="eastAsia"/>
                <w:sz w:val="21"/>
                <w:szCs w:val="21"/>
                <w:u w:val="single"/>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u w:val="single"/>
                <w:lang w:val="en-US" w:eastAsia="zh-CN" w:bidi="ar"/>
              </w:rPr>
            </w:pPr>
            <w:r>
              <w:rPr>
                <w:rFonts w:hint="eastAsia" w:ascii="Times New Roman" w:hAnsi="Times New Roman" w:eastAsia="宋体" w:cstheme="minorBidi"/>
                <w:color w:val="000000"/>
                <w:kern w:val="0"/>
                <w:sz w:val="21"/>
                <w:szCs w:val="21"/>
                <w:u w:val="single"/>
                <w:lang w:val="en-US" w:eastAsia="zh-CN" w:bidi="ar"/>
              </w:rPr>
              <w:t>0.0003315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u w:val="single"/>
                <w:lang w:val="en-US" w:eastAsia="zh-CN" w:bidi="ar"/>
              </w:rPr>
            </w:pPr>
            <w:r>
              <w:rPr>
                <w:rFonts w:hint="eastAsia" w:ascii="Times New Roman" w:hAnsi="Times New Roman" w:eastAsia="宋体" w:cstheme="minorBidi"/>
                <w:color w:val="000000"/>
                <w:kern w:val="0"/>
                <w:sz w:val="21"/>
                <w:szCs w:val="21"/>
                <w:u w:val="single"/>
                <w:lang w:val="en-US" w:eastAsia="zh-CN" w:bidi="ar"/>
              </w:rPr>
              <w:t>0.07</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污水处理站</w:t>
            </w: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氨</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0.07</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硫化氢</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1.032E-6</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bl>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jc w:val="both"/>
        <w:textAlignment w:val="auto"/>
        <w:rPr>
          <w:rFonts w:hint="eastAsia" w:ascii="Times New Roman" w:hAnsi="Times New Roman" w:eastAsia="宋体"/>
          <w:color w:val="000000" w:themeColor="text1"/>
          <w:spacing w:val="-4"/>
          <w:position w:val="2"/>
          <w:u w:val="single"/>
          <w:lang w:val="en-US" w:eastAsia="zh-CN"/>
          <w14:textFill>
            <w14:solidFill>
              <w14:schemeClr w14:val="tx1"/>
            </w14:solidFill>
          </w14:textFill>
        </w:rPr>
      </w:pP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由上表可以看出，本项目</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P</w:t>
      </w:r>
      <w:r>
        <w:rPr>
          <w:rFonts w:hint="default" w:ascii="Times New Roman" w:hAnsi="Times New Roman" w:eastAsia="宋体"/>
          <w:color w:val="000000" w:themeColor="text1"/>
          <w:spacing w:val="-4"/>
          <w:position w:val="2"/>
          <w:u w:val="single"/>
          <w:vertAlign w:val="subscript"/>
          <w:lang w:val="en-US" w:eastAsia="zh-CN"/>
          <w14:textFill>
            <w14:solidFill>
              <w14:schemeClr w14:val="tx1"/>
            </w14:solidFill>
          </w14:textFill>
        </w:rPr>
        <w:t>max</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最大值现为</w:t>
      </w:r>
      <w:r>
        <w:rPr>
          <w:rFonts w:hint="eastAsia" w:ascii="Times New Roman" w:hAnsi="Times New Roman"/>
          <w:color w:val="000000" w:themeColor="text1"/>
          <w:spacing w:val="-4"/>
          <w:position w:val="2"/>
          <w:u w:val="single"/>
          <w:lang w:val="en-US" w:eastAsia="zh-CN"/>
          <w14:textFill>
            <w14:solidFill>
              <w14:schemeClr w14:val="tx1"/>
            </w14:solidFill>
          </w14:textFill>
        </w:rPr>
        <w:t>面源造粒车间</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排放</w:t>
      </w:r>
      <w:r>
        <w:rPr>
          <w:rFonts w:hint="eastAsia" w:ascii="Times New Roman" w:hAnsi="Times New Roman"/>
          <w:color w:val="000000" w:themeColor="text1"/>
          <w:spacing w:val="-4"/>
          <w:position w:val="2"/>
          <w:u w:val="single"/>
          <w:lang w:val="en-US" w:eastAsia="zh-CN"/>
          <w14:textFill>
            <w14:solidFill>
              <w14:schemeClr w14:val="tx1"/>
            </w14:solidFill>
          </w14:textFill>
        </w:rPr>
        <w:t>苯乙烯</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P</w:t>
      </w:r>
      <w:r>
        <w:rPr>
          <w:rFonts w:hint="default" w:ascii="Times New Roman" w:hAnsi="Times New Roman" w:eastAsia="宋体"/>
          <w:color w:val="000000" w:themeColor="text1"/>
          <w:spacing w:val="-4"/>
          <w:position w:val="2"/>
          <w:u w:val="single"/>
          <w:vertAlign w:val="subscript"/>
          <w:lang w:val="en-US" w:eastAsia="zh-CN"/>
          <w14:textFill>
            <w14:solidFill>
              <w14:schemeClr w14:val="tx1"/>
            </w14:solidFill>
          </w14:textFill>
        </w:rPr>
        <w:t>max</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值为</w:t>
      </w:r>
      <w:r>
        <w:rPr>
          <w:rFonts w:hint="eastAsia" w:ascii="Times New Roman" w:hAnsi="Times New Roman"/>
          <w:color w:val="000000" w:themeColor="text1"/>
          <w:spacing w:val="-4"/>
          <w:position w:val="2"/>
          <w:u w:val="single"/>
          <w:lang w:val="en-US" w:eastAsia="zh-CN"/>
          <w14:textFill>
            <w14:solidFill>
              <w14:schemeClr w14:val="tx1"/>
            </w14:solidFill>
          </w14:textFill>
        </w:rPr>
        <w:t>1.59</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w:t>
      </w:r>
      <w:r>
        <w:rPr>
          <w:rFonts w:hint="eastAsia" w:ascii="Times New Roman" w:hAnsi="Times New Roman"/>
          <w:color w:val="000000" w:themeColor="text1"/>
          <w:spacing w:val="-4"/>
          <w:position w:val="2"/>
          <w:u w:val="single"/>
          <w:lang w:val="en-US" w:eastAsia="zh-CN"/>
          <w14:textFill>
            <w14:solidFill>
              <w14:schemeClr w14:val="tx1"/>
            </w14:solidFill>
          </w14:textFill>
        </w:rPr>
        <w:t>，</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Cmax</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为</w:t>
      </w:r>
      <w:r>
        <w:rPr>
          <w:rFonts w:hint="eastAsia" w:ascii="Times New Roman" w:hAnsi="Times New Roman"/>
          <w:color w:val="000000" w:themeColor="text1"/>
          <w:spacing w:val="-4"/>
          <w:position w:val="2"/>
          <w:u w:val="single"/>
          <w:lang w:val="en-US" w:eastAsia="zh-CN"/>
          <w14:textFill>
            <w14:solidFill>
              <w14:schemeClr w14:val="tx1"/>
            </w14:solidFill>
          </w14:textFill>
        </w:rPr>
        <w:t>0.001589m</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g/m³</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，且本项目不属于</w:t>
      </w:r>
      <w:r>
        <w:rPr>
          <w:rFonts w:hint="eastAsia" w:ascii="Times New Roman" w:hAnsi="Times New Roman"/>
          <w:color w:val="000000" w:themeColor="text1"/>
          <w:spacing w:val="-4"/>
          <w:position w:val="2"/>
          <w:u w:val="single"/>
          <w:lang w:val="en-US" w:eastAsia="zh-CN"/>
          <w14:textFill>
            <w14:solidFill>
              <w14:schemeClr w14:val="tx1"/>
            </w14:solidFill>
          </w14:textFill>
        </w:rPr>
        <w:t>“</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高耗能行业的多源项目或以使用高污染燃料为主的多源项目</w:t>
      </w:r>
      <w:r>
        <w:rPr>
          <w:rFonts w:hint="eastAsia" w:ascii="Times New Roman" w:hAnsi="Times New Roman"/>
          <w:color w:val="000000" w:themeColor="text1"/>
          <w:spacing w:val="-4"/>
          <w:position w:val="2"/>
          <w:u w:val="single"/>
          <w:lang w:val="en-US" w:eastAsia="zh-CN"/>
          <w14:textFill>
            <w14:solidFill>
              <w14:schemeClr w14:val="tx1"/>
            </w14:solidFill>
          </w14:textFill>
        </w:rPr>
        <w:t>”</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，根据《环境影响评价技术导则 大气环境》（</w:t>
      </w:r>
      <w:r>
        <w:rPr>
          <w:rFonts w:hint="default" w:ascii="Times New Roman" w:hAnsi="Times New Roman" w:eastAsia="宋体"/>
          <w:color w:val="000000" w:themeColor="text1"/>
          <w:spacing w:val="-4"/>
          <w:position w:val="2"/>
          <w:u w:val="single"/>
          <w:lang w:val="en-US" w:eastAsia="zh-CN"/>
          <w14:textFill>
            <w14:solidFill>
              <w14:schemeClr w14:val="tx1"/>
            </w14:solidFill>
          </w14:textFill>
        </w:rPr>
        <w:t>HJ2.2-2018</w:t>
      </w:r>
      <w:r>
        <w:rPr>
          <w:rFonts w:hint="eastAsia" w:ascii="Times New Roman" w:hAnsi="Times New Roman" w:eastAsia="宋体"/>
          <w:color w:val="000000" w:themeColor="text1"/>
          <w:spacing w:val="-4"/>
          <w:position w:val="2"/>
          <w:u w:val="single"/>
          <w:lang w:val="en-US" w:eastAsia="zh-CN"/>
          <w14:textFill>
            <w14:solidFill>
              <w14:schemeClr w14:val="tx1"/>
            </w14:solidFill>
          </w14:textFill>
        </w:rPr>
        <w:t>）分级判据，确定本项目大气环境影响评价工作等级为二级。</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rPr>
      </w:pPr>
      <w:r>
        <w:rPr>
          <w:rFonts w:hint="eastAsia"/>
          <w:lang w:val="en-US" w:eastAsia="zh-CN"/>
        </w:rPr>
        <w:t xml:space="preserve">2.5.2 </w:t>
      </w:r>
      <w:r>
        <w:rPr>
          <w:rFonts w:hint="eastAsia"/>
        </w:rPr>
        <w:t>地表水环境评价工作等级</w:t>
      </w:r>
    </w:p>
    <w:p>
      <w:pPr>
        <w:bidi w:val="0"/>
      </w:pPr>
      <w:r>
        <w:t>根据《环境影响评价技术导则 地面水环境》（HJ/T2.3-1993）对地面水环境评价工作等级划分依据，考虑项目的污水排放量、污水水质复杂程度、受纳水体规模、受纳水体的功能等四项要求指标的特点，确定地面水评价工作等级。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表2.5-5  地表水环境影响评价等级划分依据</w:t>
      </w:r>
    </w:p>
    <w:tbl>
      <w:tblPr>
        <w:tblStyle w:val="43"/>
        <w:tblW w:w="5013"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2699"/>
        <w:gridCol w:w="2220"/>
        <w:gridCol w:w="4187"/>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1482" w:type="pct"/>
            <w:vMerge w:val="restart"/>
            <w:tcBorders>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评价等级</w:t>
            </w:r>
          </w:p>
        </w:tc>
        <w:tc>
          <w:tcPr>
            <w:tcW w:w="3517" w:type="pct"/>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判</w:t>
            </w:r>
            <w:r>
              <w:rPr>
                <w:rFonts w:hint="default" w:ascii="Times New Roman" w:hAnsi="Times New Roman" w:eastAsia="宋体" w:cs="Times New Roman"/>
                <w:spacing w:val="-1"/>
                <w:sz w:val="21"/>
                <w:szCs w:val="21"/>
              </w:rPr>
              <w:t>定依据</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1482" w:type="pct"/>
            <w:vMerge w:val="continue"/>
            <w:tcBorders>
              <w:top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szCs w:val="21"/>
              </w:rPr>
            </w:pPr>
          </w:p>
        </w:tc>
        <w:tc>
          <w:tcPr>
            <w:tcW w:w="1219"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排</w:t>
            </w:r>
            <w:r>
              <w:rPr>
                <w:rFonts w:hint="default" w:ascii="Times New Roman" w:hAnsi="Times New Roman" w:eastAsia="宋体" w:cs="Times New Roman"/>
                <w:spacing w:val="-1"/>
                <w:sz w:val="21"/>
                <w:szCs w:val="21"/>
              </w:rPr>
              <w:t>放方式</w:t>
            </w:r>
          </w:p>
        </w:tc>
        <w:tc>
          <w:tcPr>
            <w:tcW w:w="22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57"/>
                <w:sz w:val="21"/>
                <w:szCs w:val="21"/>
              </w:rPr>
            </w:pPr>
            <w:r>
              <w:rPr>
                <w:rFonts w:hint="default" w:ascii="Times New Roman" w:hAnsi="Times New Roman" w:eastAsia="宋体" w:cs="Times New Roman"/>
                <w:sz w:val="21"/>
                <w:szCs w:val="21"/>
              </w:rPr>
              <w:t>废水排放量</w:t>
            </w:r>
            <w:r>
              <w:rPr>
                <w:rFonts w:hint="default" w:ascii="Times New Roman" w:hAnsi="Times New Roman" w:eastAsia="Calibri" w:cs="Times New Roman"/>
                <w:sz w:val="21"/>
                <w:szCs w:val="21"/>
              </w:rPr>
              <w:t>Q/</w:t>
            </w:r>
            <w:r>
              <w:rPr>
                <w:rFonts w:hint="default" w:ascii="Times New Roman" w:hAnsi="Times New Roman" w:eastAsia="宋体" w:cs="Times New Roman"/>
                <w:sz w:val="21"/>
                <w:szCs w:val="21"/>
              </w:rPr>
              <w:t>（</w:t>
            </w:r>
            <w:r>
              <w:rPr>
                <w:rFonts w:hint="default" w:ascii="Times New Roman" w:hAnsi="Times New Roman" w:eastAsia="Calibri" w:cs="Times New Roman"/>
                <w:sz w:val="21"/>
                <w:szCs w:val="21"/>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Calibri" w:cs="Times New Roman"/>
                <w:sz w:val="21"/>
                <w:szCs w:val="21"/>
              </w:rPr>
              <w:t>/d</w:t>
            </w:r>
            <w:r>
              <w:rPr>
                <w:rFonts w:hint="default" w:ascii="Times New Roman" w:hAnsi="Times New Roman" w:eastAsia="宋体" w:cs="Times New Roman"/>
                <w:spacing w:val="-57"/>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水污</w:t>
            </w:r>
            <w:r>
              <w:rPr>
                <w:rFonts w:hint="default" w:ascii="Times New Roman" w:hAnsi="Times New Roman" w:eastAsia="宋体" w:cs="Times New Roman"/>
                <w:spacing w:val="-1"/>
                <w:sz w:val="21"/>
                <w:szCs w:val="21"/>
              </w:rPr>
              <w:t>染物当量数</w:t>
            </w:r>
            <w:r>
              <w:rPr>
                <w:rFonts w:hint="default" w:ascii="Times New Roman" w:hAnsi="Times New Roman" w:eastAsia="Calibri" w:cs="Times New Roman"/>
                <w:spacing w:val="-1"/>
                <w:sz w:val="21"/>
                <w:szCs w:val="21"/>
              </w:rPr>
              <w:t>W/</w:t>
            </w:r>
            <w:r>
              <w:rPr>
                <w:rFonts w:hint="default" w:ascii="Times New Roman" w:hAnsi="Times New Roman" w:eastAsia="宋体" w:cs="Times New Roman"/>
                <w:spacing w:val="-1"/>
                <w:sz w:val="21"/>
                <w:szCs w:val="21"/>
              </w:rPr>
              <w:t>（无量纲</w:t>
            </w:r>
            <w:r>
              <w:rPr>
                <w:rFonts w:hint="eastAsia" w:ascii="Times New Roman" w:hAnsi="Times New Roman" w:eastAsia="宋体" w:cs="Times New Roman"/>
                <w:spacing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82"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一</w:t>
            </w:r>
            <w:r>
              <w:rPr>
                <w:rFonts w:hint="default" w:ascii="Times New Roman" w:hAnsi="Times New Roman" w:eastAsia="宋体" w:cs="Times New Roman"/>
                <w:spacing w:val="-2"/>
                <w:sz w:val="21"/>
                <w:szCs w:val="21"/>
              </w:rPr>
              <w:t>级</w:t>
            </w:r>
          </w:p>
        </w:tc>
        <w:tc>
          <w:tcPr>
            <w:tcW w:w="1219"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直接排</w:t>
            </w:r>
            <w:r>
              <w:rPr>
                <w:rFonts w:hint="default" w:ascii="Times New Roman" w:hAnsi="Times New Roman" w:eastAsia="宋体" w:cs="Times New Roman"/>
                <w:spacing w:val="-1"/>
                <w:sz w:val="21"/>
                <w:szCs w:val="21"/>
              </w:rPr>
              <w:t>放</w:t>
            </w:r>
          </w:p>
        </w:tc>
        <w:tc>
          <w:tcPr>
            <w:tcW w:w="22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Calibri" w:cs="Times New Roman"/>
                <w:sz w:val="21"/>
                <w:szCs w:val="21"/>
              </w:rPr>
            </w:pPr>
            <w:r>
              <w:rPr>
                <w:rFonts w:hint="default" w:ascii="Times New Roman" w:hAnsi="Times New Roman" w:eastAsia="Calibri" w:cs="Times New Roman"/>
                <w:spacing w:val="-1"/>
                <w:sz w:val="21"/>
                <w:szCs w:val="21"/>
              </w:rPr>
              <w:t>Q≥20000</w:t>
            </w:r>
            <w:r>
              <w:rPr>
                <w:rFonts w:hint="default" w:ascii="Times New Roman" w:hAnsi="Times New Roman" w:eastAsia="宋体" w:cs="Times New Roman"/>
                <w:spacing w:val="-2"/>
                <w:sz w:val="21"/>
                <w:szCs w:val="21"/>
              </w:rPr>
              <w:t>或</w:t>
            </w:r>
            <w:r>
              <w:rPr>
                <w:rFonts w:hint="default" w:ascii="Times New Roman" w:hAnsi="Times New Roman" w:eastAsia="Calibri" w:cs="Times New Roman"/>
                <w:spacing w:val="-1"/>
                <w:sz w:val="21"/>
                <w:szCs w:val="21"/>
              </w:rPr>
              <w:t>W≥600000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482"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二</w:t>
            </w:r>
            <w:r>
              <w:rPr>
                <w:rFonts w:hint="default" w:ascii="Times New Roman" w:hAnsi="Times New Roman" w:eastAsia="宋体" w:cs="Times New Roman"/>
                <w:spacing w:val="-2"/>
                <w:sz w:val="21"/>
                <w:szCs w:val="21"/>
              </w:rPr>
              <w:t>级</w:t>
            </w:r>
          </w:p>
        </w:tc>
        <w:tc>
          <w:tcPr>
            <w:tcW w:w="1219"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直接排</w:t>
            </w:r>
            <w:r>
              <w:rPr>
                <w:rFonts w:hint="default" w:ascii="Times New Roman" w:hAnsi="Times New Roman" w:eastAsia="宋体" w:cs="Times New Roman"/>
                <w:spacing w:val="-1"/>
                <w:sz w:val="21"/>
                <w:szCs w:val="21"/>
              </w:rPr>
              <w:t>放</w:t>
            </w:r>
          </w:p>
        </w:tc>
        <w:tc>
          <w:tcPr>
            <w:tcW w:w="22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其他</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482"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rPr>
              <w:t>三级</w:t>
            </w:r>
            <w:r>
              <w:rPr>
                <w:rFonts w:hint="eastAsia" w:ascii="Times New Roman" w:hAnsi="Times New Roman" w:eastAsia="宋体" w:cs="Times New Roman"/>
                <w:spacing w:val="-6"/>
                <w:sz w:val="21"/>
                <w:szCs w:val="21"/>
                <w:lang w:val="en-US" w:eastAsia="zh-CN"/>
              </w:rPr>
              <w:t>A</w:t>
            </w:r>
          </w:p>
        </w:tc>
        <w:tc>
          <w:tcPr>
            <w:tcW w:w="1219"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直接排</w:t>
            </w:r>
            <w:r>
              <w:rPr>
                <w:rFonts w:hint="default" w:ascii="Times New Roman" w:hAnsi="Times New Roman" w:eastAsia="宋体" w:cs="Times New Roman"/>
                <w:spacing w:val="-1"/>
                <w:sz w:val="21"/>
                <w:szCs w:val="21"/>
              </w:rPr>
              <w:t>放</w:t>
            </w:r>
          </w:p>
        </w:tc>
        <w:tc>
          <w:tcPr>
            <w:tcW w:w="22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Calibri" w:cs="Times New Roman"/>
                <w:sz w:val="21"/>
                <w:szCs w:val="21"/>
              </w:rPr>
            </w:pPr>
            <w:r>
              <w:rPr>
                <w:rFonts w:hint="default" w:ascii="Times New Roman" w:hAnsi="Times New Roman" w:eastAsia="Calibri" w:cs="Times New Roman"/>
                <w:spacing w:val="-2"/>
                <w:sz w:val="21"/>
                <w:szCs w:val="21"/>
              </w:rPr>
              <w:t>Q</w:t>
            </w:r>
            <w:r>
              <w:rPr>
                <w:rFonts w:hint="default" w:ascii="Times New Roman" w:hAnsi="Times New Roman" w:eastAsia="宋体" w:cs="Times New Roman"/>
                <w:spacing w:val="-2"/>
                <w:sz w:val="21"/>
                <w:szCs w:val="21"/>
              </w:rPr>
              <w:t>＜</w:t>
            </w:r>
            <w:r>
              <w:rPr>
                <w:rFonts w:hint="default" w:ascii="Times New Roman" w:hAnsi="Times New Roman" w:eastAsia="Calibri" w:cs="Times New Roman"/>
                <w:spacing w:val="-1"/>
                <w:sz w:val="21"/>
                <w:szCs w:val="21"/>
              </w:rPr>
              <w:t>200</w:t>
            </w:r>
            <w:r>
              <w:rPr>
                <w:rFonts w:hint="default" w:ascii="Times New Roman" w:hAnsi="Times New Roman" w:eastAsia="宋体" w:cs="Times New Roman"/>
                <w:spacing w:val="-2"/>
                <w:sz w:val="21"/>
                <w:szCs w:val="21"/>
              </w:rPr>
              <w:t>且</w:t>
            </w:r>
            <w:r>
              <w:rPr>
                <w:rFonts w:hint="default" w:ascii="Times New Roman" w:hAnsi="Times New Roman" w:eastAsia="Calibri" w:cs="Times New Roman"/>
                <w:spacing w:val="-2"/>
                <w:sz w:val="21"/>
                <w:szCs w:val="21"/>
              </w:rPr>
              <w:t>W</w:t>
            </w:r>
            <w:r>
              <w:rPr>
                <w:rFonts w:hint="default" w:ascii="Times New Roman" w:hAnsi="Times New Roman" w:eastAsia="宋体" w:cs="Times New Roman"/>
                <w:spacing w:val="-2"/>
                <w:sz w:val="21"/>
                <w:szCs w:val="21"/>
              </w:rPr>
              <w:t>＜</w:t>
            </w:r>
            <w:r>
              <w:rPr>
                <w:rFonts w:hint="default" w:ascii="Times New Roman" w:hAnsi="Times New Roman" w:eastAsia="Calibri" w:cs="Times New Roman"/>
                <w:spacing w:val="-1"/>
                <w:sz w:val="21"/>
                <w:szCs w:val="21"/>
              </w:rPr>
              <w:t>600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1482"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5"/>
                <w:sz w:val="21"/>
                <w:szCs w:val="21"/>
              </w:rPr>
              <w:t>三级</w:t>
            </w:r>
            <w:r>
              <w:rPr>
                <w:rFonts w:hint="eastAsia" w:ascii="Times New Roman" w:hAnsi="Times New Roman" w:eastAsia="宋体" w:cs="Times New Roman"/>
                <w:spacing w:val="-31"/>
                <w:sz w:val="21"/>
                <w:szCs w:val="21"/>
                <w:lang w:val="en-US" w:eastAsia="zh-CN"/>
              </w:rPr>
              <w:t>B</w:t>
            </w:r>
          </w:p>
        </w:tc>
        <w:tc>
          <w:tcPr>
            <w:tcW w:w="1219"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间接</w:t>
            </w:r>
            <w:r>
              <w:rPr>
                <w:rFonts w:hint="default" w:ascii="Times New Roman" w:hAnsi="Times New Roman" w:eastAsia="宋体" w:cs="Times New Roman"/>
                <w:spacing w:val="-5"/>
                <w:sz w:val="21"/>
                <w:szCs w:val="21"/>
              </w:rPr>
              <w:t>排放</w:t>
            </w:r>
          </w:p>
        </w:tc>
        <w:tc>
          <w:tcPr>
            <w:tcW w:w="22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Calibri" w:cs="Times New Roman"/>
                <w:sz w:val="21"/>
                <w:szCs w:val="21"/>
              </w:rPr>
            </w:pPr>
            <w:r>
              <w:rPr>
                <w:rFonts w:hint="default" w:ascii="Times New Roman" w:hAnsi="Times New Roman" w:eastAsia="Calibri"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u w:val="single"/>
                <w:lang w:eastAsia="zh-CN"/>
              </w:rPr>
              <w:t>注</w:t>
            </w:r>
            <w:r>
              <w:rPr>
                <w:rFonts w:hint="eastAsia" w:ascii="Times New Roman" w:hAnsi="Times New Roman" w:eastAsia="宋体" w:cs="Times New Roman"/>
                <w:sz w:val="21"/>
                <w:szCs w:val="21"/>
                <w:u w:val="single"/>
                <w:lang w:val="en-US" w:eastAsia="zh-CN"/>
              </w:rPr>
              <w:t>10</w:t>
            </w:r>
            <w:r>
              <w:rPr>
                <w:rFonts w:hint="eastAsia" w:ascii="Times New Roman" w:hAnsi="Times New Roman" w:eastAsia="宋体" w:cs="Times New Roman"/>
                <w:sz w:val="21"/>
                <w:szCs w:val="21"/>
                <w:u w:val="single"/>
                <w:lang w:eastAsia="zh-CN"/>
              </w:rPr>
              <w:t>：建设项目生产工艺中有</w:t>
            </w:r>
            <w:r>
              <w:rPr>
                <w:rFonts w:hint="eastAsia" w:cs="Times New Roman"/>
                <w:sz w:val="21"/>
                <w:szCs w:val="21"/>
                <w:u w:val="single"/>
                <w:lang w:eastAsia="zh-CN"/>
              </w:rPr>
              <w:t>废水排放，但作为回用水利用，不排放到外环境的，按三级B评价。</w:t>
            </w:r>
          </w:p>
        </w:tc>
      </w:tr>
    </w:tbl>
    <w:p>
      <w:pPr>
        <w:bidi w:val="0"/>
        <w:rPr>
          <w:rFonts w:hint="default" w:ascii="Times New Roman" w:hAnsi="Times New Roman" w:eastAsia="宋体" w:cs="Times New Roman"/>
          <w:lang w:val="en-US" w:eastAsia="zh-CN"/>
        </w:rPr>
      </w:pPr>
      <w:r>
        <w:rPr>
          <w:rFonts w:hint="default" w:ascii="Times New Roman" w:hAnsi="Times New Roman" w:cs="Times New Roman"/>
        </w:rPr>
        <w:t>本项目设</w:t>
      </w:r>
      <w:r>
        <w:rPr>
          <w:rFonts w:hint="eastAsia" w:cs="Times New Roman"/>
          <w:lang w:eastAsia="zh-CN"/>
        </w:rPr>
        <w:t>化粪池</w:t>
      </w:r>
      <w:r>
        <w:rPr>
          <w:rFonts w:hint="default" w:ascii="Times New Roman" w:hAnsi="Times New Roman" w:cs="Times New Roman"/>
        </w:rPr>
        <w:t>供员工使用，定期由农户清掏做</w:t>
      </w:r>
      <w:r>
        <w:rPr>
          <w:rFonts w:hint="default" w:ascii="Times New Roman" w:hAnsi="Times New Roman" w:cs="Times New Roman"/>
          <w:lang w:eastAsia="zh-CN"/>
        </w:rPr>
        <w:t>农肥；餐饮废水经隔油池处理后排入化粪池，定期清掏肥田。</w:t>
      </w:r>
      <w:r>
        <w:rPr>
          <w:rFonts w:hint="default" w:ascii="Times New Roman" w:hAnsi="Times New Roman" w:cs="Times New Roman"/>
          <w:u w:val="single"/>
        </w:rPr>
        <w:t>生产过程中原料清洗废水排入</w:t>
      </w:r>
      <w:r>
        <w:rPr>
          <w:rFonts w:hint="eastAsia" w:cs="Times New Roman"/>
          <w:u w:val="single"/>
          <w:lang w:eastAsia="zh-CN"/>
        </w:rPr>
        <w:t>污水处理站，经</w:t>
      </w:r>
      <w:r>
        <w:rPr>
          <w:rFonts w:hint="eastAsia"/>
          <w:color w:val="auto"/>
          <w:sz w:val="24"/>
          <w:u w:val="single"/>
          <w:lang w:eastAsia="zh-CN"/>
        </w:rPr>
        <w:t>沉淀+气浮+A/O+二级沉淀</w:t>
      </w:r>
      <w:r>
        <w:rPr>
          <w:rFonts w:hint="default" w:ascii="Times New Roman" w:hAnsi="Times New Roman" w:cs="Times New Roman"/>
          <w:u w:val="single"/>
        </w:rPr>
        <w:t>处理后作为原料清洗水循环使用</w:t>
      </w:r>
      <w:r>
        <w:rPr>
          <w:rFonts w:hint="default" w:ascii="Times New Roman" w:hAnsi="Times New Roman" w:cs="Times New Roman"/>
        </w:rPr>
        <w:t>，不排入地表水体</w:t>
      </w:r>
      <w:r>
        <w:rPr>
          <w:rFonts w:hint="default" w:ascii="Times New Roman" w:hAnsi="Times New Roman" w:cs="Times New Roman"/>
          <w:lang w:eastAsia="zh-CN"/>
        </w:rPr>
        <w:t>。</w:t>
      </w:r>
      <w:r>
        <w:rPr>
          <w:rFonts w:hint="default" w:ascii="Times New Roman" w:hAnsi="Times New Roman" w:eastAsia="宋体" w:cs="Times New Roman"/>
          <w:sz w:val="24"/>
          <w:szCs w:val="24"/>
          <w:u w:val="single"/>
        </w:rPr>
        <w:t>根据《环境影响评价技术导则</w:t>
      </w:r>
      <w:r>
        <w:rPr>
          <w:rFonts w:hint="default" w:ascii="Times New Roman" w:hAnsi="Times New Roman" w:eastAsia="宋体" w:cs="Times New Roman"/>
          <w:spacing w:val="-1"/>
          <w:sz w:val="24"/>
          <w:szCs w:val="24"/>
          <w:u w:val="single"/>
        </w:rPr>
        <w:t xml:space="preserve"> </w:t>
      </w:r>
      <w:r>
        <w:rPr>
          <w:rFonts w:hint="default" w:ascii="Times New Roman" w:hAnsi="Times New Roman" w:eastAsia="宋体" w:cs="Times New Roman"/>
          <w:sz w:val="24"/>
          <w:szCs w:val="24"/>
          <w:u w:val="single"/>
        </w:rPr>
        <w:t>地表水环境》（</w:t>
      </w:r>
      <w:r>
        <w:rPr>
          <w:rFonts w:hint="default" w:ascii="Times New Roman" w:hAnsi="Times New Roman" w:eastAsia="Calibri" w:cs="Times New Roman"/>
          <w:sz w:val="24"/>
          <w:szCs w:val="24"/>
          <w:u w:val="single"/>
        </w:rPr>
        <w:t>HJ2.3-2018</w:t>
      </w:r>
      <w:r>
        <w:rPr>
          <w:rFonts w:hint="default" w:ascii="Times New Roman" w:hAnsi="Times New Roman" w:eastAsia="宋体" w:cs="Times New Roman"/>
          <w:spacing w:val="-52"/>
          <w:sz w:val="24"/>
          <w:szCs w:val="24"/>
          <w:u w:val="single"/>
        </w:rPr>
        <w:t>）</w:t>
      </w:r>
      <w:r>
        <w:rPr>
          <w:rFonts w:hint="default" w:ascii="Times New Roman" w:hAnsi="Times New Roman" w:eastAsia="宋体" w:cs="Times New Roman"/>
          <w:sz w:val="24"/>
          <w:szCs w:val="24"/>
          <w:u w:val="single"/>
        </w:rPr>
        <w:t>规定</w:t>
      </w:r>
      <w:r>
        <w:rPr>
          <w:rFonts w:hint="default" w:ascii="Times New Roman" w:hAnsi="Times New Roman" w:eastAsia="宋体" w:cs="Times New Roman"/>
          <w:spacing w:val="-34"/>
          <w:sz w:val="24"/>
          <w:szCs w:val="24"/>
          <w:u w:val="single"/>
        </w:rPr>
        <w:t>，</w:t>
      </w:r>
      <w:r>
        <w:rPr>
          <w:rFonts w:hint="default" w:ascii="Times New Roman" w:hAnsi="Times New Roman" w:eastAsia="宋体" w:cs="Times New Roman"/>
          <w:sz w:val="24"/>
          <w:szCs w:val="24"/>
          <w:u w:val="single"/>
        </w:rPr>
        <w:t>地表水评价等级为三级</w:t>
      </w:r>
      <w:r>
        <w:rPr>
          <w:rFonts w:hint="default" w:ascii="Times New Roman" w:hAnsi="Times New Roman" w:eastAsia="Calibri" w:cs="Times New Roman"/>
          <w:sz w:val="24"/>
          <w:szCs w:val="24"/>
          <w:u w:val="single"/>
        </w:rPr>
        <w:t>B</w:t>
      </w:r>
      <w:r>
        <w:rPr>
          <w:rFonts w:hint="default" w:ascii="Times New Roman" w:hAnsi="Times New Roman" w:eastAsia="宋体" w:cs="Times New Roman"/>
          <w:sz w:val="24"/>
          <w:szCs w:val="24"/>
          <w:u w:val="single"/>
          <w:lang w:val="en-US"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rPr>
      </w:pPr>
      <w:r>
        <w:rPr>
          <w:rFonts w:hint="eastAsia"/>
          <w:lang w:val="en-US" w:eastAsia="zh-CN"/>
        </w:rPr>
        <w:t xml:space="preserve">2.5.3 </w:t>
      </w:r>
      <w:r>
        <w:rPr>
          <w:rFonts w:hint="eastAsia"/>
        </w:rPr>
        <w:t>声环境影响评价工作等级</w:t>
      </w:r>
    </w:p>
    <w:p>
      <w:pPr>
        <w:bidi w:val="0"/>
      </w:pPr>
      <w:r>
        <w:t>该项目位于《声环境质量标准》</w:t>
      </w:r>
      <w:r>
        <w:rPr>
          <w:rFonts w:hint="eastAsia"/>
          <w:lang w:eastAsia="zh-CN"/>
        </w:rPr>
        <w:t>（</w:t>
      </w:r>
      <w:r>
        <w:t>GB3096-2008</w:t>
      </w:r>
      <w:r>
        <w:rPr>
          <w:rFonts w:hint="eastAsia"/>
          <w:lang w:eastAsia="zh-CN"/>
        </w:rPr>
        <w:t>）</w:t>
      </w:r>
      <w:r>
        <w:t>中的</w:t>
      </w:r>
      <w:r>
        <w:rPr>
          <w:rFonts w:hint="eastAsia"/>
          <w:lang w:val="en-US" w:eastAsia="zh-CN"/>
        </w:rPr>
        <w:t>1</w:t>
      </w:r>
      <w:r>
        <w:t>类</w:t>
      </w:r>
      <w:r>
        <w:rPr>
          <w:rFonts w:hint="eastAsia"/>
          <w:lang w:eastAsia="zh-CN"/>
        </w:rPr>
        <w:t>功能区</w:t>
      </w:r>
      <w:r>
        <w:t>。结合该项目特点、选址及平面布局等因素，该项目投运后对周围声环境影响较小（＜3dB（A）），其所处的声功能区为GB3096规定的</w:t>
      </w:r>
      <w:r>
        <w:rPr>
          <w:rFonts w:hint="eastAsia"/>
          <w:lang w:val="en-US" w:eastAsia="zh-CN"/>
        </w:rPr>
        <w:t>1</w:t>
      </w:r>
      <w:r>
        <w:t>类区，根据评价导则中有关规定，确定该项目声环境评价工作等级为二级。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表2.5-6  声环境影响评价等级划分</w:t>
      </w:r>
    </w:p>
    <w:tbl>
      <w:tblPr>
        <w:tblStyle w:val="21"/>
        <w:tblW w:w="502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79"/>
        <w:gridCol w:w="554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3575"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项目</w:t>
            </w:r>
          </w:p>
        </w:tc>
        <w:tc>
          <w:tcPr>
            <w:tcW w:w="554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指标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3575"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项目所在区域环境功能区划</w:t>
            </w:r>
          </w:p>
        </w:tc>
        <w:tc>
          <w:tcPr>
            <w:tcW w:w="554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rPr>
                <w:rFonts w:hint="default"/>
                <w:lang w:val="en-US" w:eastAsia="zh-CN"/>
              </w:rPr>
            </w:pPr>
            <w:r>
              <w:rPr>
                <w:rFonts w:hint="eastAsia"/>
                <w:lang w:val="en-US" w:eastAsia="zh-CN"/>
              </w:rPr>
              <w:t>1</w:t>
            </w:r>
            <w:r>
              <w:rPr>
                <w:lang w:val="zh-CN" w:eastAsia="zh-CN"/>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3575"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敏感点声级增量</w:t>
            </w:r>
          </w:p>
        </w:tc>
        <w:tc>
          <w:tcPr>
            <w:tcW w:w="554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＜3dB（A）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3575"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噪声影响范围内人口分布</w:t>
            </w:r>
          </w:p>
        </w:tc>
        <w:tc>
          <w:tcPr>
            <w:tcW w:w="554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影响人口少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3575"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评价等级</w:t>
            </w:r>
          </w:p>
        </w:tc>
        <w:tc>
          <w:tcPr>
            <w:tcW w:w="554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二级</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rPr>
      </w:pPr>
      <w:r>
        <w:rPr>
          <w:rFonts w:hint="eastAsia"/>
          <w:lang w:val="en-US" w:eastAsia="zh-CN"/>
        </w:rPr>
        <w:t xml:space="preserve">2.5.4 </w:t>
      </w:r>
      <w:r>
        <w:rPr>
          <w:rFonts w:hint="eastAsia"/>
        </w:rPr>
        <w:t>地下水评价等级</w:t>
      </w:r>
    </w:p>
    <w:p>
      <w:pPr>
        <w:pStyle w:val="19"/>
        <w:keepNext w:val="0"/>
        <w:keepLines w:val="0"/>
        <w:widowControl/>
        <w:suppressLineNumbers w:val="0"/>
        <w:spacing w:before="0" w:beforeAutospacing="0" w:after="0" w:afterAutospacing="0"/>
        <w:ind w:left="0" w:right="0" w:firstLine="0"/>
      </w:pPr>
      <w:r>
        <w:rPr>
          <w:rFonts w:hint="eastAsia"/>
          <w:lang w:val="en-US" w:eastAsia="zh-CN"/>
        </w:rPr>
        <w:t>根据《环境影响评价技术导则 地下水环境》（</w:t>
      </w:r>
      <w:r>
        <w:rPr>
          <w:rFonts w:hint="default"/>
          <w:lang w:val="en-US" w:eastAsia="zh-CN"/>
        </w:rPr>
        <w:t>HJ610-2016</w:t>
      </w:r>
      <w:r>
        <w:rPr>
          <w:rFonts w:hint="eastAsia"/>
          <w:lang w:val="en-US" w:eastAsia="zh-CN"/>
        </w:rPr>
        <w:t>），评价工作等级的划分应依据建设项目行业分类和地下水环境敏感程度分级进行判定。</w:t>
      </w:r>
      <w:r>
        <w:t>本项日属于U城镇基础设施及房地产类别中第155项中废塑料再生利用项目，地下水环境影响评价项目类别为</w:t>
      </w:r>
      <w:r>
        <w:rPr>
          <w:rFonts w:hint="eastAsia" w:ascii="宋体" w:hAnsi="宋体" w:eastAsia="宋体" w:cs="宋体"/>
        </w:rPr>
        <w:t>Ⅲ</w:t>
      </w:r>
      <w:r>
        <w:t>类，地下水评价等级判定依据见表</w:t>
      </w:r>
      <w:r>
        <w:rPr>
          <w:rFonts w:hint="eastAsia"/>
          <w:lang w:val="en-US" w:eastAsia="zh-CN"/>
        </w:rPr>
        <w:t>2.5-7</w:t>
      </w:r>
      <w:r>
        <w:t>、表</w:t>
      </w:r>
      <w:r>
        <w:rPr>
          <w:rFonts w:hint="eastAsia"/>
          <w:lang w:val="en-US" w:eastAsia="zh-CN"/>
        </w:rPr>
        <w:t>2.5-8</w:t>
      </w:r>
      <w: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表2.5-7  地下水环境敏感程度分级表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8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敏感程度</w:t>
            </w:r>
          </w:p>
        </w:tc>
        <w:tc>
          <w:tcPr>
            <w:tcW w:w="8150" w:type="dxa"/>
            <w:vAlign w:val="center"/>
          </w:tcPr>
          <w:p>
            <w:pPr>
              <w:pStyle w:val="30"/>
              <w:bidi w:val="0"/>
              <w:jc w:val="center"/>
              <w:rPr>
                <w:rFonts w:hint="eastAsia"/>
                <w:sz w:val="21"/>
                <w:szCs w:val="21"/>
                <w:lang w:val="en-US" w:eastAsia="zh-CN"/>
              </w:rPr>
            </w:pPr>
            <w:r>
              <w:rPr>
                <w:rFonts w:hint="eastAsia"/>
                <w:sz w:val="21"/>
                <w:szCs w:val="21"/>
                <w:lang w:val="en-US" w:eastAsia="zh-CN"/>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敏感</w:t>
            </w:r>
          </w:p>
        </w:tc>
        <w:tc>
          <w:tcPr>
            <w:tcW w:w="8150" w:type="dxa"/>
            <w:vAlign w:val="center"/>
          </w:tcPr>
          <w:p>
            <w:pPr>
              <w:pStyle w:val="30"/>
              <w:bidi w:val="0"/>
              <w:jc w:val="both"/>
              <w:rPr>
                <w:rFonts w:hint="eastAsia"/>
                <w:sz w:val="21"/>
                <w:szCs w:val="21"/>
                <w:lang w:val="en-US" w:eastAsia="zh-CN"/>
              </w:rPr>
            </w:pPr>
            <w:r>
              <w:rPr>
                <w:rFonts w:hint="eastAsia"/>
                <w:sz w:val="21"/>
                <w:szCs w:val="21"/>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较敏感</w:t>
            </w:r>
          </w:p>
        </w:tc>
        <w:tc>
          <w:tcPr>
            <w:tcW w:w="8150" w:type="dxa"/>
            <w:vAlign w:val="center"/>
          </w:tcPr>
          <w:p>
            <w:pPr>
              <w:pStyle w:val="30"/>
              <w:bidi w:val="0"/>
              <w:jc w:val="both"/>
              <w:rPr>
                <w:rFonts w:hint="eastAsia"/>
                <w:sz w:val="21"/>
                <w:szCs w:val="21"/>
                <w:lang w:val="en-US" w:eastAsia="zh-CN"/>
              </w:rPr>
            </w:pPr>
            <w:r>
              <w:rPr>
                <w:rFonts w:hint="eastAsia"/>
                <w:sz w:val="21"/>
                <w:szCs w:val="21"/>
                <w:lang w:val="en-US"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不敏感</w:t>
            </w:r>
          </w:p>
        </w:tc>
        <w:tc>
          <w:tcPr>
            <w:tcW w:w="8150" w:type="dxa"/>
            <w:vAlign w:val="center"/>
          </w:tcPr>
          <w:p>
            <w:pPr>
              <w:pStyle w:val="30"/>
              <w:bidi w:val="0"/>
              <w:jc w:val="both"/>
              <w:rPr>
                <w:rFonts w:hint="eastAsia"/>
                <w:sz w:val="21"/>
                <w:szCs w:val="21"/>
                <w:lang w:val="en-US" w:eastAsia="zh-CN"/>
              </w:rPr>
            </w:pPr>
            <w:r>
              <w:rPr>
                <w:rFonts w:hint="eastAsia"/>
                <w:sz w:val="21"/>
                <w:szCs w:val="21"/>
                <w:lang w:val="en-US" w:eastAsia="zh-CN"/>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vAlign w:val="center"/>
          </w:tcPr>
          <w:p>
            <w:pPr>
              <w:pStyle w:val="30"/>
              <w:bidi w:val="0"/>
              <w:jc w:val="both"/>
              <w:rPr>
                <w:rFonts w:hint="eastAsia"/>
                <w:sz w:val="21"/>
                <w:szCs w:val="21"/>
                <w:lang w:val="en-US" w:eastAsia="zh-CN"/>
              </w:rPr>
            </w:pPr>
            <w:r>
              <w:rPr>
                <w:rFonts w:hint="eastAsia"/>
                <w:sz w:val="21"/>
                <w:szCs w:val="21"/>
                <w:lang w:val="en-US" w:eastAsia="zh-CN"/>
              </w:rPr>
              <w:t>注：a“环境敏感区”是指《建设项目环境影响评价分类管理名录》中所界定的涉及地下水的环境敏感区。</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表2.5-8  评价工作等级分级表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629"/>
        <w:gridCol w:w="2323"/>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环境敏感程度</w:t>
            </w:r>
          </w:p>
        </w:tc>
        <w:tc>
          <w:tcPr>
            <w:tcW w:w="1415"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Ⅰ类项目</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Ⅱ类项目</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敏感</w:t>
            </w:r>
          </w:p>
        </w:tc>
        <w:tc>
          <w:tcPr>
            <w:tcW w:w="1415"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不敏感</w:t>
            </w:r>
          </w:p>
        </w:tc>
        <w:tc>
          <w:tcPr>
            <w:tcW w:w="1415"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较敏感</w:t>
            </w:r>
          </w:p>
        </w:tc>
        <w:tc>
          <w:tcPr>
            <w:tcW w:w="1415"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c>
          <w:tcPr>
            <w:tcW w:w="1250" w:type="pct"/>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三</w:t>
            </w:r>
          </w:p>
        </w:tc>
        <w:tc>
          <w:tcPr>
            <w:tcW w:w="1250" w:type="pct"/>
            <w:shd w:val="clear" w:color="auto" w:fill="FFC000"/>
            <w:vAlign w:val="top"/>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三</w:t>
            </w:r>
          </w:p>
        </w:tc>
      </w:tr>
    </w:tbl>
    <w:p>
      <w:pPr>
        <w:pStyle w:val="19"/>
        <w:keepNext w:val="0"/>
        <w:keepLines w:val="0"/>
        <w:widowControl/>
        <w:suppressLineNumbers w:val="0"/>
        <w:spacing w:before="0" w:beforeAutospacing="0" w:after="0" w:afterAutospacing="0"/>
        <w:ind w:left="0" w:right="0" w:firstLine="0"/>
        <w:jc w:val="both"/>
      </w:pPr>
      <w:r>
        <w:t>本项日属于</w:t>
      </w:r>
      <w:r>
        <w:rPr>
          <w:rFonts w:hint="eastAsia" w:ascii="宋体" w:hAnsi="宋体" w:eastAsia="宋体" w:cs="宋体"/>
        </w:rPr>
        <w:t>Ⅲ</w:t>
      </w:r>
      <w:r>
        <w:t>类项目，且位于</w:t>
      </w:r>
      <w:r>
        <w:rPr>
          <w:rFonts w:hint="eastAsia"/>
          <w:lang w:eastAsia="zh-CN"/>
        </w:rPr>
        <w:t>较敏感</w:t>
      </w:r>
      <w:r>
        <w:t>区域</w:t>
      </w:r>
      <w:r>
        <w:rPr>
          <w:rFonts w:hint="eastAsia" w:ascii="宋体" w:hAnsi="宋体" w:eastAsia="宋体" w:cs="宋体"/>
          <w:color w:val="000000"/>
          <w:kern w:val="0"/>
          <w:sz w:val="24"/>
          <w:szCs w:val="24"/>
          <w:lang w:val="en-US" w:eastAsia="zh-CN" w:bidi="ar"/>
        </w:rPr>
        <w:t>。根据本项目所在区域的地下水含水组的岩性特征与埋藏规律可知，地下水整体流向为由东南向西北方向，地下水补给地表水。</w:t>
      </w:r>
      <w:r>
        <w:rPr>
          <w:rFonts w:hint="eastAsia" w:ascii="宋体" w:hAnsi="宋体" w:eastAsia="宋体" w:cs="宋体"/>
          <w:color w:val="000000"/>
          <w:kern w:val="0"/>
          <w:sz w:val="24"/>
          <w:szCs w:val="24"/>
          <w:u w:val="single"/>
          <w:lang w:val="en-US" w:eastAsia="zh-CN" w:bidi="ar"/>
        </w:rPr>
        <w:t>项目</w:t>
      </w:r>
      <w:r>
        <w:rPr>
          <w:rFonts w:hint="eastAsia" w:ascii="宋体" w:hAnsi="宋体" w:cs="宋体"/>
          <w:color w:val="000000"/>
          <w:kern w:val="0"/>
          <w:sz w:val="24"/>
          <w:szCs w:val="24"/>
          <w:u w:val="single"/>
          <w:lang w:val="en-US" w:eastAsia="zh-CN" w:bidi="ar"/>
        </w:rPr>
        <w:t>周边存在永久性基</w:t>
      </w:r>
      <w:r>
        <w:rPr>
          <w:rFonts w:hint="default" w:ascii="Times New Roman" w:hAnsi="Times New Roman" w:cs="Times New Roman"/>
          <w:color w:val="000000"/>
          <w:kern w:val="0"/>
          <w:sz w:val="24"/>
          <w:szCs w:val="24"/>
          <w:u w:val="single"/>
          <w:lang w:val="en-US" w:eastAsia="zh-CN" w:bidi="ar"/>
        </w:rPr>
        <w:t>本农田，属于《建设项目分类管理名录》（2021年版）</w:t>
      </w:r>
      <w:r>
        <w:rPr>
          <w:rFonts w:hint="eastAsia" w:ascii="Times New Roman" w:hAnsi="Times New Roman" w:cs="Times New Roman"/>
          <w:color w:val="000000"/>
          <w:kern w:val="0"/>
          <w:sz w:val="24"/>
          <w:szCs w:val="24"/>
          <w:u w:val="single"/>
          <w:lang w:val="en-US" w:eastAsia="zh-CN" w:bidi="ar"/>
        </w:rPr>
        <w:t>中环境敏感区，</w:t>
      </w:r>
      <w:r>
        <w:rPr>
          <w:rFonts w:hint="eastAsia" w:ascii="宋体" w:hAnsi="宋体" w:eastAsia="宋体" w:cs="宋体"/>
          <w:color w:val="000000"/>
          <w:kern w:val="0"/>
          <w:sz w:val="24"/>
          <w:szCs w:val="24"/>
          <w:u w:val="single"/>
          <w:lang w:val="en-US" w:eastAsia="zh-CN" w:bidi="ar"/>
        </w:rPr>
        <w:t>因此项目环境敏感程度为较敏感。</w:t>
      </w:r>
      <w:r>
        <w:t>对照表</w:t>
      </w:r>
      <w:r>
        <w:rPr>
          <w:rFonts w:hint="eastAsia"/>
          <w:lang w:val="en-US" w:eastAsia="zh-CN"/>
        </w:rPr>
        <w:t>2.5-6</w:t>
      </w:r>
      <w:r>
        <w:t>和表</w:t>
      </w:r>
      <w:r>
        <w:rPr>
          <w:rFonts w:hint="eastAsia"/>
          <w:lang w:val="en-US" w:eastAsia="zh-CN"/>
        </w:rPr>
        <w:t>2.5-7</w:t>
      </w:r>
      <w:r>
        <w:t>确定本项目地下水评价等级为三级。依据《环境影响评价技术导则 地下水环境》（HJ610-2016）中</w:t>
      </w:r>
      <w:r>
        <w:rPr>
          <w:rFonts w:hint="eastAsia"/>
          <w:lang w:eastAsia="zh-CN"/>
        </w:rPr>
        <w:t>自定义法</w:t>
      </w:r>
      <w:r>
        <w:t>，确定本项目地下水评价范围为6</w:t>
      </w:r>
      <w:r>
        <w:rPr>
          <w:rFonts w:hint="eastAsia"/>
          <w:lang w:val="en-US" w:eastAsia="zh-CN"/>
        </w:rPr>
        <w:t>.392</w:t>
      </w:r>
      <w:r>
        <w:t>km</w:t>
      </w:r>
      <w:r>
        <w:rPr>
          <w:rFonts w:hint="eastAsia"/>
          <w:vertAlign w:val="superscript"/>
          <w:lang w:val="en-US" w:eastAsia="zh-CN"/>
        </w:rPr>
        <w:t>2</w:t>
      </w:r>
      <w: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rPr>
      </w:pPr>
      <w:r>
        <w:rPr>
          <w:rFonts w:hint="eastAsia"/>
          <w:lang w:val="en-US" w:eastAsia="zh-CN"/>
        </w:rPr>
        <w:t xml:space="preserve">2.5.5 </w:t>
      </w:r>
      <w:r>
        <w:rPr>
          <w:rFonts w:hint="eastAsia"/>
        </w:rPr>
        <w:t>土壤环境评价等级</w:t>
      </w:r>
    </w:p>
    <w:p>
      <w:pPr>
        <w:bidi w:val="0"/>
        <w:rPr>
          <w:rFonts w:hint="eastAsia"/>
          <w:lang w:val="en-US" w:eastAsia="zh-CN"/>
        </w:rPr>
      </w:pPr>
      <w:r>
        <w:rPr>
          <w:rFonts w:hint="eastAsia"/>
          <w:lang w:val="en-US" w:eastAsia="zh-CN"/>
        </w:rPr>
        <w:t>本项目对照《环境影响评价技术导则土壤环境（试行）》附录</w:t>
      </w:r>
      <w:r>
        <w:rPr>
          <w:rFonts w:hint="default"/>
          <w:lang w:val="en-US" w:eastAsia="zh-CN"/>
        </w:rPr>
        <w:t>A</w:t>
      </w:r>
      <w:r>
        <w:rPr>
          <w:rFonts w:hint="eastAsia"/>
          <w:lang w:val="en-US" w:eastAsia="zh-CN"/>
        </w:rPr>
        <w:t>，本项目为环境和公共设施管理业中的废旧资源加工、再生利用，为Ⅲ类建设项目。</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表2.5-9  土壤环境影响评价分类</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3"/>
        <w:gridCol w:w="1335"/>
        <w:gridCol w:w="2970"/>
        <w:gridCol w:w="2850"/>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33" w:type="dxa"/>
            <w:vMerge w:val="restart"/>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行业类别</w:t>
            </w:r>
          </w:p>
        </w:tc>
        <w:tc>
          <w:tcPr>
            <w:tcW w:w="7955" w:type="dxa"/>
            <w:gridSpan w:val="4"/>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环境影响评价类别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33" w:type="dxa"/>
            <w:vMerge w:val="continue"/>
            <w:noWrap w:val="0"/>
            <w:vAlign w:val="center"/>
          </w:tcPr>
          <w:p>
            <w:pPr>
              <w:pStyle w:val="30"/>
              <w:bidi w:val="0"/>
              <w:jc w:val="center"/>
              <w:rPr>
                <w:rFonts w:hint="default" w:ascii="Times New Roman" w:hAnsi="Times New Roman" w:eastAsia="宋体"/>
                <w:sz w:val="21"/>
                <w:szCs w:val="21"/>
                <w:lang w:val="en-US" w:eastAsia="zh-CN"/>
              </w:rPr>
            </w:pPr>
          </w:p>
        </w:tc>
        <w:tc>
          <w:tcPr>
            <w:tcW w:w="1335" w:type="dxa"/>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I</w:t>
            </w:r>
          </w:p>
        </w:tc>
        <w:tc>
          <w:tcPr>
            <w:tcW w:w="2970" w:type="dxa"/>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II</w:t>
            </w:r>
          </w:p>
        </w:tc>
        <w:tc>
          <w:tcPr>
            <w:tcW w:w="2850" w:type="dxa"/>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III</w:t>
            </w:r>
          </w:p>
        </w:tc>
        <w:tc>
          <w:tcPr>
            <w:tcW w:w="800" w:type="dxa"/>
            <w:noWrap w:val="0"/>
            <w:vAlign w:val="center"/>
          </w:tcPr>
          <w:p>
            <w:pPr>
              <w:pStyle w:val="30"/>
              <w:bidi w:val="0"/>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33" w:type="dxa"/>
            <w:noWrap w:val="0"/>
            <w:vAlign w:val="center"/>
          </w:tcPr>
          <w:p>
            <w:pPr>
              <w:pStyle w:val="30"/>
              <w:bidi w:val="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环境和公共设施管理业</w:t>
            </w:r>
          </w:p>
        </w:tc>
        <w:tc>
          <w:tcPr>
            <w:tcW w:w="1335" w:type="dxa"/>
            <w:noWrap w:val="0"/>
            <w:vAlign w:val="center"/>
          </w:tcPr>
          <w:p>
            <w:pPr>
              <w:pStyle w:val="30"/>
              <w:bidi w:val="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危险废物利用及处置</w:t>
            </w:r>
          </w:p>
        </w:tc>
        <w:tc>
          <w:tcPr>
            <w:tcW w:w="2970" w:type="dxa"/>
            <w:noWrap w:val="0"/>
            <w:vAlign w:val="center"/>
          </w:tcPr>
          <w:p>
            <w:pPr>
              <w:pStyle w:val="30"/>
              <w:bidi w:val="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采取填埋和焚烧方式的一般工业固体废物处置及综合利用；城镇生活垃圾（不含餐厨废弃物）集中处置</w:t>
            </w:r>
          </w:p>
        </w:tc>
        <w:tc>
          <w:tcPr>
            <w:tcW w:w="2850" w:type="dxa"/>
            <w:noWrap w:val="0"/>
            <w:vAlign w:val="center"/>
          </w:tcPr>
          <w:p>
            <w:pPr>
              <w:pStyle w:val="30"/>
              <w:bidi w:val="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一般工业固体废物处置及综合利用（除采取填埋和焚烧方式以外的）；废旧资源加工、再生利用</w:t>
            </w:r>
          </w:p>
        </w:tc>
        <w:tc>
          <w:tcPr>
            <w:tcW w:w="800" w:type="dxa"/>
            <w:noWrap w:val="0"/>
            <w:vAlign w:val="center"/>
          </w:tcPr>
          <w:p>
            <w:pPr>
              <w:pStyle w:val="30"/>
              <w:bidi w:val="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其它</w:t>
            </w:r>
          </w:p>
        </w:tc>
      </w:tr>
    </w:tbl>
    <w:p>
      <w:pPr>
        <w:pStyle w:val="34"/>
        <w:spacing w:line="360" w:lineRule="auto"/>
        <w:jc w:val="both"/>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利用</w:t>
      </w:r>
      <w:r>
        <w:rPr>
          <w:rFonts w:hint="default" w:ascii="Times New Roman" w:hAnsi="Times New Roman" w:eastAsia="宋体" w:cs="Times New Roman"/>
          <w:sz w:val="24"/>
          <w:szCs w:val="24"/>
          <w:lang w:val="en-US" w:eastAsia="zh-CN"/>
        </w:rPr>
        <w:t>已建厂房建设，占地面积为</w:t>
      </w:r>
      <w:r>
        <w:rPr>
          <w:rFonts w:hint="eastAsia" w:ascii="Times New Roman" w:hAnsi="Times New Roman" w:eastAsia="宋体" w:cs="Times New Roman"/>
          <w:sz w:val="24"/>
          <w:szCs w:val="24"/>
          <w:lang w:val="en-US" w:eastAsia="zh-CN"/>
        </w:rPr>
        <w:t>32000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&lt;5hm，占地规模为小型。项目选址于</w:t>
      </w:r>
      <w:r>
        <w:rPr>
          <w:rFonts w:hint="eastAsia"/>
          <w:lang w:val="en-US" w:eastAsia="zh-CN"/>
        </w:rPr>
        <w:t>平顶山市叶县廉村镇二郎庙村村北200米路东</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u w:val="single"/>
          <w:lang w:val="en-US" w:eastAsia="zh-CN"/>
        </w:rPr>
        <w:t>土壤环境敏感程度为敏感。</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表2.5-10  污染影响型评价工作等级划分表</w:t>
      </w:r>
    </w:p>
    <w:tbl>
      <w:tblPr>
        <w:tblStyle w:val="21"/>
        <w:tblW w:w="499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72"/>
        <w:gridCol w:w="733"/>
        <w:gridCol w:w="733"/>
        <w:gridCol w:w="735"/>
        <w:gridCol w:w="734"/>
        <w:gridCol w:w="734"/>
        <w:gridCol w:w="737"/>
        <w:gridCol w:w="734"/>
        <w:gridCol w:w="734"/>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39" w:type="pct"/>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敏感程度</w:t>
            </w:r>
          </w:p>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评价工作等级</w:t>
            </w:r>
          </w:p>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占地规模</w:t>
            </w:r>
          </w:p>
        </w:tc>
        <w:tc>
          <w:tcPr>
            <w:tcW w:w="1185" w:type="pct"/>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I类</w:t>
            </w:r>
          </w:p>
        </w:tc>
        <w:tc>
          <w:tcPr>
            <w:tcW w:w="1187" w:type="pct"/>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II类</w:t>
            </w:r>
          </w:p>
        </w:tc>
        <w:tc>
          <w:tcPr>
            <w:tcW w:w="1187" w:type="pct"/>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III类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39" w:type="pct"/>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大</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中</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小</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中</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小</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中</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39"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敏感</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39"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较敏感</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439"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不敏感</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p>
        </w:tc>
        <w:tc>
          <w:tcPr>
            <w:tcW w:w="394"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395"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397" w:type="pc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00" w:type="pct"/>
            <w:gridSpan w:val="10"/>
            <w:noWrap w:val="0"/>
            <w:vAlign w:val="center"/>
          </w:tcPr>
          <w:p>
            <w:pPr>
              <w:pStyle w:val="32"/>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表示可不开展土壤环境影响评价工作</w:t>
            </w:r>
          </w:p>
        </w:tc>
      </w:tr>
    </w:tbl>
    <w:p>
      <w:pPr>
        <w:pStyle w:val="34"/>
        <w:spacing w:line="360" w:lineRule="auto"/>
        <w:jc w:val="both"/>
        <w:rPr>
          <w:rFonts w:hint="eastAsia"/>
          <w:u w:val="single"/>
          <w:lang w:val="en-US" w:eastAsia="zh-CN"/>
        </w:rPr>
      </w:pPr>
      <w:r>
        <w:rPr>
          <w:rFonts w:hint="default" w:ascii="Times New Roman" w:hAnsi="Times New Roman" w:eastAsia="宋体" w:cs="Times New Roman"/>
          <w:sz w:val="24"/>
          <w:szCs w:val="24"/>
          <w:u w:val="single"/>
          <w:lang w:val="en-US" w:eastAsia="zh-CN"/>
        </w:rPr>
        <w:t>本项目土壤环境影响类别为</w:t>
      </w:r>
      <w:r>
        <w:rPr>
          <w:rFonts w:hint="default" w:ascii="Times New Roman" w:hAnsi="Times New Roman" w:eastAsia="宋体" w:cs="Times New Roman"/>
          <w:b/>
          <w:bCs/>
          <w:sz w:val="21"/>
          <w:szCs w:val="21"/>
          <w:u w:val="single"/>
          <w:lang w:val="en-US" w:eastAsia="zh-CN"/>
        </w:rPr>
        <w:t>III</w:t>
      </w:r>
      <w:r>
        <w:rPr>
          <w:rFonts w:hint="default" w:ascii="Times New Roman" w:hAnsi="Times New Roman" w:eastAsia="宋体" w:cs="Times New Roman"/>
          <w:sz w:val="24"/>
          <w:szCs w:val="24"/>
          <w:u w:val="single"/>
          <w:lang w:val="en-US" w:eastAsia="zh-CN"/>
        </w:rPr>
        <w:t>类，占地规模为小型，土壤环境敏感程度为敏感，根据表</w:t>
      </w:r>
      <w:r>
        <w:rPr>
          <w:rFonts w:hint="eastAsia" w:ascii="Times New Roman" w:hAnsi="Times New Roman" w:eastAsia="宋体" w:cs="Times New Roman"/>
          <w:sz w:val="24"/>
          <w:szCs w:val="24"/>
          <w:u w:val="single"/>
          <w:lang w:val="en-US" w:eastAsia="zh-CN"/>
        </w:rPr>
        <w:t>2.5-</w:t>
      </w:r>
      <w:r>
        <w:rPr>
          <w:rFonts w:hint="eastAsia" w:cs="Times New Roman"/>
          <w:sz w:val="24"/>
          <w:szCs w:val="24"/>
          <w:u w:val="single"/>
          <w:lang w:val="en-US" w:eastAsia="zh-CN"/>
        </w:rPr>
        <w:t>10</w:t>
      </w:r>
      <w:r>
        <w:rPr>
          <w:rFonts w:hint="default" w:ascii="Times New Roman" w:hAnsi="Times New Roman" w:eastAsia="宋体" w:cs="Times New Roman"/>
          <w:sz w:val="24"/>
          <w:szCs w:val="24"/>
          <w:u w:val="single"/>
          <w:lang w:val="en-US" w:eastAsia="zh-CN"/>
        </w:rPr>
        <w:t>，本项目</w:t>
      </w:r>
      <w:r>
        <w:rPr>
          <w:rFonts w:hint="eastAsia" w:cs="Times New Roman"/>
          <w:sz w:val="24"/>
          <w:szCs w:val="24"/>
          <w:u w:val="single"/>
          <w:lang w:val="en-US" w:eastAsia="zh-CN"/>
        </w:rPr>
        <w:t>土壤评价等级定为</w:t>
      </w:r>
      <w:r>
        <w:rPr>
          <w:rFonts w:hint="default" w:ascii="Times New Roman" w:hAnsi="Times New Roman" w:eastAsia="宋体" w:cs="Times New Roman"/>
          <w:sz w:val="24"/>
          <w:szCs w:val="24"/>
          <w:u w:val="single"/>
          <w:lang w:val="en-US" w:eastAsia="zh-CN"/>
        </w:rPr>
        <w:t>属于</w:t>
      </w:r>
      <w:r>
        <w:rPr>
          <w:rFonts w:hint="eastAsia" w:cs="Times New Roman"/>
          <w:sz w:val="24"/>
          <w:szCs w:val="24"/>
          <w:u w:val="single"/>
          <w:lang w:val="en-US" w:eastAsia="zh-CN"/>
        </w:rPr>
        <w:t>III级评价</w:t>
      </w:r>
      <w:r>
        <w:rPr>
          <w:rFonts w:hint="default" w:ascii="Times New Roman" w:hAnsi="Times New Roman" w:eastAsia="宋体" w:cs="Times New Roman"/>
          <w:sz w:val="24"/>
          <w:szCs w:val="24"/>
          <w:u w:val="single"/>
          <w:lang w:val="en-US" w:eastAsia="zh-CN"/>
        </w:rPr>
        <w:t>。</w:t>
      </w:r>
      <w:r>
        <w:t xml:space="preserve">依据《环境影响评价技术导则 </w:t>
      </w:r>
      <w:r>
        <w:rPr>
          <w:rFonts w:hint="eastAsia"/>
          <w:lang w:eastAsia="zh-CN"/>
        </w:rPr>
        <w:t>土壤</w:t>
      </w:r>
      <w:r>
        <w:t>环境</w:t>
      </w:r>
      <w:r>
        <w:rPr>
          <w:rFonts w:hint="eastAsia"/>
          <w:lang w:eastAsia="zh-CN"/>
        </w:rPr>
        <w:t>（试行）</w:t>
      </w:r>
      <w:r>
        <w:t>》（HJ</w:t>
      </w:r>
      <w:r>
        <w:rPr>
          <w:rFonts w:hint="eastAsia"/>
          <w:lang w:val="en-US" w:eastAsia="zh-CN"/>
        </w:rPr>
        <w:t>964</w:t>
      </w:r>
      <w:r>
        <w:t>-201</w:t>
      </w:r>
      <w:r>
        <w:rPr>
          <w:rFonts w:hint="eastAsia"/>
          <w:lang w:val="en-US" w:eastAsia="zh-CN"/>
        </w:rPr>
        <w:t>8</w:t>
      </w:r>
      <w:r>
        <w:t>）中</w:t>
      </w:r>
      <w:r>
        <w:rPr>
          <w:rFonts w:hint="eastAsia"/>
          <w:lang w:eastAsia="zh-CN"/>
        </w:rPr>
        <w:t>要求</w:t>
      </w:r>
      <w:r>
        <w:t>，确定本项目地</w:t>
      </w:r>
      <w:r>
        <w:rPr>
          <w:rFonts w:hint="eastAsia"/>
          <w:lang w:eastAsia="zh-CN"/>
        </w:rPr>
        <w:t>土壤</w:t>
      </w:r>
      <w:r>
        <w:t>价范围为</w:t>
      </w:r>
      <w:r>
        <w:rPr>
          <w:rFonts w:hint="eastAsia"/>
          <w:lang w:val="en-US" w:eastAsia="zh-CN"/>
        </w:rPr>
        <w:t>0.05km</w:t>
      </w:r>
      <w:r>
        <w:rPr>
          <w:rFonts w:hint="eastAsia"/>
          <w:vertAlign w:val="baseline"/>
          <w:lang w:val="en-US"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rPr>
      </w:pPr>
      <w:r>
        <w:rPr>
          <w:rFonts w:hint="eastAsia"/>
          <w:lang w:val="en-US" w:eastAsia="zh-CN"/>
        </w:rPr>
        <w:t xml:space="preserve">2.5.6 </w:t>
      </w:r>
      <w:r>
        <w:rPr>
          <w:rFonts w:hint="eastAsia"/>
        </w:rPr>
        <w:t>环境风险评价等级</w:t>
      </w:r>
    </w:p>
    <w:p>
      <w:pPr>
        <w:bidi w:val="0"/>
        <w:rPr>
          <w:rFonts w:hint="eastAsia"/>
          <w:lang w:val="en-US" w:eastAsia="zh-CN"/>
        </w:rPr>
      </w:pPr>
      <w:r>
        <w:rPr>
          <w:rFonts w:hint="eastAsia"/>
          <w:lang w:val="en-US" w:eastAsia="zh-CN"/>
        </w:rPr>
        <w:t>根据《建设项目环境风险评价技术导则》（</w:t>
      </w:r>
      <w:r>
        <w:rPr>
          <w:rFonts w:hint="default"/>
          <w:lang w:val="en-US" w:eastAsia="zh-CN"/>
        </w:rPr>
        <w:t>HJ/T169-2018</w:t>
      </w:r>
      <w:r>
        <w:rPr>
          <w:rFonts w:hint="eastAsia"/>
          <w:lang w:val="en-US" w:eastAsia="zh-CN"/>
        </w:rPr>
        <w:t>），环境风险评价工作等级划分为一级、二级、三级。根据建设项目涉及的物质及工艺系统危险性和所在地的环境敏感性确定环境风险潜势，按照表</w:t>
      </w:r>
      <w:r>
        <w:rPr>
          <w:rFonts w:hint="default"/>
          <w:lang w:val="en-US" w:eastAsia="zh-CN"/>
        </w:rPr>
        <w:t>2.</w:t>
      </w:r>
      <w:r>
        <w:rPr>
          <w:rFonts w:hint="eastAsia"/>
          <w:lang w:val="en-US" w:eastAsia="zh-CN"/>
        </w:rPr>
        <w:t>5</w:t>
      </w:r>
      <w:r>
        <w:rPr>
          <w:rFonts w:hint="default"/>
          <w:lang w:val="en-US" w:eastAsia="zh-CN"/>
        </w:rPr>
        <w:t>-</w:t>
      </w:r>
      <w:r>
        <w:rPr>
          <w:rFonts w:hint="eastAsia"/>
          <w:lang w:val="en-US" w:eastAsia="zh-CN"/>
        </w:rPr>
        <w:t>11确定评价工作等级。风险潜势为Ⅳ及以上，进行一级评价；风险潜势为Ⅲ，进行二级评价；风险潜势为Ⅱ，进行三级评价；风险潜势为Ⅰ，可开展简单分析。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表2.5-11  评价工作等级划分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1874"/>
        <w:gridCol w:w="1853"/>
        <w:gridCol w:w="1853"/>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bidi w:val="0"/>
              <w:rPr>
                <w:rFonts w:hint="eastAsia"/>
                <w:lang w:val="en-US" w:eastAsia="zh-CN"/>
              </w:rPr>
            </w:pPr>
            <w:r>
              <w:rPr>
                <w:rFonts w:hint="eastAsia"/>
                <w:lang w:val="en-US" w:eastAsia="zh-CN"/>
              </w:rPr>
              <w:t>环境风险潜势</w:t>
            </w:r>
          </w:p>
        </w:tc>
        <w:tc>
          <w:tcPr>
            <w:tcW w:w="2013" w:type="dxa"/>
            <w:vAlign w:val="center"/>
          </w:tcPr>
          <w:p>
            <w:pPr>
              <w:pStyle w:val="30"/>
              <w:bidi w:val="0"/>
              <w:rPr>
                <w:rFonts w:hint="eastAsia"/>
                <w:lang w:val="en-US" w:eastAsia="zh-CN"/>
              </w:rPr>
            </w:pPr>
            <w:r>
              <w:rPr>
                <w:rFonts w:hint="eastAsia"/>
                <w:lang w:val="en-US" w:eastAsia="zh-CN"/>
              </w:rPr>
              <w:t>Ⅳ、Ⅳ</w:t>
            </w:r>
            <w:r>
              <w:rPr>
                <w:rFonts w:hint="default"/>
                <w:lang w:val="en-US" w:eastAsia="zh-CN"/>
              </w:rPr>
              <w:t>+</w:t>
            </w:r>
          </w:p>
        </w:tc>
        <w:tc>
          <w:tcPr>
            <w:tcW w:w="2013" w:type="dxa"/>
            <w:vAlign w:val="center"/>
          </w:tcPr>
          <w:p>
            <w:pPr>
              <w:pStyle w:val="30"/>
              <w:bidi w:val="0"/>
              <w:rPr>
                <w:rFonts w:hint="eastAsia"/>
                <w:lang w:val="en-US" w:eastAsia="zh-CN"/>
              </w:rPr>
            </w:pPr>
            <w:r>
              <w:rPr>
                <w:rFonts w:hint="eastAsia"/>
                <w:lang w:val="en-US" w:eastAsia="zh-CN"/>
              </w:rPr>
              <w:t>Ⅲ</w:t>
            </w:r>
          </w:p>
        </w:tc>
        <w:tc>
          <w:tcPr>
            <w:tcW w:w="2013" w:type="dxa"/>
            <w:vAlign w:val="center"/>
          </w:tcPr>
          <w:p>
            <w:pPr>
              <w:pStyle w:val="30"/>
              <w:bidi w:val="0"/>
              <w:rPr>
                <w:rFonts w:hint="eastAsia"/>
                <w:lang w:val="en-US" w:eastAsia="zh-CN"/>
              </w:rPr>
            </w:pPr>
            <w:r>
              <w:rPr>
                <w:rFonts w:hint="eastAsia"/>
                <w:lang w:val="en-US" w:eastAsia="zh-CN"/>
              </w:rPr>
              <w:t>Ⅱ</w:t>
            </w:r>
          </w:p>
        </w:tc>
        <w:tc>
          <w:tcPr>
            <w:tcW w:w="2014" w:type="dxa"/>
            <w:vAlign w:val="center"/>
          </w:tcPr>
          <w:p>
            <w:pPr>
              <w:pStyle w:val="30"/>
              <w:bidi w:val="0"/>
              <w:rPr>
                <w:rFonts w:hint="eastAsia"/>
                <w:lang w:val="en-US" w:eastAsia="zh-CN"/>
              </w:rPr>
            </w:pPr>
            <w:r>
              <w:rPr>
                <w:rFonts w:hint="eastAsia"/>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pStyle w:val="30"/>
              <w:bidi w:val="0"/>
              <w:rPr>
                <w:rFonts w:hint="eastAsia"/>
                <w:lang w:val="en-US" w:eastAsia="zh-CN"/>
              </w:rPr>
            </w:pPr>
            <w:r>
              <w:rPr>
                <w:rFonts w:hint="eastAsia"/>
                <w:lang w:val="en-US" w:eastAsia="zh-CN"/>
              </w:rPr>
              <w:t>评价工作等级</w:t>
            </w:r>
          </w:p>
        </w:tc>
        <w:tc>
          <w:tcPr>
            <w:tcW w:w="2013" w:type="dxa"/>
            <w:vAlign w:val="center"/>
          </w:tcPr>
          <w:p>
            <w:pPr>
              <w:pStyle w:val="30"/>
              <w:bidi w:val="0"/>
              <w:rPr>
                <w:rFonts w:hint="eastAsia"/>
                <w:lang w:val="en-US" w:eastAsia="zh-CN"/>
              </w:rPr>
            </w:pPr>
            <w:r>
              <w:rPr>
                <w:rFonts w:hint="eastAsia"/>
                <w:lang w:val="en-US" w:eastAsia="zh-CN"/>
              </w:rPr>
              <w:t>一</w:t>
            </w:r>
          </w:p>
        </w:tc>
        <w:tc>
          <w:tcPr>
            <w:tcW w:w="2013" w:type="dxa"/>
            <w:vAlign w:val="center"/>
          </w:tcPr>
          <w:p>
            <w:pPr>
              <w:pStyle w:val="30"/>
              <w:bidi w:val="0"/>
              <w:rPr>
                <w:rFonts w:hint="eastAsia"/>
                <w:lang w:val="en-US" w:eastAsia="zh-CN"/>
              </w:rPr>
            </w:pPr>
            <w:r>
              <w:rPr>
                <w:rFonts w:hint="eastAsia"/>
                <w:lang w:val="en-US" w:eastAsia="zh-CN"/>
              </w:rPr>
              <w:t>二</w:t>
            </w:r>
          </w:p>
        </w:tc>
        <w:tc>
          <w:tcPr>
            <w:tcW w:w="2013" w:type="dxa"/>
            <w:vAlign w:val="center"/>
          </w:tcPr>
          <w:p>
            <w:pPr>
              <w:pStyle w:val="30"/>
              <w:bidi w:val="0"/>
              <w:rPr>
                <w:rFonts w:hint="eastAsia"/>
                <w:lang w:val="en-US" w:eastAsia="zh-CN"/>
              </w:rPr>
            </w:pPr>
            <w:r>
              <w:rPr>
                <w:rFonts w:hint="eastAsia"/>
                <w:lang w:val="en-US" w:eastAsia="zh-CN"/>
              </w:rPr>
              <w:t>三</w:t>
            </w:r>
          </w:p>
        </w:tc>
        <w:tc>
          <w:tcPr>
            <w:tcW w:w="2014" w:type="dxa"/>
            <w:vAlign w:val="center"/>
          </w:tcPr>
          <w:p>
            <w:pPr>
              <w:pStyle w:val="30"/>
              <w:bidi w:val="0"/>
              <w:rPr>
                <w:rFonts w:hint="eastAsia"/>
                <w:lang w:val="en-US" w:eastAsia="zh-CN"/>
              </w:rPr>
            </w:pPr>
            <w:r>
              <w:rPr>
                <w:rFonts w:hint="eastAsia"/>
                <w:lang w:val="en-US" w:eastAsia="zh-CN"/>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6" w:type="dxa"/>
            <w:gridSpan w:val="5"/>
            <w:vAlign w:val="center"/>
          </w:tcPr>
          <w:p>
            <w:pPr>
              <w:pStyle w:val="30"/>
              <w:bidi w:val="0"/>
              <w:jc w:val="both"/>
              <w:rPr>
                <w:rFonts w:hint="eastAsia"/>
                <w:lang w:val="en-US" w:eastAsia="zh-CN"/>
              </w:rPr>
            </w:pPr>
            <w:r>
              <w:rPr>
                <w:rFonts w:hint="eastAsia"/>
                <w:lang w:val="en-US" w:eastAsia="zh-CN"/>
              </w:rPr>
              <w:t>注：a是相对于详细评价工作内容而言，在描述危险物质、环境影响途径、环境危害后果、风险防范措施等方面给出定性的说明。见</w:t>
            </w:r>
            <w:r>
              <w:rPr>
                <w:rFonts w:hint="default"/>
                <w:lang w:val="en-US" w:eastAsia="zh-CN"/>
              </w:rPr>
              <w:t>HJ/T169-2018</w:t>
            </w:r>
            <w:r>
              <w:rPr>
                <w:rFonts w:hint="eastAsia"/>
                <w:lang w:val="en-US" w:eastAsia="zh-CN"/>
              </w:rPr>
              <w:t>附录</w:t>
            </w:r>
            <w:r>
              <w:rPr>
                <w:rFonts w:hint="default"/>
                <w:lang w:val="en-US" w:eastAsia="zh-CN"/>
              </w:rPr>
              <w:t>A</w:t>
            </w:r>
            <w:r>
              <w:rPr>
                <w:rFonts w:hint="eastAsia"/>
                <w:lang w:val="en-US" w:eastAsia="zh-CN"/>
              </w:rPr>
              <w:t>。</w:t>
            </w:r>
          </w:p>
        </w:tc>
      </w:tr>
    </w:tbl>
    <w:p>
      <w:pPr>
        <w:bidi w:val="0"/>
        <w:rPr>
          <w:rFonts w:hint="eastAsia"/>
          <w:lang w:val="en-US" w:eastAsia="zh-CN"/>
        </w:rPr>
      </w:pPr>
      <w:r>
        <w:rPr>
          <w:rFonts w:hint="eastAsia"/>
          <w:lang w:val="en-US" w:eastAsia="zh-CN"/>
        </w:rPr>
        <w:t>风险潜势初判：根据《建设项目环境风险评价技术导则》（</w:t>
      </w:r>
      <w:r>
        <w:rPr>
          <w:rFonts w:hint="default"/>
          <w:lang w:val="en-US" w:eastAsia="zh-CN"/>
        </w:rPr>
        <w:t>HJ 169-2018</w:t>
      </w:r>
      <w:r>
        <w:rPr>
          <w:rFonts w:hint="eastAsia"/>
          <w:lang w:val="en-US" w:eastAsia="zh-CN"/>
        </w:rPr>
        <w:t>）附录</w:t>
      </w:r>
      <w:r>
        <w:rPr>
          <w:rFonts w:hint="default"/>
          <w:lang w:val="en-US" w:eastAsia="zh-CN"/>
        </w:rPr>
        <w:t>C</w:t>
      </w:r>
      <w:r>
        <w:rPr>
          <w:rFonts w:hint="eastAsia"/>
          <w:lang w:val="en-US" w:eastAsia="zh-CN"/>
        </w:rPr>
        <w:t>，计算本项目所涉及的每种危险物质在厂界内的最大存在总量与其在附录</w:t>
      </w:r>
      <w:r>
        <w:rPr>
          <w:rFonts w:hint="default"/>
          <w:lang w:val="en-US" w:eastAsia="zh-CN"/>
        </w:rPr>
        <w:t>B</w:t>
      </w:r>
      <w:r>
        <w:rPr>
          <w:rFonts w:hint="eastAsia"/>
          <w:lang w:val="en-US" w:eastAsia="zh-CN"/>
        </w:rPr>
        <w:t>中对应临界量的比值</w:t>
      </w:r>
      <w:r>
        <w:rPr>
          <w:rFonts w:hint="default"/>
          <w:lang w:val="en-US" w:eastAsia="zh-CN"/>
        </w:rPr>
        <w:t>Q</w:t>
      </w:r>
      <w:r>
        <w:rPr>
          <w:rFonts w:hint="eastAsia"/>
          <w:lang w:val="en-US" w:eastAsia="zh-CN"/>
        </w:rPr>
        <w:t>。当只涉及一种危险物质时，计算该物质的总量与其临界量比值，即为</w:t>
      </w:r>
      <w:r>
        <w:rPr>
          <w:rFonts w:hint="default"/>
          <w:lang w:val="en-US" w:eastAsia="zh-CN"/>
        </w:rPr>
        <w:t>Q</w:t>
      </w:r>
      <w:r>
        <w:rPr>
          <w:rFonts w:hint="eastAsia"/>
          <w:lang w:val="en-US" w:eastAsia="zh-CN"/>
        </w:rPr>
        <w:t>；当存在多种危险物质时，则按式（</w:t>
      </w:r>
      <w:r>
        <w:rPr>
          <w:rFonts w:hint="default"/>
          <w:lang w:val="en-US" w:eastAsia="zh-CN"/>
        </w:rPr>
        <w:t>C.1</w:t>
      </w:r>
      <w:r>
        <w:rPr>
          <w:rFonts w:hint="eastAsia"/>
          <w:lang w:val="en-US" w:eastAsia="zh-CN"/>
        </w:rPr>
        <w:t>）计算物质总量与其临界量比值（</w:t>
      </w:r>
      <w:r>
        <w:rPr>
          <w:rFonts w:hint="default"/>
          <w:lang w:val="en-US" w:eastAsia="zh-CN"/>
        </w:rPr>
        <w:t>Q</w:t>
      </w:r>
      <w:r>
        <w:rPr>
          <w:rFonts w:hint="eastAsia"/>
          <w:lang w:val="en-US" w:eastAsia="zh-CN"/>
        </w:rPr>
        <w:t>）；</w:t>
      </w:r>
    </w:p>
    <w:p>
      <w:pPr>
        <w:bidi w:val="0"/>
        <w:rPr>
          <w:rFonts w:hint="default"/>
          <w:lang w:val="en-US" w:eastAsia="zh-CN"/>
        </w:rPr>
      </w:pPr>
      <w:r>
        <w:rPr>
          <w:rFonts w:hint="eastAsia" w:eastAsia="宋体"/>
          <w:color w:val="000000" w:themeColor="text1"/>
          <w:position w:val="-38"/>
          <w:lang w:eastAsia="zh-CN"/>
          <w14:textFill>
            <w14:solidFill>
              <w14:schemeClr w14:val="tx1"/>
            </w14:solidFill>
          </w14:textFill>
        </w:rPr>
        <w:object>
          <v:shape id="_x0000_i1025" o:spt="75" type="#_x0000_t75" style="height:39.55pt;width:105.95pt;" o:ole="t" filled="f" o:preferrelative="t" stroked="f" coordsize="21600,21600">
            <v:path/>
            <v:fill on="f" focussize="0,0"/>
            <v:stroke on="f"/>
            <v:imagedata r:id="rId24" o:title=""/>
            <o:lock v:ext="edit" aspectratio="t"/>
            <w10:wrap type="none"/>
            <w10:anchorlock/>
          </v:shape>
          <o:OLEObject Type="Embed" ProgID="Equation.KSEE3" ShapeID="_x0000_i1025" DrawAspect="Content" ObjectID="_1468075725" r:id="rId23">
            <o:LockedField>false</o:LockedField>
          </o:OLEObject>
        </w:object>
      </w:r>
      <w:r>
        <w:rPr>
          <w:rFonts w:hint="eastAsia"/>
          <w:lang w:val="en-US" w:eastAsia="zh-CN"/>
        </w:rPr>
        <w:t xml:space="preserve">                        </w:t>
      </w:r>
      <w:r>
        <w:rPr>
          <w:rFonts w:hint="default"/>
          <w:lang w:val="en-US" w:eastAsia="zh-CN"/>
        </w:rPr>
        <w:t>(C.1)</w:t>
      </w:r>
    </w:p>
    <w:p>
      <w:pPr>
        <w:bidi w:val="0"/>
        <w:rPr>
          <w:rFonts w:hint="eastAsia"/>
          <w:lang w:val="en-US" w:eastAsia="zh-CN"/>
        </w:rPr>
      </w:pPr>
      <w:r>
        <w:rPr>
          <w:rFonts w:hint="eastAsia"/>
          <w:lang w:val="en-US" w:eastAsia="zh-CN"/>
        </w:rPr>
        <w:t>式中：</w:t>
      </w:r>
      <w:r>
        <w:rPr>
          <w:rFonts w:hint="default"/>
          <w:lang w:val="en-US" w:eastAsia="zh-CN"/>
        </w:rPr>
        <w:t>q1</w:t>
      </w:r>
      <w:r>
        <w:rPr>
          <w:rFonts w:hint="eastAsia"/>
          <w:lang w:val="en-US" w:eastAsia="zh-CN"/>
        </w:rPr>
        <w:t>，</w:t>
      </w:r>
      <w:r>
        <w:rPr>
          <w:rFonts w:hint="default"/>
          <w:lang w:val="en-US" w:eastAsia="zh-CN"/>
        </w:rPr>
        <w:t>q2</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qn——</w:t>
      </w:r>
      <w:r>
        <w:rPr>
          <w:rFonts w:hint="eastAsia"/>
          <w:lang w:val="en-US" w:eastAsia="zh-CN"/>
        </w:rPr>
        <w:t>每种危险物质的最大存在总量，</w:t>
      </w:r>
      <w:r>
        <w:rPr>
          <w:rFonts w:hint="default"/>
          <w:lang w:val="en-US" w:eastAsia="zh-CN"/>
        </w:rPr>
        <w:t>t</w:t>
      </w:r>
      <w:r>
        <w:rPr>
          <w:rFonts w:hint="eastAsia"/>
          <w:lang w:val="en-US" w:eastAsia="zh-CN"/>
        </w:rPr>
        <w:t>；</w:t>
      </w:r>
    </w:p>
    <w:p>
      <w:pPr>
        <w:bidi w:val="0"/>
        <w:rPr>
          <w:rFonts w:hint="eastAsia"/>
          <w:lang w:val="en-US" w:eastAsia="zh-CN"/>
        </w:rPr>
      </w:pPr>
      <w:r>
        <w:rPr>
          <w:rFonts w:hint="default"/>
          <w:lang w:val="en-US" w:eastAsia="zh-CN"/>
        </w:rPr>
        <w:t>Q1</w:t>
      </w:r>
      <w:r>
        <w:rPr>
          <w:rFonts w:hint="eastAsia"/>
          <w:lang w:val="en-US" w:eastAsia="zh-CN"/>
        </w:rPr>
        <w:t>，</w:t>
      </w:r>
      <w:r>
        <w:rPr>
          <w:rFonts w:hint="default"/>
          <w:lang w:val="en-US" w:eastAsia="zh-CN"/>
        </w:rPr>
        <w:t>Q2</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Qn——</w:t>
      </w:r>
      <w:r>
        <w:rPr>
          <w:rFonts w:hint="eastAsia"/>
          <w:lang w:val="en-US" w:eastAsia="zh-CN"/>
        </w:rPr>
        <w:t>每种危险物质的临界量，</w:t>
      </w:r>
      <w:r>
        <w:rPr>
          <w:rFonts w:hint="default"/>
          <w:lang w:val="en-US" w:eastAsia="zh-CN"/>
        </w:rPr>
        <w:t>t</w:t>
      </w:r>
      <w:r>
        <w:rPr>
          <w:rFonts w:hint="eastAsia"/>
          <w:lang w:val="en-US" w:eastAsia="zh-CN"/>
        </w:rPr>
        <w:t>。</w:t>
      </w:r>
    </w:p>
    <w:p>
      <w:pPr>
        <w:bidi w:val="0"/>
        <w:rPr>
          <w:rFonts w:hint="eastAsia"/>
          <w:lang w:val="en-US" w:eastAsia="zh-CN"/>
        </w:rPr>
      </w:pPr>
      <w:r>
        <w:rPr>
          <w:rFonts w:hint="eastAsia"/>
          <w:lang w:val="en-US" w:eastAsia="zh-CN"/>
        </w:rPr>
        <w:t>当</w:t>
      </w:r>
      <w:r>
        <w:rPr>
          <w:rFonts w:hint="default"/>
          <w:lang w:val="en-US" w:eastAsia="zh-CN"/>
        </w:rPr>
        <w:t>Q</w:t>
      </w:r>
      <w:r>
        <w:rPr>
          <w:rFonts w:hint="eastAsia"/>
          <w:lang w:val="en-US" w:eastAsia="zh-CN"/>
        </w:rPr>
        <w:t>＜</w:t>
      </w:r>
      <w:r>
        <w:rPr>
          <w:rFonts w:hint="default"/>
          <w:lang w:val="en-US" w:eastAsia="zh-CN"/>
        </w:rPr>
        <w:t>1</w:t>
      </w:r>
      <w:r>
        <w:rPr>
          <w:rFonts w:hint="eastAsia"/>
          <w:lang w:val="en-US" w:eastAsia="zh-CN"/>
        </w:rPr>
        <w:t>时，该项目环境风险潜势为</w:t>
      </w:r>
      <w:r>
        <w:rPr>
          <w:rFonts w:hint="default"/>
          <w:lang w:val="en-US" w:eastAsia="zh-CN"/>
        </w:rPr>
        <w:t>1</w:t>
      </w:r>
      <w:r>
        <w:rPr>
          <w:rFonts w:hint="eastAsia"/>
          <w:lang w:val="en-US" w:eastAsia="zh-CN"/>
        </w:rPr>
        <w:t>。</w:t>
      </w:r>
    </w:p>
    <w:p>
      <w:pPr>
        <w:bidi w:val="0"/>
        <w:rPr>
          <w:rFonts w:hint="eastAsia"/>
          <w:lang w:val="en-US" w:eastAsia="zh-CN"/>
        </w:rPr>
      </w:pPr>
      <w:r>
        <w:rPr>
          <w:rFonts w:hint="eastAsia"/>
          <w:lang w:val="en-US" w:eastAsia="zh-CN"/>
        </w:rPr>
        <w:t>当</w:t>
      </w:r>
      <w:r>
        <w:rPr>
          <w:rFonts w:hint="default"/>
          <w:lang w:val="en-US" w:eastAsia="zh-CN"/>
        </w:rPr>
        <w:t>Q≥1</w:t>
      </w:r>
      <w:r>
        <w:rPr>
          <w:rFonts w:hint="eastAsia"/>
          <w:lang w:val="en-US" w:eastAsia="zh-CN"/>
        </w:rPr>
        <w:t>时，将</w:t>
      </w:r>
      <w:r>
        <w:rPr>
          <w:rFonts w:hint="default"/>
          <w:lang w:val="en-US" w:eastAsia="zh-CN"/>
        </w:rPr>
        <w:t>Q</w:t>
      </w:r>
      <w:r>
        <w:rPr>
          <w:rFonts w:hint="eastAsia"/>
          <w:lang w:val="en-US" w:eastAsia="zh-CN"/>
        </w:rPr>
        <w:t>值划分为：（</w:t>
      </w:r>
      <w:r>
        <w:rPr>
          <w:rFonts w:hint="default"/>
          <w:lang w:val="en-US" w:eastAsia="zh-CN"/>
        </w:rPr>
        <w:t>1</w:t>
      </w:r>
      <w:r>
        <w:rPr>
          <w:rFonts w:hint="eastAsia"/>
          <w:lang w:val="en-US" w:eastAsia="zh-CN"/>
        </w:rPr>
        <w:t>）</w:t>
      </w:r>
      <w:r>
        <w:rPr>
          <w:rFonts w:hint="default"/>
          <w:lang w:val="en-US" w:eastAsia="zh-CN"/>
        </w:rPr>
        <w:t>1≤Q</w:t>
      </w:r>
      <w:r>
        <w:rPr>
          <w:rFonts w:hint="eastAsia"/>
          <w:lang w:val="en-US" w:eastAsia="zh-CN"/>
        </w:rPr>
        <w:t>＜</w:t>
      </w:r>
      <w:r>
        <w:rPr>
          <w:rFonts w:hint="default"/>
          <w:lang w:val="en-US" w:eastAsia="zh-CN"/>
        </w:rPr>
        <w:t>10</w:t>
      </w: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10≤Q</w:t>
      </w:r>
      <w:r>
        <w:rPr>
          <w:rFonts w:hint="eastAsia"/>
          <w:lang w:val="en-US" w:eastAsia="zh-CN"/>
        </w:rPr>
        <w:t>＜</w:t>
      </w:r>
      <w:r>
        <w:rPr>
          <w:rFonts w:hint="default"/>
          <w:lang w:val="en-US" w:eastAsia="zh-CN"/>
        </w:rPr>
        <w:t>100</w:t>
      </w:r>
      <w:r>
        <w:rPr>
          <w:rFonts w:hint="eastAsia"/>
          <w:lang w:val="en-US" w:eastAsia="zh-CN"/>
        </w:rPr>
        <w:t>；（</w:t>
      </w:r>
      <w:r>
        <w:rPr>
          <w:rFonts w:hint="default"/>
          <w:lang w:val="en-US" w:eastAsia="zh-CN"/>
        </w:rPr>
        <w:t>3</w:t>
      </w:r>
      <w:r>
        <w:rPr>
          <w:rFonts w:hint="eastAsia"/>
          <w:lang w:val="en-US" w:eastAsia="zh-CN"/>
        </w:rPr>
        <w:t>）</w:t>
      </w:r>
      <w:r>
        <w:rPr>
          <w:rFonts w:hint="default"/>
          <w:lang w:val="en-US" w:eastAsia="zh-CN"/>
        </w:rPr>
        <w:t>Q≥100</w:t>
      </w:r>
      <w:r>
        <w:rPr>
          <w:rFonts w:hint="eastAsia"/>
          <w:lang w:val="en-US" w:eastAsia="zh-CN"/>
        </w:rPr>
        <w:t>。</w:t>
      </w:r>
    </w:p>
    <w:p>
      <w:pPr>
        <w:ind w:firstLine="480"/>
        <w:rPr>
          <w:rFonts w:ascii="Times New Roman" w:hAnsi="Times New Roman"/>
          <w:color w:val="auto"/>
          <w:sz w:val="24"/>
          <w:u w:val="single"/>
        </w:rPr>
      </w:pPr>
      <w:r>
        <w:rPr>
          <w:rFonts w:ascii="Times New Roman" w:hAnsi="Times New Roman"/>
          <w:color w:val="auto"/>
          <w:sz w:val="24"/>
        </w:rPr>
        <w:t>项目所用原辅材料不涉及剧毒物质，仅废塑料原料及产品塑料颗粒具有可燃性，废旧塑料及再生塑料颗粒无临界量，因此本项目Q&lt;1，该项目的环境风险潜势为</w:t>
      </w:r>
      <w:r>
        <w:rPr>
          <w:rFonts w:ascii="Times New Roman" w:hAnsi="Times New Roman"/>
          <w:color w:val="auto"/>
          <w:sz w:val="24"/>
        </w:rPr>
        <w:fldChar w:fldCharType="begin"/>
      </w:r>
      <w:r>
        <w:rPr>
          <w:rFonts w:ascii="Times New Roman" w:hAnsi="Times New Roman"/>
          <w:color w:val="auto"/>
          <w:sz w:val="24"/>
        </w:rPr>
        <w:instrText xml:space="preserve"> = 1 \* ROMAN </w:instrText>
      </w:r>
      <w:r>
        <w:rPr>
          <w:rFonts w:ascii="Times New Roman" w:hAnsi="Times New Roman"/>
          <w:color w:val="auto"/>
          <w:sz w:val="24"/>
        </w:rPr>
        <w:fldChar w:fldCharType="separate"/>
      </w:r>
      <w:r>
        <w:rPr>
          <w:rFonts w:ascii="Times New Roman" w:hAnsi="Times New Roman"/>
          <w:color w:val="auto"/>
          <w:sz w:val="24"/>
        </w:rPr>
        <w:t>I</w:t>
      </w:r>
      <w:r>
        <w:rPr>
          <w:rFonts w:ascii="Times New Roman" w:hAnsi="Times New Roman"/>
          <w:color w:val="auto"/>
          <w:sz w:val="24"/>
        </w:rPr>
        <w:fldChar w:fldCharType="end"/>
      </w:r>
      <w:r>
        <w:rPr>
          <w:rFonts w:hint="eastAsia"/>
          <w:color w:val="auto"/>
          <w:sz w:val="24"/>
          <w:lang w:eastAsia="zh-CN"/>
        </w:rPr>
        <w:t>，</w:t>
      </w:r>
      <w:r>
        <w:rPr>
          <w:rFonts w:hint="eastAsia"/>
          <w:color w:val="auto"/>
          <w:sz w:val="24"/>
          <w:u w:val="single"/>
          <w:lang w:eastAsia="zh-CN"/>
        </w:rPr>
        <w:t>评价工作等级为简单分析</w:t>
      </w:r>
      <w:r>
        <w:rPr>
          <w:rFonts w:ascii="Times New Roman" w:hAnsi="Times New Roman"/>
          <w:color w:val="auto"/>
          <w:sz w:val="24"/>
          <w:u w:val="single"/>
        </w:rPr>
        <w:t>。</w:t>
      </w:r>
    </w:p>
    <w:p>
      <w:pPr>
        <w:pStyle w:val="4"/>
        <w:bidi w:val="0"/>
        <w:rPr>
          <w:rFonts w:hint="eastAsia"/>
          <w:lang w:val="en-US" w:eastAsia="zh-CN"/>
        </w:rPr>
      </w:pPr>
      <w:r>
        <w:rPr>
          <w:rFonts w:hint="eastAsia"/>
          <w:lang w:val="en-US" w:eastAsia="zh-CN"/>
        </w:rPr>
        <w:t>2.5.7 评价范围</w:t>
      </w:r>
    </w:p>
    <w:p>
      <w:pPr>
        <w:ind w:firstLine="480"/>
        <w:rPr>
          <w:rFonts w:hint="eastAsia" w:ascii="Times New Roman" w:hAnsi="Times New Roman"/>
          <w:color w:val="auto"/>
          <w:sz w:val="24"/>
          <w:lang w:val="en-US" w:eastAsia="zh-CN"/>
        </w:rPr>
      </w:pPr>
      <w:r>
        <w:rPr>
          <w:rFonts w:hint="eastAsia" w:ascii="Times New Roman" w:hAnsi="Times New Roman"/>
          <w:color w:val="auto"/>
          <w:sz w:val="24"/>
          <w:lang w:val="en-US" w:eastAsia="zh-CN"/>
        </w:rPr>
        <w:t>根据本项目污染特征、评价等级及当地自然环境状况，确定各环境要素评价等级与评价范围见下表。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表2.5-12  本项目评价范围情况一览表</w:t>
      </w:r>
    </w:p>
    <w:tbl>
      <w:tblPr>
        <w:tblStyle w:val="43"/>
        <w:tblW w:w="5054"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953"/>
        <w:gridCol w:w="1869"/>
        <w:gridCol w:w="1407"/>
        <w:gridCol w:w="4951"/>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2"/>
                <w:sz w:val="21"/>
                <w:szCs w:val="21"/>
              </w:rPr>
              <w:t>序</w:t>
            </w:r>
            <w:r>
              <w:rPr>
                <w:rFonts w:hint="default" w:ascii="Times New Roman" w:hAnsi="Times New Roman" w:eastAsia="宋体" w:cs="Times New Roman"/>
                <w:spacing w:val="-1"/>
                <w:sz w:val="21"/>
                <w:szCs w:val="21"/>
              </w:rPr>
              <w:t>号</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环</w:t>
            </w:r>
            <w:r>
              <w:rPr>
                <w:rFonts w:hint="default" w:ascii="Times New Roman" w:hAnsi="Times New Roman" w:eastAsia="宋体" w:cs="Times New Roman"/>
                <w:spacing w:val="-1"/>
                <w:sz w:val="21"/>
                <w:szCs w:val="21"/>
              </w:rPr>
              <w:t>境要素</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评价等级</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评价范围</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环</w:t>
            </w:r>
            <w:r>
              <w:rPr>
                <w:rFonts w:hint="default" w:ascii="Times New Roman" w:hAnsi="Times New Roman" w:eastAsia="宋体" w:cs="Times New Roman"/>
                <w:spacing w:val="-1"/>
                <w:sz w:val="21"/>
                <w:szCs w:val="21"/>
              </w:rPr>
              <w:t>境空气</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一级</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1"/>
                <w:sz w:val="21"/>
                <w:szCs w:val="21"/>
              </w:rPr>
              <w:t>考虑到</w:t>
            </w:r>
            <w:r>
              <w:rPr>
                <w:rFonts w:hint="default" w:ascii="Times New Roman" w:hAnsi="Times New Roman" w:eastAsia="宋体" w:cs="Times New Roman"/>
                <w:sz w:val="21"/>
                <w:szCs w:val="21"/>
              </w:rPr>
              <w:t>区域主导风向及附近环境功能环境特征</w:t>
            </w:r>
            <w:r>
              <w:rPr>
                <w:rFonts w:hint="default" w:ascii="Times New Roman" w:hAnsi="Times New Roman" w:eastAsia="宋体" w:cs="Times New Roman"/>
                <w:spacing w:val="-3"/>
                <w:sz w:val="21"/>
                <w:szCs w:val="21"/>
              </w:rPr>
              <w:t>，</w:t>
            </w:r>
            <w:r>
              <w:rPr>
                <w:rFonts w:hint="default" w:ascii="Times New Roman" w:hAnsi="Times New Roman" w:eastAsia="宋体" w:cs="Times New Roman"/>
                <w:sz w:val="21"/>
                <w:szCs w:val="21"/>
              </w:rPr>
              <w:t>确定评价范围以项目厂址为中心</w:t>
            </w:r>
            <w:r>
              <w:rPr>
                <w:rFonts w:hint="default" w:ascii="Times New Roman" w:hAnsi="Times New Roman" w:eastAsia="宋体" w:cs="Times New Roman"/>
                <w:spacing w:val="-2"/>
                <w:sz w:val="21"/>
                <w:szCs w:val="21"/>
              </w:rPr>
              <w:t>，</w:t>
            </w:r>
            <w:r>
              <w:rPr>
                <w:rFonts w:hint="default" w:ascii="Times New Roman" w:hAnsi="Times New Roman" w:eastAsia="宋体" w:cs="Times New Roman"/>
                <w:sz w:val="21"/>
                <w:szCs w:val="21"/>
              </w:rPr>
              <w:t>边长为5km的矩形区域</w:t>
            </w:r>
            <w:r>
              <w:rPr>
                <w:rFonts w:hint="default" w:ascii="Times New Roman" w:hAnsi="Times New Roman" w:eastAsia="宋体" w:cs="Times New Roman"/>
                <w:spacing w:val="-51"/>
                <w:sz w:val="21"/>
                <w:szCs w:val="21"/>
              </w:rPr>
              <w:t>，</w:t>
            </w:r>
            <w:r>
              <w:rPr>
                <w:rFonts w:hint="default" w:ascii="Times New Roman" w:hAnsi="Times New Roman" w:eastAsia="宋体" w:cs="Times New Roman"/>
                <w:sz w:val="21"/>
                <w:szCs w:val="21"/>
              </w:rPr>
              <w:t>区域面积约25km</w:t>
            </w:r>
            <w:r>
              <w:rPr>
                <w:rFonts w:hint="eastAsia" w:ascii="Times New Roman" w:hAnsi="Times New Roman" w:eastAsia="宋体" w:cs="Times New Roman"/>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地表水环境</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u w:val="single"/>
              </w:rPr>
              <w:t>三级</w:t>
            </w:r>
            <w:r>
              <w:rPr>
                <w:rFonts w:hint="eastAsia" w:cs="Times New Roman"/>
                <w:spacing w:val="-2"/>
                <w:sz w:val="21"/>
                <w:szCs w:val="21"/>
                <w:u w:val="single"/>
                <w:lang w:val="en-US" w:eastAsia="zh-CN"/>
              </w:rPr>
              <w:t>B</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本项目设防渗早厕供员工使用，定期由农户清掏做</w:t>
            </w:r>
            <w:r>
              <w:rPr>
                <w:rFonts w:hint="default" w:ascii="Times New Roman" w:hAnsi="Times New Roman" w:eastAsia="宋体" w:cs="Times New Roman"/>
                <w:sz w:val="21"/>
                <w:szCs w:val="21"/>
                <w:lang w:eastAsia="zh-CN"/>
              </w:rPr>
              <w:t>农肥；</w:t>
            </w:r>
            <w:r>
              <w:rPr>
                <w:rFonts w:hint="eastAsia" w:cs="Times New Roman"/>
                <w:sz w:val="21"/>
                <w:szCs w:val="21"/>
                <w:lang w:eastAsia="zh-CN"/>
              </w:rPr>
              <w:t>餐厅</w:t>
            </w:r>
            <w:r>
              <w:rPr>
                <w:rFonts w:hint="default" w:ascii="Times New Roman" w:hAnsi="Times New Roman" w:eastAsia="宋体" w:cs="Times New Roman"/>
                <w:sz w:val="21"/>
                <w:szCs w:val="21"/>
                <w:lang w:eastAsia="zh-CN"/>
              </w:rPr>
              <w:t>废水经隔油池处理后排入化粪池，定期清掏肥田。</w:t>
            </w:r>
            <w:r>
              <w:rPr>
                <w:rFonts w:hint="default" w:ascii="Times New Roman" w:hAnsi="Times New Roman" w:eastAsia="宋体" w:cs="Times New Roman"/>
                <w:sz w:val="21"/>
                <w:szCs w:val="21"/>
              </w:rPr>
              <w:t>生产过程中原料清洗废水排入</w:t>
            </w:r>
            <w:r>
              <w:rPr>
                <w:rFonts w:hint="eastAsia" w:cs="Times New Roman"/>
                <w:sz w:val="21"/>
                <w:szCs w:val="21"/>
                <w:lang w:eastAsia="zh-CN"/>
              </w:rPr>
              <w:t>污水处理站，经沉淀+气浮+A/O+二级沉淀</w:t>
            </w:r>
            <w:r>
              <w:rPr>
                <w:rFonts w:hint="default" w:ascii="Times New Roman" w:hAnsi="Times New Roman" w:eastAsia="宋体" w:cs="Times New Roman"/>
                <w:sz w:val="21"/>
                <w:szCs w:val="21"/>
              </w:rPr>
              <w:t>处理后作为原料清洗水循环使用，不排入地表水体，</w:t>
            </w:r>
            <w:r>
              <w:rPr>
                <w:rFonts w:hint="default" w:ascii="Times New Roman" w:hAnsi="Times New Roman" w:eastAsia="宋体" w:cs="Times New Roman"/>
                <w:sz w:val="21"/>
                <w:szCs w:val="21"/>
                <w:lang w:eastAsia="zh-CN"/>
              </w:rPr>
              <w:t>循环冷却废水直接用于原料清洗。</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地下水环境</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5"/>
                <w:sz w:val="21"/>
                <w:szCs w:val="21"/>
                <w:lang w:eastAsia="zh-CN"/>
              </w:rPr>
              <w:t>三</w:t>
            </w:r>
            <w:r>
              <w:rPr>
                <w:rFonts w:hint="default" w:ascii="Times New Roman" w:hAnsi="Times New Roman" w:eastAsia="宋体" w:cs="Times New Roman"/>
                <w:spacing w:val="-5"/>
                <w:sz w:val="21"/>
                <w:szCs w:val="21"/>
              </w:rPr>
              <w:t>级</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根据地下水流向</w:t>
            </w:r>
            <w:r>
              <w:rPr>
                <w:rFonts w:hint="default" w:ascii="Times New Roman" w:hAnsi="Times New Roman" w:eastAsia="宋体" w:cs="Times New Roman"/>
                <w:spacing w:val="-3"/>
                <w:sz w:val="21"/>
                <w:szCs w:val="21"/>
              </w:rPr>
              <w:t>，</w:t>
            </w:r>
            <w:r>
              <w:rPr>
                <w:rFonts w:hint="default" w:ascii="Times New Roman" w:hAnsi="Times New Roman" w:eastAsia="宋体" w:cs="Times New Roman"/>
                <w:sz w:val="21"/>
                <w:szCs w:val="21"/>
              </w:rPr>
              <w:t>采用自定义法确定地下水评</w:t>
            </w:r>
            <w:r>
              <w:rPr>
                <w:rFonts w:hint="default" w:ascii="Times New Roman" w:hAnsi="Times New Roman" w:eastAsia="宋体" w:cs="Times New Roman"/>
                <w:spacing w:val="-3"/>
                <w:sz w:val="21"/>
                <w:szCs w:val="21"/>
              </w:rPr>
              <w:t>价</w:t>
            </w:r>
            <w:r>
              <w:rPr>
                <w:rFonts w:hint="default" w:ascii="Times New Roman" w:hAnsi="Times New Roman" w:eastAsia="宋体" w:cs="Times New Roman"/>
                <w:spacing w:val="-2"/>
                <w:sz w:val="21"/>
                <w:szCs w:val="21"/>
              </w:rPr>
              <w:t>范围为</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1"/>
                <w:sz w:val="21"/>
                <w:szCs w:val="21"/>
              </w:rPr>
              <w:t>6</w:t>
            </w:r>
            <w:r>
              <w:rPr>
                <w:rFonts w:hint="eastAsia" w:cs="Times New Roman"/>
                <w:spacing w:val="-1"/>
                <w:sz w:val="21"/>
                <w:szCs w:val="21"/>
                <w:lang w:val="en-US" w:eastAsia="zh-CN"/>
              </w:rPr>
              <w:t>.392</w:t>
            </w:r>
            <w:r>
              <w:rPr>
                <w:rFonts w:hint="default" w:ascii="Times New Roman" w:hAnsi="Times New Roman" w:eastAsia="宋体" w:cs="Times New Roman"/>
                <w:spacing w:val="-1"/>
                <w:sz w:val="21"/>
                <w:szCs w:val="21"/>
              </w:rPr>
              <w:t>km</w:t>
            </w:r>
            <w:r>
              <w:rPr>
                <w:rFonts w:hint="eastAsia" w:ascii="Times New Roman" w:hAnsi="Times New Roman" w:eastAsia="宋体" w:cs="Times New Roman"/>
                <w:spacing w:val="-1"/>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声环境</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三级</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厂界四</w:t>
            </w:r>
            <w:r>
              <w:rPr>
                <w:rFonts w:hint="default" w:ascii="Times New Roman" w:hAnsi="Times New Roman" w:eastAsia="宋体" w:cs="Times New Roman"/>
                <w:spacing w:val="-1"/>
                <w:sz w:val="21"/>
                <w:szCs w:val="21"/>
              </w:rPr>
              <w:t>周200m以内的区域</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土壤</w:t>
            </w:r>
            <w:r>
              <w:rPr>
                <w:rFonts w:hint="default" w:ascii="Times New Roman" w:hAnsi="Times New Roman" w:eastAsia="宋体" w:cs="Times New Roman"/>
                <w:spacing w:val="-1"/>
                <w:sz w:val="21"/>
                <w:szCs w:val="21"/>
              </w:rPr>
              <w:t>环境</w:t>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u w:val="single"/>
              </w:rPr>
            </w:pPr>
            <w:r>
              <w:rPr>
                <w:rFonts w:hint="eastAsia" w:cs="Times New Roman"/>
                <w:spacing w:val="-3"/>
                <w:sz w:val="21"/>
                <w:szCs w:val="21"/>
                <w:u w:val="single"/>
                <w:lang w:eastAsia="zh-CN"/>
              </w:rPr>
              <w:t>三</w:t>
            </w:r>
            <w:r>
              <w:rPr>
                <w:rFonts w:hint="default" w:ascii="Times New Roman" w:hAnsi="Times New Roman" w:eastAsia="宋体" w:cs="Times New Roman"/>
                <w:spacing w:val="-2"/>
                <w:sz w:val="21"/>
                <w:szCs w:val="21"/>
                <w:u w:val="single"/>
              </w:rPr>
              <w:t>级</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pacing w:val="-2"/>
                <w:sz w:val="21"/>
                <w:szCs w:val="21"/>
                <w:u w:val="single"/>
              </w:rPr>
              <w:t>厂址及周</w:t>
            </w:r>
            <w:r>
              <w:rPr>
                <w:rFonts w:hint="default" w:ascii="Times New Roman" w:hAnsi="Times New Roman" w:eastAsia="宋体" w:cs="Times New Roman"/>
                <w:spacing w:val="-1"/>
                <w:sz w:val="21"/>
                <w:szCs w:val="21"/>
                <w:u w:val="single"/>
              </w:rPr>
              <w:t>围</w:t>
            </w:r>
            <w:r>
              <w:rPr>
                <w:rFonts w:hint="eastAsia" w:cs="Times New Roman"/>
                <w:spacing w:val="-1"/>
                <w:sz w:val="21"/>
                <w:szCs w:val="21"/>
                <w:u w:val="single"/>
                <w:lang w:val="en-US" w:eastAsia="zh-CN"/>
              </w:rPr>
              <w:t>0.05k</w:t>
            </w:r>
            <w:r>
              <w:rPr>
                <w:rFonts w:hint="default" w:ascii="Times New Roman" w:hAnsi="Times New Roman" w:eastAsia="宋体" w:cs="Times New Roman"/>
                <w:spacing w:val="-1"/>
                <w:sz w:val="21"/>
                <w:szCs w:val="21"/>
                <w:u w:val="single"/>
              </w:rPr>
              <w:t>m范围内</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1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sz w:val="21"/>
                <w:szCs w:val="21"/>
              </w:rPr>
              <w:t>环境风险</w:t>
            </w:r>
            <w:r>
              <w:rPr>
                <w:rFonts w:hint="default" w:ascii="Times New Roman" w:hAnsi="Times New Roman" w:eastAsia="宋体" w:cs="Times New Roman"/>
                <w:position w:val="1"/>
                <w:sz w:val="21"/>
                <w:szCs w:val="21"/>
              </w:rPr>
              <w:drawing>
                <wp:inline distT="0" distB="0" distL="0" distR="0">
                  <wp:extent cx="5715" cy="8890"/>
                  <wp:effectExtent l="0" t="0" r="0" b="0"/>
                  <wp:docPr id="22" name="IM 15"/>
                  <wp:cNvGraphicFramePr/>
                  <a:graphic xmlns:a="http://schemas.openxmlformats.org/drawingml/2006/main">
                    <a:graphicData uri="http://schemas.openxmlformats.org/drawingml/2006/picture">
                      <pic:pic xmlns:pic="http://schemas.openxmlformats.org/drawingml/2006/picture">
                        <pic:nvPicPr>
                          <pic:cNvPr id="22" name="IM 15"/>
                          <pic:cNvPicPr/>
                        </pic:nvPicPr>
                        <pic:blipFill>
                          <a:blip r:embed="rId25"/>
                          <a:stretch>
                            <a:fillRect/>
                          </a:stretch>
                        </pic:blipFill>
                        <pic:spPr>
                          <a:xfrm>
                            <a:off x="0" y="0"/>
                            <a:ext cx="6025" cy="9143"/>
                          </a:xfrm>
                          <a:prstGeom prst="rect">
                            <a:avLst/>
                          </a:prstGeom>
                        </pic:spPr>
                      </pic:pic>
                    </a:graphicData>
                  </a:graphic>
                </wp:inline>
              </w:drawing>
            </w:r>
          </w:p>
        </w:tc>
        <w:tc>
          <w:tcPr>
            <w:tcW w:w="766"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pacing w:val="-3"/>
                <w:sz w:val="21"/>
                <w:szCs w:val="21"/>
                <w:u w:val="single"/>
                <w:lang w:eastAsia="zh-CN"/>
              </w:rPr>
              <w:t>简单分析</w:t>
            </w:r>
          </w:p>
        </w:tc>
        <w:tc>
          <w:tcPr>
            <w:tcW w:w="269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参照三级评价项目，项目边界不低于3km</w:t>
            </w:r>
          </w:p>
        </w:tc>
      </w:tr>
    </w:tbl>
    <w:p>
      <w:pPr>
        <w:pStyle w:val="4"/>
        <w:bidi w:val="0"/>
        <w:rPr>
          <w:rFonts w:hint="eastAsia"/>
          <w:lang w:val="en-US" w:eastAsia="zh-CN"/>
        </w:rPr>
      </w:pPr>
      <w:r>
        <w:rPr>
          <w:rFonts w:hint="eastAsia"/>
          <w:lang w:val="en-US" w:eastAsia="zh-CN"/>
        </w:rPr>
        <w:t>2.5.8 环境保护目标</w:t>
      </w:r>
    </w:p>
    <w:p>
      <w:pPr>
        <w:keepNext w:val="0"/>
        <w:keepLines w:val="0"/>
        <w:pageBreakBefore w:val="0"/>
        <w:widowControl/>
        <w:suppressLineNumbers w:val="0"/>
        <w:kinsoku/>
        <w:wordWrap/>
        <w:overflowPunct/>
        <w:topLinePunct w:val="0"/>
        <w:autoSpaceDE w:val="0"/>
        <w:autoSpaceDN w:val="0"/>
        <w:bidi w:val="0"/>
        <w:adjustRightInd w:val="0"/>
        <w:snapToGrid/>
        <w:spacing w:line="360" w:lineRule="auto"/>
        <w:ind w:left="0"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kern w:val="0"/>
          <w:sz w:val="24"/>
          <w:szCs w:val="24"/>
          <w:lang w:val="en-US" w:eastAsia="zh-CN" w:bidi="ar"/>
        </w:rPr>
        <w:t>经现场勘查，确定建设项目主要环境敏感目标见表</w:t>
      </w:r>
      <w:r>
        <w:rPr>
          <w:rFonts w:hint="default" w:ascii="Times New Roman" w:hAnsi="Times New Roman" w:eastAsia="宋体" w:cs="宋体"/>
          <w:color w:val="000000"/>
          <w:kern w:val="0"/>
          <w:sz w:val="24"/>
          <w:szCs w:val="24"/>
          <w:lang w:val="en-US" w:eastAsia="zh-CN" w:bidi="ar"/>
        </w:rPr>
        <w:t>2.</w:t>
      </w:r>
      <w:r>
        <w:rPr>
          <w:rFonts w:hint="eastAsia" w:cs="宋体"/>
          <w:color w:val="000000"/>
          <w:kern w:val="0"/>
          <w:sz w:val="24"/>
          <w:szCs w:val="24"/>
          <w:lang w:val="en-US" w:eastAsia="zh-CN" w:bidi="ar"/>
        </w:rPr>
        <w:t>5</w:t>
      </w:r>
      <w:r>
        <w:rPr>
          <w:rFonts w:hint="default" w:ascii="Times New Roman" w:hAnsi="Times New Roman" w:eastAsia="宋体" w:cs="宋体"/>
          <w:color w:val="000000"/>
          <w:kern w:val="0"/>
          <w:sz w:val="24"/>
          <w:szCs w:val="24"/>
          <w:lang w:val="en-US" w:eastAsia="zh-CN" w:bidi="ar"/>
        </w:rPr>
        <w:t>-</w:t>
      </w:r>
      <w:r>
        <w:rPr>
          <w:rFonts w:hint="eastAsia" w:cs="宋体"/>
          <w:color w:val="000000"/>
          <w:kern w:val="0"/>
          <w:sz w:val="24"/>
          <w:szCs w:val="24"/>
          <w:lang w:val="en-US" w:eastAsia="zh-CN" w:bidi="ar"/>
        </w:rPr>
        <w:t>13</w:t>
      </w:r>
      <w:r>
        <w:rPr>
          <w:rFonts w:hint="eastAsia" w:ascii="Times New Roman" w:hAnsi="Times New Roman" w:eastAsia="宋体" w:cs="宋体"/>
          <w:color w:val="000000"/>
          <w:kern w:val="0"/>
          <w:sz w:val="24"/>
          <w:szCs w:val="24"/>
          <w:lang w:val="en-US" w:eastAsia="zh-CN" w:bidi="ar"/>
        </w:rPr>
        <w:t>至表</w:t>
      </w:r>
      <w:r>
        <w:rPr>
          <w:rFonts w:hint="default" w:ascii="Times New Roman" w:hAnsi="Times New Roman" w:eastAsia="宋体" w:cs="宋体"/>
          <w:color w:val="000000"/>
          <w:kern w:val="0"/>
          <w:sz w:val="24"/>
          <w:szCs w:val="24"/>
          <w:lang w:val="en-US" w:eastAsia="zh-CN" w:bidi="ar"/>
        </w:rPr>
        <w:t>2.</w:t>
      </w:r>
      <w:r>
        <w:rPr>
          <w:rFonts w:hint="eastAsia" w:cs="宋体"/>
          <w:color w:val="000000"/>
          <w:kern w:val="0"/>
          <w:sz w:val="24"/>
          <w:szCs w:val="24"/>
          <w:lang w:val="en-US" w:eastAsia="zh-CN" w:bidi="ar"/>
        </w:rPr>
        <w:t>5</w:t>
      </w:r>
      <w:r>
        <w:rPr>
          <w:rFonts w:hint="default" w:ascii="Times New Roman" w:hAnsi="Times New Roman" w:eastAsia="宋体" w:cs="宋体"/>
          <w:color w:val="000000"/>
          <w:kern w:val="0"/>
          <w:sz w:val="24"/>
          <w:szCs w:val="24"/>
          <w:lang w:val="en-US" w:eastAsia="zh-CN" w:bidi="ar"/>
        </w:rPr>
        <w:t>-</w:t>
      </w:r>
      <w:r>
        <w:rPr>
          <w:rFonts w:hint="eastAsia" w:cs="宋体"/>
          <w:color w:val="000000"/>
          <w:kern w:val="0"/>
          <w:sz w:val="24"/>
          <w:szCs w:val="24"/>
          <w:lang w:val="en-US" w:eastAsia="zh-CN" w:bidi="ar"/>
        </w:rPr>
        <w:t>14</w:t>
      </w: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敏感目标分布图见附图</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5</w:t>
      </w:r>
      <w:r>
        <w:rPr>
          <w:rFonts w:hint="eastAsia" w:ascii="Times New Roman" w:hAnsi="Times New Roman"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表2.5-13  环境空气保护目标一览表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620"/>
        <w:gridCol w:w="1270"/>
        <w:gridCol w:w="1250"/>
        <w:gridCol w:w="1160"/>
        <w:gridCol w:w="1358"/>
        <w:gridCol w:w="979"/>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Merge w:val="restart"/>
            <w:vAlign w:val="center"/>
          </w:tcPr>
          <w:p>
            <w:pPr>
              <w:pStyle w:val="30"/>
              <w:bidi w:val="0"/>
              <w:rPr>
                <w:rFonts w:hint="eastAsia"/>
                <w:lang w:val="en-US" w:eastAsia="zh-CN"/>
              </w:rPr>
            </w:pPr>
            <w:r>
              <w:rPr>
                <w:rFonts w:hint="eastAsia"/>
                <w:lang w:val="en-US" w:eastAsia="zh-CN"/>
              </w:rPr>
              <w:t>序号</w:t>
            </w:r>
          </w:p>
        </w:tc>
        <w:tc>
          <w:tcPr>
            <w:tcW w:w="1620" w:type="dxa"/>
            <w:vMerge w:val="restart"/>
            <w:vAlign w:val="center"/>
          </w:tcPr>
          <w:p>
            <w:pPr>
              <w:pStyle w:val="30"/>
              <w:bidi w:val="0"/>
              <w:rPr>
                <w:rFonts w:hint="eastAsia"/>
                <w:lang w:val="en-US" w:eastAsia="zh-CN"/>
              </w:rPr>
            </w:pPr>
            <w:r>
              <w:rPr>
                <w:rFonts w:hint="eastAsia"/>
                <w:lang w:val="en-US" w:eastAsia="zh-CN"/>
              </w:rPr>
              <w:t>环境保护对象</w:t>
            </w:r>
          </w:p>
        </w:tc>
        <w:tc>
          <w:tcPr>
            <w:tcW w:w="2520" w:type="dxa"/>
            <w:gridSpan w:val="2"/>
            <w:vAlign w:val="center"/>
          </w:tcPr>
          <w:p>
            <w:pPr>
              <w:pStyle w:val="30"/>
              <w:bidi w:val="0"/>
              <w:rPr>
                <w:rFonts w:hint="eastAsia"/>
                <w:lang w:val="en-US" w:eastAsia="zh-CN"/>
              </w:rPr>
            </w:pPr>
            <w:r>
              <w:rPr>
                <w:rFonts w:hint="eastAsia"/>
                <w:lang w:val="en-US" w:eastAsia="zh-CN"/>
              </w:rPr>
              <w:t>坐标/°</w:t>
            </w:r>
          </w:p>
        </w:tc>
        <w:tc>
          <w:tcPr>
            <w:tcW w:w="1160" w:type="dxa"/>
            <w:vMerge w:val="restart"/>
            <w:vAlign w:val="center"/>
          </w:tcPr>
          <w:p>
            <w:pPr>
              <w:pStyle w:val="30"/>
              <w:bidi w:val="0"/>
              <w:rPr>
                <w:rFonts w:hint="eastAsia"/>
                <w:lang w:val="en-US" w:eastAsia="zh-CN"/>
              </w:rPr>
            </w:pPr>
            <w:r>
              <w:rPr>
                <w:rFonts w:hint="eastAsia"/>
                <w:lang w:val="en-US" w:eastAsia="zh-CN"/>
              </w:rPr>
              <w:t>相对厂址方位</w:t>
            </w:r>
          </w:p>
        </w:tc>
        <w:tc>
          <w:tcPr>
            <w:tcW w:w="1358" w:type="dxa"/>
            <w:vMerge w:val="restart"/>
            <w:vAlign w:val="center"/>
          </w:tcPr>
          <w:p>
            <w:pPr>
              <w:pStyle w:val="30"/>
              <w:bidi w:val="0"/>
              <w:rPr>
                <w:rFonts w:hint="eastAsia"/>
                <w:lang w:val="en-US" w:eastAsia="zh-CN"/>
              </w:rPr>
            </w:pPr>
            <w:r>
              <w:rPr>
                <w:rFonts w:hint="eastAsia"/>
                <w:lang w:val="en-US" w:eastAsia="zh-CN"/>
              </w:rPr>
              <w:t>相对最近距离(m)</w:t>
            </w:r>
          </w:p>
        </w:tc>
        <w:tc>
          <w:tcPr>
            <w:tcW w:w="979" w:type="dxa"/>
            <w:vMerge w:val="restart"/>
            <w:vAlign w:val="center"/>
          </w:tcPr>
          <w:p>
            <w:pPr>
              <w:pStyle w:val="30"/>
              <w:bidi w:val="0"/>
              <w:rPr>
                <w:rFonts w:hint="eastAsia"/>
                <w:lang w:val="en-US" w:eastAsia="zh-CN"/>
              </w:rPr>
            </w:pPr>
            <w:r>
              <w:rPr>
                <w:rFonts w:hint="eastAsia"/>
                <w:lang w:val="en-US" w:eastAsia="zh-CN"/>
              </w:rPr>
              <w:t>规模/人数</w:t>
            </w:r>
          </w:p>
        </w:tc>
        <w:tc>
          <w:tcPr>
            <w:tcW w:w="772" w:type="dxa"/>
            <w:vMerge w:val="restart"/>
            <w:vAlign w:val="center"/>
          </w:tcPr>
          <w:p>
            <w:pPr>
              <w:pStyle w:val="30"/>
              <w:bidi w:val="0"/>
              <w:rPr>
                <w:rFonts w:hint="eastAsia"/>
                <w:lang w:val="en-US" w:eastAsia="zh-CN"/>
              </w:rPr>
            </w:pPr>
            <w:r>
              <w:rPr>
                <w:rFonts w:hint="eastAsia"/>
                <w:lang w:val="en-US" w:eastAsia="zh-CN"/>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vMerge w:val="continue"/>
            <w:vAlign w:val="center"/>
          </w:tcPr>
          <w:p>
            <w:pPr>
              <w:pStyle w:val="30"/>
              <w:bidi w:val="0"/>
            </w:pPr>
          </w:p>
        </w:tc>
        <w:tc>
          <w:tcPr>
            <w:tcW w:w="1620" w:type="dxa"/>
            <w:vMerge w:val="continue"/>
            <w:vAlign w:val="center"/>
          </w:tcPr>
          <w:p>
            <w:pPr>
              <w:pStyle w:val="30"/>
              <w:bidi w:val="0"/>
            </w:pPr>
          </w:p>
        </w:tc>
        <w:tc>
          <w:tcPr>
            <w:tcW w:w="1270" w:type="dxa"/>
            <w:vAlign w:val="center"/>
          </w:tcPr>
          <w:p>
            <w:pPr>
              <w:pStyle w:val="30"/>
              <w:bidi w:val="0"/>
              <w:rPr>
                <w:rFonts w:hint="eastAsia"/>
                <w:lang w:val="en-US" w:eastAsia="zh-CN"/>
              </w:rPr>
            </w:pPr>
            <w:r>
              <w:rPr>
                <w:rFonts w:hint="eastAsia"/>
                <w:lang w:val="en-US" w:eastAsia="zh-CN"/>
              </w:rPr>
              <w:t>X</w:t>
            </w:r>
          </w:p>
        </w:tc>
        <w:tc>
          <w:tcPr>
            <w:tcW w:w="1250" w:type="dxa"/>
            <w:vAlign w:val="center"/>
          </w:tcPr>
          <w:p>
            <w:pPr>
              <w:pStyle w:val="30"/>
              <w:bidi w:val="0"/>
              <w:rPr>
                <w:rFonts w:hint="eastAsia"/>
                <w:lang w:val="en-US" w:eastAsia="zh-CN"/>
              </w:rPr>
            </w:pPr>
            <w:r>
              <w:rPr>
                <w:rFonts w:hint="eastAsia"/>
                <w:lang w:val="en-US" w:eastAsia="zh-CN"/>
              </w:rPr>
              <w:t>Y</w:t>
            </w:r>
          </w:p>
        </w:tc>
        <w:tc>
          <w:tcPr>
            <w:tcW w:w="1160" w:type="dxa"/>
            <w:vMerge w:val="continue"/>
            <w:vAlign w:val="center"/>
          </w:tcPr>
          <w:p>
            <w:pPr>
              <w:pStyle w:val="30"/>
              <w:bidi w:val="0"/>
            </w:pPr>
          </w:p>
        </w:tc>
        <w:tc>
          <w:tcPr>
            <w:tcW w:w="1358" w:type="dxa"/>
            <w:vMerge w:val="continue"/>
            <w:vAlign w:val="center"/>
          </w:tcPr>
          <w:p>
            <w:pPr>
              <w:pStyle w:val="30"/>
              <w:bidi w:val="0"/>
            </w:pPr>
          </w:p>
        </w:tc>
        <w:tc>
          <w:tcPr>
            <w:tcW w:w="979" w:type="dxa"/>
            <w:vMerge w:val="continue"/>
            <w:vAlign w:val="center"/>
          </w:tcPr>
          <w:p>
            <w:pPr>
              <w:pStyle w:val="30"/>
              <w:bidi w:val="0"/>
            </w:pP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vAlign w:val="center"/>
          </w:tcPr>
          <w:p>
            <w:pPr>
              <w:pStyle w:val="30"/>
              <w:bidi w:val="0"/>
              <w:rPr>
                <w:rFonts w:hint="eastAsia"/>
                <w:lang w:val="en-US" w:eastAsia="zh-CN"/>
              </w:rPr>
            </w:pPr>
            <w:r>
              <w:rPr>
                <w:rFonts w:hint="eastAsia"/>
                <w:lang w:val="en-US" w:eastAsia="zh-CN"/>
              </w:rPr>
              <w:t>1</w:t>
            </w:r>
          </w:p>
        </w:tc>
        <w:tc>
          <w:tcPr>
            <w:tcW w:w="1620" w:type="dxa"/>
            <w:vAlign w:val="center"/>
          </w:tcPr>
          <w:p>
            <w:pPr>
              <w:pStyle w:val="30"/>
              <w:bidi w:val="0"/>
              <w:rPr>
                <w:rFonts w:hint="eastAsia"/>
                <w:lang w:val="en-US" w:eastAsia="zh-CN"/>
              </w:rPr>
            </w:pPr>
            <w:r>
              <w:rPr>
                <w:rFonts w:hint="eastAsia"/>
                <w:lang w:val="en-US" w:eastAsia="zh-CN"/>
              </w:rPr>
              <w:t>后王庄</w:t>
            </w:r>
          </w:p>
        </w:tc>
        <w:tc>
          <w:tcPr>
            <w:tcW w:w="1270" w:type="dxa"/>
            <w:vAlign w:val="center"/>
          </w:tcPr>
          <w:p>
            <w:pPr>
              <w:pStyle w:val="30"/>
              <w:bidi w:val="0"/>
              <w:rPr>
                <w:rFonts w:hint="default"/>
                <w:lang w:val="en-US" w:eastAsia="zh-CN"/>
              </w:rPr>
            </w:pPr>
            <w:r>
              <w:rPr>
                <w:rFonts w:hint="eastAsia"/>
                <w:lang w:val="en-US" w:eastAsia="zh-CN"/>
              </w:rPr>
              <w:t>113.475144</w:t>
            </w:r>
          </w:p>
        </w:tc>
        <w:tc>
          <w:tcPr>
            <w:tcW w:w="1250" w:type="dxa"/>
            <w:vAlign w:val="center"/>
          </w:tcPr>
          <w:p>
            <w:pPr>
              <w:pStyle w:val="30"/>
              <w:bidi w:val="0"/>
              <w:rPr>
                <w:rFonts w:hint="default"/>
                <w:lang w:val="en-US" w:eastAsia="zh-CN"/>
              </w:rPr>
            </w:pPr>
            <w:r>
              <w:rPr>
                <w:rFonts w:hint="eastAsia"/>
                <w:lang w:val="en-US" w:eastAsia="zh-CN"/>
              </w:rPr>
              <w:t>33.583692</w:t>
            </w:r>
          </w:p>
        </w:tc>
        <w:tc>
          <w:tcPr>
            <w:tcW w:w="1160" w:type="dxa"/>
            <w:vAlign w:val="center"/>
          </w:tcPr>
          <w:p>
            <w:pPr>
              <w:pStyle w:val="30"/>
              <w:bidi w:val="0"/>
              <w:rPr>
                <w:rFonts w:hint="default"/>
                <w:lang w:val="en-US" w:eastAsia="zh-CN"/>
              </w:rPr>
            </w:pPr>
            <w:r>
              <w:rPr>
                <w:rFonts w:hint="eastAsia"/>
                <w:lang w:val="en-US" w:eastAsia="zh-CN"/>
              </w:rPr>
              <w:t>SW</w:t>
            </w:r>
          </w:p>
        </w:tc>
        <w:tc>
          <w:tcPr>
            <w:tcW w:w="1358" w:type="dxa"/>
            <w:vAlign w:val="center"/>
          </w:tcPr>
          <w:p>
            <w:pPr>
              <w:pStyle w:val="30"/>
              <w:bidi w:val="0"/>
              <w:rPr>
                <w:rFonts w:hint="default"/>
                <w:lang w:val="en-US" w:eastAsia="zh-CN"/>
              </w:rPr>
            </w:pPr>
            <w:r>
              <w:rPr>
                <w:rFonts w:hint="eastAsia"/>
                <w:lang w:val="en-US" w:eastAsia="zh-CN"/>
              </w:rPr>
              <w:t>120</w:t>
            </w:r>
          </w:p>
        </w:tc>
        <w:tc>
          <w:tcPr>
            <w:tcW w:w="979" w:type="dxa"/>
            <w:vAlign w:val="center"/>
          </w:tcPr>
          <w:p>
            <w:pPr>
              <w:pStyle w:val="30"/>
              <w:bidi w:val="0"/>
              <w:rPr>
                <w:rFonts w:hint="eastAsia"/>
                <w:lang w:val="en-US" w:eastAsia="zh-CN"/>
              </w:rPr>
            </w:pPr>
            <w:r>
              <w:rPr>
                <w:rFonts w:hint="eastAsia"/>
                <w:lang w:val="en-US" w:eastAsia="zh-CN"/>
              </w:rPr>
              <w:t>2100人</w:t>
            </w:r>
          </w:p>
        </w:tc>
        <w:tc>
          <w:tcPr>
            <w:tcW w:w="772" w:type="dxa"/>
            <w:vMerge w:val="restart"/>
            <w:vAlign w:val="center"/>
          </w:tcPr>
          <w:p>
            <w:pPr>
              <w:pStyle w:val="30"/>
              <w:bidi w:val="0"/>
            </w:pPr>
            <w:r>
              <w:rPr>
                <w:rFonts w:hint="eastAsia"/>
                <w:lang w:val="en-US" w:eastAsia="zh-CN"/>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2</w:t>
            </w:r>
          </w:p>
        </w:tc>
        <w:tc>
          <w:tcPr>
            <w:tcW w:w="1620" w:type="dxa"/>
            <w:vAlign w:val="center"/>
          </w:tcPr>
          <w:p>
            <w:pPr>
              <w:pStyle w:val="30"/>
              <w:bidi w:val="0"/>
              <w:ind w:firstLine="0" w:firstLineChars="0"/>
              <w:rPr>
                <w:rFonts w:hint="eastAsia"/>
                <w:lang w:val="en-US" w:eastAsia="zh-CN"/>
              </w:rPr>
            </w:pPr>
            <w:r>
              <w:rPr>
                <w:rFonts w:hint="eastAsia"/>
                <w:lang w:eastAsia="zh-CN"/>
              </w:rPr>
              <w:t>常宋</w:t>
            </w:r>
          </w:p>
        </w:tc>
        <w:tc>
          <w:tcPr>
            <w:tcW w:w="1270" w:type="dxa"/>
            <w:vAlign w:val="center"/>
          </w:tcPr>
          <w:p>
            <w:pPr>
              <w:pStyle w:val="30"/>
              <w:bidi w:val="0"/>
              <w:ind w:firstLine="0" w:firstLineChars="0"/>
              <w:rPr>
                <w:rFonts w:hint="eastAsia"/>
                <w:lang w:val="en-US" w:eastAsia="zh-CN"/>
              </w:rPr>
            </w:pPr>
            <w:r>
              <w:rPr>
                <w:rFonts w:hint="eastAsia"/>
                <w:lang w:val="en-US" w:eastAsia="zh-CN"/>
              </w:rPr>
              <w:t>113.482933</w:t>
            </w:r>
          </w:p>
        </w:tc>
        <w:tc>
          <w:tcPr>
            <w:tcW w:w="1250" w:type="dxa"/>
            <w:vAlign w:val="center"/>
          </w:tcPr>
          <w:p>
            <w:pPr>
              <w:pStyle w:val="30"/>
              <w:bidi w:val="0"/>
              <w:ind w:firstLine="0" w:firstLineChars="0"/>
              <w:rPr>
                <w:rFonts w:hint="eastAsia"/>
                <w:lang w:val="en-US" w:eastAsia="zh-CN"/>
              </w:rPr>
            </w:pPr>
            <w:r>
              <w:rPr>
                <w:rFonts w:hint="eastAsia"/>
                <w:lang w:val="en-US" w:eastAsia="zh-CN"/>
              </w:rPr>
              <w:t>33.589196</w:t>
            </w:r>
          </w:p>
        </w:tc>
        <w:tc>
          <w:tcPr>
            <w:tcW w:w="1160" w:type="dxa"/>
            <w:vAlign w:val="center"/>
          </w:tcPr>
          <w:p>
            <w:pPr>
              <w:pStyle w:val="30"/>
              <w:bidi w:val="0"/>
              <w:ind w:firstLine="0" w:firstLineChars="0"/>
              <w:rPr>
                <w:rFonts w:hint="eastAsia"/>
                <w:lang w:val="en-US" w:eastAsia="zh-CN"/>
              </w:rPr>
            </w:pPr>
            <w:r>
              <w:rPr>
                <w:rFonts w:hint="eastAsia"/>
                <w:lang w:val="en-US" w:eastAsia="zh-CN"/>
              </w:rPr>
              <w:t>NE</w:t>
            </w:r>
          </w:p>
        </w:tc>
        <w:tc>
          <w:tcPr>
            <w:tcW w:w="1358" w:type="dxa"/>
            <w:vAlign w:val="center"/>
          </w:tcPr>
          <w:p>
            <w:pPr>
              <w:pStyle w:val="30"/>
              <w:bidi w:val="0"/>
              <w:ind w:firstLine="0" w:firstLineChars="0"/>
              <w:rPr>
                <w:rFonts w:hint="eastAsia"/>
                <w:lang w:val="en-US" w:eastAsia="zh-CN"/>
              </w:rPr>
            </w:pPr>
            <w:r>
              <w:rPr>
                <w:rFonts w:hint="eastAsia"/>
                <w:lang w:val="en-US" w:eastAsia="zh-CN"/>
              </w:rPr>
              <w:t>405</w:t>
            </w:r>
          </w:p>
        </w:tc>
        <w:tc>
          <w:tcPr>
            <w:tcW w:w="979" w:type="dxa"/>
            <w:vAlign w:val="center"/>
          </w:tcPr>
          <w:p>
            <w:pPr>
              <w:pStyle w:val="30"/>
              <w:bidi w:val="0"/>
              <w:ind w:firstLine="0" w:firstLineChars="0"/>
              <w:rPr>
                <w:rFonts w:hint="eastAsia"/>
                <w:lang w:val="en-US" w:eastAsia="zh-CN"/>
              </w:rPr>
            </w:pPr>
            <w:r>
              <w:rPr>
                <w:rFonts w:hint="eastAsia"/>
                <w:lang w:val="en-US" w:eastAsia="zh-CN"/>
              </w:rPr>
              <w:t>1000人</w:t>
            </w:r>
          </w:p>
        </w:tc>
        <w:tc>
          <w:tcPr>
            <w:tcW w:w="772" w:type="dxa"/>
            <w:vMerge w:val="continue"/>
            <w:vAlign w:val="center"/>
          </w:tcPr>
          <w:p>
            <w:pPr>
              <w:pStyle w:val="30"/>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3</w:t>
            </w:r>
          </w:p>
        </w:tc>
        <w:tc>
          <w:tcPr>
            <w:tcW w:w="1620" w:type="dxa"/>
            <w:vAlign w:val="center"/>
          </w:tcPr>
          <w:p>
            <w:pPr>
              <w:pStyle w:val="30"/>
              <w:bidi w:val="0"/>
              <w:rPr>
                <w:rFonts w:hint="eastAsia"/>
                <w:lang w:val="en-US" w:eastAsia="zh-CN"/>
              </w:rPr>
            </w:pPr>
            <w:r>
              <w:rPr>
                <w:rFonts w:hint="eastAsia"/>
                <w:lang w:val="en-US" w:eastAsia="zh-CN"/>
              </w:rPr>
              <w:t>二郎庙村</w:t>
            </w:r>
          </w:p>
        </w:tc>
        <w:tc>
          <w:tcPr>
            <w:tcW w:w="1270" w:type="dxa"/>
            <w:vAlign w:val="center"/>
          </w:tcPr>
          <w:p>
            <w:pPr>
              <w:pStyle w:val="30"/>
              <w:bidi w:val="0"/>
              <w:rPr>
                <w:rFonts w:hint="default"/>
                <w:lang w:val="en-US" w:eastAsia="zh-CN"/>
              </w:rPr>
            </w:pPr>
            <w:r>
              <w:rPr>
                <w:rFonts w:hint="eastAsia"/>
                <w:lang w:val="en-US" w:eastAsia="zh-CN"/>
              </w:rPr>
              <w:t>113.477880</w:t>
            </w:r>
          </w:p>
        </w:tc>
        <w:tc>
          <w:tcPr>
            <w:tcW w:w="1250" w:type="dxa"/>
            <w:vAlign w:val="center"/>
          </w:tcPr>
          <w:p>
            <w:pPr>
              <w:pStyle w:val="30"/>
              <w:bidi w:val="0"/>
              <w:rPr>
                <w:rFonts w:hint="default"/>
                <w:lang w:val="en-US" w:eastAsia="zh-CN"/>
              </w:rPr>
            </w:pPr>
            <w:r>
              <w:rPr>
                <w:rFonts w:hint="eastAsia"/>
                <w:lang w:val="en-US" w:eastAsia="zh-CN"/>
              </w:rPr>
              <w:t>33.579358</w:t>
            </w:r>
          </w:p>
        </w:tc>
        <w:tc>
          <w:tcPr>
            <w:tcW w:w="1160" w:type="dxa"/>
            <w:vAlign w:val="center"/>
          </w:tcPr>
          <w:p>
            <w:pPr>
              <w:pStyle w:val="30"/>
              <w:bidi w:val="0"/>
              <w:rPr>
                <w:rFonts w:hint="default"/>
                <w:lang w:val="en-US" w:eastAsia="zh-CN"/>
              </w:rPr>
            </w:pPr>
            <w:r>
              <w:rPr>
                <w:rFonts w:hint="eastAsia"/>
                <w:lang w:val="en-US" w:eastAsia="zh-CN"/>
              </w:rPr>
              <w:t>SW</w:t>
            </w:r>
          </w:p>
        </w:tc>
        <w:tc>
          <w:tcPr>
            <w:tcW w:w="1358" w:type="dxa"/>
            <w:vAlign w:val="center"/>
          </w:tcPr>
          <w:p>
            <w:pPr>
              <w:pStyle w:val="30"/>
              <w:bidi w:val="0"/>
              <w:rPr>
                <w:rFonts w:hint="default"/>
                <w:lang w:val="en-US" w:eastAsia="zh-CN"/>
              </w:rPr>
            </w:pPr>
            <w:r>
              <w:rPr>
                <w:rFonts w:hint="eastAsia"/>
                <w:lang w:val="en-US" w:eastAsia="zh-CN"/>
              </w:rPr>
              <w:t>550</w:t>
            </w:r>
          </w:p>
        </w:tc>
        <w:tc>
          <w:tcPr>
            <w:tcW w:w="979" w:type="dxa"/>
            <w:vAlign w:val="center"/>
          </w:tcPr>
          <w:p>
            <w:pPr>
              <w:pStyle w:val="30"/>
              <w:bidi w:val="0"/>
              <w:rPr>
                <w:rFonts w:hint="default"/>
                <w:lang w:val="en-US" w:eastAsia="zh-CN"/>
              </w:rPr>
            </w:pPr>
            <w:r>
              <w:rPr>
                <w:rFonts w:hint="eastAsia"/>
                <w:lang w:val="en-US" w:eastAsia="zh-CN"/>
              </w:rPr>
              <w:t>1800人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4</w:t>
            </w:r>
          </w:p>
        </w:tc>
        <w:tc>
          <w:tcPr>
            <w:tcW w:w="1620" w:type="dxa"/>
            <w:vAlign w:val="center"/>
          </w:tcPr>
          <w:p>
            <w:pPr>
              <w:pStyle w:val="30"/>
              <w:bidi w:val="0"/>
            </w:pPr>
            <w:r>
              <w:rPr>
                <w:rFonts w:hint="eastAsia"/>
                <w:lang w:eastAsia="zh-CN"/>
              </w:rPr>
              <w:t>齐庄村</w:t>
            </w:r>
          </w:p>
        </w:tc>
        <w:tc>
          <w:tcPr>
            <w:tcW w:w="1270" w:type="dxa"/>
            <w:vAlign w:val="center"/>
          </w:tcPr>
          <w:p>
            <w:pPr>
              <w:pStyle w:val="30"/>
              <w:bidi w:val="0"/>
              <w:rPr>
                <w:rFonts w:hint="default"/>
                <w:lang w:val="en-US" w:eastAsia="zh-CN"/>
              </w:rPr>
            </w:pPr>
            <w:r>
              <w:rPr>
                <w:rFonts w:hint="eastAsia"/>
                <w:lang w:val="en-US" w:eastAsia="zh-CN"/>
              </w:rPr>
              <w:t>113.475755</w:t>
            </w:r>
          </w:p>
        </w:tc>
        <w:tc>
          <w:tcPr>
            <w:tcW w:w="1250" w:type="dxa"/>
            <w:vAlign w:val="center"/>
          </w:tcPr>
          <w:p>
            <w:pPr>
              <w:pStyle w:val="30"/>
              <w:bidi w:val="0"/>
              <w:rPr>
                <w:rFonts w:hint="default"/>
                <w:lang w:val="en-US" w:eastAsia="zh-CN"/>
              </w:rPr>
            </w:pPr>
            <w:r>
              <w:rPr>
                <w:rFonts w:hint="eastAsia"/>
                <w:lang w:val="en-US" w:eastAsia="zh-CN"/>
              </w:rPr>
              <w:t>33.575903</w:t>
            </w:r>
          </w:p>
        </w:tc>
        <w:tc>
          <w:tcPr>
            <w:tcW w:w="1160" w:type="dxa"/>
            <w:vAlign w:val="center"/>
          </w:tcPr>
          <w:p>
            <w:pPr>
              <w:pStyle w:val="30"/>
              <w:bidi w:val="0"/>
              <w:rPr>
                <w:rFonts w:hint="eastAsia" w:eastAsia="宋体"/>
                <w:lang w:val="en-US" w:eastAsia="zh-CN"/>
              </w:rPr>
            </w:pPr>
            <w:r>
              <w:rPr>
                <w:rFonts w:hint="eastAsia"/>
                <w:lang w:val="en-US" w:eastAsia="zh-CN"/>
              </w:rPr>
              <w:t>S</w:t>
            </w:r>
          </w:p>
        </w:tc>
        <w:tc>
          <w:tcPr>
            <w:tcW w:w="1358" w:type="dxa"/>
            <w:vAlign w:val="center"/>
          </w:tcPr>
          <w:p>
            <w:pPr>
              <w:pStyle w:val="30"/>
              <w:bidi w:val="0"/>
              <w:rPr>
                <w:rFonts w:hint="default" w:eastAsia="宋体"/>
                <w:lang w:val="en-US" w:eastAsia="zh-CN"/>
              </w:rPr>
            </w:pPr>
            <w:r>
              <w:rPr>
                <w:rFonts w:hint="eastAsia"/>
                <w:lang w:val="en-US" w:eastAsia="zh-CN"/>
              </w:rPr>
              <w:t>670</w:t>
            </w:r>
          </w:p>
        </w:tc>
        <w:tc>
          <w:tcPr>
            <w:tcW w:w="979" w:type="dxa"/>
            <w:vAlign w:val="center"/>
          </w:tcPr>
          <w:p>
            <w:pPr>
              <w:pStyle w:val="30"/>
              <w:bidi w:val="0"/>
              <w:rPr>
                <w:rFonts w:hint="default"/>
                <w:lang w:val="en-US" w:eastAsia="zh-CN"/>
              </w:rPr>
            </w:pPr>
            <w:r>
              <w:rPr>
                <w:rFonts w:hint="eastAsia"/>
                <w:lang w:val="en-US" w:eastAsia="zh-CN"/>
              </w:rPr>
              <w:t>1800人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5</w:t>
            </w:r>
          </w:p>
        </w:tc>
        <w:tc>
          <w:tcPr>
            <w:tcW w:w="1620" w:type="dxa"/>
            <w:vAlign w:val="center"/>
          </w:tcPr>
          <w:p>
            <w:pPr>
              <w:pStyle w:val="30"/>
              <w:bidi w:val="0"/>
              <w:ind w:firstLine="0" w:firstLineChars="0"/>
              <w:rPr>
                <w:rFonts w:hint="eastAsia"/>
                <w:lang w:eastAsia="zh-CN"/>
              </w:rPr>
            </w:pPr>
            <w:r>
              <w:rPr>
                <w:rFonts w:hint="eastAsia"/>
                <w:lang w:eastAsia="zh-CN"/>
              </w:rPr>
              <w:t>老龚庄村</w:t>
            </w:r>
          </w:p>
        </w:tc>
        <w:tc>
          <w:tcPr>
            <w:tcW w:w="1270" w:type="dxa"/>
            <w:vAlign w:val="center"/>
          </w:tcPr>
          <w:p>
            <w:pPr>
              <w:pStyle w:val="30"/>
              <w:bidi w:val="0"/>
              <w:ind w:firstLine="0" w:firstLineChars="0"/>
              <w:rPr>
                <w:rFonts w:hint="default"/>
                <w:lang w:val="en-US" w:eastAsia="zh-CN"/>
              </w:rPr>
            </w:pPr>
            <w:r>
              <w:rPr>
                <w:rFonts w:hint="eastAsia"/>
                <w:lang w:val="en-US" w:eastAsia="zh-CN"/>
              </w:rPr>
              <w:t>113.469372</w:t>
            </w:r>
          </w:p>
        </w:tc>
        <w:tc>
          <w:tcPr>
            <w:tcW w:w="1250" w:type="dxa"/>
            <w:vAlign w:val="center"/>
          </w:tcPr>
          <w:p>
            <w:pPr>
              <w:pStyle w:val="30"/>
              <w:bidi w:val="0"/>
              <w:ind w:firstLine="0" w:firstLineChars="0"/>
              <w:rPr>
                <w:rFonts w:hint="default"/>
                <w:lang w:val="en-US" w:eastAsia="zh-CN"/>
              </w:rPr>
            </w:pPr>
            <w:r>
              <w:rPr>
                <w:rFonts w:hint="eastAsia"/>
                <w:lang w:val="en-US" w:eastAsia="zh-CN"/>
              </w:rPr>
              <w:t>33.591213</w:t>
            </w:r>
          </w:p>
        </w:tc>
        <w:tc>
          <w:tcPr>
            <w:tcW w:w="1160" w:type="dxa"/>
            <w:vAlign w:val="center"/>
          </w:tcPr>
          <w:p>
            <w:pPr>
              <w:pStyle w:val="30"/>
              <w:bidi w:val="0"/>
              <w:ind w:firstLine="0" w:firstLineChars="0"/>
              <w:rPr>
                <w:rFonts w:hint="default" w:eastAsia="宋体"/>
                <w:lang w:val="en-US" w:eastAsia="zh-CN"/>
              </w:rPr>
            </w:pPr>
            <w:r>
              <w:rPr>
                <w:rFonts w:hint="eastAsia"/>
                <w:lang w:val="en-US" w:eastAsia="zh-CN"/>
              </w:rPr>
              <w:t>NW</w:t>
            </w:r>
          </w:p>
        </w:tc>
        <w:tc>
          <w:tcPr>
            <w:tcW w:w="1358" w:type="dxa"/>
            <w:vAlign w:val="center"/>
          </w:tcPr>
          <w:p>
            <w:pPr>
              <w:pStyle w:val="30"/>
              <w:bidi w:val="0"/>
              <w:ind w:firstLine="0" w:firstLineChars="0"/>
              <w:rPr>
                <w:rFonts w:hint="default"/>
                <w:lang w:val="en-US" w:eastAsia="zh-CN"/>
              </w:rPr>
            </w:pPr>
            <w:r>
              <w:rPr>
                <w:rFonts w:hint="eastAsia"/>
                <w:lang w:val="en-US" w:eastAsia="zh-CN"/>
              </w:rPr>
              <w:t>710</w:t>
            </w:r>
          </w:p>
        </w:tc>
        <w:tc>
          <w:tcPr>
            <w:tcW w:w="979" w:type="dxa"/>
            <w:vAlign w:val="center"/>
          </w:tcPr>
          <w:p>
            <w:pPr>
              <w:pStyle w:val="30"/>
              <w:bidi w:val="0"/>
              <w:ind w:firstLine="0" w:firstLineChars="0"/>
              <w:rPr>
                <w:rFonts w:hint="default"/>
                <w:lang w:val="en-US" w:eastAsia="zh-CN"/>
              </w:rPr>
            </w:pPr>
            <w:r>
              <w:rPr>
                <w:rFonts w:hint="eastAsia"/>
                <w:lang w:val="en-US" w:eastAsia="zh-CN"/>
              </w:rPr>
              <w:t>1200人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6</w:t>
            </w:r>
          </w:p>
        </w:tc>
        <w:tc>
          <w:tcPr>
            <w:tcW w:w="1620" w:type="dxa"/>
            <w:vAlign w:val="center"/>
          </w:tcPr>
          <w:p>
            <w:pPr>
              <w:pStyle w:val="30"/>
              <w:bidi w:val="0"/>
              <w:ind w:firstLine="0" w:firstLineChars="0"/>
              <w:rPr>
                <w:rFonts w:hint="eastAsia"/>
                <w:lang w:eastAsia="zh-CN"/>
              </w:rPr>
            </w:pPr>
            <w:r>
              <w:rPr>
                <w:rFonts w:hint="eastAsia"/>
                <w:lang w:eastAsia="zh-CN"/>
              </w:rPr>
              <w:t>程湾</w:t>
            </w:r>
          </w:p>
        </w:tc>
        <w:tc>
          <w:tcPr>
            <w:tcW w:w="1270" w:type="dxa"/>
            <w:vAlign w:val="center"/>
          </w:tcPr>
          <w:p>
            <w:pPr>
              <w:pStyle w:val="30"/>
              <w:bidi w:val="0"/>
              <w:ind w:firstLine="0" w:firstLineChars="0"/>
              <w:rPr>
                <w:rFonts w:hint="eastAsia"/>
                <w:lang w:val="en-US" w:eastAsia="zh-CN"/>
              </w:rPr>
            </w:pPr>
            <w:r>
              <w:rPr>
                <w:rFonts w:hint="eastAsia"/>
                <w:lang w:val="en-US" w:eastAsia="zh-CN"/>
              </w:rPr>
              <w:t>113.466915</w:t>
            </w:r>
          </w:p>
        </w:tc>
        <w:tc>
          <w:tcPr>
            <w:tcW w:w="1250" w:type="dxa"/>
            <w:vAlign w:val="center"/>
          </w:tcPr>
          <w:p>
            <w:pPr>
              <w:pStyle w:val="30"/>
              <w:bidi w:val="0"/>
              <w:ind w:firstLine="0" w:firstLineChars="0"/>
              <w:rPr>
                <w:rFonts w:hint="eastAsia"/>
                <w:lang w:val="en-US" w:eastAsia="zh-CN"/>
              </w:rPr>
            </w:pPr>
            <w:r>
              <w:rPr>
                <w:rFonts w:hint="eastAsia"/>
                <w:lang w:val="en-US" w:eastAsia="zh-CN"/>
              </w:rPr>
              <w:t>33.586653</w:t>
            </w:r>
          </w:p>
        </w:tc>
        <w:tc>
          <w:tcPr>
            <w:tcW w:w="1160" w:type="dxa"/>
            <w:vAlign w:val="center"/>
          </w:tcPr>
          <w:p>
            <w:pPr>
              <w:pStyle w:val="30"/>
              <w:bidi w:val="0"/>
              <w:ind w:firstLine="0" w:firstLineChars="0"/>
              <w:rPr>
                <w:rFonts w:hint="eastAsia"/>
                <w:lang w:val="en-US" w:eastAsia="zh-CN"/>
              </w:rPr>
            </w:pPr>
            <w:r>
              <w:rPr>
                <w:rFonts w:hint="eastAsia"/>
                <w:lang w:val="en-US" w:eastAsia="zh-CN"/>
              </w:rPr>
              <w:t>W</w:t>
            </w:r>
          </w:p>
        </w:tc>
        <w:tc>
          <w:tcPr>
            <w:tcW w:w="1358" w:type="dxa"/>
            <w:vAlign w:val="center"/>
          </w:tcPr>
          <w:p>
            <w:pPr>
              <w:pStyle w:val="30"/>
              <w:bidi w:val="0"/>
              <w:ind w:firstLine="0" w:firstLineChars="0"/>
              <w:rPr>
                <w:rFonts w:hint="eastAsia"/>
                <w:lang w:val="en-US" w:eastAsia="zh-CN"/>
              </w:rPr>
            </w:pPr>
            <w:r>
              <w:rPr>
                <w:rFonts w:hint="eastAsia"/>
                <w:lang w:val="en-US" w:eastAsia="zh-CN"/>
              </w:rPr>
              <w:t>830</w:t>
            </w:r>
          </w:p>
        </w:tc>
        <w:tc>
          <w:tcPr>
            <w:tcW w:w="979" w:type="dxa"/>
            <w:vAlign w:val="center"/>
          </w:tcPr>
          <w:p>
            <w:pPr>
              <w:pStyle w:val="30"/>
              <w:bidi w:val="0"/>
              <w:ind w:firstLine="0" w:firstLineChars="0"/>
              <w:rPr>
                <w:rFonts w:hint="eastAsia"/>
                <w:lang w:val="en-US" w:eastAsia="zh-CN"/>
              </w:rPr>
            </w:pPr>
            <w:r>
              <w:rPr>
                <w:rFonts w:hint="eastAsia"/>
                <w:lang w:val="en-US" w:eastAsia="zh-CN"/>
              </w:rPr>
              <w:t>600人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7</w:t>
            </w:r>
          </w:p>
        </w:tc>
        <w:tc>
          <w:tcPr>
            <w:tcW w:w="1620" w:type="dxa"/>
            <w:vAlign w:val="center"/>
          </w:tcPr>
          <w:p>
            <w:pPr>
              <w:pStyle w:val="30"/>
              <w:bidi w:val="0"/>
              <w:rPr>
                <w:rFonts w:hint="eastAsia"/>
                <w:lang w:eastAsia="zh-CN"/>
              </w:rPr>
            </w:pPr>
            <w:r>
              <w:rPr>
                <w:rFonts w:hint="eastAsia"/>
                <w:lang w:eastAsia="zh-CN"/>
              </w:rPr>
              <w:t>袁庄村</w:t>
            </w:r>
          </w:p>
        </w:tc>
        <w:tc>
          <w:tcPr>
            <w:tcW w:w="1270" w:type="dxa"/>
            <w:vAlign w:val="center"/>
          </w:tcPr>
          <w:p>
            <w:pPr>
              <w:pStyle w:val="30"/>
              <w:bidi w:val="0"/>
              <w:rPr>
                <w:rFonts w:hint="default"/>
                <w:lang w:val="en-US" w:eastAsia="zh-CN"/>
              </w:rPr>
            </w:pPr>
            <w:r>
              <w:rPr>
                <w:rFonts w:hint="eastAsia"/>
                <w:lang w:val="en-US" w:eastAsia="zh-CN"/>
              </w:rPr>
              <w:t>113.487375</w:t>
            </w:r>
          </w:p>
        </w:tc>
        <w:tc>
          <w:tcPr>
            <w:tcW w:w="1250" w:type="dxa"/>
            <w:vAlign w:val="center"/>
          </w:tcPr>
          <w:p>
            <w:pPr>
              <w:pStyle w:val="30"/>
              <w:bidi w:val="0"/>
              <w:rPr>
                <w:rFonts w:hint="default"/>
                <w:lang w:val="en-US" w:eastAsia="zh-CN"/>
              </w:rPr>
            </w:pPr>
            <w:r>
              <w:rPr>
                <w:rFonts w:hint="eastAsia"/>
                <w:lang w:val="en-US" w:eastAsia="zh-CN"/>
              </w:rPr>
              <w:t>33.550752</w:t>
            </w:r>
          </w:p>
        </w:tc>
        <w:tc>
          <w:tcPr>
            <w:tcW w:w="1160" w:type="dxa"/>
            <w:vAlign w:val="center"/>
          </w:tcPr>
          <w:p>
            <w:pPr>
              <w:pStyle w:val="30"/>
              <w:bidi w:val="0"/>
              <w:rPr>
                <w:rFonts w:hint="eastAsia"/>
                <w:lang w:val="en-US" w:eastAsia="zh-CN"/>
              </w:rPr>
            </w:pPr>
            <w:r>
              <w:rPr>
                <w:rFonts w:hint="eastAsia"/>
                <w:lang w:val="en-US" w:eastAsia="zh-CN"/>
              </w:rPr>
              <w:t>NE</w:t>
            </w:r>
          </w:p>
        </w:tc>
        <w:tc>
          <w:tcPr>
            <w:tcW w:w="1358" w:type="dxa"/>
            <w:vAlign w:val="center"/>
          </w:tcPr>
          <w:p>
            <w:pPr>
              <w:pStyle w:val="30"/>
              <w:bidi w:val="0"/>
              <w:rPr>
                <w:rFonts w:hint="default"/>
                <w:lang w:val="en-US" w:eastAsia="zh-CN"/>
              </w:rPr>
            </w:pPr>
            <w:r>
              <w:rPr>
                <w:rFonts w:hint="eastAsia"/>
                <w:lang w:val="en-US" w:eastAsia="zh-CN"/>
              </w:rPr>
              <w:t>913</w:t>
            </w:r>
          </w:p>
        </w:tc>
        <w:tc>
          <w:tcPr>
            <w:tcW w:w="979" w:type="dxa"/>
            <w:vAlign w:val="center"/>
          </w:tcPr>
          <w:p>
            <w:pPr>
              <w:pStyle w:val="30"/>
              <w:bidi w:val="0"/>
              <w:rPr>
                <w:rFonts w:hint="default"/>
                <w:lang w:val="en-US" w:eastAsia="zh-CN"/>
              </w:rPr>
            </w:pPr>
            <w:r>
              <w:rPr>
                <w:rFonts w:hint="eastAsia"/>
                <w:lang w:val="en-US" w:eastAsia="zh-CN"/>
              </w:rPr>
              <w:t>1000人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8</w:t>
            </w:r>
          </w:p>
        </w:tc>
        <w:tc>
          <w:tcPr>
            <w:tcW w:w="1620" w:type="dxa"/>
            <w:vAlign w:val="center"/>
          </w:tcPr>
          <w:p>
            <w:pPr>
              <w:pStyle w:val="30"/>
              <w:bidi w:val="0"/>
              <w:ind w:firstLine="0" w:firstLineChars="0"/>
              <w:rPr>
                <w:rFonts w:hint="eastAsia"/>
                <w:lang w:eastAsia="zh-CN"/>
              </w:rPr>
            </w:pPr>
            <w:r>
              <w:rPr>
                <w:rFonts w:hint="eastAsia"/>
                <w:lang w:eastAsia="zh-CN"/>
              </w:rPr>
              <w:t>张窖</w:t>
            </w:r>
          </w:p>
        </w:tc>
        <w:tc>
          <w:tcPr>
            <w:tcW w:w="1270" w:type="dxa"/>
            <w:vAlign w:val="center"/>
          </w:tcPr>
          <w:p>
            <w:pPr>
              <w:pStyle w:val="30"/>
              <w:bidi w:val="0"/>
              <w:ind w:firstLine="0" w:firstLineChars="0"/>
              <w:rPr>
                <w:rFonts w:hint="default"/>
                <w:lang w:val="en-US" w:eastAsia="zh-CN"/>
              </w:rPr>
            </w:pPr>
            <w:r>
              <w:rPr>
                <w:rFonts w:hint="eastAsia"/>
                <w:lang w:val="en-US" w:eastAsia="zh-CN"/>
              </w:rPr>
              <w:t>113.484993</w:t>
            </w:r>
          </w:p>
        </w:tc>
        <w:tc>
          <w:tcPr>
            <w:tcW w:w="1250" w:type="dxa"/>
            <w:vAlign w:val="center"/>
          </w:tcPr>
          <w:p>
            <w:pPr>
              <w:pStyle w:val="30"/>
              <w:bidi w:val="0"/>
              <w:ind w:firstLine="0" w:firstLineChars="0"/>
              <w:rPr>
                <w:rFonts w:hint="default"/>
                <w:lang w:val="en-US" w:eastAsia="zh-CN"/>
              </w:rPr>
            </w:pPr>
            <w:r>
              <w:rPr>
                <w:rFonts w:hint="eastAsia"/>
                <w:lang w:val="en-US" w:eastAsia="zh-CN"/>
              </w:rPr>
              <w:t>33.574541</w:t>
            </w:r>
          </w:p>
        </w:tc>
        <w:tc>
          <w:tcPr>
            <w:tcW w:w="1160" w:type="dxa"/>
            <w:vAlign w:val="center"/>
          </w:tcPr>
          <w:p>
            <w:pPr>
              <w:pStyle w:val="30"/>
              <w:bidi w:val="0"/>
              <w:ind w:firstLine="0" w:firstLineChars="0"/>
              <w:rPr>
                <w:rFonts w:hint="default"/>
                <w:lang w:val="en-US" w:eastAsia="zh-CN"/>
              </w:rPr>
            </w:pPr>
            <w:r>
              <w:rPr>
                <w:rFonts w:hint="eastAsia"/>
                <w:lang w:val="en-US" w:eastAsia="zh-CN"/>
              </w:rPr>
              <w:t>SE</w:t>
            </w:r>
          </w:p>
        </w:tc>
        <w:tc>
          <w:tcPr>
            <w:tcW w:w="1358" w:type="dxa"/>
            <w:vAlign w:val="center"/>
          </w:tcPr>
          <w:p>
            <w:pPr>
              <w:pStyle w:val="30"/>
              <w:bidi w:val="0"/>
              <w:ind w:firstLine="0" w:firstLineChars="0"/>
              <w:rPr>
                <w:rFonts w:hint="default"/>
                <w:lang w:val="en-US" w:eastAsia="zh-CN"/>
              </w:rPr>
            </w:pPr>
            <w:r>
              <w:rPr>
                <w:rFonts w:hint="eastAsia"/>
                <w:lang w:val="en-US" w:eastAsia="zh-CN"/>
              </w:rPr>
              <w:t>1073</w:t>
            </w:r>
          </w:p>
        </w:tc>
        <w:tc>
          <w:tcPr>
            <w:tcW w:w="979" w:type="dxa"/>
            <w:vAlign w:val="center"/>
          </w:tcPr>
          <w:p>
            <w:pPr>
              <w:pStyle w:val="30"/>
              <w:bidi w:val="0"/>
              <w:ind w:firstLine="0" w:firstLineChars="0"/>
              <w:rPr>
                <w:rFonts w:hint="default"/>
                <w:lang w:val="en-US" w:eastAsia="zh-CN"/>
              </w:rPr>
            </w:pPr>
            <w:r>
              <w:rPr>
                <w:rFonts w:hint="eastAsia"/>
                <w:lang w:val="en-US" w:eastAsia="zh-CN"/>
              </w:rPr>
              <w:t>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9</w:t>
            </w:r>
          </w:p>
        </w:tc>
        <w:tc>
          <w:tcPr>
            <w:tcW w:w="1620" w:type="dxa"/>
            <w:vAlign w:val="center"/>
          </w:tcPr>
          <w:p>
            <w:pPr>
              <w:pStyle w:val="30"/>
              <w:bidi w:val="0"/>
              <w:ind w:firstLine="0" w:firstLineChars="0"/>
              <w:rPr>
                <w:rFonts w:hint="eastAsia"/>
                <w:lang w:eastAsia="zh-CN"/>
              </w:rPr>
            </w:pPr>
            <w:r>
              <w:rPr>
                <w:rFonts w:hint="eastAsia"/>
                <w:lang w:eastAsia="zh-CN"/>
              </w:rPr>
              <w:t>沙朱王</w:t>
            </w:r>
          </w:p>
        </w:tc>
        <w:tc>
          <w:tcPr>
            <w:tcW w:w="1270" w:type="dxa"/>
            <w:vAlign w:val="center"/>
          </w:tcPr>
          <w:p>
            <w:pPr>
              <w:pStyle w:val="30"/>
              <w:bidi w:val="0"/>
              <w:ind w:firstLine="0" w:firstLineChars="0"/>
              <w:rPr>
                <w:rFonts w:hint="default"/>
                <w:lang w:val="en-US" w:eastAsia="zh-CN"/>
              </w:rPr>
            </w:pPr>
            <w:r>
              <w:rPr>
                <w:rFonts w:hint="eastAsia"/>
                <w:lang w:val="en-US" w:eastAsia="zh-CN"/>
              </w:rPr>
              <w:t>113.486806</w:t>
            </w:r>
          </w:p>
        </w:tc>
        <w:tc>
          <w:tcPr>
            <w:tcW w:w="1250" w:type="dxa"/>
            <w:vAlign w:val="center"/>
          </w:tcPr>
          <w:p>
            <w:pPr>
              <w:pStyle w:val="30"/>
              <w:bidi w:val="0"/>
              <w:ind w:firstLine="0" w:firstLineChars="0"/>
              <w:rPr>
                <w:rFonts w:hint="default"/>
                <w:lang w:val="en-US" w:eastAsia="zh-CN"/>
              </w:rPr>
            </w:pPr>
            <w:r>
              <w:rPr>
                <w:rFonts w:hint="eastAsia"/>
                <w:lang w:val="en-US" w:eastAsia="zh-CN"/>
              </w:rPr>
              <w:t>33.595827</w:t>
            </w:r>
          </w:p>
        </w:tc>
        <w:tc>
          <w:tcPr>
            <w:tcW w:w="1160" w:type="dxa"/>
            <w:vAlign w:val="center"/>
          </w:tcPr>
          <w:p>
            <w:pPr>
              <w:pStyle w:val="30"/>
              <w:bidi w:val="0"/>
              <w:ind w:firstLine="0" w:firstLineChars="0"/>
              <w:rPr>
                <w:rFonts w:hint="default"/>
                <w:lang w:val="en-US" w:eastAsia="zh-CN"/>
              </w:rPr>
            </w:pPr>
            <w:r>
              <w:rPr>
                <w:rFonts w:hint="eastAsia"/>
                <w:lang w:val="en-US" w:eastAsia="zh-CN"/>
              </w:rPr>
              <w:t>NE</w:t>
            </w:r>
          </w:p>
        </w:tc>
        <w:tc>
          <w:tcPr>
            <w:tcW w:w="1358" w:type="dxa"/>
            <w:vAlign w:val="center"/>
          </w:tcPr>
          <w:p>
            <w:pPr>
              <w:pStyle w:val="30"/>
              <w:bidi w:val="0"/>
              <w:ind w:firstLine="0" w:firstLineChars="0"/>
              <w:rPr>
                <w:rFonts w:hint="default"/>
                <w:lang w:val="en-US" w:eastAsia="zh-CN"/>
              </w:rPr>
            </w:pPr>
            <w:r>
              <w:rPr>
                <w:rFonts w:hint="eastAsia"/>
                <w:lang w:val="en-US" w:eastAsia="zh-CN"/>
              </w:rPr>
              <w:t>1236</w:t>
            </w:r>
          </w:p>
        </w:tc>
        <w:tc>
          <w:tcPr>
            <w:tcW w:w="979" w:type="dxa"/>
            <w:vAlign w:val="center"/>
          </w:tcPr>
          <w:p>
            <w:pPr>
              <w:pStyle w:val="30"/>
              <w:bidi w:val="0"/>
              <w:ind w:firstLine="0" w:firstLineChars="0"/>
              <w:rPr>
                <w:rFonts w:hint="default"/>
                <w:lang w:val="en-US" w:eastAsia="zh-CN"/>
              </w:rPr>
            </w:pPr>
            <w:r>
              <w:rPr>
                <w:rFonts w:hint="eastAsia"/>
                <w:lang w:val="en-US" w:eastAsia="zh-CN"/>
              </w:rPr>
              <w:t>1800人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10</w:t>
            </w:r>
          </w:p>
        </w:tc>
        <w:tc>
          <w:tcPr>
            <w:tcW w:w="1620" w:type="dxa"/>
            <w:vAlign w:val="center"/>
          </w:tcPr>
          <w:p>
            <w:pPr>
              <w:pStyle w:val="30"/>
              <w:bidi w:val="0"/>
              <w:rPr>
                <w:rFonts w:hint="eastAsia" w:eastAsia="宋体"/>
                <w:lang w:eastAsia="zh-CN"/>
              </w:rPr>
            </w:pPr>
            <w:r>
              <w:rPr>
                <w:rFonts w:hint="eastAsia"/>
                <w:lang w:eastAsia="zh-CN"/>
              </w:rPr>
              <w:t>汪庄村</w:t>
            </w:r>
          </w:p>
        </w:tc>
        <w:tc>
          <w:tcPr>
            <w:tcW w:w="1270" w:type="dxa"/>
            <w:vAlign w:val="center"/>
          </w:tcPr>
          <w:p>
            <w:pPr>
              <w:pStyle w:val="30"/>
              <w:bidi w:val="0"/>
              <w:rPr>
                <w:rFonts w:hint="default"/>
                <w:lang w:val="en-US" w:eastAsia="zh-CN"/>
              </w:rPr>
            </w:pPr>
            <w:r>
              <w:rPr>
                <w:rFonts w:hint="eastAsia"/>
                <w:lang w:val="en-US" w:eastAsia="zh-CN"/>
              </w:rPr>
              <w:t>113.474640</w:t>
            </w:r>
          </w:p>
        </w:tc>
        <w:tc>
          <w:tcPr>
            <w:tcW w:w="1250" w:type="dxa"/>
            <w:vAlign w:val="center"/>
          </w:tcPr>
          <w:p>
            <w:pPr>
              <w:pStyle w:val="30"/>
              <w:bidi w:val="0"/>
              <w:rPr>
                <w:rFonts w:hint="default"/>
                <w:lang w:val="en-US" w:eastAsia="zh-CN"/>
              </w:rPr>
            </w:pPr>
            <w:r>
              <w:rPr>
                <w:rFonts w:hint="eastAsia"/>
                <w:lang w:val="en-US" w:eastAsia="zh-CN"/>
              </w:rPr>
              <w:t>33.598670</w:t>
            </w:r>
          </w:p>
        </w:tc>
        <w:tc>
          <w:tcPr>
            <w:tcW w:w="1160" w:type="dxa"/>
            <w:vAlign w:val="center"/>
          </w:tcPr>
          <w:p>
            <w:pPr>
              <w:pStyle w:val="30"/>
              <w:bidi w:val="0"/>
              <w:rPr>
                <w:rFonts w:hint="default"/>
                <w:lang w:val="en-US" w:eastAsia="zh-CN"/>
              </w:rPr>
            </w:pPr>
            <w:r>
              <w:rPr>
                <w:rFonts w:hint="eastAsia"/>
                <w:lang w:val="en-US" w:eastAsia="zh-CN"/>
              </w:rPr>
              <w:t>NW</w:t>
            </w:r>
          </w:p>
        </w:tc>
        <w:tc>
          <w:tcPr>
            <w:tcW w:w="1358" w:type="dxa"/>
            <w:vAlign w:val="center"/>
          </w:tcPr>
          <w:p>
            <w:pPr>
              <w:pStyle w:val="30"/>
              <w:bidi w:val="0"/>
              <w:rPr>
                <w:rFonts w:hint="default"/>
                <w:lang w:val="en-US" w:eastAsia="zh-CN"/>
              </w:rPr>
            </w:pPr>
            <w:r>
              <w:rPr>
                <w:rFonts w:hint="eastAsia"/>
                <w:lang w:val="en-US" w:eastAsia="zh-CN"/>
              </w:rPr>
              <w:t>1283</w:t>
            </w:r>
          </w:p>
        </w:tc>
        <w:tc>
          <w:tcPr>
            <w:tcW w:w="979" w:type="dxa"/>
            <w:vAlign w:val="center"/>
          </w:tcPr>
          <w:p>
            <w:pPr>
              <w:pStyle w:val="30"/>
              <w:bidi w:val="0"/>
            </w:pPr>
            <w:r>
              <w:rPr>
                <w:rFonts w:hint="eastAsia"/>
                <w:lang w:val="en-US" w:eastAsia="zh-CN"/>
              </w:rPr>
              <w:t>2400人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11</w:t>
            </w:r>
          </w:p>
        </w:tc>
        <w:tc>
          <w:tcPr>
            <w:tcW w:w="1620" w:type="dxa"/>
            <w:vAlign w:val="center"/>
          </w:tcPr>
          <w:p>
            <w:pPr>
              <w:pStyle w:val="30"/>
              <w:bidi w:val="0"/>
              <w:ind w:firstLine="0" w:firstLineChars="0"/>
              <w:rPr>
                <w:rFonts w:hint="eastAsia"/>
                <w:lang w:eastAsia="zh-CN"/>
              </w:rPr>
            </w:pPr>
            <w:r>
              <w:rPr>
                <w:rFonts w:hint="eastAsia"/>
                <w:lang w:eastAsia="zh-CN"/>
              </w:rPr>
              <w:t>庆庄村</w:t>
            </w:r>
          </w:p>
        </w:tc>
        <w:tc>
          <w:tcPr>
            <w:tcW w:w="1270" w:type="dxa"/>
            <w:vAlign w:val="center"/>
          </w:tcPr>
          <w:p>
            <w:pPr>
              <w:pStyle w:val="30"/>
              <w:bidi w:val="0"/>
              <w:ind w:firstLine="0" w:firstLineChars="0"/>
              <w:rPr>
                <w:rFonts w:hint="default"/>
                <w:lang w:val="en-US" w:eastAsia="zh-CN"/>
              </w:rPr>
            </w:pPr>
            <w:r>
              <w:rPr>
                <w:rFonts w:hint="eastAsia"/>
                <w:lang w:val="en-US" w:eastAsia="zh-CN"/>
              </w:rPr>
              <w:t>113.494971</w:t>
            </w:r>
          </w:p>
        </w:tc>
        <w:tc>
          <w:tcPr>
            <w:tcW w:w="1250" w:type="dxa"/>
            <w:vAlign w:val="center"/>
          </w:tcPr>
          <w:p>
            <w:pPr>
              <w:pStyle w:val="30"/>
              <w:bidi w:val="0"/>
              <w:ind w:firstLine="0" w:firstLineChars="0"/>
              <w:rPr>
                <w:rFonts w:hint="default"/>
                <w:lang w:val="en-US" w:eastAsia="zh-CN"/>
              </w:rPr>
            </w:pPr>
            <w:r>
              <w:rPr>
                <w:rFonts w:hint="eastAsia"/>
                <w:lang w:val="en-US" w:eastAsia="zh-CN"/>
              </w:rPr>
              <w:t>33.584862</w:t>
            </w:r>
          </w:p>
        </w:tc>
        <w:tc>
          <w:tcPr>
            <w:tcW w:w="1160" w:type="dxa"/>
            <w:vAlign w:val="center"/>
          </w:tcPr>
          <w:p>
            <w:pPr>
              <w:pStyle w:val="30"/>
              <w:bidi w:val="0"/>
              <w:ind w:firstLine="0" w:firstLineChars="0"/>
              <w:rPr>
                <w:rFonts w:hint="default"/>
                <w:lang w:val="en-US" w:eastAsia="zh-CN"/>
              </w:rPr>
            </w:pPr>
            <w:r>
              <w:rPr>
                <w:rFonts w:hint="eastAsia"/>
                <w:lang w:val="en-US" w:eastAsia="zh-CN"/>
              </w:rPr>
              <w:t>E</w:t>
            </w:r>
          </w:p>
        </w:tc>
        <w:tc>
          <w:tcPr>
            <w:tcW w:w="1358" w:type="dxa"/>
            <w:vAlign w:val="center"/>
          </w:tcPr>
          <w:p>
            <w:pPr>
              <w:pStyle w:val="30"/>
              <w:bidi w:val="0"/>
              <w:ind w:firstLine="0" w:firstLineChars="0"/>
              <w:rPr>
                <w:rFonts w:hint="default"/>
                <w:lang w:val="en-US" w:eastAsia="zh-CN"/>
              </w:rPr>
            </w:pPr>
            <w:r>
              <w:rPr>
                <w:rFonts w:hint="eastAsia"/>
                <w:lang w:val="en-US" w:eastAsia="zh-CN"/>
              </w:rPr>
              <w:t>1322</w:t>
            </w:r>
          </w:p>
        </w:tc>
        <w:tc>
          <w:tcPr>
            <w:tcW w:w="979" w:type="dxa"/>
            <w:vAlign w:val="center"/>
          </w:tcPr>
          <w:p>
            <w:pPr>
              <w:pStyle w:val="30"/>
              <w:bidi w:val="0"/>
              <w:ind w:firstLine="0" w:firstLineChars="0"/>
              <w:rPr>
                <w:rFonts w:hint="default"/>
                <w:lang w:val="en-US" w:eastAsia="zh-CN"/>
              </w:rPr>
            </w:pPr>
            <w:r>
              <w:rPr>
                <w:rFonts w:hint="eastAsia"/>
                <w:lang w:val="en-US" w:eastAsia="zh-CN"/>
              </w:rPr>
              <w:t>2400人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12</w:t>
            </w:r>
          </w:p>
        </w:tc>
        <w:tc>
          <w:tcPr>
            <w:tcW w:w="1620" w:type="dxa"/>
            <w:vAlign w:val="center"/>
          </w:tcPr>
          <w:p>
            <w:pPr>
              <w:pStyle w:val="30"/>
              <w:bidi w:val="0"/>
              <w:rPr>
                <w:rFonts w:hint="eastAsia"/>
                <w:lang w:eastAsia="zh-CN"/>
              </w:rPr>
            </w:pPr>
            <w:r>
              <w:rPr>
                <w:rFonts w:hint="eastAsia"/>
                <w:lang w:eastAsia="zh-CN"/>
              </w:rPr>
              <w:t>任庄村</w:t>
            </w:r>
          </w:p>
        </w:tc>
        <w:tc>
          <w:tcPr>
            <w:tcW w:w="1270" w:type="dxa"/>
            <w:vAlign w:val="center"/>
          </w:tcPr>
          <w:p>
            <w:pPr>
              <w:pStyle w:val="30"/>
              <w:bidi w:val="0"/>
              <w:rPr>
                <w:rFonts w:hint="default"/>
                <w:lang w:val="en-US" w:eastAsia="zh-CN"/>
              </w:rPr>
            </w:pPr>
            <w:r>
              <w:rPr>
                <w:rFonts w:hint="eastAsia"/>
                <w:lang w:val="en-US" w:eastAsia="zh-CN"/>
              </w:rPr>
              <w:t>113.492385</w:t>
            </w:r>
          </w:p>
        </w:tc>
        <w:tc>
          <w:tcPr>
            <w:tcW w:w="1250" w:type="dxa"/>
            <w:vAlign w:val="center"/>
          </w:tcPr>
          <w:p>
            <w:pPr>
              <w:pStyle w:val="30"/>
              <w:bidi w:val="0"/>
              <w:rPr>
                <w:rFonts w:hint="default"/>
                <w:lang w:val="en-US" w:eastAsia="zh-CN"/>
              </w:rPr>
            </w:pPr>
            <w:r>
              <w:rPr>
                <w:rFonts w:hint="eastAsia"/>
                <w:lang w:val="en-US" w:eastAsia="zh-CN"/>
              </w:rPr>
              <w:t>33.598444</w:t>
            </w:r>
          </w:p>
        </w:tc>
        <w:tc>
          <w:tcPr>
            <w:tcW w:w="1160" w:type="dxa"/>
            <w:vAlign w:val="center"/>
          </w:tcPr>
          <w:p>
            <w:pPr>
              <w:pStyle w:val="30"/>
              <w:bidi w:val="0"/>
              <w:rPr>
                <w:rFonts w:hint="default"/>
                <w:lang w:val="en-US" w:eastAsia="zh-CN"/>
              </w:rPr>
            </w:pPr>
            <w:r>
              <w:rPr>
                <w:rFonts w:hint="eastAsia"/>
                <w:lang w:val="en-US" w:eastAsia="zh-CN"/>
              </w:rPr>
              <w:t>NE</w:t>
            </w:r>
          </w:p>
        </w:tc>
        <w:tc>
          <w:tcPr>
            <w:tcW w:w="1358" w:type="dxa"/>
            <w:vAlign w:val="center"/>
          </w:tcPr>
          <w:p>
            <w:pPr>
              <w:pStyle w:val="30"/>
              <w:bidi w:val="0"/>
              <w:rPr>
                <w:rFonts w:hint="default"/>
                <w:lang w:val="en-US" w:eastAsia="zh-CN"/>
              </w:rPr>
            </w:pPr>
            <w:r>
              <w:rPr>
                <w:rFonts w:hint="eastAsia"/>
                <w:lang w:val="en-US" w:eastAsia="zh-CN"/>
              </w:rPr>
              <w:t>1810</w:t>
            </w:r>
          </w:p>
        </w:tc>
        <w:tc>
          <w:tcPr>
            <w:tcW w:w="979" w:type="dxa"/>
            <w:vAlign w:val="center"/>
          </w:tcPr>
          <w:p>
            <w:pPr>
              <w:pStyle w:val="30"/>
              <w:bidi w:val="0"/>
              <w:rPr>
                <w:rFonts w:hint="default"/>
                <w:lang w:val="en-US"/>
              </w:rPr>
            </w:pPr>
            <w:r>
              <w:rPr>
                <w:rFonts w:hint="eastAsia"/>
                <w:lang w:val="en-US" w:eastAsia="zh-CN"/>
              </w:rPr>
              <w:t>2000</w:t>
            </w:r>
            <w:r>
              <w:rPr>
                <w:rFonts w:hint="default"/>
                <w:lang w:val="en-US" w:eastAsia="zh-CN"/>
              </w:rPr>
              <w:t>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13</w:t>
            </w:r>
          </w:p>
        </w:tc>
        <w:tc>
          <w:tcPr>
            <w:tcW w:w="1620" w:type="dxa"/>
            <w:vAlign w:val="center"/>
          </w:tcPr>
          <w:p>
            <w:pPr>
              <w:pStyle w:val="30"/>
              <w:bidi w:val="0"/>
              <w:ind w:firstLine="0" w:firstLineChars="0"/>
              <w:rPr>
                <w:rFonts w:hint="eastAsia"/>
                <w:lang w:eastAsia="zh-CN"/>
              </w:rPr>
            </w:pPr>
            <w:r>
              <w:rPr>
                <w:rFonts w:hint="eastAsia"/>
                <w:lang w:eastAsia="zh-CN"/>
              </w:rPr>
              <w:t>新顾村</w:t>
            </w:r>
          </w:p>
        </w:tc>
        <w:tc>
          <w:tcPr>
            <w:tcW w:w="1270" w:type="dxa"/>
            <w:vAlign w:val="center"/>
          </w:tcPr>
          <w:p>
            <w:pPr>
              <w:pStyle w:val="30"/>
              <w:bidi w:val="0"/>
              <w:ind w:firstLine="0" w:firstLineChars="0"/>
              <w:rPr>
                <w:rFonts w:hint="eastAsia"/>
                <w:lang w:val="en-US" w:eastAsia="zh-CN"/>
              </w:rPr>
            </w:pPr>
            <w:r>
              <w:rPr>
                <w:rFonts w:hint="eastAsia"/>
                <w:lang w:val="en-US" w:eastAsia="zh-CN"/>
              </w:rPr>
              <w:t>113.454909</w:t>
            </w:r>
          </w:p>
        </w:tc>
        <w:tc>
          <w:tcPr>
            <w:tcW w:w="1250" w:type="dxa"/>
            <w:vAlign w:val="center"/>
          </w:tcPr>
          <w:p>
            <w:pPr>
              <w:pStyle w:val="30"/>
              <w:bidi w:val="0"/>
              <w:ind w:firstLine="0" w:firstLineChars="0"/>
              <w:rPr>
                <w:rFonts w:hint="eastAsia"/>
                <w:lang w:val="en-US" w:eastAsia="zh-CN"/>
              </w:rPr>
            </w:pPr>
            <w:r>
              <w:rPr>
                <w:rFonts w:hint="eastAsia"/>
                <w:lang w:val="en-US" w:eastAsia="zh-CN"/>
              </w:rPr>
              <w:t>33.585076</w:t>
            </w:r>
          </w:p>
        </w:tc>
        <w:tc>
          <w:tcPr>
            <w:tcW w:w="1160" w:type="dxa"/>
            <w:vAlign w:val="center"/>
          </w:tcPr>
          <w:p>
            <w:pPr>
              <w:pStyle w:val="30"/>
              <w:bidi w:val="0"/>
              <w:ind w:firstLine="0" w:firstLineChars="0"/>
              <w:rPr>
                <w:rFonts w:hint="eastAsia"/>
                <w:lang w:val="en-US" w:eastAsia="zh-CN"/>
              </w:rPr>
            </w:pPr>
            <w:r>
              <w:rPr>
                <w:rFonts w:hint="eastAsia"/>
                <w:lang w:val="en-US" w:eastAsia="zh-CN"/>
              </w:rPr>
              <w:t>W</w:t>
            </w:r>
          </w:p>
        </w:tc>
        <w:tc>
          <w:tcPr>
            <w:tcW w:w="1358" w:type="dxa"/>
            <w:vAlign w:val="center"/>
          </w:tcPr>
          <w:p>
            <w:pPr>
              <w:pStyle w:val="30"/>
              <w:bidi w:val="0"/>
              <w:ind w:firstLine="0" w:firstLineChars="0"/>
              <w:rPr>
                <w:rFonts w:hint="eastAsia"/>
                <w:lang w:val="en-US" w:eastAsia="zh-CN"/>
              </w:rPr>
            </w:pPr>
            <w:r>
              <w:rPr>
                <w:rFonts w:hint="eastAsia"/>
                <w:lang w:val="en-US" w:eastAsia="zh-CN"/>
              </w:rPr>
              <w:t>1836</w:t>
            </w:r>
          </w:p>
        </w:tc>
        <w:tc>
          <w:tcPr>
            <w:tcW w:w="979" w:type="dxa"/>
            <w:vAlign w:val="center"/>
          </w:tcPr>
          <w:p>
            <w:pPr>
              <w:pStyle w:val="30"/>
              <w:bidi w:val="0"/>
              <w:ind w:firstLine="0" w:firstLineChars="0"/>
              <w:rPr>
                <w:rFonts w:hint="eastAsia"/>
                <w:lang w:val="en-US" w:eastAsia="zh-CN"/>
              </w:rPr>
            </w:pPr>
            <w:r>
              <w:rPr>
                <w:rFonts w:hint="eastAsia"/>
                <w:lang w:val="en-US" w:eastAsia="zh-CN"/>
              </w:rPr>
              <w:t>2100人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14</w:t>
            </w:r>
          </w:p>
        </w:tc>
        <w:tc>
          <w:tcPr>
            <w:tcW w:w="1620" w:type="dxa"/>
            <w:vAlign w:val="center"/>
          </w:tcPr>
          <w:p>
            <w:pPr>
              <w:pStyle w:val="30"/>
              <w:bidi w:val="0"/>
              <w:ind w:firstLine="0" w:firstLineChars="0"/>
              <w:rPr>
                <w:rFonts w:hint="eastAsia"/>
                <w:lang w:eastAsia="zh-CN"/>
              </w:rPr>
            </w:pPr>
            <w:r>
              <w:rPr>
                <w:rFonts w:hint="eastAsia"/>
                <w:lang w:eastAsia="zh-CN"/>
              </w:rPr>
              <w:t>桂张</w:t>
            </w:r>
          </w:p>
        </w:tc>
        <w:tc>
          <w:tcPr>
            <w:tcW w:w="1270" w:type="dxa"/>
            <w:vAlign w:val="center"/>
          </w:tcPr>
          <w:p>
            <w:pPr>
              <w:pStyle w:val="30"/>
              <w:bidi w:val="0"/>
              <w:ind w:firstLine="0" w:firstLineChars="0"/>
              <w:rPr>
                <w:rFonts w:hint="default"/>
                <w:lang w:val="en-US" w:eastAsia="zh-CN"/>
              </w:rPr>
            </w:pPr>
            <w:r>
              <w:rPr>
                <w:rFonts w:hint="eastAsia"/>
                <w:lang w:val="en-US" w:eastAsia="zh-CN"/>
              </w:rPr>
              <w:t>113.500743</w:t>
            </w:r>
          </w:p>
        </w:tc>
        <w:tc>
          <w:tcPr>
            <w:tcW w:w="1250" w:type="dxa"/>
            <w:vAlign w:val="center"/>
          </w:tcPr>
          <w:p>
            <w:pPr>
              <w:pStyle w:val="30"/>
              <w:bidi w:val="0"/>
              <w:ind w:firstLine="0" w:firstLineChars="0"/>
              <w:rPr>
                <w:rFonts w:hint="default"/>
                <w:lang w:val="en-US" w:eastAsia="zh-CN"/>
              </w:rPr>
            </w:pPr>
            <w:r>
              <w:rPr>
                <w:rFonts w:hint="eastAsia"/>
                <w:lang w:val="en-US" w:eastAsia="zh-CN"/>
              </w:rPr>
              <w:t>33.583982</w:t>
            </w:r>
          </w:p>
        </w:tc>
        <w:tc>
          <w:tcPr>
            <w:tcW w:w="1160" w:type="dxa"/>
            <w:vAlign w:val="center"/>
          </w:tcPr>
          <w:p>
            <w:pPr>
              <w:pStyle w:val="30"/>
              <w:bidi w:val="0"/>
              <w:ind w:firstLine="0" w:firstLineChars="0"/>
              <w:rPr>
                <w:rFonts w:hint="default"/>
                <w:lang w:val="en-US" w:eastAsia="zh-CN"/>
              </w:rPr>
            </w:pPr>
            <w:r>
              <w:rPr>
                <w:rFonts w:hint="eastAsia"/>
                <w:lang w:val="en-US" w:eastAsia="zh-CN"/>
              </w:rPr>
              <w:t>E</w:t>
            </w:r>
          </w:p>
        </w:tc>
        <w:tc>
          <w:tcPr>
            <w:tcW w:w="1358" w:type="dxa"/>
            <w:vAlign w:val="center"/>
          </w:tcPr>
          <w:p>
            <w:pPr>
              <w:pStyle w:val="30"/>
              <w:bidi w:val="0"/>
              <w:ind w:firstLine="0" w:firstLineChars="0"/>
              <w:rPr>
                <w:rFonts w:hint="default"/>
                <w:lang w:val="en-US" w:eastAsia="zh-CN"/>
              </w:rPr>
            </w:pPr>
            <w:r>
              <w:rPr>
                <w:rFonts w:hint="eastAsia"/>
                <w:lang w:val="en-US" w:eastAsia="zh-CN"/>
              </w:rPr>
              <w:t>2005</w:t>
            </w:r>
          </w:p>
        </w:tc>
        <w:tc>
          <w:tcPr>
            <w:tcW w:w="979" w:type="dxa"/>
            <w:vAlign w:val="center"/>
          </w:tcPr>
          <w:p>
            <w:pPr>
              <w:pStyle w:val="30"/>
              <w:bidi w:val="0"/>
              <w:ind w:firstLine="0" w:firstLineChars="0"/>
              <w:rPr>
                <w:rFonts w:hint="default"/>
                <w:lang w:val="en-US" w:eastAsia="zh-CN"/>
              </w:rPr>
            </w:pPr>
            <w:r>
              <w:rPr>
                <w:rFonts w:hint="eastAsia"/>
                <w:lang w:val="en-US" w:eastAsia="zh-CN"/>
              </w:rPr>
              <w:t>600人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15</w:t>
            </w:r>
          </w:p>
        </w:tc>
        <w:tc>
          <w:tcPr>
            <w:tcW w:w="1620" w:type="dxa"/>
            <w:vAlign w:val="center"/>
          </w:tcPr>
          <w:p>
            <w:pPr>
              <w:pStyle w:val="30"/>
              <w:bidi w:val="0"/>
              <w:ind w:firstLine="0" w:firstLineChars="0"/>
              <w:rPr>
                <w:rFonts w:hint="eastAsia"/>
                <w:lang w:eastAsia="zh-CN"/>
              </w:rPr>
            </w:pPr>
            <w:r>
              <w:rPr>
                <w:rFonts w:hint="eastAsia"/>
                <w:lang w:eastAsia="zh-CN"/>
              </w:rPr>
              <w:t>邵庄村</w:t>
            </w:r>
          </w:p>
        </w:tc>
        <w:tc>
          <w:tcPr>
            <w:tcW w:w="1270" w:type="dxa"/>
            <w:vAlign w:val="center"/>
          </w:tcPr>
          <w:p>
            <w:pPr>
              <w:pStyle w:val="30"/>
              <w:bidi w:val="0"/>
              <w:ind w:firstLine="0" w:firstLineChars="0"/>
              <w:rPr>
                <w:rFonts w:hint="eastAsia"/>
                <w:lang w:val="en-US" w:eastAsia="zh-CN"/>
              </w:rPr>
            </w:pPr>
            <w:r>
              <w:rPr>
                <w:rFonts w:hint="eastAsia"/>
                <w:lang w:val="en-US" w:eastAsia="zh-CN"/>
              </w:rPr>
              <w:t>113.485765</w:t>
            </w:r>
          </w:p>
        </w:tc>
        <w:tc>
          <w:tcPr>
            <w:tcW w:w="1250" w:type="dxa"/>
            <w:vAlign w:val="center"/>
          </w:tcPr>
          <w:p>
            <w:pPr>
              <w:pStyle w:val="30"/>
              <w:bidi w:val="0"/>
              <w:ind w:firstLine="0" w:firstLineChars="0"/>
              <w:rPr>
                <w:rFonts w:hint="eastAsia"/>
                <w:lang w:val="en-US" w:eastAsia="zh-CN"/>
              </w:rPr>
            </w:pPr>
            <w:r>
              <w:rPr>
                <w:rFonts w:hint="eastAsia"/>
                <w:lang w:val="en-US" w:eastAsia="zh-CN"/>
              </w:rPr>
              <w:t>33.566751</w:t>
            </w:r>
          </w:p>
        </w:tc>
        <w:tc>
          <w:tcPr>
            <w:tcW w:w="1160" w:type="dxa"/>
            <w:vAlign w:val="center"/>
          </w:tcPr>
          <w:p>
            <w:pPr>
              <w:pStyle w:val="30"/>
              <w:bidi w:val="0"/>
              <w:ind w:firstLine="0" w:firstLineChars="0"/>
              <w:rPr>
                <w:rFonts w:hint="eastAsia"/>
                <w:lang w:val="en-US" w:eastAsia="zh-CN"/>
              </w:rPr>
            </w:pPr>
            <w:r>
              <w:rPr>
                <w:rFonts w:hint="eastAsia"/>
                <w:lang w:val="en-US" w:eastAsia="zh-CN"/>
              </w:rPr>
              <w:t>SE</w:t>
            </w:r>
          </w:p>
        </w:tc>
        <w:tc>
          <w:tcPr>
            <w:tcW w:w="1358" w:type="dxa"/>
            <w:vAlign w:val="center"/>
          </w:tcPr>
          <w:p>
            <w:pPr>
              <w:pStyle w:val="30"/>
              <w:bidi w:val="0"/>
              <w:ind w:firstLine="0" w:firstLineChars="0"/>
              <w:rPr>
                <w:rFonts w:hint="eastAsia"/>
                <w:lang w:val="en-US" w:eastAsia="zh-CN"/>
              </w:rPr>
            </w:pPr>
            <w:r>
              <w:rPr>
                <w:rFonts w:hint="eastAsia"/>
                <w:lang w:val="en-US" w:eastAsia="zh-CN"/>
              </w:rPr>
              <w:t>2041</w:t>
            </w:r>
          </w:p>
        </w:tc>
        <w:tc>
          <w:tcPr>
            <w:tcW w:w="979" w:type="dxa"/>
            <w:vAlign w:val="center"/>
          </w:tcPr>
          <w:p>
            <w:pPr>
              <w:pStyle w:val="30"/>
              <w:bidi w:val="0"/>
              <w:ind w:firstLine="0" w:firstLineChars="0"/>
              <w:rPr>
                <w:rFonts w:hint="eastAsia"/>
                <w:lang w:val="en-US" w:eastAsia="zh-CN"/>
              </w:rPr>
            </w:pPr>
            <w:r>
              <w:rPr>
                <w:rFonts w:hint="eastAsia"/>
                <w:lang w:val="en-US" w:eastAsia="zh-CN"/>
              </w:rPr>
              <w:t>2100人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16</w:t>
            </w:r>
          </w:p>
        </w:tc>
        <w:tc>
          <w:tcPr>
            <w:tcW w:w="1620" w:type="dxa"/>
            <w:vAlign w:val="center"/>
          </w:tcPr>
          <w:p>
            <w:pPr>
              <w:pStyle w:val="30"/>
              <w:bidi w:val="0"/>
              <w:ind w:firstLine="0" w:firstLineChars="0"/>
              <w:rPr>
                <w:rFonts w:hint="eastAsia"/>
                <w:lang w:eastAsia="zh-CN"/>
              </w:rPr>
            </w:pPr>
            <w:r>
              <w:rPr>
                <w:rFonts w:hint="eastAsia"/>
                <w:lang w:eastAsia="zh-CN"/>
              </w:rPr>
              <w:t>南余村</w:t>
            </w:r>
          </w:p>
        </w:tc>
        <w:tc>
          <w:tcPr>
            <w:tcW w:w="1270" w:type="dxa"/>
            <w:vAlign w:val="center"/>
          </w:tcPr>
          <w:p>
            <w:pPr>
              <w:pStyle w:val="30"/>
              <w:bidi w:val="0"/>
              <w:ind w:firstLine="0" w:firstLineChars="0"/>
              <w:rPr>
                <w:rFonts w:hint="eastAsia"/>
                <w:lang w:val="en-US" w:eastAsia="zh-CN"/>
              </w:rPr>
            </w:pPr>
            <w:r>
              <w:rPr>
                <w:rFonts w:hint="eastAsia"/>
                <w:lang w:val="en-US" w:eastAsia="zh-CN"/>
              </w:rPr>
              <w:t>113.493083</w:t>
            </w:r>
          </w:p>
        </w:tc>
        <w:tc>
          <w:tcPr>
            <w:tcW w:w="1250" w:type="dxa"/>
            <w:vAlign w:val="center"/>
          </w:tcPr>
          <w:p>
            <w:pPr>
              <w:pStyle w:val="30"/>
              <w:bidi w:val="0"/>
              <w:ind w:firstLine="0" w:firstLineChars="0"/>
              <w:rPr>
                <w:rFonts w:hint="eastAsia"/>
                <w:lang w:val="en-US" w:eastAsia="zh-CN"/>
              </w:rPr>
            </w:pPr>
            <w:r>
              <w:rPr>
                <w:rFonts w:hint="eastAsia"/>
                <w:lang w:val="en-US" w:eastAsia="zh-CN"/>
              </w:rPr>
              <w:t>33.568919</w:t>
            </w:r>
          </w:p>
        </w:tc>
        <w:tc>
          <w:tcPr>
            <w:tcW w:w="1160" w:type="dxa"/>
            <w:vAlign w:val="center"/>
          </w:tcPr>
          <w:p>
            <w:pPr>
              <w:pStyle w:val="30"/>
              <w:bidi w:val="0"/>
              <w:ind w:firstLine="0" w:firstLineChars="0"/>
              <w:rPr>
                <w:rFonts w:hint="eastAsia"/>
                <w:lang w:val="en-US" w:eastAsia="zh-CN"/>
              </w:rPr>
            </w:pPr>
            <w:r>
              <w:rPr>
                <w:rFonts w:hint="eastAsia"/>
                <w:lang w:val="en-US" w:eastAsia="zh-CN"/>
              </w:rPr>
              <w:t>SE</w:t>
            </w:r>
          </w:p>
        </w:tc>
        <w:tc>
          <w:tcPr>
            <w:tcW w:w="1358" w:type="dxa"/>
            <w:vAlign w:val="center"/>
          </w:tcPr>
          <w:p>
            <w:pPr>
              <w:pStyle w:val="30"/>
              <w:bidi w:val="0"/>
              <w:ind w:firstLine="0" w:firstLineChars="0"/>
              <w:rPr>
                <w:rFonts w:hint="eastAsia"/>
                <w:lang w:val="en-US" w:eastAsia="zh-CN"/>
              </w:rPr>
            </w:pPr>
            <w:r>
              <w:rPr>
                <w:rFonts w:hint="eastAsia"/>
                <w:lang w:val="en-US" w:eastAsia="zh-CN"/>
              </w:rPr>
              <w:t>2056</w:t>
            </w:r>
          </w:p>
        </w:tc>
        <w:tc>
          <w:tcPr>
            <w:tcW w:w="979" w:type="dxa"/>
            <w:vAlign w:val="center"/>
          </w:tcPr>
          <w:p>
            <w:pPr>
              <w:pStyle w:val="30"/>
              <w:bidi w:val="0"/>
              <w:ind w:firstLine="0" w:firstLineChars="0"/>
              <w:rPr>
                <w:rFonts w:hint="eastAsia"/>
                <w:lang w:val="en-US" w:eastAsia="zh-CN"/>
              </w:rPr>
            </w:pPr>
            <w:r>
              <w:rPr>
                <w:rFonts w:hint="eastAsia"/>
                <w:lang w:val="en-US" w:eastAsia="zh-CN"/>
              </w:rPr>
              <w:t>2400人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17</w:t>
            </w:r>
          </w:p>
        </w:tc>
        <w:tc>
          <w:tcPr>
            <w:tcW w:w="1620" w:type="dxa"/>
            <w:vAlign w:val="center"/>
          </w:tcPr>
          <w:p>
            <w:pPr>
              <w:pStyle w:val="30"/>
              <w:bidi w:val="0"/>
              <w:ind w:firstLine="0" w:firstLineChars="0"/>
              <w:rPr>
                <w:rFonts w:hint="eastAsia"/>
                <w:lang w:eastAsia="zh-CN"/>
              </w:rPr>
            </w:pPr>
            <w:r>
              <w:rPr>
                <w:rFonts w:hint="eastAsia"/>
                <w:lang w:eastAsia="zh-CN"/>
              </w:rPr>
              <w:t>骆庄</w:t>
            </w:r>
          </w:p>
        </w:tc>
        <w:tc>
          <w:tcPr>
            <w:tcW w:w="1270" w:type="dxa"/>
            <w:vAlign w:val="center"/>
          </w:tcPr>
          <w:p>
            <w:pPr>
              <w:pStyle w:val="30"/>
              <w:bidi w:val="0"/>
              <w:ind w:firstLine="0" w:firstLineChars="0"/>
              <w:rPr>
                <w:rFonts w:hint="eastAsia"/>
                <w:lang w:val="en-US" w:eastAsia="zh-CN"/>
              </w:rPr>
            </w:pPr>
            <w:r>
              <w:rPr>
                <w:rFonts w:hint="eastAsia"/>
                <w:lang w:val="en-US" w:eastAsia="zh-CN"/>
              </w:rPr>
              <w:t>113.470831</w:t>
            </w:r>
          </w:p>
        </w:tc>
        <w:tc>
          <w:tcPr>
            <w:tcW w:w="1250" w:type="dxa"/>
            <w:vAlign w:val="center"/>
          </w:tcPr>
          <w:p>
            <w:pPr>
              <w:pStyle w:val="30"/>
              <w:bidi w:val="0"/>
              <w:ind w:firstLine="0" w:firstLineChars="0"/>
              <w:rPr>
                <w:rFonts w:hint="eastAsia"/>
                <w:lang w:val="en-US" w:eastAsia="zh-CN"/>
              </w:rPr>
            </w:pPr>
            <w:r>
              <w:rPr>
                <w:rFonts w:hint="eastAsia"/>
                <w:lang w:val="en-US" w:eastAsia="zh-CN"/>
              </w:rPr>
              <w:t>33.605032</w:t>
            </w:r>
          </w:p>
        </w:tc>
        <w:tc>
          <w:tcPr>
            <w:tcW w:w="1160" w:type="dxa"/>
            <w:vAlign w:val="center"/>
          </w:tcPr>
          <w:p>
            <w:pPr>
              <w:pStyle w:val="30"/>
              <w:bidi w:val="0"/>
              <w:ind w:firstLine="0" w:firstLineChars="0"/>
              <w:rPr>
                <w:rFonts w:hint="eastAsia"/>
                <w:lang w:val="en-US" w:eastAsia="zh-CN"/>
              </w:rPr>
            </w:pPr>
            <w:r>
              <w:rPr>
                <w:rFonts w:hint="eastAsia"/>
                <w:lang w:val="en-US" w:eastAsia="zh-CN"/>
              </w:rPr>
              <w:t>NW</w:t>
            </w:r>
          </w:p>
        </w:tc>
        <w:tc>
          <w:tcPr>
            <w:tcW w:w="1358" w:type="dxa"/>
            <w:vAlign w:val="center"/>
          </w:tcPr>
          <w:p>
            <w:pPr>
              <w:pStyle w:val="30"/>
              <w:bidi w:val="0"/>
              <w:ind w:firstLine="0" w:firstLineChars="0"/>
              <w:rPr>
                <w:rFonts w:hint="eastAsia"/>
                <w:lang w:val="en-US" w:eastAsia="zh-CN"/>
              </w:rPr>
            </w:pPr>
            <w:r>
              <w:rPr>
                <w:rFonts w:hint="eastAsia"/>
                <w:lang w:val="en-US" w:eastAsia="zh-CN"/>
              </w:rPr>
              <w:t>2066</w:t>
            </w:r>
          </w:p>
        </w:tc>
        <w:tc>
          <w:tcPr>
            <w:tcW w:w="979" w:type="dxa"/>
            <w:vAlign w:val="center"/>
          </w:tcPr>
          <w:p>
            <w:pPr>
              <w:pStyle w:val="30"/>
              <w:bidi w:val="0"/>
              <w:ind w:firstLine="0" w:firstLineChars="0"/>
              <w:rPr>
                <w:rFonts w:hint="eastAsia"/>
                <w:lang w:val="en-US" w:eastAsia="zh-CN"/>
              </w:rPr>
            </w:pPr>
            <w:r>
              <w:rPr>
                <w:rFonts w:hint="eastAsia"/>
                <w:lang w:val="en-US" w:eastAsia="zh-CN"/>
              </w:rPr>
              <w:t>1400人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18</w:t>
            </w:r>
          </w:p>
        </w:tc>
        <w:tc>
          <w:tcPr>
            <w:tcW w:w="1620" w:type="dxa"/>
            <w:vAlign w:val="center"/>
          </w:tcPr>
          <w:p>
            <w:pPr>
              <w:pStyle w:val="30"/>
              <w:bidi w:val="0"/>
              <w:ind w:firstLine="0" w:firstLineChars="0"/>
              <w:rPr>
                <w:rFonts w:hint="eastAsia"/>
                <w:lang w:eastAsia="zh-CN"/>
              </w:rPr>
            </w:pPr>
            <w:r>
              <w:rPr>
                <w:rFonts w:hint="eastAsia"/>
                <w:lang w:val="en-US" w:eastAsia="zh-CN"/>
              </w:rPr>
              <w:t>崔王村</w:t>
            </w:r>
          </w:p>
        </w:tc>
        <w:tc>
          <w:tcPr>
            <w:tcW w:w="1270" w:type="dxa"/>
            <w:vAlign w:val="center"/>
          </w:tcPr>
          <w:p>
            <w:pPr>
              <w:pStyle w:val="30"/>
              <w:bidi w:val="0"/>
              <w:ind w:firstLine="0" w:firstLineChars="0"/>
              <w:rPr>
                <w:rFonts w:hint="eastAsia"/>
                <w:lang w:val="en-US" w:eastAsia="zh-CN"/>
              </w:rPr>
            </w:pPr>
            <w:r>
              <w:rPr>
                <w:rFonts w:hint="eastAsia"/>
                <w:lang w:val="en-US" w:eastAsia="zh-CN"/>
              </w:rPr>
              <w:t>113.457184</w:t>
            </w:r>
          </w:p>
        </w:tc>
        <w:tc>
          <w:tcPr>
            <w:tcW w:w="1250" w:type="dxa"/>
            <w:vAlign w:val="center"/>
          </w:tcPr>
          <w:p>
            <w:pPr>
              <w:pStyle w:val="30"/>
              <w:bidi w:val="0"/>
              <w:ind w:firstLine="0" w:firstLineChars="0"/>
              <w:rPr>
                <w:rFonts w:hint="eastAsia"/>
                <w:lang w:val="en-US" w:eastAsia="zh-CN"/>
              </w:rPr>
            </w:pPr>
            <w:r>
              <w:rPr>
                <w:rFonts w:hint="eastAsia"/>
                <w:lang w:val="en-US" w:eastAsia="zh-CN"/>
              </w:rPr>
              <w:t>33.570786</w:t>
            </w:r>
          </w:p>
        </w:tc>
        <w:tc>
          <w:tcPr>
            <w:tcW w:w="1160" w:type="dxa"/>
            <w:vAlign w:val="center"/>
          </w:tcPr>
          <w:p>
            <w:pPr>
              <w:pStyle w:val="30"/>
              <w:bidi w:val="0"/>
              <w:ind w:firstLine="0" w:firstLineChars="0"/>
              <w:rPr>
                <w:rFonts w:hint="eastAsia"/>
                <w:lang w:val="en-US" w:eastAsia="zh-CN"/>
              </w:rPr>
            </w:pPr>
            <w:r>
              <w:rPr>
                <w:rFonts w:hint="eastAsia"/>
                <w:lang w:val="en-US" w:eastAsia="zh-CN"/>
              </w:rPr>
              <w:t>SW</w:t>
            </w:r>
          </w:p>
        </w:tc>
        <w:tc>
          <w:tcPr>
            <w:tcW w:w="1358" w:type="dxa"/>
            <w:vAlign w:val="center"/>
          </w:tcPr>
          <w:p>
            <w:pPr>
              <w:pStyle w:val="30"/>
              <w:bidi w:val="0"/>
              <w:ind w:firstLine="0" w:firstLineChars="0"/>
              <w:rPr>
                <w:rFonts w:hint="eastAsia"/>
                <w:lang w:val="en-US" w:eastAsia="zh-CN"/>
              </w:rPr>
            </w:pPr>
            <w:r>
              <w:rPr>
                <w:rFonts w:hint="eastAsia"/>
                <w:lang w:val="en-US" w:eastAsia="zh-CN"/>
              </w:rPr>
              <w:t>2080</w:t>
            </w:r>
          </w:p>
        </w:tc>
        <w:tc>
          <w:tcPr>
            <w:tcW w:w="979" w:type="dxa"/>
            <w:vAlign w:val="center"/>
          </w:tcPr>
          <w:p>
            <w:pPr>
              <w:pStyle w:val="30"/>
              <w:bidi w:val="0"/>
              <w:ind w:firstLine="0" w:firstLineChars="0"/>
              <w:rPr>
                <w:rFonts w:hint="eastAsia"/>
                <w:lang w:val="en-US" w:eastAsia="zh-CN"/>
              </w:rPr>
            </w:pPr>
            <w:r>
              <w:rPr>
                <w:rFonts w:hint="eastAsia"/>
                <w:lang w:val="en-US" w:eastAsia="zh-CN"/>
              </w:rPr>
              <w:t>2500人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19</w:t>
            </w:r>
          </w:p>
        </w:tc>
        <w:tc>
          <w:tcPr>
            <w:tcW w:w="1620" w:type="dxa"/>
            <w:vAlign w:val="center"/>
          </w:tcPr>
          <w:p>
            <w:pPr>
              <w:pStyle w:val="30"/>
              <w:bidi w:val="0"/>
              <w:ind w:firstLine="0" w:firstLineChars="0"/>
              <w:rPr>
                <w:rFonts w:hint="eastAsia"/>
                <w:lang w:val="en-US" w:eastAsia="zh-CN"/>
              </w:rPr>
            </w:pPr>
            <w:r>
              <w:rPr>
                <w:rFonts w:hint="eastAsia"/>
                <w:lang w:eastAsia="zh-CN"/>
              </w:rPr>
              <w:t>郑楼</w:t>
            </w:r>
          </w:p>
        </w:tc>
        <w:tc>
          <w:tcPr>
            <w:tcW w:w="1270" w:type="dxa"/>
            <w:vAlign w:val="center"/>
          </w:tcPr>
          <w:p>
            <w:pPr>
              <w:pStyle w:val="30"/>
              <w:bidi w:val="0"/>
              <w:ind w:firstLine="0" w:firstLineChars="0"/>
              <w:rPr>
                <w:rFonts w:hint="eastAsia"/>
                <w:lang w:val="en-US" w:eastAsia="zh-CN"/>
              </w:rPr>
            </w:pPr>
            <w:r>
              <w:rPr>
                <w:rFonts w:hint="eastAsia"/>
                <w:lang w:val="en-US" w:eastAsia="zh-CN"/>
              </w:rPr>
              <w:t>113.450120</w:t>
            </w:r>
          </w:p>
        </w:tc>
        <w:tc>
          <w:tcPr>
            <w:tcW w:w="1250" w:type="dxa"/>
            <w:vAlign w:val="center"/>
          </w:tcPr>
          <w:p>
            <w:pPr>
              <w:pStyle w:val="30"/>
              <w:bidi w:val="0"/>
              <w:ind w:firstLine="0" w:firstLineChars="0"/>
              <w:rPr>
                <w:rFonts w:hint="eastAsia"/>
                <w:lang w:val="en-US" w:eastAsia="zh-CN"/>
              </w:rPr>
            </w:pPr>
            <w:r>
              <w:rPr>
                <w:rFonts w:hint="eastAsia"/>
                <w:lang w:val="en-US" w:eastAsia="zh-CN"/>
              </w:rPr>
              <w:t>33.578081</w:t>
            </w:r>
          </w:p>
        </w:tc>
        <w:tc>
          <w:tcPr>
            <w:tcW w:w="1160" w:type="dxa"/>
            <w:vAlign w:val="center"/>
          </w:tcPr>
          <w:p>
            <w:pPr>
              <w:pStyle w:val="30"/>
              <w:bidi w:val="0"/>
              <w:ind w:firstLine="0" w:firstLineChars="0"/>
              <w:rPr>
                <w:rFonts w:hint="eastAsia"/>
                <w:lang w:val="en-US" w:eastAsia="zh-CN"/>
              </w:rPr>
            </w:pPr>
            <w:r>
              <w:rPr>
                <w:rFonts w:hint="eastAsia"/>
                <w:lang w:val="en-US" w:eastAsia="zh-CN"/>
              </w:rPr>
              <w:t>SW</w:t>
            </w:r>
          </w:p>
        </w:tc>
        <w:tc>
          <w:tcPr>
            <w:tcW w:w="1358" w:type="dxa"/>
            <w:vAlign w:val="center"/>
          </w:tcPr>
          <w:p>
            <w:pPr>
              <w:pStyle w:val="30"/>
              <w:bidi w:val="0"/>
              <w:ind w:firstLine="0" w:firstLineChars="0"/>
              <w:rPr>
                <w:rFonts w:hint="eastAsia"/>
                <w:lang w:val="en-US" w:eastAsia="zh-CN"/>
              </w:rPr>
            </w:pPr>
            <w:r>
              <w:rPr>
                <w:rFonts w:hint="eastAsia"/>
                <w:lang w:val="en-US" w:eastAsia="zh-CN"/>
              </w:rPr>
              <w:t>2162</w:t>
            </w:r>
          </w:p>
        </w:tc>
        <w:tc>
          <w:tcPr>
            <w:tcW w:w="979" w:type="dxa"/>
            <w:vAlign w:val="center"/>
          </w:tcPr>
          <w:p>
            <w:pPr>
              <w:pStyle w:val="30"/>
              <w:bidi w:val="0"/>
              <w:ind w:firstLine="0" w:firstLineChars="0"/>
              <w:rPr>
                <w:rFonts w:hint="eastAsia"/>
                <w:lang w:val="en-US" w:eastAsia="zh-CN"/>
              </w:rPr>
            </w:pPr>
            <w:r>
              <w:rPr>
                <w:rFonts w:hint="eastAsia"/>
                <w:lang w:val="en-US" w:eastAsia="zh-CN"/>
              </w:rPr>
              <w:t>1800人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20</w:t>
            </w:r>
          </w:p>
        </w:tc>
        <w:tc>
          <w:tcPr>
            <w:tcW w:w="1620" w:type="dxa"/>
            <w:vAlign w:val="center"/>
          </w:tcPr>
          <w:p>
            <w:pPr>
              <w:pStyle w:val="30"/>
              <w:bidi w:val="0"/>
              <w:rPr>
                <w:rFonts w:hint="default"/>
                <w:lang w:val="en-US" w:eastAsia="zh-CN"/>
              </w:rPr>
            </w:pPr>
            <w:r>
              <w:rPr>
                <w:rFonts w:hint="eastAsia"/>
                <w:lang w:val="en-US" w:eastAsia="zh-CN"/>
              </w:rPr>
              <w:t>齐贤王村</w:t>
            </w:r>
          </w:p>
        </w:tc>
        <w:tc>
          <w:tcPr>
            <w:tcW w:w="1270" w:type="dxa"/>
            <w:vAlign w:val="center"/>
          </w:tcPr>
          <w:p>
            <w:pPr>
              <w:pStyle w:val="30"/>
              <w:bidi w:val="0"/>
              <w:rPr>
                <w:rFonts w:hint="default"/>
                <w:lang w:val="en-US" w:eastAsia="zh-CN"/>
              </w:rPr>
            </w:pPr>
            <w:r>
              <w:rPr>
                <w:rFonts w:hint="eastAsia"/>
                <w:lang w:val="en-US" w:eastAsia="zh-CN"/>
              </w:rPr>
              <w:t>113.503275</w:t>
            </w:r>
          </w:p>
        </w:tc>
        <w:tc>
          <w:tcPr>
            <w:tcW w:w="1250" w:type="dxa"/>
            <w:vAlign w:val="center"/>
          </w:tcPr>
          <w:p>
            <w:pPr>
              <w:pStyle w:val="30"/>
              <w:bidi w:val="0"/>
              <w:rPr>
                <w:rFonts w:hint="default"/>
                <w:lang w:val="en-US" w:eastAsia="zh-CN"/>
              </w:rPr>
            </w:pPr>
            <w:r>
              <w:rPr>
                <w:rFonts w:hint="eastAsia"/>
                <w:lang w:val="en-US" w:eastAsia="zh-CN"/>
              </w:rPr>
              <w:t>33.586793</w:t>
            </w:r>
          </w:p>
        </w:tc>
        <w:tc>
          <w:tcPr>
            <w:tcW w:w="1160" w:type="dxa"/>
            <w:vAlign w:val="center"/>
          </w:tcPr>
          <w:p>
            <w:pPr>
              <w:pStyle w:val="30"/>
              <w:bidi w:val="0"/>
              <w:rPr>
                <w:rFonts w:hint="eastAsia"/>
                <w:lang w:val="en-US" w:eastAsia="zh-CN"/>
              </w:rPr>
            </w:pPr>
            <w:r>
              <w:rPr>
                <w:rFonts w:hint="eastAsia"/>
                <w:lang w:val="en-US" w:eastAsia="zh-CN"/>
              </w:rPr>
              <w:t>E</w:t>
            </w:r>
          </w:p>
        </w:tc>
        <w:tc>
          <w:tcPr>
            <w:tcW w:w="1358" w:type="dxa"/>
            <w:vAlign w:val="center"/>
          </w:tcPr>
          <w:p>
            <w:pPr>
              <w:pStyle w:val="30"/>
              <w:bidi w:val="0"/>
              <w:rPr>
                <w:rFonts w:hint="default"/>
                <w:lang w:val="en-US" w:eastAsia="zh-CN"/>
              </w:rPr>
            </w:pPr>
            <w:r>
              <w:rPr>
                <w:rFonts w:hint="eastAsia"/>
                <w:lang w:val="en-US" w:eastAsia="zh-CN"/>
              </w:rPr>
              <w:t>2186</w:t>
            </w:r>
          </w:p>
        </w:tc>
        <w:tc>
          <w:tcPr>
            <w:tcW w:w="979" w:type="dxa"/>
            <w:vAlign w:val="center"/>
          </w:tcPr>
          <w:p>
            <w:pPr>
              <w:pStyle w:val="30"/>
              <w:bidi w:val="0"/>
              <w:rPr>
                <w:rFonts w:hint="default"/>
                <w:lang w:val="en-US" w:eastAsia="zh-CN"/>
              </w:rPr>
            </w:pPr>
            <w:r>
              <w:rPr>
                <w:rFonts w:hint="eastAsia"/>
                <w:lang w:val="en-US" w:eastAsia="zh-CN"/>
              </w:rPr>
              <w:t>1024人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21</w:t>
            </w:r>
          </w:p>
        </w:tc>
        <w:tc>
          <w:tcPr>
            <w:tcW w:w="1620" w:type="dxa"/>
            <w:vAlign w:val="center"/>
          </w:tcPr>
          <w:p>
            <w:pPr>
              <w:pStyle w:val="30"/>
              <w:bidi w:val="0"/>
              <w:ind w:firstLine="0" w:firstLineChars="0"/>
              <w:rPr>
                <w:rFonts w:hint="eastAsia"/>
                <w:lang w:eastAsia="zh-CN"/>
              </w:rPr>
            </w:pPr>
            <w:r>
              <w:rPr>
                <w:rFonts w:hint="eastAsia"/>
                <w:lang w:eastAsia="zh-CN"/>
              </w:rPr>
              <w:t>廉村镇</w:t>
            </w:r>
          </w:p>
        </w:tc>
        <w:tc>
          <w:tcPr>
            <w:tcW w:w="1270" w:type="dxa"/>
            <w:vAlign w:val="center"/>
          </w:tcPr>
          <w:p>
            <w:pPr>
              <w:pStyle w:val="30"/>
              <w:bidi w:val="0"/>
              <w:ind w:firstLine="0" w:firstLineChars="0"/>
              <w:rPr>
                <w:rFonts w:hint="eastAsia"/>
                <w:lang w:val="en-US" w:eastAsia="zh-CN"/>
              </w:rPr>
            </w:pPr>
            <w:r>
              <w:rPr>
                <w:rFonts w:hint="eastAsia"/>
                <w:lang w:val="en-US" w:eastAsia="zh-CN"/>
              </w:rPr>
              <w:t>113.477139</w:t>
            </w:r>
          </w:p>
        </w:tc>
        <w:tc>
          <w:tcPr>
            <w:tcW w:w="1250" w:type="dxa"/>
            <w:vAlign w:val="center"/>
          </w:tcPr>
          <w:p>
            <w:pPr>
              <w:pStyle w:val="30"/>
              <w:bidi w:val="0"/>
              <w:ind w:firstLine="0" w:firstLineChars="0"/>
              <w:rPr>
                <w:rFonts w:hint="eastAsia"/>
                <w:lang w:val="en-US" w:eastAsia="zh-CN"/>
              </w:rPr>
            </w:pPr>
            <w:r>
              <w:rPr>
                <w:rFonts w:hint="eastAsia"/>
                <w:lang w:val="en-US" w:eastAsia="zh-CN"/>
              </w:rPr>
              <w:t>33.609838</w:t>
            </w:r>
          </w:p>
        </w:tc>
        <w:tc>
          <w:tcPr>
            <w:tcW w:w="1160" w:type="dxa"/>
            <w:vAlign w:val="center"/>
          </w:tcPr>
          <w:p>
            <w:pPr>
              <w:pStyle w:val="30"/>
              <w:bidi w:val="0"/>
              <w:ind w:firstLine="0" w:firstLineChars="0"/>
              <w:rPr>
                <w:rFonts w:hint="eastAsia"/>
                <w:lang w:val="en-US" w:eastAsia="zh-CN"/>
              </w:rPr>
            </w:pPr>
            <w:r>
              <w:rPr>
                <w:rFonts w:hint="eastAsia"/>
                <w:lang w:val="en-US" w:eastAsia="zh-CN"/>
              </w:rPr>
              <w:t>N</w:t>
            </w:r>
          </w:p>
        </w:tc>
        <w:tc>
          <w:tcPr>
            <w:tcW w:w="1358" w:type="dxa"/>
            <w:vAlign w:val="center"/>
          </w:tcPr>
          <w:p>
            <w:pPr>
              <w:pStyle w:val="30"/>
              <w:bidi w:val="0"/>
              <w:ind w:firstLine="0" w:firstLineChars="0"/>
              <w:rPr>
                <w:rFonts w:hint="eastAsia"/>
                <w:lang w:val="en-US" w:eastAsia="zh-CN"/>
              </w:rPr>
            </w:pPr>
            <w:r>
              <w:rPr>
                <w:rFonts w:hint="eastAsia"/>
                <w:lang w:val="en-US" w:eastAsia="zh-CN"/>
              </w:rPr>
              <w:t>2201</w:t>
            </w:r>
          </w:p>
        </w:tc>
        <w:tc>
          <w:tcPr>
            <w:tcW w:w="979" w:type="dxa"/>
            <w:vAlign w:val="center"/>
          </w:tcPr>
          <w:p>
            <w:pPr>
              <w:pStyle w:val="30"/>
              <w:bidi w:val="0"/>
              <w:ind w:firstLine="0" w:firstLineChars="0"/>
              <w:rPr>
                <w:rFonts w:hint="eastAsia"/>
                <w:lang w:val="en-US" w:eastAsia="zh-CN"/>
              </w:rPr>
            </w:pPr>
            <w:r>
              <w:rPr>
                <w:rFonts w:hint="eastAsia"/>
                <w:lang w:val="en-US" w:eastAsia="zh-CN"/>
              </w:rPr>
              <w:t>2000人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22</w:t>
            </w:r>
          </w:p>
        </w:tc>
        <w:tc>
          <w:tcPr>
            <w:tcW w:w="1620" w:type="dxa"/>
            <w:vAlign w:val="center"/>
          </w:tcPr>
          <w:p>
            <w:pPr>
              <w:pStyle w:val="30"/>
              <w:bidi w:val="0"/>
              <w:rPr>
                <w:rFonts w:hint="eastAsia"/>
                <w:lang w:eastAsia="zh-CN"/>
              </w:rPr>
            </w:pPr>
            <w:r>
              <w:rPr>
                <w:rFonts w:hint="eastAsia"/>
                <w:lang w:eastAsia="zh-CN"/>
              </w:rPr>
              <w:t>马黄村</w:t>
            </w:r>
          </w:p>
        </w:tc>
        <w:tc>
          <w:tcPr>
            <w:tcW w:w="1270" w:type="dxa"/>
            <w:vAlign w:val="center"/>
          </w:tcPr>
          <w:p>
            <w:pPr>
              <w:pStyle w:val="30"/>
              <w:bidi w:val="0"/>
              <w:rPr>
                <w:rFonts w:hint="default"/>
                <w:lang w:val="en-US" w:eastAsia="zh-CN"/>
              </w:rPr>
            </w:pPr>
            <w:r>
              <w:rPr>
                <w:rFonts w:hint="eastAsia"/>
                <w:lang w:val="en-US" w:eastAsia="zh-CN"/>
              </w:rPr>
              <w:t>113.499112</w:t>
            </w:r>
          </w:p>
        </w:tc>
        <w:tc>
          <w:tcPr>
            <w:tcW w:w="1250" w:type="dxa"/>
            <w:vAlign w:val="center"/>
          </w:tcPr>
          <w:p>
            <w:pPr>
              <w:pStyle w:val="30"/>
              <w:bidi w:val="0"/>
              <w:rPr>
                <w:rFonts w:hint="default"/>
                <w:lang w:val="en-US" w:eastAsia="zh-CN"/>
              </w:rPr>
            </w:pPr>
            <w:r>
              <w:rPr>
                <w:rFonts w:hint="eastAsia"/>
                <w:lang w:val="en-US" w:eastAsia="zh-CN"/>
              </w:rPr>
              <w:t>33.596191</w:t>
            </w:r>
          </w:p>
        </w:tc>
        <w:tc>
          <w:tcPr>
            <w:tcW w:w="1160" w:type="dxa"/>
            <w:vAlign w:val="center"/>
          </w:tcPr>
          <w:p>
            <w:pPr>
              <w:pStyle w:val="30"/>
              <w:bidi w:val="0"/>
              <w:rPr>
                <w:rFonts w:hint="default"/>
                <w:lang w:val="en-US" w:eastAsia="zh-CN"/>
              </w:rPr>
            </w:pPr>
            <w:r>
              <w:rPr>
                <w:rFonts w:hint="eastAsia"/>
                <w:lang w:val="en-US" w:eastAsia="zh-CN"/>
              </w:rPr>
              <w:t>NE</w:t>
            </w:r>
          </w:p>
        </w:tc>
        <w:tc>
          <w:tcPr>
            <w:tcW w:w="1358" w:type="dxa"/>
            <w:vAlign w:val="center"/>
          </w:tcPr>
          <w:p>
            <w:pPr>
              <w:pStyle w:val="30"/>
              <w:bidi w:val="0"/>
              <w:rPr>
                <w:rFonts w:hint="default"/>
                <w:lang w:val="en-US" w:eastAsia="zh-CN"/>
              </w:rPr>
            </w:pPr>
            <w:r>
              <w:rPr>
                <w:rFonts w:hint="eastAsia"/>
                <w:lang w:val="en-US" w:eastAsia="zh-CN"/>
              </w:rPr>
              <w:t>2209</w:t>
            </w:r>
          </w:p>
        </w:tc>
        <w:tc>
          <w:tcPr>
            <w:tcW w:w="979" w:type="dxa"/>
            <w:vAlign w:val="center"/>
          </w:tcPr>
          <w:p>
            <w:pPr>
              <w:pStyle w:val="30"/>
              <w:bidi w:val="0"/>
              <w:rPr>
                <w:rFonts w:hint="default"/>
                <w:lang w:val="en-US" w:eastAsia="zh-CN"/>
              </w:rPr>
            </w:pPr>
            <w:r>
              <w:rPr>
                <w:rFonts w:hint="eastAsia"/>
                <w:lang w:val="en-US" w:eastAsia="zh-CN"/>
              </w:rPr>
              <w:t>800人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23</w:t>
            </w:r>
          </w:p>
        </w:tc>
        <w:tc>
          <w:tcPr>
            <w:tcW w:w="1620" w:type="dxa"/>
            <w:vAlign w:val="center"/>
          </w:tcPr>
          <w:p>
            <w:pPr>
              <w:pStyle w:val="30"/>
              <w:bidi w:val="0"/>
              <w:ind w:firstLine="0" w:firstLineChars="0"/>
              <w:rPr>
                <w:rFonts w:hint="eastAsia"/>
                <w:lang w:eastAsia="zh-CN"/>
              </w:rPr>
            </w:pPr>
            <w:r>
              <w:rPr>
                <w:rFonts w:hint="eastAsia"/>
                <w:lang w:eastAsia="zh-CN"/>
              </w:rPr>
              <w:t>高柳村</w:t>
            </w:r>
          </w:p>
        </w:tc>
        <w:tc>
          <w:tcPr>
            <w:tcW w:w="1270" w:type="dxa"/>
            <w:vAlign w:val="center"/>
          </w:tcPr>
          <w:p>
            <w:pPr>
              <w:pStyle w:val="30"/>
              <w:bidi w:val="0"/>
              <w:ind w:firstLine="0" w:firstLineChars="0"/>
              <w:rPr>
                <w:rFonts w:hint="eastAsia"/>
                <w:lang w:val="en-US" w:eastAsia="zh-CN"/>
              </w:rPr>
            </w:pPr>
            <w:r>
              <w:rPr>
                <w:rFonts w:hint="eastAsia"/>
                <w:lang w:val="en-US" w:eastAsia="zh-CN"/>
              </w:rPr>
              <w:t>113.451433</w:t>
            </w:r>
          </w:p>
        </w:tc>
        <w:tc>
          <w:tcPr>
            <w:tcW w:w="1250" w:type="dxa"/>
            <w:vAlign w:val="center"/>
          </w:tcPr>
          <w:p>
            <w:pPr>
              <w:pStyle w:val="30"/>
              <w:bidi w:val="0"/>
              <w:ind w:firstLine="0" w:firstLineChars="0"/>
              <w:rPr>
                <w:rFonts w:hint="eastAsia"/>
                <w:lang w:val="en-US" w:eastAsia="zh-CN"/>
              </w:rPr>
            </w:pPr>
            <w:r>
              <w:rPr>
                <w:rFonts w:hint="eastAsia"/>
                <w:lang w:val="en-US" w:eastAsia="zh-CN"/>
              </w:rPr>
              <w:t>33.589325</w:t>
            </w:r>
          </w:p>
        </w:tc>
        <w:tc>
          <w:tcPr>
            <w:tcW w:w="1160" w:type="dxa"/>
            <w:vAlign w:val="center"/>
          </w:tcPr>
          <w:p>
            <w:pPr>
              <w:pStyle w:val="30"/>
              <w:bidi w:val="0"/>
              <w:ind w:firstLine="0" w:firstLineChars="0"/>
              <w:rPr>
                <w:rFonts w:hint="eastAsia"/>
                <w:lang w:val="en-US" w:eastAsia="zh-CN"/>
              </w:rPr>
            </w:pPr>
            <w:r>
              <w:rPr>
                <w:rFonts w:hint="eastAsia"/>
                <w:lang w:val="en-US" w:eastAsia="zh-CN"/>
              </w:rPr>
              <w:t>SW</w:t>
            </w:r>
          </w:p>
        </w:tc>
        <w:tc>
          <w:tcPr>
            <w:tcW w:w="1358" w:type="dxa"/>
            <w:vAlign w:val="center"/>
          </w:tcPr>
          <w:p>
            <w:pPr>
              <w:pStyle w:val="30"/>
              <w:bidi w:val="0"/>
              <w:ind w:firstLine="0" w:firstLineChars="0"/>
              <w:rPr>
                <w:rFonts w:hint="eastAsia"/>
                <w:lang w:val="en-US" w:eastAsia="zh-CN"/>
              </w:rPr>
            </w:pPr>
            <w:r>
              <w:rPr>
                <w:rFonts w:hint="eastAsia"/>
                <w:lang w:val="en-US" w:eastAsia="zh-CN"/>
              </w:rPr>
              <w:t>2218</w:t>
            </w:r>
          </w:p>
        </w:tc>
        <w:tc>
          <w:tcPr>
            <w:tcW w:w="979" w:type="dxa"/>
            <w:vAlign w:val="center"/>
          </w:tcPr>
          <w:p>
            <w:pPr>
              <w:pStyle w:val="30"/>
              <w:bidi w:val="0"/>
              <w:ind w:firstLine="0" w:firstLineChars="0"/>
              <w:rPr>
                <w:rFonts w:hint="eastAsia"/>
                <w:lang w:val="en-US" w:eastAsia="zh-CN"/>
              </w:rPr>
            </w:pPr>
            <w:r>
              <w:rPr>
                <w:rFonts w:hint="eastAsia"/>
                <w:lang w:val="en-US" w:eastAsia="zh-CN"/>
              </w:rPr>
              <w:t>2100人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24</w:t>
            </w:r>
          </w:p>
        </w:tc>
        <w:tc>
          <w:tcPr>
            <w:tcW w:w="1620" w:type="dxa"/>
            <w:vAlign w:val="center"/>
          </w:tcPr>
          <w:p>
            <w:pPr>
              <w:pStyle w:val="30"/>
              <w:bidi w:val="0"/>
              <w:ind w:firstLine="0" w:firstLineChars="0"/>
              <w:rPr>
                <w:rFonts w:hint="eastAsia"/>
                <w:lang w:eastAsia="zh-CN"/>
              </w:rPr>
            </w:pPr>
            <w:r>
              <w:rPr>
                <w:rFonts w:hint="eastAsia"/>
                <w:lang w:eastAsia="zh-CN"/>
              </w:rPr>
              <w:t>南吕村</w:t>
            </w:r>
          </w:p>
        </w:tc>
        <w:tc>
          <w:tcPr>
            <w:tcW w:w="1270" w:type="dxa"/>
            <w:vAlign w:val="center"/>
          </w:tcPr>
          <w:p>
            <w:pPr>
              <w:pStyle w:val="30"/>
              <w:bidi w:val="0"/>
              <w:ind w:firstLine="0" w:firstLineChars="0"/>
              <w:rPr>
                <w:rFonts w:hint="eastAsia"/>
                <w:lang w:val="en-US" w:eastAsia="zh-CN"/>
              </w:rPr>
            </w:pPr>
            <w:r>
              <w:rPr>
                <w:rFonts w:hint="eastAsia"/>
                <w:lang w:val="en-US" w:eastAsia="zh-CN"/>
              </w:rPr>
              <w:t>113.498726</w:t>
            </w:r>
          </w:p>
        </w:tc>
        <w:tc>
          <w:tcPr>
            <w:tcW w:w="1250" w:type="dxa"/>
            <w:vAlign w:val="center"/>
          </w:tcPr>
          <w:p>
            <w:pPr>
              <w:pStyle w:val="30"/>
              <w:bidi w:val="0"/>
              <w:ind w:firstLine="0" w:firstLineChars="0"/>
              <w:rPr>
                <w:rFonts w:hint="eastAsia"/>
                <w:lang w:val="en-US" w:eastAsia="zh-CN"/>
              </w:rPr>
            </w:pPr>
            <w:r>
              <w:rPr>
                <w:rFonts w:hint="eastAsia"/>
                <w:lang w:val="en-US" w:eastAsia="zh-CN"/>
              </w:rPr>
              <w:t>33.570013</w:t>
            </w:r>
          </w:p>
        </w:tc>
        <w:tc>
          <w:tcPr>
            <w:tcW w:w="1160" w:type="dxa"/>
            <w:vAlign w:val="center"/>
          </w:tcPr>
          <w:p>
            <w:pPr>
              <w:pStyle w:val="30"/>
              <w:bidi w:val="0"/>
              <w:ind w:firstLine="0" w:firstLineChars="0"/>
              <w:rPr>
                <w:rFonts w:hint="eastAsia"/>
                <w:lang w:val="en-US" w:eastAsia="zh-CN"/>
              </w:rPr>
            </w:pPr>
            <w:r>
              <w:rPr>
                <w:rFonts w:hint="eastAsia"/>
                <w:lang w:val="en-US" w:eastAsia="zh-CN"/>
              </w:rPr>
              <w:t>SE</w:t>
            </w:r>
          </w:p>
        </w:tc>
        <w:tc>
          <w:tcPr>
            <w:tcW w:w="1358" w:type="dxa"/>
            <w:vAlign w:val="center"/>
          </w:tcPr>
          <w:p>
            <w:pPr>
              <w:pStyle w:val="30"/>
              <w:bidi w:val="0"/>
              <w:ind w:firstLine="0" w:firstLineChars="0"/>
              <w:rPr>
                <w:rFonts w:hint="eastAsia"/>
                <w:lang w:val="en-US" w:eastAsia="zh-CN"/>
              </w:rPr>
            </w:pPr>
            <w:r>
              <w:rPr>
                <w:rFonts w:hint="eastAsia"/>
                <w:lang w:val="en-US" w:eastAsia="zh-CN"/>
              </w:rPr>
              <w:t>2333</w:t>
            </w:r>
          </w:p>
        </w:tc>
        <w:tc>
          <w:tcPr>
            <w:tcW w:w="979" w:type="dxa"/>
            <w:vAlign w:val="center"/>
          </w:tcPr>
          <w:p>
            <w:pPr>
              <w:pStyle w:val="30"/>
              <w:bidi w:val="0"/>
              <w:ind w:firstLine="0" w:firstLineChars="0"/>
              <w:rPr>
                <w:rFonts w:hint="eastAsia"/>
                <w:lang w:val="en-US" w:eastAsia="zh-CN"/>
              </w:rPr>
            </w:pPr>
            <w:r>
              <w:rPr>
                <w:rFonts w:hint="eastAsia"/>
                <w:lang w:val="en-US" w:eastAsia="zh-CN"/>
              </w:rPr>
              <w:t>2400人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25</w:t>
            </w:r>
          </w:p>
        </w:tc>
        <w:tc>
          <w:tcPr>
            <w:tcW w:w="1620" w:type="dxa"/>
            <w:vAlign w:val="center"/>
          </w:tcPr>
          <w:p>
            <w:pPr>
              <w:pStyle w:val="30"/>
              <w:bidi w:val="0"/>
              <w:rPr>
                <w:rFonts w:hint="eastAsia"/>
                <w:lang w:eastAsia="zh-CN"/>
              </w:rPr>
            </w:pPr>
            <w:r>
              <w:rPr>
                <w:rFonts w:hint="eastAsia"/>
                <w:lang w:eastAsia="zh-CN"/>
              </w:rPr>
              <w:t>何庄</w:t>
            </w:r>
          </w:p>
        </w:tc>
        <w:tc>
          <w:tcPr>
            <w:tcW w:w="1270" w:type="dxa"/>
            <w:vAlign w:val="center"/>
          </w:tcPr>
          <w:p>
            <w:pPr>
              <w:pStyle w:val="30"/>
              <w:bidi w:val="0"/>
              <w:rPr>
                <w:rFonts w:hint="default"/>
                <w:lang w:val="en-US" w:eastAsia="zh-CN"/>
              </w:rPr>
            </w:pPr>
            <w:r>
              <w:rPr>
                <w:rFonts w:hint="eastAsia"/>
                <w:lang w:val="en-US" w:eastAsia="zh-CN"/>
              </w:rPr>
              <w:t>113.502975</w:t>
            </w:r>
          </w:p>
        </w:tc>
        <w:tc>
          <w:tcPr>
            <w:tcW w:w="1250" w:type="dxa"/>
            <w:vAlign w:val="center"/>
          </w:tcPr>
          <w:p>
            <w:pPr>
              <w:pStyle w:val="30"/>
              <w:bidi w:val="0"/>
              <w:rPr>
                <w:rFonts w:hint="default"/>
                <w:lang w:val="en-US" w:eastAsia="zh-CN"/>
              </w:rPr>
            </w:pPr>
            <w:r>
              <w:rPr>
                <w:rFonts w:hint="eastAsia"/>
                <w:lang w:val="en-US" w:eastAsia="zh-CN"/>
              </w:rPr>
              <w:t>33.595355</w:t>
            </w:r>
          </w:p>
        </w:tc>
        <w:tc>
          <w:tcPr>
            <w:tcW w:w="1160" w:type="dxa"/>
            <w:vAlign w:val="center"/>
          </w:tcPr>
          <w:p>
            <w:pPr>
              <w:pStyle w:val="30"/>
              <w:bidi w:val="0"/>
              <w:rPr>
                <w:rFonts w:hint="default"/>
                <w:lang w:val="en-US" w:eastAsia="zh-CN"/>
              </w:rPr>
            </w:pPr>
            <w:r>
              <w:rPr>
                <w:rFonts w:hint="eastAsia"/>
                <w:lang w:val="en-US" w:eastAsia="zh-CN"/>
              </w:rPr>
              <w:t>NW</w:t>
            </w:r>
          </w:p>
        </w:tc>
        <w:tc>
          <w:tcPr>
            <w:tcW w:w="1358" w:type="dxa"/>
            <w:vAlign w:val="center"/>
          </w:tcPr>
          <w:p>
            <w:pPr>
              <w:pStyle w:val="30"/>
              <w:bidi w:val="0"/>
              <w:rPr>
                <w:rFonts w:hint="default"/>
                <w:lang w:val="en-US" w:eastAsia="zh-CN"/>
              </w:rPr>
            </w:pPr>
            <w:r>
              <w:rPr>
                <w:rFonts w:hint="eastAsia"/>
                <w:lang w:val="en-US" w:eastAsia="zh-CN"/>
              </w:rPr>
              <w:t>2407</w:t>
            </w:r>
          </w:p>
        </w:tc>
        <w:tc>
          <w:tcPr>
            <w:tcW w:w="979" w:type="dxa"/>
            <w:vAlign w:val="center"/>
          </w:tcPr>
          <w:p>
            <w:pPr>
              <w:pStyle w:val="30"/>
              <w:bidi w:val="0"/>
              <w:rPr>
                <w:rFonts w:hint="default"/>
                <w:lang w:val="en-US" w:eastAsia="zh-CN"/>
              </w:rPr>
            </w:pPr>
            <w:r>
              <w:rPr>
                <w:rFonts w:hint="eastAsia"/>
                <w:lang w:val="en-US" w:eastAsia="zh-CN"/>
              </w:rPr>
              <w:t>1500人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ind w:firstLine="0" w:firstLineChars="0"/>
              <w:rPr>
                <w:rFonts w:hint="default"/>
                <w:lang w:val="en-US" w:eastAsia="zh-CN"/>
              </w:rPr>
            </w:pPr>
            <w:r>
              <w:rPr>
                <w:rFonts w:hint="eastAsia"/>
                <w:lang w:val="en-US" w:eastAsia="zh-CN"/>
              </w:rPr>
              <w:t>26</w:t>
            </w:r>
          </w:p>
        </w:tc>
        <w:tc>
          <w:tcPr>
            <w:tcW w:w="1620" w:type="dxa"/>
            <w:vAlign w:val="center"/>
          </w:tcPr>
          <w:p>
            <w:pPr>
              <w:pStyle w:val="30"/>
              <w:bidi w:val="0"/>
              <w:ind w:firstLine="0" w:firstLineChars="0"/>
              <w:rPr>
                <w:rFonts w:hint="eastAsia"/>
                <w:lang w:eastAsia="zh-CN"/>
              </w:rPr>
            </w:pPr>
            <w:r>
              <w:rPr>
                <w:rFonts w:hint="eastAsia"/>
                <w:lang w:eastAsia="zh-CN"/>
              </w:rPr>
              <w:t>孟王村</w:t>
            </w:r>
          </w:p>
        </w:tc>
        <w:tc>
          <w:tcPr>
            <w:tcW w:w="1270" w:type="dxa"/>
            <w:vAlign w:val="center"/>
          </w:tcPr>
          <w:p>
            <w:pPr>
              <w:pStyle w:val="30"/>
              <w:bidi w:val="0"/>
              <w:ind w:firstLine="0" w:firstLineChars="0"/>
              <w:rPr>
                <w:rFonts w:hint="default"/>
                <w:lang w:val="en-US" w:eastAsia="zh-CN"/>
              </w:rPr>
            </w:pPr>
            <w:r>
              <w:rPr>
                <w:rFonts w:hint="eastAsia"/>
                <w:lang w:val="en-US" w:eastAsia="zh-CN"/>
              </w:rPr>
              <w:t>113.475873</w:t>
            </w:r>
          </w:p>
        </w:tc>
        <w:tc>
          <w:tcPr>
            <w:tcW w:w="1250" w:type="dxa"/>
            <w:vAlign w:val="center"/>
          </w:tcPr>
          <w:p>
            <w:pPr>
              <w:pStyle w:val="30"/>
              <w:bidi w:val="0"/>
              <w:ind w:firstLine="0" w:firstLineChars="0"/>
              <w:rPr>
                <w:rFonts w:hint="default"/>
                <w:lang w:val="en-US" w:eastAsia="zh-CN"/>
              </w:rPr>
            </w:pPr>
            <w:r>
              <w:rPr>
                <w:rFonts w:hint="eastAsia"/>
                <w:lang w:val="en-US" w:eastAsia="zh-CN"/>
              </w:rPr>
              <w:t>33.561430</w:t>
            </w:r>
          </w:p>
        </w:tc>
        <w:tc>
          <w:tcPr>
            <w:tcW w:w="1160" w:type="dxa"/>
            <w:vAlign w:val="center"/>
          </w:tcPr>
          <w:p>
            <w:pPr>
              <w:pStyle w:val="30"/>
              <w:bidi w:val="0"/>
              <w:ind w:firstLine="0" w:firstLineChars="0"/>
              <w:rPr>
                <w:rFonts w:hint="default"/>
                <w:lang w:val="en-US" w:eastAsia="zh-CN"/>
              </w:rPr>
            </w:pPr>
            <w:r>
              <w:rPr>
                <w:rFonts w:hint="eastAsia"/>
                <w:lang w:val="en-US" w:eastAsia="zh-CN"/>
              </w:rPr>
              <w:t>S</w:t>
            </w:r>
          </w:p>
        </w:tc>
        <w:tc>
          <w:tcPr>
            <w:tcW w:w="1358" w:type="dxa"/>
            <w:vAlign w:val="center"/>
          </w:tcPr>
          <w:p>
            <w:pPr>
              <w:pStyle w:val="30"/>
              <w:bidi w:val="0"/>
              <w:ind w:firstLine="0" w:firstLineChars="0"/>
              <w:rPr>
                <w:rFonts w:hint="default"/>
                <w:lang w:val="en-US" w:eastAsia="zh-CN"/>
              </w:rPr>
            </w:pPr>
            <w:r>
              <w:rPr>
                <w:rFonts w:hint="eastAsia"/>
                <w:lang w:val="en-US" w:eastAsia="zh-CN"/>
              </w:rPr>
              <w:t>2433</w:t>
            </w:r>
          </w:p>
        </w:tc>
        <w:tc>
          <w:tcPr>
            <w:tcW w:w="979" w:type="dxa"/>
            <w:vAlign w:val="center"/>
          </w:tcPr>
          <w:p>
            <w:pPr>
              <w:pStyle w:val="30"/>
              <w:bidi w:val="0"/>
              <w:ind w:firstLine="0" w:firstLineChars="0"/>
              <w:rPr>
                <w:rFonts w:hint="default"/>
                <w:lang w:val="en-US" w:eastAsia="zh-CN"/>
              </w:rPr>
            </w:pPr>
            <w:r>
              <w:rPr>
                <w:rFonts w:hint="eastAsia"/>
                <w:lang w:val="en-US" w:eastAsia="zh-CN"/>
              </w:rPr>
              <w:t>5000人</w:t>
            </w:r>
          </w:p>
        </w:tc>
        <w:tc>
          <w:tcPr>
            <w:tcW w:w="772"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0" w:type="dxa"/>
            <w:vAlign w:val="center"/>
          </w:tcPr>
          <w:p>
            <w:pPr>
              <w:pStyle w:val="30"/>
              <w:bidi w:val="0"/>
              <w:rPr>
                <w:rFonts w:hint="default"/>
                <w:lang w:val="en-US" w:eastAsia="zh-CN"/>
              </w:rPr>
            </w:pPr>
            <w:r>
              <w:rPr>
                <w:rFonts w:hint="eastAsia"/>
                <w:lang w:val="en-US" w:eastAsia="zh-CN"/>
              </w:rPr>
              <w:t>27</w:t>
            </w:r>
          </w:p>
        </w:tc>
        <w:tc>
          <w:tcPr>
            <w:tcW w:w="1620" w:type="dxa"/>
            <w:vAlign w:val="center"/>
          </w:tcPr>
          <w:p>
            <w:pPr>
              <w:pStyle w:val="30"/>
              <w:bidi w:val="0"/>
              <w:rPr>
                <w:rFonts w:hint="eastAsia"/>
                <w:lang w:eastAsia="zh-CN"/>
              </w:rPr>
            </w:pPr>
            <w:r>
              <w:rPr>
                <w:rFonts w:hint="eastAsia"/>
                <w:lang w:eastAsia="zh-CN"/>
              </w:rPr>
              <w:t>王丰庄村</w:t>
            </w:r>
          </w:p>
        </w:tc>
        <w:tc>
          <w:tcPr>
            <w:tcW w:w="1270" w:type="dxa"/>
            <w:vAlign w:val="center"/>
          </w:tcPr>
          <w:p>
            <w:pPr>
              <w:pStyle w:val="30"/>
              <w:bidi w:val="0"/>
              <w:rPr>
                <w:rFonts w:hint="default"/>
                <w:lang w:val="en-US" w:eastAsia="zh-CN"/>
              </w:rPr>
            </w:pPr>
            <w:r>
              <w:rPr>
                <w:rFonts w:hint="eastAsia"/>
                <w:lang w:val="en-US" w:eastAsia="zh-CN"/>
              </w:rPr>
              <w:t>113.491473</w:t>
            </w:r>
          </w:p>
        </w:tc>
        <w:tc>
          <w:tcPr>
            <w:tcW w:w="1250" w:type="dxa"/>
            <w:vAlign w:val="center"/>
          </w:tcPr>
          <w:p>
            <w:pPr>
              <w:pStyle w:val="30"/>
              <w:bidi w:val="0"/>
              <w:rPr>
                <w:rFonts w:hint="default"/>
                <w:lang w:val="en-US" w:eastAsia="zh-CN"/>
              </w:rPr>
            </w:pPr>
            <w:r>
              <w:rPr>
                <w:rFonts w:hint="eastAsia"/>
                <w:lang w:val="en-US" w:eastAsia="zh-CN"/>
              </w:rPr>
              <w:t>33.607221</w:t>
            </w:r>
          </w:p>
        </w:tc>
        <w:tc>
          <w:tcPr>
            <w:tcW w:w="1160" w:type="dxa"/>
            <w:vAlign w:val="center"/>
          </w:tcPr>
          <w:p>
            <w:pPr>
              <w:pStyle w:val="30"/>
              <w:bidi w:val="0"/>
              <w:rPr>
                <w:rFonts w:hint="eastAsia"/>
                <w:lang w:val="en-US" w:eastAsia="zh-CN"/>
              </w:rPr>
            </w:pPr>
            <w:r>
              <w:rPr>
                <w:rFonts w:hint="eastAsia"/>
                <w:lang w:val="en-US" w:eastAsia="zh-CN"/>
              </w:rPr>
              <w:t>NE</w:t>
            </w:r>
          </w:p>
        </w:tc>
        <w:tc>
          <w:tcPr>
            <w:tcW w:w="1358" w:type="dxa"/>
            <w:vAlign w:val="center"/>
          </w:tcPr>
          <w:p>
            <w:pPr>
              <w:pStyle w:val="30"/>
              <w:bidi w:val="0"/>
              <w:rPr>
                <w:rFonts w:hint="default"/>
                <w:lang w:val="en-US" w:eastAsia="zh-CN"/>
              </w:rPr>
            </w:pPr>
            <w:r>
              <w:rPr>
                <w:rFonts w:hint="eastAsia"/>
                <w:lang w:val="en-US" w:eastAsia="zh-CN"/>
              </w:rPr>
              <w:t>2486</w:t>
            </w:r>
          </w:p>
        </w:tc>
        <w:tc>
          <w:tcPr>
            <w:tcW w:w="979" w:type="dxa"/>
            <w:vAlign w:val="center"/>
          </w:tcPr>
          <w:p>
            <w:pPr>
              <w:pStyle w:val="30"/>
              <w:bidi w:val="0"/>
              <w:rPr>
                <w:rFonts w:hint="default"/>
                <w:lang w:val="en-US" w:eastAsia="zh-CN"/>
              </w:rPr>
            </w:pPr>
            <w:r>
              <w:rPr>
                <w:rFonts w:hint="eastAsia"/>
                <w:lang w:val="en-US" w:eastAsia="zh-CN"/>
              </w:rPr>
              <w:t>1500人</w:t>
            </w:r>
          </w:p>
        </w:tc>
        <w:tc>
          <w:tcPr>
            <w:tcW w:w="772" w:type="dxa"/>
            <w:vMerge w:val="continue"/>
            <w:vAlign w:val="center"/>
          </w:tcPr>
          <w:p>
            <w:pPr>
              <w:pStyle w:val="30"/>
              <w:bidi w:val="0"/>
            </w:pP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表2.5-14  地表水、噪声、生态环境保护目标</w:t>
      </w:r>
    </w:p>
    <w:tbl>
      <w:tblPr>
        <w:tblStyle w:val="22"/>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90"/>
        <w:gridCol w:w="1020"/>
        <w:gridCol w:w="1340"/>
        <w:gridCol w:w="4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2" w:type="dxa"/>
            <w:vAlign w:val="center"/>
          </w:tcPr>
          <w:p>
            <w:pPr>
              <w:pStyle w:val="30"/>
              <w:bidi w:val="0"/>
              <w:spacing w:line="240" w:lineRule="auto"/>
              <w:rPr>
                <w:rFonts w:hint="eastAsia"/>
                <w:lang w:val="en-US" w:eastAsia="zh-CN"/>
              </w:rPr>
            </w:pPr>
            <w:r>
              <w:rPr>
                <w:rFonts w:hint="eastAsia"/>
                <w:lang w:val="en-US" w:eastAsia="zh-CN"/>
              </w:rPr>
              <w:t>环境要素</w:t>
            </w:r>
          </w:p>
        </w:tc>
        <w:tc>
          <w:tcPr>
            <w:tcW w:w="1190" w:type="dxa"/>
            <w:vAlign w:val="center"/>
          </w:tcPr>
          <w:p>
            <w:pPr>
              <w:pStyle w:val="30"/>
              <w:bidi w:val="0"/>
              <w:spacing w:line="240" w:lineRule="auto"/>
              <w:rPr>
                <w:rFonts w:hint="eastAsia"/>
                <w:lang w:val="en-US" w:eastAsia="zh-CN"/>
              </w:rPr>
            </w:pPr>
            <w:r>
              <w:rPr>
                <w:rFonts w:hint="eastAsia"/>
                <w:lang w:val="en-US" w:eastAsia="zh-CN"/>
              </w:rPr>
              <w:t>保护目标</w:t>
            </w:r>
          </w:p>
        </w:tc>
        <w:tc>
          <w:tcPr>
            <w:tcW w:w="1020" w:type="dxa"/>
            <w:vAlign w:val="center"/>
          </w:tcPr>
          <w:p>
            <w:pPr>
              <w:pStyle w:val="30"/>
              <w:bidi w:val="0"/>
              <w:spacing w:line="240" w:lineRule="auto"/>
              <w:rPr>
                <w:rFonts w:hint="eastAsia"/>
                <w:lang w:val="en-US" w:eastAsia="zh-CN"/>
              </w:rPr>
            </w:pPr>
            <w:r>
              <w:rPr>
                <w:rFonts w:hint="eastAsia"/>
                <w:lang w:val="en-US" w:eastAsia="zh-CN"/>
              </w:rPr>
              <w:t>方位</w:t>
            </w:r>
          </w:p>
        </w:tc>
        <w:tc>
          <w:tcPr>
            <w:tcW w:w="1340" w:type="dxa"/>
            <w:vAlign w:val="center"/>
          </w:tcPr>
          <w:p>
            <w:pPr>
              <w:pStyle w:val="30"/>
              <w:bidi w:val="0"/>
              <w:spacing w:line="240" w:lineRule="auto"/>
              <w:rPr>
                <w:rFonts w:hint="eastAsia"/>
                <w:lang w:val="en-US" w:eastAsia="zh-CN"/>
              </w:rPr>
            </w:pPr>
            <w:r>
              <w:rPr>
                <w:rFonts w:hint="eastAsia"/>
                <w:lang w:val="en-US" w:eastAsia="zh-CN"/>
              </w:rPr>
              <w:t>距离（m）</w:t>
            </w:r>
          </w:p>
        </w:tc>
        <w:tc>
          <w:tcPr>
            <w:tcW w:w="4499" w:type="dxa"/>
            <w:vAlign w:val="center"/>
          </w:tcPr>
          <w:p>
            <w:pPr>
              <w:pStyle w:val="30"/>
              <w:bidi w:val="0"/>
              <w:spacing w:line="240" w:lineRule="auto"/>
              <w:rPr>
                <w:rFonts w:hint="eastAsia"/>
                <w:lang w:val="en-US" w:eastAsia="zh-CN"/>
              </w:rPr>
            </w:pPr>
            <w:r>
              <w:rPr>
                <w:rFonts w:hint="eastAsia"/>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vMerge w:val="restart"/>
            <w:vAlign w:val="center"/>
          </w:tcPr>
          <w:p>
            <w:pPr>
              <w:pStyle w:val="30"/>
              <w:bidi w:val="0"/>
              <w:spacing w:line="240" w:lineRule="auto"/>
              <w:rPr>
                <w:rFonts w:hint="default"/>
                <w:lang w:val="en-US" w:eastAsia="zh-CN"/>
              </w:rPr>
            </w:pPr>
            <w:r>
              <w:rPr>
                <w:rFonts w:hint="eastAsia"/>
                <w:lang w:val="en-US" w:eastAsia="zh-CN"/>
              </w:rPr>
              <w:t>地表水</w:t>
            </w:r>
          </w:p>
        </w:tc>
        <w:tc>
          <w:tcPr>
            <w:tcW w:w="1190" w:type="dxa"/>
            <w:vAlign w:val="center"/>
          </w:tcPr>
          <w:p>
            <w:pPr>
              <w:pStyle w:val="30"/>
              <w:bidi w:val="0"/>
              <w:spacing w:line="240" w:lineRule="auto"/>
              <w:rPr>
                <w:rFonts w:hint="eastAsia" w:eastAsia="宋体"/>
                <w:lang w:eastAsia="zh-CN"/>
              </w:rPr>
            </w:pPr>
            <w:r>
              <w:rPr>
                <w:rFonts w:hint="eastAsia"/>
                <w:lang w:val="en-US" w:eastAsia="zh-CN"/>
              </w:rPr>
              <w:t>灰河</w:t>
            </w:r>
          </w:p>
        </w:tc>
        <w:tc>
          <w:tcPr>
            <w:tcW w:w="1020" w:type="dxa"/>
            <w:vAlign w:val="center"/>
          </w:tcPr>
          <w:p>
            <w:pPr>
              <w:pStyle w:val="30"/>
              <w:bidi w:val="0"/>
              <w:spacing w:line="240" w:lineRule="auto"/>
              <w:rPr>
                <w:rFonts w:hint="default"/>
                <w:lang w:val="en-US" w:eastAsia="zh-CN"/>
              </w:rPr>
            </w:pPr>
            <w:r>
              <w:rPr>
                <w:rFonts w:hint="eastAsia"/>
                <w:lang w:val="en-US" w:eastAsia="zh-CN"/>
              </w:rPr>
              <w:t>N</w:t>
            </w:r>
          </w:p>
        </w:tc>
        <w:tc>
          <w:tcPr>
            <w:tcW w:w="1340" w:type="dxa"/>
            <w:vAlign w:val="center"/>
          </w:tcPr>
          <w:p>
            <w:pPr>
              <w:pStyle w:val="30"/>
              <w:bidi w:val="0"/>
              <w:spacing w:line="240" w:lineRule="auto"/>
              <w:rPr>
                <w:rFonts w:hint="default"/>
                <w:lang w:val="en-US"/>
              </w:rPr>
            </w:pPr>
            <w:r>
              <w:rPr>
                <w:rFonts w:hint="eastAsia"/>
                <w:lang w:val="en-US" w:eastAsia="zh-CN"/>
              </w:rPr>
              <w:t>2350</w:t>
            </w:r>
          </w:p>
        </w:tc>
        <w:tc>
          <w:tcPr>
            <w:tcW w:w="4499" w:type="dxa"/>
            <w:vAlign w:val="center"/>
          </w:tcPr>
          <w:p>
            <w:pPr>
              <w:pStyle w:val="30"/>
              <w:bidi w:val="0"/>
              <w:spacing w:line="240" w:lineRule="auto"/>
              <w:rPr>
                <w:rFonts w:hint="eastAsia"/>
                <w:lang w:val="en-US" w:eastAsia="zh-CN"/>
              </w:rPr>
            </w:pPr>
            <w:r>
              <w:rPr>
                <w:rFonts w:hint="eastAsia"/>
                <w:lang w:val="en-US" w:eastAsia="zh-CN"/>
              </w:rPr>
              <w:t>《地表水环境质量标准》（</w:t>
            </w:r>
            <w:r>
              <w:rPr>
                <w:rFonts w:hint="default"/>
                <w:lang w:val="en-US" w:eastAsia="zh-CN"/>
              </w:rPr>
              <w:t>GB3838-2002</w:t>
            </w:r>
            <w:r>
              <w:rPr>
                <w:rFonts w:hint="eastAsia"/>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vMerge w:val="restart"/>
            <w:vAlign w:val="center"/>
          </w:tcPr>
          <w:p>
            <w:pPr>
              <w:pStyle w:val="30"/>
              <w:bidi w:val="0"/>
              <w:spacing w:line="240" w:lineRule="auto"/>
              <w:rPr>
                <w:rFonts w:hint="default"/>
                <w:lang w:val="en-US" w:eastAsia="zh-CN"/>
              </w:rPr>
            </w:pPr>
            <w:r>
              <w:rPr>
                <w:rFonts w:hint="eastAsia"/>
                <w:lang w:val="en-US" w:eastAsia="zh-CN"/>
              </w:rPr>
              <w:t>噪声</w:t>
            </w:r>
          </w:p>
        </w:tc>
        <w:tc>
          <w:tcPr>
            <w:tcW w:w="1190" w:type="dxa"/>
            <w:vAlign w:val="center"/>
          </w:tcPr>
          <w:p>
            <w:pPr>
              <w:pStyle w:val="30"/>
              <w:bidi w:val="0"/>
              <w:ind w:firstLine="0" w:firstLineChars="0"/>
              <w:rPr>
                <w:rFonts w:hint="eastAsia" w:ascii="Times New Roman" w:hAnsi="Times New Roman" w:eastAsia="宋体" w:cstheme="minorBidi"/>
                <w:color w:val="000000"/>
                <w:kern w:val="2"/>
                <w:sz w:val="21"/>
                <w:szCs w:val="21"/>
                <w:lang w:val="en-US" w:eastAsia="zh-CN" w:bidi="ar"/>
              </w:rPr>
            </w:pPr>
            <w:r>
              <w:rPr>
                <w:rFonts w:hint="eastAsia"/>
                <w:lang w:val="en-US" w:eastAsia="zh-CN"/>
              </w:rPr>
              <w:t>后王庄</w:t>
            </w:r>
          </w:p>
        </w:tc>
        <w:tc>
          <w:tcPr>
            <w:tcW w:w="1020" w:type="dxa"/>
            <w:vAlign w:val="center"/>
          </w:tcPr>
          <w:p>
            <w:pPr>
              <w:pStyle w:val="30"/>
              <w:bidi w:val="0"/>
              <w:ind w:firstLine="0" w:firstLineChars="0"/>
              <w:rPr>
                <w:rFonts w:hint="default"/>
                <w:lang w:val="en-US" w:eastAsia="zh-CN"/>
              </w:rPr>
            </w:pPr>
            <w:r>
              <w:rPr>
                <w:rFonts w:hint="eastAsia"/>
                <w:lang w:val="en-US" w:eastAsia="zh-CN"/>
              </w:rPr>
              <w:t>SW</w:t>
            </w:r>
          </w:p>
        </w:tc>
        <w:tc>
          <w:tcPr>
            <w:tcW w:w="1340" w:type="dxa"/>
            <w:vAlign w:val="center"/>
          </w:tcPr>
          <w:p>
            <w:pPr>
              <w:pStyle w:val="30"/>
              <w:bidi w:val="0"/>
              <w:ind w:firstLine="0" w:firstLineChars="0"/>
              <w:rPr>
                <w:rFonts w:hint="default"/>
                <w:lang w:val="en-US"/>
              </w:rPr>
            </w:pPr>
            <w:r>
              <w:rPr>
                <w:rFonts w:hint="eastAsia"/>
                <w:lang w:val="en-US" w:eastAsia="zh-CN"/>
              </w:rPr>
              <w:t>120</w:t>
            </w:r>
          </w:p>
        </w:tc>
        <w:tc>
          <w:tcPr>
            <w:tcW w:w="4499" w:type="dxa"/>
            <w:vAlign w:val="center"/>
          </w:tcPr>
          <w:p>
            <w:pPr>
              <w:pStyle w:val="30"/>
              <w:bidi w:val="0"/>
              <w:spacing w:line="240" w:lineRule="auto"/>
              <w:rPr>
                <w:rFonts w:hint="eastAsia"/>
                <w:lang w:val="en-US" w:eastAsia="zh-CN"/>
              </w:rPr>
            </w:pPr>
            <w:r>
              <w:rPr>
                <w:rFonts w:hint="eastAsia"/>
                <w:lang w:val="en-US" w:eastAsia="zh-CN"/>
              </w:rPr>
              <w:t>《声环境质量标准》（</w:t>
            </w:r>
            <w:r>
              <w:rPr>
                <w:rFonts w:hint="default"/>
                <w:lang w:val="en-US" w:eastAsia="zh-CN"/>
              </w:rPr>
              <w:t>GB3096-2008</w:t>
            </w:r>
            <w:r>
              <w:rPr>
                <w:rFonts w:hint="eastAsia"/>
                <w:lang w:val="en-US" w:eastAsia="zh-CN"/>
              </w:rPr>
              <w:t>）1类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2" w:type="dxa"/>
            <w:vMerge w:val="continue"/>
            <w:vAlign w:val="center"/>
          </w:tcPr>
          <w:p>
            <w:pPr>
              <w:pStyle w:val="30"/>
              <w:bidi w:val="0"/>
              <w:spacing w:line="240" w:lineRule="auto"/>
              <w:rPr>
                <w:rFonts w:hint="default"/>
                <w:lang w:val="en-US" w:eastAsia="zh-CN"/>
              </w:rPr>
            </w:pPr>
          </w:p>
        </w:tc>
        <w:tc>
          <w:tcPr>
            <w:tcW w:w="1190" w:type="dxa"/>
            <w:vAlign w:val="center"/>
          </w:tcPr>
          <w:p>
            <w:pPr>
              <w:pStyle w:val="30"/>
              <w:bidi w:val="0"/>
              <w:spacing w:line="240" w:lineRule="auto"/>
              <w:rPr>
                <w:rFonts w:hint="eastAsia"/>
                <w:lang w:eastAsia="zh-CN"/>
              </w:rPr>
            </w:pPr>
            <w:r>
              <w:rPr>
                <w:rFonts w:hint="eastAsia"/>
                <w:lang w:eastAsia="zh-CN"/>
              </w:rPr>
              <w:t>厂界</w:t>
            </w:r>
          </w:p>
        </w:tc>
        <w:tc>
          <w:tcPr>
            <w:tcW w:w="1020" w:type="dxa"/>
            <w:vAlign w:val="center"/>
          </w:tcPr>
          <w:p>
            <w:pPr>
              <w:pStyle w:val="30"/>
              <w:bidi w:val="0"/>
              <w:spacing w:line="240" w:lineRule="auto"/>
              <w:rPr>
                <w:rFonts w:hint="default"/>
                <w:lang w:val="en-US" w:eastAsia="zh-CN"/>
              </w:rPr>
            </w:pPr>
            <w:r>
              <w:rPr>
                <w:rFonts w:hint="eastAsia"/>
                <w:lang w:val="en-US" w:eastAsia="zh-CN"/>
              </w:rPr>
              <w:t>/</w:t>
            </w:r>
          </w:p>
        </w:tc>
        <w:tc>
          <w:tcPr>
            <w:tcW w:w="1340" w:type="dxa"/>
            <w:vAlign w:val="center"/>
          </w:tcPr>
          <w:p>
            <w:pPr>
              <w:pStyle w:val="30"/>
              <w:bidi w:val="0"/>
              <w:spacing w:line="240" w:lineRule="auto"/>
              <w:rPr>
                <w:rFonts w:hint="default"/>
                <w:lang w:val="en-US" w:eastAsia="zh-CN"/>
              </w:rPr>
            </w:pPr>
            <w:r>
              <w:rPr>
                <w:rFonts w:hint="eastAsia"/>
                <w:lang w:val="en-US" w:eastAsia="zh-CN"/>
              </w:rPr>
              <w:t>/</w:t>
            </w:r>
          </w:p>
        </w:tc>
        <w:tc>
          <w:tcPr>
            <w:tcW w:w="4499" w:type="dxa"/>
            <w:vAlign w:val="center"/>
          </w:tcPr>
          <w:p>
            <w:pPr>
              <w:pStyle w:val="30"/>
              <w:bidi w:val="0"/>
              <w:spacing w:line="240" w:lineRule="auto"/>
            </w:pPr>
            <w:r>
              <w:rPr>
                <w:rFonts w:hint="eastAsia"/>
                <w:lang w:val="en-US" w:eastAsia="zh-CN"/>
              </w:rPr>
              <w:t>《声环境质量标准》（</w:t>
            </w:r>
            <w:r>
              <w:rPr>
                <w:rFonts w:hint="default"/>
                <w:lang w:val="en-US" w:eastAsia="zh-CN"/>
              </w:rPr>
              <w:t>GB3096-2008</w:t>
            </w:r>
            <w:r>
              <w:rPr>
                <w:rFonts w:hint="eastAsia"/>
                <w:lang w:val="en-US" w:eastAsia="zh-CN"/>
              </w:rPr>
              <w:t>）1类</w:t>
            </w:r>
          </w:p>
        </w:tc>
      </w:tr>
    </w:tbl>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default"/>
          <w:lang w:val="en-US" w:eastAsia="zh-CN"/>
        </w:rPr>
        <w:sectPr>
          <w:footerReference r:id="rId7" w:type="default"/>
          <w:pgSz w:w="11906" w:h="16838"/>
          <w:pgMar w:top="1417" w:right="1417" w:bottom="1417" w:left="1417" w:header="680" w:footer="850"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sectPr>
          <w:pgSz w:w="16838" w:h="11906" w:orient="landscape"/>
          <w:pgMar w:top="1417" w:right="1417" w:bottom="1417" w:left="1417" w:header="680"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07392" behindDoc="0" locked="0" layoutInCell="1" allowOverlap="1">
            <wp:simplePos x="0" y="0"/>
            <wp:positionH relativeFrom="column">
              <wp:posOffset>7948295</wp:posOffset>
            </wp:positionH>
            <wp:positionV relativeFrom="paragraph">
              <wp:posOffset>78105</wp:posOffset>
            </wp:positionV>
            <wp:extent cx="504825" cy="590550"/>
            <wp:effectExtent l="0" t="0" r="9525" b="0"/>
            <wp:wrapNone/>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26"/>
                    <a:stretch>
                      <a:fillRect/>
                    </a:stretch>
                  </pic:blipFill>
                  <pic:spPr>
                    <a:xfrm>
                      <a:off x="0" y="0"/>
                      <a:ext cx="504825" cy="590550"/>
                    </a:xfrm>
                    <a:prstGeom prst="rect">
                      <a:avLst/>
                    </a:prstGeom>
                    <a:noFill/>
                    <a:ln>
                      <a:noFill/>
                    </a:ln>
                  </pic:spPr>
                </pic:pic>
              </a:graphicData>
            </a:graphic>
          </wp:anchor>
        </w:drawing>
      </w:r>
      <w:r>
        <w:rPr>
          <w:sz w:val="24"/>
        </w:rPr>
        <mc:AlternateContent>
          <mc:Choice Requires="wps">
            <w:drawing>
              <wp:anchor distT="0" distB="0" distL="114300" distR="114300" simplePos="0" relativeHeight="251706368" behindDoc="0" locked="0" layoutInCell="1" allowOverlap="1">
                <wp:simplePos x="0" y="0"/>
                <wp:positionH relativeFrom="column">
                  <wp:posOffset>2519680</wp:posOffset>
                </wp:positionH>
                <wp:positionV relativeFrom="paragraph">
                  <wp:posOffset>5448300</wp:posOffset>
                </wp:positionV>
                <wp:extent cx="4025265" cy="3238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402526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图2.5-1  建设项目环境保护目标图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4pt;margin-top:429pt;height:25.5pt;width:316.95pt;z-index:251706368;mso-width-relative:page;mso-height-relative:page;" filled="f" stroked="f" coordsize="21600,21600" o:gfxdata="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EVAy/cAAAADAEAAA8AAAAAAAAAAQAgAAAAIgAA&#10;AGRycy9kb3ducmV2LnhtbFBLAQIUABQAAAAIAIdO4kAS8wkJPQIAAGg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图2.5-1  建设项目环境保护目标图</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5745480</wp:posOffset>
                </wp:positionH>
                <wp:positionV relativeFrom="paragraph">
                  <wp:posOffset>584200</wp:posOffset>
                </wp:positionV>
                <wp:extent cx="1193165" cy="32385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19316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0000"/>
                                <w:sz w:val="18"/>
                                <w:szCs w:val="18"/>
                                <w:lang w:val="en-US" w:eastAsia="zh-CN"/>
                              </w:rPr>
                            </w:pPr>
                            <w:r>
                              <w:rPr>
                                <w:rFonts w:hint="eastAsia"/>
                                <w:b/>
                                <w:bCs/>
                                <w:color w:val="FF0000"/>
                                <w:sz w:val="18"/>
                                <w:szCs w:val="18"/>
                                <w:lang w:val="en-US" w:eastAsia="zh-CN"/>
                              </w:rPr>
                              <w:t>大气评价范围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4pt;margin-top:46pt;height:25.5pt;width:93.95pt;z-index:251705344;mso-width-relative:page;mso-height-relative:page;" filled="f" stroked="f" coordsize="21600,21600" o:gfxdata="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sRxE2gAAAAsBAAAPAAAAAAAAAAEAIAAAACIAAABk&#10;cnMvZG93bnJldi54bWxQSwECFAAUAAAACACHTuJAWj9DpD0CAABo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0000"/>
                          <w:sz w:val="18"/>
                          <w:szCs w:val="18"/>
                          <w:lang w:val="en-US" w:eastAsia="zh-CN"/>
                        </w:rPr>
                      </w:pPr>
                      <w:r>
                        <w:rPr>
                          <w:rFonts w:hint="eastAsia"/>
                          <w:b/>
                          <w:bCs/>
                          <w:color w:val="FF0000"/>
                          <w:sz w:val="18"/>
                          <w:szCs w:val="18"/>
                          <w:lang w:val="en-US" w:eastAsia="zh-CN"/>
                        </w:rPr>
                        <w:t>大气评价范围</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7961630</wp:posOffset>
                </wp:positionH>
                <wp:positionV relativeFrom="paragraph">
                  <wp:posOffset>5181600</wp:posOffset>
                </wp:positionV>
                <wp:extent cx="495300" cy="32385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953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C000"/>
                                <w:sz w:val="18"/>
                                <w:szCs w:val="18"/>
                                <w:lang w:val="en-US" w:eastAsia="zh-CN"/>
                              </w:rPr>
                            </w:pPr>
                            <w:r>
                              <w:rPr>
                                <w:rFonts w:hint="eastAsia"/>
                                <w:b/>
                                <w:bCs/>
                                <w:color w:val="FFC000"/>
                                <w:sz w:val="18"/>
                                <w:szCs w:val="18"/>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9pt;margin-top:408pt;height:25.5pt;width:39pt;z-index:251704320;mso-width-relative:page;mso-height-relative:page;" filled="f" stroked="f" coordsize="21600,21600" o:gfxdata="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qSlK2wAAAA0BAAAPAAAAAAAAAAEAIAAAACIAAABk&#10;cnMvZG93bnJldi54bWxQSwECFAAUAAAACACHTuJAaz1epzwCAABn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C000"/>
                          <w:sz w:val="18"/>
                          <w:szCs w:val="18"/>
                          <w:lang w:val="en-US" w:eastAsia="zh-CN"/>
                        </w:rPr>
                      </w:pPr>
                      <w:r>
                        <w:rPr>
                          <w:rFonts w:hint="eastAsia"/>
                          <w:b/>
                          <w:bCs/>
                          <w:color w:val="FFC000"/>
                          <w:sz w:val="18"/>
                          <w:szCs w:val="18"/>
                          <w:lang w:val="en-US" w:eastAsia="zh-CN"/>
                        </w:rPr>
                        <w:t>500m</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7910195</wp:posOffset>
                </wp:positionH>
                <wp:positionV relativeFrom="paragraph">
                  <wp:posOffset>5338445</wp:posOffset>
                </wp:positionV>
                <wp:extent cx="610235" cy="146050"/>
                <wp:effectExtent l="0" t="0" r="0" b="0"/>
                <wp:wrapNone/>
                <wp:docPr id="82" name="减号 82"/>
                <wp:cNvGraphicFramePr/>
                <a:graphic xmlns:a="http://schemas.openxmlformats.org/drawingml/2006/main">
                  <a:graphicData uri="http://schemas.microsoft.com/office/word/2010/wordprocessingShape">
                    <wps:wsp>
                      <wps:cNvSpPr/>
                      <wps:spPr>
                        <a:xfrm>
                          <a:off x="8074025" y="5825490"/>
                          <a:ext cx="610235" cy="146050"/>
                        </a:xfrm>
                        <a:prstGeom prst="mathMinus">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22.85pt;margin-top:420.35pt;height:11.5pt;width:48.05pt;z-index:251703296;v-text-anchor:middle;mso-width-relative:page;mso-height-relative:page;" fillcolor="#FFC000" filled="t" stroked="f" coordsize="610235,146050" o:gfxdata="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qMyBD3AAAAA0BAAAPAAAAAAAAAAEAIAAA&#10;ACIAAABkcnMvZG93bnJldi54bWxQSwECFAAUAAAACACHTuJAKMIXx3oCAADdBAAADgAAAAAAAAAB&#10;ACAAAAArAQAAZHJzL2Uyb0RvYy54bWxQSwUGAAAAAAYABgBZAQAAFwYAAAAA&#10;" path="m80886,55849l529348,55849,529348,90200,80886,90200xe">
                <v:path o:connectlocs="529348,73025;305117,90200;80886,73025;305117,55849" o:connectangles="0,82,164,247"/>
                <v:fill on="t" focussize="0,0"/>
                <v:stroke on="f" weight="1pt" miterlimit="8" joinstyle="miter"/>
                <v:imagedata o:title=""/>
                <o:lock v:ext="edit" aspectratio="f"/>
              </v:shape>
            </w:pict>
          </mc:Fallback>
        </mc:AlternateContent>
      </w:r>
      <w:r>
        <w:drawing>
          <wp:anchor distT="0" distB="0" distL="114300" distR="114300" simplePos="0" relativeHeight="251702272" behindDoc="0" locked="0" layoutInCell="1" allowOverlap="1">
            <wp:simplePos x="0" y="0"/>
            <wp:positionH relativeFrom="column">
              <wp:posOffset>8037195</wp:posOffset>
            </wp:positionH>
            <wp:positionV relativeFrom="paragraph">
              <wp:posOffset>5338445</wp:posOffset>
            </wp:positionV>
            <wp:extent cx="419100" cy="120650"/>
            <wp:effectExtent l="0" t="0" r="0" b="12700"/>
            <wp:wrapNone/>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27"/>
                    <a:stretch>
                      <a:fillRect/>
                    </a:stretch>
                  </pic:blipFill>
                  <pic:spPr>
                    <a:xfrm>
                      <a:off x="0" y="0"/>
                      <a:ext cx="419100" cy="120650"/>
                    </a:xfrm>
                    <a:prstGeom prst="rect">
                      <a:avLst/>
                    </a:prstGeom>
                    <a:noFill/>
                    <a:ln>
                      <a:noFill/>
                    </a:ln>
                  </pic:spPr>
                </pic:pic>
              </a:graphicData>
            </a:graphic>
          </wp:anchor>
        </w:drawing>
      </w:r>
      <w:r>
        <w:rPr>
          <w:sz w:val="24"/>
        </w:rPr>
        <mc:AlternateContent>
          <mc:Choice Requires="wps">
            <w:drawing>
              <wp:anchor distT="0" distB="0" distL="114300" distR="114300" simplePos="0" relativeHeight="251701248" behindDoc="0" locked="0" layoutInCell="1" allowOverlap="1">
                <wp:simplePos x="0" y="0"/>
                <wp:positionH relativeFrom="column">
                  <wp:posOffset>6355080</wp:posOffset>
                </wp:positionH>
                <wp:positionV relativeFrom="paragraph">
                  <wp:posOffset>2672715</wp:posOffset>
                </wp:positionV>
                <wp:extent cx="425450" cy="419100"/>
                <wp:effectExtent l="0" t="0" r="12700" b="0"/>
                <wp:wrapNone/>
                <wp:docPr id="80" name="任意多边形 80"/>
                <wp:cNvGraphicFramePr/>
                <a:graphic xmlns:a="http://schemas.openxmlformats.org/drawingml/2006/main">
                  <a:graphicData uri="http://schemas.microsoft.com/office/word/2010/wordprocessingShape">
                    <wps:wsp>
                      <wps:cNvSpPr/>
                      <wps:spPr>
                        <a:xfrm>
                          <a:off x="7254875" y="3572510"/>
                          <a:ext cx="425450" cy="419100"/>
                        </a:xfrm>
                        <a:custGeom>
                          <a:avLst/>
                          <a:gdLst>
                            <a:gd name="connisteX0" fmla="*/ 247650 w 425450"/>
                            <a:gd name="connsiteY0" fmla="*/ 6350 h 419100"/>
                            <a:gd name="connisteX1" fmla="*/ 6350 w 425450"/>
                            <a:gd name="connsiteY1" fmla="*/ 25400 h 419100"/>
                            <a:gd name="connisteX2" fmla="*/ 0 w 425450"/>
                            <a:gd name="connsiteY2" fmla="*/ 139700 h 419100"/>
                            <a:gd name="connisteX3" fmla="*/ 88900 w 425450"/>
                            <a:gd name="connsiteY3" fmla="*/ 285750 h 419100"/>
                            <a:gd name="connisteX4" fmla="*/ 260350 w 425450"/>
                            <a:gd name="connsiteY4" fmla="*/ 419100 h 419100"/>
                            <a:gd name="connisteX5" fmla="*/ 425450 w 425450"/>
                            <a:gd name="connsiteY5" fmla="*/ 317500 h 419100"/>
                            <a:gd name="connisteX6" fmla="*/ 393700 w 425450"/>
                            <a:gd name="connsiteY6" fmla="*/ 0 h 419100"/>
                            <a:gd name="connisteX7" fmla="*/ 171450 w 425450"/>
                            <a:gd name="connsiteY7" fmla="*/ 12700 h 419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425450" h="419100">
                              <a:moveTo>
                                <a:pt x="247650" y="6350"/>
                              </a:moveTo>
                              <a:lnTo>
                                <a:pt x="6350" y="25400"/>
                              </a:lnTo>
                              <a:lnTo>
                                <a:pt x="0" y="139700"/>
                              </a:lnTo>
                              <a:lnTo>
                                <a:pt x="88900" y="285750"/>
                              </a:lnTo>
                              <a:lnTo>
                                <a:pt x="260350" y="419100"/>
                              </a:lnTo>
                              <a:lnTo>
                                <a:pt x="425450" y="317500"/>
                              </a:lnTo>
                              <a:lnTo>
                                <a:pt x="393700" y="0"/>
                              </a:lnTo>
                              <a:lnTo>
                                <a:pt x="171450" y="12700"/>
                              </a:lnTo>
                            </a:path>
                          </a:pathLst>
                        </a:cu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500.4pt;margin-top:210.45pt;height:33pt;width:33.5pt;z-index:251701248;mso-width-relative:page;mso-height-relative:page;" fillcolor="#FFFF00" filled="t" stroked="f" coordsize="425450,419100" o:gfxdata="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&#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DMmy7f1QAAAA0BAAAPAAAAAAAAAAEAIAAAACIAAABk&#10;cnMvZG93bnJldi54bWxQSwECFAAUAAAACACHTuJARe0WiZgDAADfCgAADgAAAAAAAAABACAAAAAk&#10;AQAAZHJzL2Uyb0RvYy54bWxQSwUGAAAAAAYABgBZAQAALgcAAAAA&#10;" path="m247650,6350l6350,25400,0,139700,88900,285750,260350,419100,425450,317500,393700,0,171450,12700e">
                <v:path textboxrect="0,0,425450,419100" o:connectlocs="247650,6350;6350,25400;0,139700;88900,285750;260350,419100;425450,317500;393700,0;171450,12700" o:connectangles="0,0,0,0,0,0,0,0"/>
                <v:fill on="t" opacity="2752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5612130</wp:posOffset>
                </wp:positionH>
                <wp:positionV relativeFrom="paragraph">
                  <wp:posOffset>2831465</wp:posOffset>
                </wp:positionV>
                <wp:extent cx="749300" cy="457200"/>
                <wp:effectExtent l="0" t="0" r="12700" b="0"/>
                <wp:wrapNone/>
                <wp:docPr id="79" name="任意多边形 79"/>
                <wp:cNvGraphicFramePr/>
                <a:graphic xmlns:a="http://schemas.openxmlformats.org/drawingml/2006/main">
                  <a:graphicData uri="http://schemas.microsoft.com/office/word/2010/wordprocessingShape">
                    <wps:wsp>
                      <wps:cNvSpPr/>
                      <wps:spPr>
                        <a:xfrm>
                          <a:off x="6511925" y="3731260"/>
                          <a:ext cx="749300" cy="457200"/>
                        </a:xfrm>
                        <a:custGeom>
                          <a:avLst/>
                          <a:gdLst>
                            <a:gd name="connisteX0" fmla="*/ 361950 w 749300"/>
                            <a:gd name="connsiteY0" fmla="*/ 82550 h 457200"/>
                            <a:gd name="connisteX1" fmla="*/ 196850 w 749300"/>
                            <a:gd name="connsiteY1" fmla="*/ 57150 h 457200"/>
                            <a:gd name="connisteX2" fmla="*/ 82550 w 749300"/>
                            <a:gd name="connsiteY2" fmla="*/ 0 h 457200"/>
                            <a:gd name="connisteX3" fmla="*/ 31750 w 749300"/>
                            <a:gd name="connsiteY3" fmla="*/ 57150 h 457200"/>
                            <a:gd name="connisteX4" fmla="*/ 0 w 749300"/>
                            <a:gd name="connsiteY4" fmla="*/ 317500 h 457200"/>
                            <a:gd name="connisteX5" fmla="*/ 254000 w 749300"/>
                            <a:gd name="connsiteY5" fmla="*/ 336550 h 457200"/>
                            <a:gd name="connisteX6" fmla="*/ 565150 w 749300"/>
                            <a:gd name="connsiteY6" fmla="*/ 393700 h 457200"/>
                            <a:gd name="connisteX7" fmla="*/ 584200 w 749300"/>
                            <a:gd name="connsiteY7" fmla="*/ 457200 h 457200"/>
                            <a:gd name="connisteX8" fmla="*/ 654050 w 749300"/>
                            <a:gd name="connsiteY8" fmla="*/ 412750 h 457200"/>
                            <a:gd name="connisteX9" fmla="*/ 749300 w 749300"/>
                            <a:gd name="connsiteY9" fmla="*/ 393700 h 457200"/>
                            <a:gd name="connisteX10" fmla="*/ 730250 w 749300"/>
                            <a:gd name="connsiteY10" fmla="*/ 247650 h 457200"/>
                            <a:gd name="connisteX11" fmla="*/ 450850 w 749300"/>
                            <a:gd name="connsiteY11" fmla="*/ 266700 h 457200"/>
                            <a:gd name="connisteX12" fmla="*/ 438150 w 749300"/>
                            <a:gd name="connsiteY12" fmla="*/ 158750 h 457200"/>
                            <a:gd name="connisteX13" fmla="*/ 565150 w 749300"/>
                            <a:gd name="connsiteY13" fmla="*/ 158750 h 457200"/>
                            <a:gd name="connisteX14" fmla="*/ 571500 w 749300"/>
                            <a:gd name="connsiteY14" fmla="*/ 38100 h 457200"/>
                            <a:gd name="connisteX15" fmla="*/ 361950 w 749300"/>
                            <a:gd name="connsiteY15" fmla="*/ 82550 h 4572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Lst>
                          <a:rect l="l" t="t" r="r" b="b"/>
                          <a:pathLst>
                            <a:path w="749300" h="457200">
                              <a:moveTo>
                                <a:pt x="361950" y="82550"/>
                              </a:moveTo>
                              <a:lnTo>
                                <a:pt x="196850" y="57150"/>
                              </a:lnTo>
                              <a:lnTo>
                                <a:pt x="82550" y="0"/>
                              </a:lnTo>
                              <a:lnTo>
                                <a:pt x="31750" y="57150"/>
                              </a:lnTo>
                              <a:lnTo>
                                <a:pt x="0" y="317500"/>
                              </a:lnTo>
                              <a:lnTo>
                                <a:pt x="254000" y="336550"/>
                              </a:lnTo>
                              <a:lnTo>
                                <a:pt x="565150" y="393700"/>
                              </a:lnTo>
                              <a:lnTo>
                                <a:pt x="584200" y="457200"/>
                              </a:lnTo>
                              <a:lnTo>
                                <a:pt x="654050" y="412750"/>
                              </a:lnTo>
                              <a:lnTo>
                                <a:pt x="749300" y="393700"/>
                              </a:lnTo>
                              <a:lnTo>
                                <a:pt x="730250" y="247650"/>
                              </a:lnTo>
                              <a:lnTo>
                                <a:pt x="450850" y="266700"/>
                              </a:lnTo>
                              <a:lnTo>
                                <a:pt x="438150" y="158750"/>
                              </a:lnTo>
                              <a:lnTo>
                                <a:pt x="565150" y="158750"/>
                              </a:lnTo>
                              <a:lnTo>
                                <a:pt x="571500" y="38100"/>
                              </a:lnTo>
                              <a:lnTo>
                                <a:pt x="361950" y="8255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441.9pt;margin-top:222.95pt;height:36pt;width:59pt;z-index:251700224;mso-width-relative:page;mso-height-relative:page;" fillcolor="#FFFF00" filled="t" stroked="f" coordsize="749300,457200" o:gfxdata="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" path="m361950,82550l196850,57150,82550,0,31750,57150,0,317500,254000,336550,565150,393700,584200,457200,654050,412750,749300,393700,730250,247650,450850,266700,438150,158750,565150,158750,571500,38100,361950,82550xe">
                <v:path textboxrect="0,0,749300,457200" o:connectlocs="361950,82550;196850,57150;82550,0;31750,57150;0,317500;254000,336550;565150,393700;584200,457200;654050,412750;749300,393700;730250,247650;450850,266700;438150,158750;565150,158750;571500,38100;361950,82550" o:connectangles="0,0,0,0,0,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4665980</wp:posOffset>
                </wp:positionH>
                <wp:positionV relativeFrom="paragraph">
                  <wp:posOffset>2431415</wp:posOffset>
                </wp:positionV>
                <wp:extent cx="736600" cy="349250"/>
                <wp:effectExtent l="0" t="0" r="6350" b="12700"/>
                <wp:wrapNone/>
                <wp:docPr id="78" name="任意多边形 78"/>
                <wp:cNvGraphicFramePr/>
                <a:graphic xmlns:a="http://schemas.openxmlformats.org/drawingml/2006/main">
                  <a:graphicData uri="http://schemas.microsoft.com/office/word/2010/wordprocessingShape">
                    <wps:wsp>
                      <wps:cNvSpPr/>
                      <wps:spPr>
                        <a:xfrm>
                          <a:off x="5565775" y="3331210"/>
                          <a:ext cx="736600" cy="349250"/>
                        </a:xfrm>
                        <a:custGeom>
                          <a:avLst/>
                          <a:gdLst>
                            <a:gd name="connisteX0" fmla="*/ 514350 w 736600"/>
                            <a:gd name="connsiteY0" fmla="*/ 31750 h 349250"/>
                            <a:gd name="connisteX1" fmla="*/ 400050 w 736600"/>
                            <a:gd name="connsiteY1" fmla="*/ 107950 h 349250"/>
                            <a:gd name="connisteX2" fmla="*/ 323850 w 736600"/>
                            <a:gd name="connsiteY2" fmla="*/ 146050 h 349250"/>
                            <a:gd name="connisteX3" fmla="*/ 209550 w 736600"/>
                            <a:gd name="connsiteY3" fmla="*/ 146050 h 349250"/>
                            <a:gd name="connisteX4" fmla="*/ 69850 w 736600"/>
                            <a:gd name="connsiteY4" fmla="*/ 133350 h 349250"/>
                            <a:gd name="connisteX5" fmla="*/ 19050 w 736600"/>
                            <a:gd name="connsiteY5" fmla="*/ 184150 h 349250"/>
                            <a:gd name="connisteX6" fmla="*/ 76200 w 736600"/>
                            <a:gd name="connsiteY6" fmla="*/ 241300 h 349250"/>
                            <a:gd name="connisteX7" fmla="*/ 114300 w 736600"/>
                            <a:gd name="connsiteY7" fmla="*/ 260350 h 349250"/>
                            <a:gd name="connisteX8" fmla="*/ 0 w 736600"/>
                            <a:gd name="connsiteY8" fmla="*/ 298450 h 349250"/>
                            <a:gd name="connisteX9" fmla="*/ 57150 w 736600"/>
                            <a:gd name="connsiteY9" fmla="*/ 336550 h 349250"/>
                            <a:gd name="connisteX10" fmla="*/ 152400 w 736600"/>
                            <a:gd name="connsiteY10" fmla="*/ 349250 h 349250"/>
                            <a:gd name="connisteX11" fmla="*/ 330200 w 736600"/>
                            <a:gd name="connsiteY11" fmla="*/ 222250 h 349250"/>
                            <a:gd name="connisteX12" fmla="*/ 520700 w 736600"/>
                            <a:gd name="connsiteY12" fmla="*/ 215900 h 349250"/>
                            <a:gd name="connisteX13" fmla="*/ 533400 w 736600"/>
                            <a:gd name="connsiteY13" fmla="*/ 273050 h 349250"/>
                            <a:gd name="connisteX14" fmla="*/ 736600 w 736600"/>
                            <a:gd name="connsiteY14" fmla="*/ 177800 h 349250"/>
                            <a:gd name="connisteX15" fmla="*/ 685800 w 736600"/>
                            <a:gd name="connsiteY15" fmla="*/ 38100 h 349250"/>
                            <a:gd name="connisteX16" fmla="*/ 596900 w 736600"/>
                            <a:gd name="connsiteY16" fmla="*/ 0 h 349250"/>
                            <a:gd name="connisteX17" fmla="*/ 514350 w 736600"/>
                            <a:gd name="connsiteY17" fmla="*/ 31750 h 349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736600" h="349250">
                              <a:moveTo>
                                <a:pt x="514350" y="31750"/>
                              </a:moveTo>
                              <a:lnTo>
                                <a:pt x="400050" y="107950"/>
                              </a:lnTo>
                              <a:lnTo>
                                <a:pt x="323850" y="146050"/>
                              </a:lnTo>
                              <a:lnTo>
                                <a:pt x="209550" y="146050"/>
                              </a:lnTo>
                              <a:lnTo>
                                <a:pt x="69850" y="133350"/>
                              </a:lnTo>
                              <a:lnTo>
                                <a:pt x="19050" y="184150"/>
                              </a:lnTo>
                              <a:lnTo>
                                <a:pt x="76200" y="241300"/>
                              </a:lnTo>
                              <a:lnTo>
                                <a:pt x="114300" y="260350"/>
                              </a:lnTo>
                              <a:lnTo>
                                <a:pt x="0" y="298450"/>
                              </a:lnTo>
                              <a:lnTo>
                                <a:pt x="57150" y="336550"/>
                              </a:lnTo>
                              <a:lnTo>
                                <a:pt x="152400" y="349250"/>
                              </a:lnTo>
                              <a:lnTo>
                                <a:pt x="330200" y="222250"/>
                              </a:lnTo>
                              <a:lnTo>
                                <a:pt x="520700" y="215900"/>
                              </a:lnTo>
                              <a:lnTo>
                                <a:pt x="533400" y="273050"/>
                              </a:lnTo>
                              <a:lnTo>
                                <a:pt x="736600" y="177800"/>
                              </a:lnTo>
                              <a:lnTo>
                                <a:pt x="685800" y="38100"/>
                              </a:lnTo>
                              <a:lnTo>
                                <a:pt x="596900" y="0"/>
                              </a:lnTo>
                              <a:lnTo>
                                <a:pt x="514350" y="31750"/>
                              </a:lnTo>
                              <a:close/>
                            </a:path>
                          </a:pathLst>
                        </a:custGeom>
                        <a:solidFill>
                          <a:srgbClr val="FFFF0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67.4pt;margin-top:191.45pt;height:27.5pt;width:58pt;z-index:251699200;mso-width-relative:page;mso-height-relative:page;" fillcolor="#FFFF00" filled="t" stroked="f" coordsize="736600,349250" o:gfxdata="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N&#10;HN+92AAAAAsBAAAPAAAAAAAAAAEAIAAAACIAAABkcnMvZG93bnJldi54bWxQSwECFAAUAAAACACH&#10;TuJAZYMOptAEAAAzEwAADgAAAAAAAAABACAAAAAnAQAAZHJzL2Uyb0RvYy54bWxQSwUGAAAAAAYA&#10;BgBZAQAAaQgAAAAA&#10;" path="m514350,31750l400050,107950,323850,146050,209550,146050,69850,133350,19050,184150,76200,241300,114300,260350,0,298450,57150,336550,152400,349250,330200,222250,520700,215900,533400,273050,736600,177800,685800,38100,596900,0,514350,31750xe">
                <v:path textboxrect="0,0,736600,349250" o:connectlocs="514350,31750;400050,107950;323850,146050;209550,146050;69850,133350;19050,184150;76200,241300;114300,260350;0,298450;57150,336550;152400,349250;330200,222250;520700,215900;533400,273050;736600,177800;685800,38100;596900,0;514350,31750" o:connectangles="0,0,0,0,0,0,0,0,0,0,0,0,0,0,0,0,0,0"/>
                <v:fill on="t" opacity="25559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4913630</wp:posOffset>
                </wp:positionH>
                <wp:positionV relativeFrom="paragraph">
                  <wp:posOffset>1986915</wp:posOffset>
                </wp:positionV>
                <wp:extent cx="577850" cy="273050"/>
                <wp:effectExtent l="0" t="0" r="12700" b="12700"/>
                <wp:wrapNone/>
                <wp:docPr id="77" name="任意多边形 77"/>
                <wp:cNvGraphicFramePr/>
                <a:graphic xmlns:a="http://schemas.openxmlformats.org/drawingml/2006/main">
                  <a:graphicData uri="http://schemas.microsoft.com/office/word/2010/wordprocessingShape">
                    <wps:wsp>
                      <wps:cNvSpPr/>
                      <wps:spPr>
                        <a:xfrm>
                          <a:off x="5813425" y="2886710"/>
                          <a:ext cx="577850" cy="273050"/>
                        </a:xfrm>
                        <a:custGeom>
                          <a:avLst/>
                          <a:gdLst>
                            <a:gd name="connisteX0" fmla="*/ 0 w 577850"/>
                            <a:gd name="connsiteY0" fmla="*/ 31750 h 273050"/>
                            <a:gd name="connisteX1" fmla="*/ 44450 w 577850"/>
                            <a:gd name="connsiteY1" fmla="*/ 146050 h 273050"/>
                            <a:gd name="connisteX2" fmla="*/ 171450 w 577850"/>
                            <a:gd name="connsiteY2" fmla="*/ 190500 h 273050"/>
                            <a:gd name="connisteX3" fmla="*/ 273050 w 577850"/>
                            <a:gd name="connsiteY3" fmla="*/ 273050 h 273050"/>
                            <a:gd name="connisteX4" fmla="*/ 419100 w 577850"/>
                            <a:gd name="connsiteY4" fmla="*/ 247650 h 273050"/>
                            <a:gd name="connisteX5" fmla="*/ 508000 w 577850"/>
                            <a:gd name="connsiteY5" fmla="*/ 190500 h 273050"/>
                            <a:gd name="connisteX6" fmla="*/ 577850 w 577850"/>
                            <a:gd name="connsiteY6" fmla="*/ 158750 h 273050"/>
                            <a:gd name="connisteX7" fmla="*/ 431800 w 577850"/>
                            <a:gd name="connsiteY7" fmla="*/ 95250 h 273050"/>
                            <a:gd name="connisteX8" fmla="*/ 279400 w 577850"/>
                            <a:gd name="connsiteY8" fmla="*/ 69850 h 273050"/>
                            <a:gd name="connisteX9" fmla="*/ 127000 w 577850"/>
                            <a:gd name="connsiteY9" fmla="*/ 0 h 273050"/>
                            <a:gd name="connisteX10" fmla="*/ 0 w 577850"/>
                            <a:gd name="connsiteY10" fmla="*/ 31750 h 2730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577850" h="273050">
                              <a:moveTo>
                                <a:pt x="0" y="31750"/>
                              </a:moveTo>
                              <a:lnTo>
                                <a:pt x="44450" y="146050"/>
                              </a:lnTo>
                              <a:lnTo>
                                <a:pt x="171450" y="190500"/>
                              </a:lnTo>
                              <a:lnTo>
                                <a:pt x="273050" y="273050"/>
                              </a:lnTo>
                              <a:lnTo>
                                <a:pt x="419100" y="247650"/>
                              </a:lnTo>
                              <a:lnTo>
                                <a:pt x="508000" y="190500"/>
                              </a:lnTo>
                              <a:lnTo>
                                <a:pt x="577850" y="158750"/>
                              </a:lnTo>
                              <a:lnTo>
                                <a:pt x="431800" y="95250"/>
                              </a:lnTo>
                              <a:lnTo>
                                <a:pt x="279400" y="69850"/>
                              </a:lnTo>
                              <a:lnTo>
                                <a:pt x="127000" y="0"/>
                              </a:lnTo>
                              <a:lnTo>
                                <a:pt x="0" y="3175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86.9pt;margin-top:156.45pt;height:21.5pt;width:45.5pt;z-index:251698176;mso-width-relative:page;mso-height-relative:page;" fillcolor="#FFFF00" filled="t" stroked="f" coordsize="577850,273050" o:gfxdata="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kddzrtsAAAALAQAADwAAAAAAAAABACAAAAAiAAAAZHJzL2Rvd25yZXYu&#10;eG1sUEsBAhQAFAAAAAgAh07iQOt8Kbv5AwAAWg0AAA4AAAAAAAAAAQAgAAAAKgEAAGRycy9lMm9E&#10;b2MueG1sUEsFBgAAAAAGAAYAWQEAAJUHAAAAAA==&#10;" path="m0,31750l44450,146050,171450,190500,273050,273050,419100,247650,508000,190500,577850,158750,431800,95250,279400,69850,127000,0,0,31750xe">
                <v:path textboxrect="0,0,577850,273050" o:connectlocs="0,31750;44450,146050;171450,190500;273050,273050;419100,247650;508000,190500;577850,158750;431800,95250;279400,69850;127000,0;0,31750" o:connectangles="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5402580</wp:posOffset>
                </wp:positionH>
                <wp:positionV relativeFrom="paragraph">
                  <wp:posOffset>1764665</wp:posOffset>
                </wp:positionV>
                <wp:extent cx="476250" cy="292100"/>
                <wp:effectExtent l="0" t="0" r="0" b="12700"/>
                <wp:wrapNone/>
                <wp:docPr id="76" name="任意多边形 76"/>
                <wp:cNvGraphicFramePr/>
                <a:graphic xmlns:a="http://schemas.openxmlformats.org/drawingml/2006/main">
                  <a:graphicData uri="http://schemas.microsoft.com/office/word/2010/wordprocessingShape">
                    <wps:wsp>
                      <wps:cNvSpPr/>
                      <wps:spPr>
                        <a:xfrm>
                          <a:off x="6302375" y="2664460"/>
                          <a:ext cx="476250" cy="292100"/>
                        </a:xfrm>
                        <a:custGeom>
                          <a:avLst/>
                          <a:gdLst>
                            <a:gd name="connisteX0" fmla="*/ 107950 w 476250"/>
                            <a:gd name="connsiteY0" fmla="*/ 12700 h 292100"/>
                            <a:gd name="connisteX1" fmla="*/ 0 w 476250"/>
                            <a:gd name="connsiteY1" fmla="*/ 69850 h 292100"/>
                            <a:gd name="connisteX2" fmla="*/ 31750 w 476250"/>
                            <a:gd name="connsiteY2" fmla="*/ 196850 h 292100"/>
                            <a:gd name="connisteX3" fmla="*/ 57150 w 476250"/>
                            <a:gd name="connsiteY3" fmla="*/ 234950 h 292100"/>
                            <a:gd name="connisteX4" fmla="*/ 222250 w 476250"/>
                            <a:gd name="connsiteY4" fmla="*/ 279400 h 292100"/>
                            <a:gd name="connisteX5" fmla="*/ 317500 w 476250"/>
                            <a:gd name="connsiteY5" fmla="*/ 292100 h 292100"/>
                            <a:gd name="connisteX6" fmla="*/ 425450 w 476250"/>
                            <a:gd name="connsiteY6" fmla="*/ 292100 h 292100"/>
                            <a:gd name="connisteX7" fmla="*/ 476250 w 476250"/>
                            <a:gd name="connsiteY7" fmla="*/ 133350 h 292100"/>
                            <a:gd name="connisteX8" fmla="*/ 463550 w 476250"/>
                            <a:gd name="connsiteY8" fmla="*/ 12700 h 292100"/>
                            <a:gd name="connisteX9" fmla="*/ 254000 w 476250"/>
                            <a:gd name="connsiteY9" fmla="*/ 0 h 292100"/>
                            <a:gd name="connisteX10" fmla="*/ 107950 w 476250"/>
                            <a:gd name="connsiteY10" fmla="*/ 12700 h 292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476250" h="292100">
                              <a:moveTo>
                                <a:pt x="107950" y="12700"/>
                              </a:moveTo>
                              <a:lnTo>
                                <a:pt x="0" y="69850"/>
                              </a:lnTo>
                              <a:lnTo>
                                <a:pt x="31750" y="196850"/>
                              </a:lnTo>
                              <a:lnTo>
                                <a:pt x="57150" y="234950"/>
                              </a:lnTo>
                              <a:lnTo>
                                <a:pt x="222250" y="279400"/>
                              </a:lnTo>
                              <a:lnTo>
                                <a:pt x="317500" y="292100"/>
                              </a:lnTo>
                              <a:lnTo>
                                <a:pt x="425450" y="292100"/>
                              </a:lnTo>
                              <a:lnTo>
                                <a:pt x="476250" y="133350"/>
                              </a:lnTo>
                              <a:lnTo>
                                <a:pt x="463550" y="12700"/>
                              </a:lnTo>
                              <a:lnTo>
                                <a:pt x="254000" y="0"/>
                              </a:lnTo>
                              <a:lnTo>
                                <a:pt x="107950" y="1270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425.4pt;margin-top:138.95pt;height:23pt;width:37.5pt;z-index:251697152;mso-width-relative:page;mso-height-relative:page;" fillcolor="#FFFF00" filled="t" stroked="f" coordsize="476250,292100" o:gfxdata="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tn3KG3AAAAAsBAAAPAAAAAAAAAAEAIAAAACIAAABkcnMvZG93bnJldi54bWxQ&#10;SwECFAAUAAAACACHTuJAAIbnK/QDAABiDQAADgAAAAAAAAABACAAAAArAQAAZHJzL2Uyb0RvYy54&#10;bWxQSwUGAAAAAAYABgBZAQAAkQcAAAAA&#10;" path="m107950,12700l0,69850,31750,196850,57150,234950,222250,279400,317500,292100,425450,292100,476250,133350,463550,12700,254000,0,107950,12700xe">
                <v:path textboxrect="0,0,476250,292100" o:connectlocs="107950,12700;0,69850;31750,196850;57150,234950;222250,279400;317500,292100;425450,292100;476250,133350;463550,12700;254000,0;107950,12700" o:connectangles="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5339080</wp:posOffset>
                </wp:positionH>
                <wp:positionV relativeFrom="paragraph">
                  <wp:posOffset>1009650</wp:posOffset>
                </wp:positionV>
                <wp:extent cx="1117600" cy="406400"/>
                <wp:effectExtent l="0" t="0" r="6350" b="12700"/>
                <wp:wrapNone/>
                <wp:docPr id="75" name="任意多边形 75"/>
                <wp:cNvGraphicFramePr/>
                <a:graphic xmlns:a="http://schemas.openxmlformats.org/drawingml/2006/main">
                  <a:graphicData uri="http://schemas.microsoft.com/office/word/2010/wordprocessingShape">
                    <wps:wsp>
                      <wps:cNvSpPr/>
                      <wps:spPr>
                        <a:xfrm>
                          <a:off x="6238875" y="1909445"/>
                          <a:ext cx="1117600" cy="406400"/>
                        </a:xfrm>
                        <a:custGeom>
                          <a:avLst/>
                          <a:gdLst>
                            <a:gd name="connisteX0" fmla="*/ 19050 w 1117600"/>
                            <a:gd name="connsiteY0" fmla="*/ 171450 h 406400"/>
                            <a:gd name="connisteX1" fmla="*/ 0 w 1117600"/>
                            <a:gd name="connsiteY1" fmla="*/ 247650 h 406400"/>
                            <a:gd name="connisteX2" fmla="*/ 50800 w 1117600"/>
                            <a:gd name="connsiteY2" fmla="*/ 292100 h 406400"/>
                            <a:gd name="connisteX3" fmla="*/ 184150 w 1117600"/>
                            <a:gd name="connsiteY3" fmla="*/ 330200 h 406400"/>
                            <a:gd name="connisteX4" fmla="*/ 292100 w 1117600"/>
                            <a:gd name="connsiteY4" fmla="*/ 323850 h 406400"/>
                            <a:gd name="connisteX5" fmla="*/ 342900 w 1117600"/>
                            <a:gd name="connsiteY5" fmla="*/ 323850 h 406400"/>
                            <a:gd name="connisteX6" fmla="*/ 450850 w 1117600"/>
                            <a:gd name="connsiteY6" fmla="*/ 279400 h 406400"/>
                            <a:gd name="connisteX7" fmla="*/ 514350 w 1117600"/>
                            <a:gd name="connsiteY7" fmla="*/ 247650 h 406400"/>
                            <a:gd name="connisteX8" fmla="*/ 577850 w 1117600"/>
                            <a:gd name="connsiteY8" fmla="*/ 317500 h 406400"/>
                            <a:gd name="connisteX9" fmla="*/ 717550 w 1117600"/>
                            <a:gd name="connsiteY9" fmla="*/ 311150 h 406400"/>
                            <a:gd name="connisteX10" fmla="*/ 717550 w 1117600"/>
                            <a:gd name="connsiteY10" fmla="*/ 266700 h 406400"/>
                            <a:gd name="connisteX11" fmla="*/ 863600 w 1117600"/>
                            <a:gd name="connsiteY11" fmla="*/ 254000 h 406400"/>
                            <a:gd name="connisteX12" fmla="*/ 889000 w 1117600"/>
                            <a:gd name="connsiteY12" fmla="*/ 336550 h 406400"/>
                            <a:gd name="connisteX13" fmla="*/ 920750 w 1117600"/>
                            <a:gd name="connsiteY13" fmla="*/ 285750 h 406400"/>
                            <a:gd name="connisteX14" fmla="*/ 965200 w 1117600"/>
                            <a:gd name="connsiteY14" fmla="*/ 311150 h 406400"/>
                            <a:gd name="connisteX15" fmla="*/ 1041400 w 1117600"/>
                            <a:gd name="connsiteY15" fmla="*/ 406400 h 406400"/>
                            <a:gd name="connisteX16" fmla="*/ 1079500 w 1117600"/>
                            <a:gd name="connsiteY16" fmla="*/ 342900 h 406400"/>
                            <a:gd name="connisteX17" fmla="*/ 1117600 w 1117600"/>
                            <a:gd name="connsiteY17" fmla="*/ 31750 h 406400"/>
                            <a:gd name="connisteX18" fmla="*/ 1054100 w 1117600"/>
                            <a:gd name="connsiteY18" fmla="*/ 12700 h 406400"/>
                            <a:gd name="connisteX19" fmla="*/ 996950 w 1117600"/>
                            <a:gd name="connsiteY19" fmla="*/ 57150 h 406400"/>
                            <a:gd name="connisteX20" fmla="*/ 774700 w 1117600"/>
                            <a:gd name="connsiteY20" fmla="*/ 0 h 406400"/>
                            <a:gd name="connisteX21" fmla="*/ 749300 w 1117600"/>
                            <a:gd name="connsiteY21" fmla="*/ 50800 h 406400"/>
                            <a:gd name="connisteX22" fmla="*/ 768350 w 1117600"/>
                            <a:gd name="connsiteY22" fmla="*/ 184150 h 406400"/>
                            <a:gd name="connisteX23" fmla="*/ 806450 w 1117600"/>
                            <a:gd name="connsiteY23" fmla="*/ 184150 h 406400"/>
                            <a:gd name="connisteX24" fmla="*/ 736600 w 1117600"/>
                            <a:gd name="connsiteY24" fmla="*/ 215900 h 406400"/>
                            <a:gd name="connisteX25" fmla="*/ 641350 w 1117600"/>
                            <a:gd name="connsiteY25" fmla="*/ 215900 h 406400"/>
                            <a:gd name="connisteX26" fmla="*/ 584200 w 1117600"/>
                            <a:gd name="connsiteY26" fmla="*/ 171450 h 406400"/>
                            <a:gd name="connisteX27" fmla="*/ 482600 w 1117600"/>
                            <a:gd name="connsiteY27" fmla="*/ 171450 h 406400"/>
                            <a:gd name="connisteX28" fmla="*/ 349250 w 1117600"/>
                            <a:gd name="connsiteY28" fmla="*/ 95250 h 406400"/>
                            <a:gd name="connisteX29" fmla="*/ 215900 w 1117600"/>
                            <a:gd name="connsiteY29" fmla="*/ 139700 h 406400"/>
                            <a:gd name="connisteX30" fmla="*/ 127000 w 1117600"/>
                            <a:gd name="connsiteY30" fmla="*/ 152400 h 406400"/>
                            <a:gd name="connisteX31" fmla="*/ 19050 w 1117600"/>
                            <a:gd name="connsiteY31" fmla="*/ 171450 h 406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Lst>
                          <a:rect l="l" t="t" r="r" b="b"/>
                          <a:pathLst>
                            <a:path w="1117600" h="406400">
                              <a:moveTo>
                                <a:pt x="19050" y="171450"/>
                              </a:moveTo>
                              <a:lnTo>
                                <a:pt x="0" y="247650"/>
                              </a:lnTo>
                              <a:lnTo>
                                <a:pt x="50800" y="292100"/>
                              </a:lnTo>
                              <a:lnTo>
                                <a:pt x="184150" y="330200"/>
                              </a:lnTo>
                              <a:lnTo>
                                <a:pt x="292100" y="323850"/>
                              </a:lnTo>
                              <a:lnTo>
                                <a:pt x="342900" y="323850"/>
                              </a:lnTo>
                              <a:lnTo>
                                <a:pt x="450850" y="279400"/>
                              </a:lnTo>
                              <a:lnTo>
                                <a:pt x="514350" y="247650"/>
                              </a:lnTo>
                              <a:lnTo>
                                <a:pt x="577850" y="317500"/>
                              </a:lnTo>
                              <a:lnTo>
                                <a:pt x="717550" y="311150"/>
                              </a:lnTo>
                              <a:lnTo>
                                <a:pt x="717550" y="266700"/>
                              </a:lnTo>
                              <a:lnTo>
                                <a:pt x="863600" y="254000"/>
                              </a:lnTo>
                              <a:lnTo>
                                <a:pt x="889000" y="336550"/>
                              </a:lnTo>
                              <a:lnTo>
                                <a:pt x="920750" y="285750"/>
                              </a:lnTo>
                              <a:lnTo>
                                <a:pt x="965200" y="311150"/>
                              </a:lnTo>
                              <a:lnTo>
                                <a:pt x="1041400" y="406400"/>
                              </a:lnTo>
                              <a:lnTo>
                                <a:pt x="1079500" y="342900"/>
                              </a:lnTo>
                              <a:lnTo>
                                <a:pt x="1117600" y="31750"/>
                              </a:lnTo>
                              <a:lnTo>
                                <a:pt x="1054100" y="12700"/>
                              </a:lnTo>
                              <a:lnTo>
                                <a:pt x="996950" y="57150"/>
                              </a:lnTo>
                              <a:lnTo>
                                <a:pt x="774700" y="0"/>
                              </a:lnTo>
                              <a:lnTo>
                                <a:pt x="749300" y="50800"/>
                              </a:lnTo>
                              <a:lnTo>
                                <a:pt x="768350" y="184150"/>
                              </a:lnTo>
                              <a:lnTo>
                                <a:pt x="806450" y="184150"/>
                              </a:lnTo>
                              <a:lnTo>
                                <a:pt x="736600" y="215900"/>
                              </a:lnTo>
                              <a:lnTo>
                                <a:pt x="641350" y="215900"/>
                              </a:lnTo>
                              <a:lnTo>
                                <a:pt x="584200" y="171450"/>
                              </a:lnTo>
                              <a:lnTo>
                                <a:pt x="482600" y="171450"/>
                              </a:lnTo>
                              <a:lnTo>
                                <a:pt x="349250" y="95250"/>
                              </a:lnTo>
                              <a:lnTo>
                                <a:pt x="215900" y="139700"/>
                              </a:lnTo>
                              <a:lnTo>
                                <a:pt x="127000" y="152400"/>
                              </a:lnTo>
                              <a:lnTo>
                                <a:pt x="19050" y="17145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420.4pt;margin-top:79.5pt;height:32pt;width:88pt;z-index:251696128;mso-width-relative:page;mso-height-relative:page;" fillcolor="#FFFF00" filled="t" stroked="f" coordsize="1117600,406400" o:gfxdata="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AAAAAZHJzL1BLAQIUABQAAAAI&#10;AIdO4kD8KtgF2gAAAAwBAAAPAAAAAAAAAAEAIAAAACIAAABkcnMvZG93bnJldi54bWxQSwECFAAU&#10;AAAACACHTuJA6Lz+iGMGAAABHwAADgAAAAAAAAABACAAAAApAQAAZHJzL2Uyb0RvYy54bWxQSwUG&#10;AAAAAAYABgBZAQAA/gkAAAAA&#10;" path="m19050,171450l0,247650,50800,292100,184150,330200,292100,323850,342900,323850,450850,279400,514350,247650,577850,317500,717550,311150,717550,266700,863600,254000,889000,336550,920750,285750,965200,311150,1041400,406400,1079500,342900,1117600,31750,1054100,12700,996950,57150,774700,0,749300,50800,768350,184150,806450,184150,736600,215900,641350,215900,584200,171450,482600,171450,349250,95250,215900,139700,127000,152400,19050,171450xe">
                <v:path textboxrect="0,0,1117600,406400" o:connectlocs="19050,171450;0,247650;50800,292100;184150,330200;292100,323850;342900,323850;450850,279400;514350,247650;577850,317500;717550,311150;717550,266700;863600,254000;889000,336550;920750,285750;965200,311150;1041400,406400;1079500,342900;1117600,31750;1054100,12700;996950,57150;774700,0;749300,50800;768350,184150;806450,184150;736600,215900;641350,215900;584200,171450;482600,171450;349250,95250;215900,139700;127000,152400;19050,171450" o:connectangles="0,0,0,0,0,0,0,0,0,0,0,0,0,0,0,0,0,0,0,0,0,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5040630</wp:posOffset>
                </wp:positionH>
                <wp:positionV relativeFrom="paragraph">
                  <wp:posOffset>4037965</wp:posOffset>
                </wp:positionV>
                <wp:extent cx="1708150" cy="755650"/>
                <wp:effectExtent l="0" t="0" r="6350" b="6350"/>
                <wp:wrapNone/>
                <wp:docPr id="73" name="任意多边形 73"/>
                <wp:cNvGraphicFramePr/>
                <a:graphic xmlns:a="http://schemas.openxmlformats.org/drawingml/2006/main">
                  <a:graphicData uri="http://schemas.microsoft.com/office/word/2010/wordprocessingShape">
                    <wps:wsp>
                      <wps:cNvSpPr/>
                      <wps:spPr>
                        <a:xfrm>
                          <a:off x="5940425" y="4937760"/>
                          <a:ext cx="1708150" cy="755650"/>
                        </a:xfrm>
                        <a:custGeom>
                          <a:avLst/>
                          <a:gdLst>
                            <a:gd name="connisteX0" fmla="*/ 984250 w 1708150"/>
                            <a:gd name="connsiteY0" fmla="*/ 444500 h 755650"/>
                            <a:gd name="connisteX1" fmla="*/ 1276350 w 1708150"/>
                            <a:gd name="connsiteY1" fmla="*/ 457200 h 755650"/>
                            <a:gd name="connisteX2" fmla="*/ 1238250 w 1708150"/>
                            <a:gd name="connsiteY2" fmla="*/ 285750 h 755650"/>
                            <a:gd name="connisteX3" fmla="*/ 1231900 w 1708150"/>
                            <a:gd name="connsiteY3" fmla="*/ 146050 h 755650"/>
                            <a:gd name="connisteX4" fmla="*/ 1435100 w 1708150"/>
                            <a:gd name="connsiteY4" fmla="*/ 158750 h 755650"/>
                            <a:gd name="connisteX5" fmla="*/ 1435100 w 1708150"/>
                            <a:gd name="connsiteY5" fmla="*/ 222250 h 755650"/>
                            <a:gd name="connisteX6" fmla="*/ 1701800 w 1708150"/>
                            <a:gd name="connsiteY6" fmla="*/ 222250 h 755650"/>
                            <a:gd name="connisteX7" fmla="*/ 1708150 w 1708150"/>
                            <a:gd name="connsiteY7" fmla="*/ 50800 h 755650"/>
                            <a:gd name="connisteX8" fmla="*/ 1600200 w 1708150"/>
                            <a:gd name="connsiteY8" fmla="*/ 0 h 755650"/>
                            <a:gd name="connisteX9" fmla="*/ 1498600 w 1708150"/>
                            <a:gd name="connsiteY9" fmla="*/ 6350 h 755650"/>
                            <a:gd name="connisteX10" fmla="*/ 1466850 w 1708150"/>
                            <a:gd name="connsiteY10" fmla="*/ 114300 h 755650"/>
                            <a:gd name="connisteX11" fmla="*/ 1206500 w 1708150"/>
                            <a:gd name="connsiteY11" fmla="*/ 114300 h 755650"/>
                            <a:gd name="connisteX12" fmla="*/ 958850 w 1708150"/>
                            <a:gd name="connsiteY12" fmla="*/ 88900 h 755650"/>
                            <a:gd name="connisteX13" fmla="*/ 952500 w 1708150"/>
                            <a:gd name="connsiteY13" fmla="*/ 222250 h 755650"/>
                            <a:gd name="connisteX14" fmla="*/ 889000 w 1708150"/>
                            <a:gd name="connsiteY14" fmla="*/ 254000 h 755650"/>
                            <a:gd name="connisteX15" fmla="*/ 831850 w 1708150"/>
                            <a:gd name="connsiteY15" fmla="*/ 292100 h 755650"/>
                            <a:gd name="connisteX16" fmla="*/ 787400 w 1708150"/>
                            <a:gd name="connsiteY16" fmla="*/ 292100 h 755650"/>
                            <a:gd name="connisteX17" fmla="*/ 781050 w 1708150"/>
                            <a:gd name="connsiteY17" fmla="*/ 234950 h 755650"/>
                            <a:gd name="connisteX18" fmla="*/ 514350 w 1708150"/>
                            <a:gd name="connsiteY18" fmla="*/ 241300 h 755650"/>
                            <a:gd name="connisteX19" fmla="*/ 476250 w 1708150"/>
                            <a:gd name="connsiteY19" fmla="*/ 323850 h 755650"/>
                            <a:gd name="connisteX20" fmla="*/ 317500 w 1708150"/>
                            <a:gd name="connsiteY20" fmla="*/ 342900 h 755650"/>
                            <a:gd name="connisteX21" fmla="*/ 355600 w 1708150"/>
                            <a:gd name="connsiteY21" fmla="*/ 444500 h 755650"/>
                            <a:gd name="connisteX22" fmla="*/ 323850 w 1708150"/>
                            <a:gd name="connsiteY22" fmla="*/ 495300 h 755650"/>
                            <a:gd name="connisteX23" fmla="*/ 228600 w 1708150"/>
                            <a:gd name="connsiteY23" fmla="*/ 495300 h 755650"/>
                            <a:gd name="connisteX24" fmla="*/ 82550 w 1708150"/>
                            <a:gd name="connsiteY24" fmla="*/ 508000 h 755650"/>
                            <a:gd name="connisteX25" fmla="*/ 0 w 1708150"/>
                            <a:gd name="connsiteY25" fmla="*/ 590550 h 755650"/>
                            <a:gd name="connisteX26" fmla="*/ 38100 w 1708150"/>
                            <a:gd name="connsiteY26" fmla="*/ 755650 h 755650"/>
                            <a:gd name="connisteX27" fmla="*/ 247650 w 1708150"/>
                            <a:gd name="connsiteY27" fmla="*/ 742950 h 755650"/>
                            <a:gd name="connisteX28" fmla="*/ 431800 w 1708150"/>
                            <a:gd name="connsiteY28" fmla="*/ 647700 h 755650"/>
                            <a:gd name="connisteX29" fmla="*/ 482600 w 1708150"/>
                            <a:gd name="connsiteY29" fmla="*/ 539750 h 755650"/>
                            <a:gd name="connisteX30" fmla="*/ 774700 w 1708150"/>
                            <a:gd name="connsiteY30" fmla="*/ 488950 h 755650"/>
                            <a:gd name="connisteX31" fmla="*/ 984250 w 1708150"/>
                            <a:gd name="connsiteY31" fmla="*/ 444500 h 7556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Lst>
                          <a:rect l="l" t="t" r="r" b="b"/>
                          <a:pathLst>
                            <a:path w="1708150" h="755650">
                              <a:moveTo>
                                <a:pt x="984250" y="444500"/>
                              </a:moveTo>
                              <a:lnTo>
                                <a:pt x="1276350" y="457200"/>
                              </a:lnTo>
                              <a:lnTo>
                                <a:pt x="1238250" y="285750"/>
                              </a:lnTo>
                              <a:lnTo>
                                <a:pt x="1231900" y="146050"/>
                              </a:lnTo>
                              <a:lnTo>
                                <a:pt x="1435100" y="158750"/>
                              </a:lnTo>
                              <a:lnTo>
                                <a:pt x="1435100" y="222250"/>
                              </a:lnTo>
                              <a:lnTo>
                                <a:pt x="1701800" y="222250"/>
                              </a:lnTo>
                              <a:lnTo>
                                <a:pt x="1708150" y="50800"/>
                              </a:lnTo>
                              <a:lnTo>
                                <a:pt x="1600200" y="0"/>
                              </a:lnTo>
                              <a:lnTo>
                                <a:pt x="1498600" y="6350"/>
                              </a:lnTo>
                              <a:lnTo>
                                <a:pt x="1466850" y="114300"/>
                              </a:lnTo>
                              <a:lnTo>
                                <a:pt x="1206500" y="114300"/>
                              </a:lnTo>
                              <a:lnTo>
                                <a:pt x="958850" y="88900"/>
                              </a:lnTo>
                              <a:lnTo>
                                <a:pt x="952500" y="222250"/>
                              </a:lnTo>
                              <a:lnTo>
                                <a:pt x="889000" y="254000"/>
                              </a:lnTo>
                              <a:lnTo>
                                <a:pt x="831850" y="292100"/>
                              </a:lnTo>
                              <a:lnTo>
                                <a:pt x="787400" y="292100"/>
                              </a:lnTo>
                              <a:lnTo>
                                <a:pt x="781050" y="234950"/>
                              </a:lnTo>
                              <a:lnTo>
                                <a:pt x="514350" y="241300"/>
                              </a:lnTo>
                              <a:lnTo>
                                <a:pt x="476250" y="323850"/>
                              </a:lnTo>
                              <a:lnTo>
                                <a:pt x="317500" y="342900"/>
                              </a:lnTo>
                              <a:lnTo>
                                <a:pt x="355600" y="444500"/>
                              </a:lnTo>
                              <a:lnTo>
                                <a:pt x="323850" y="495300"/>
                              </a:lnTo>
                              <a:lnTo>
                                <a:pt x="228600" y="495300"/>
                              </a:lnTo>
                              <a:lnTo>
                                <a:pt x="82550" y="508000"/>
                              </a:lnTo>
                              <a:lnTo>
                                <a:pt x="0" y="590550"/>
                              </a:lnTo>
                              <a:lnTo>
                                <a:pt x="38100" y="755650"/>
                              </a:lnTo>
                              <a:lnTo>
                                <a:pt x="247650" y="742950"/>
                              </a:lnTo>
                              <a:lnTo>
                                <a:pt x="431800" y="647700"/>
                              </a:lnTo>
                              <a:lnTo>
                                <a:pt x="482600" y="539750"/>
                              </a:lnTo>
                              <a:lnTo>
                                <a:pt x="774700" y="488950"/>
                              </a:lnTo>
                              <a:lnTo>
                                <a:pt x="984250" y="444500"/>
                              </a:lnTo>
                              <a:close/>
                            </a:path>
                          </a:pathLst>
                        </a:cu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96.9pt;margin-top:317.95pt;height:59.5pt;width:134.5pt;z-index:251695104;mso-width-relative:page;mso-height-relative:page;" fillcolor="#FFFF00" filled="t" stroked="f" coordsize="1708150,755650" o:gfxdata="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FK08jrXAAAADAEAAA8AAAAAAAAAAQAgAAAAIgAAAGRycy9k&#10;b3ducmV2LnhtbFBLAQIUABQAAAAIAIdO4kAw0bTCdwYAABMfAAAOAAAAAAAAAAEAIAAAACYBAABk&#10;cnMvZTJvRG9jLnhtbFBLBQYAAAAABgAGAFkBAAAPCgAAAAA=&#10;" path="m984250,444500l1276350,457200,1238250,285750,1231900,146050,1435100,158750,1435100,222250,1701800,222250,1708150,50800,1600200,0,1498600,6350,1466850,114300,1206500,114300,958850,88900,952500,222250,889000,254000,831850,292100,787400,292100,781050,234950,514350,241300,476250,323850,317500,342900,355600,444500,323850,495300,228600,495300,82550,508000,0,590550,38100,755650,247650,742950,431800,647700,482600,539750,774700,488950,984250,444500xe">
                <v:path textboxrect="0,0,1708150,755650" o:connectlocs="984250,444500;1276350,457200;1238250,285750;1231900,146050;1435100,158750;1435100,222250;1701800,222250;1708150,50800;1600200,0;1498600,6350;1466850,114300;1206500,114300;958850,88900;952500,222250;889000,254000;831850,292100;787400,292100;781050,234950;514350,241300;476250,323850;317500,342900;355600,444500;323850,495300;228600,495300;82550,508000;0,590550;38100,755650;247650,742950;431800,647700;482600,539750;774700,488950;984250,444500" o:connectangles="0,0,0,0,0,0,0,0,0,0,0,0,0,0,0,0,0,0,0,0,0,0,0,0,0,0,0,0,0,0,0,0"/>
                <v:fill on="t" opacity="2752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4761230</wp:posOffset>
                </wp:positionH>
                <wp:positionV relativeFrom="paragraph">
                  <wp:posOffset>3739515</wp:posOffset>
                </wp:positionV>
                <wp:extent cx="438150" cy="279400"/>
                <wp:effectExtent l="0" t="0" r="0" b="6350"/>
                <wp:wrapNone/>
                <wp:docPr id="72" name="任意多边形 72"/>
                <wp:cNvGraphicFramePr/>
                <a:graphic xmlns:a="http://schemas.openxmlformats.org/drawingml/2006/main">
                  <a:graphicData uri="http://schemas.microsoft.com/office/word/2010/wordprocessingShape">
                    <wps:wsp>
                      <wps:cNvSpPr/>
                      <wps:spPr>
                        <a:xfrm>
                          <a:off x="5661025" y="4639310"/>
                          <a:ext cx="438150" cy="279400"/>
                        </a:xfrm>
                        <a:custGeom>
                          <a:avLst/>
                          <a:gdLst>
                            <a:gd name="connisteX0" fmla="*/ 25400 w 438150"/>
                            <a:gd name="connsiteY0" fmla="*/ 82550 h 279400"/>
                            <a:gd name="connisteX1" fmla="*/ 0 w 438150"/>
                            <a:gd name="connsiteY1" fmla="*/ 171450 h 279400"/>
                            <a:gd name="connisteX2" fmla="*/ 95250 w 438150"/>
                            <a:gd name="connsiteY2" fmla="*/ 266700 h 279400"/>
                            <a:gd name="connisteX3" fmla="*/ 361950 w 438150"/>
                            <a:gd name="connsiteY3" fmla="*/ 279400 h 279400"/>
                            <a:gd name="connisteX4" fmla="*/ 393700 w 438150"/>
                            <a:gd name="connsiteY4" fmla="*/ 190500 h 279400"/>
                            <a:gd name="connisteX5" fmla="*/ 438150 w 438150"/>
                            <a:gd name="connsiteY5" fmla="*/ 0 h 279400"/>
                            <a:gd name="connisteX6" fmla="*/ 298450 w 438150"/>
                            <a:gd name="connsiteY6" fmla="*/ 19050 h 279400"/>
                            <a:gd name="connisteX7" fmla="*/ 196850 w 438150"/>
                            <a:gd name="connsiteY7" fmla="*/ 50800 h 279400"/>
                            <a:gd name="connisteX8" fmla="*/ 25400 w 438150"/>
                            <a:gd name="connsiteY8" fmla="*/ 82550 h 279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438150" h="279400">
                              <a:moveTo>
                                <a:pt x="25400" y="82550"/>
                              </a:moveTo>
                              <a:lnTo>
                                <a:pt x="0" y="171450"/>
                              </a:lnTo>
                              <a:lnTo>
                                <a:pt x="95250" y="266700"/>
                              </a:lnTo>
                              <a:lnTo>
                                <a:pt x="361950" y="279400"/>
                              </a:lnTo>
                              <a:lnTo>
                                <a:pt x="393700" y="190500"/>
                              </a:lnTo>
                              <a:lnTo>
                                <a:pt x="438150" y="0"/>
                              </a:lnTo>
                              <a:lnTo>
                                <a:pt x="298450" y="19050"/>
                              </a:lnTo>
                              <a:lnTo>
                                <a:pt x="196850" y="50800"/>
                              </a:lnTo>
                              <a:lnTo>
                                <a:pt x="25400" y="82550"/>
                              </a:lnTo>
                              <a:close/>
                            </a:path>
                          </a:pathLst>
                        </a:cu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74.9pt;margin-top:294.45pt;height:22pt;width:34.5pt;z-index:251694080;mso-width-relative:page;mso-height-relative:page;" fillcolor="#FFFF00" filled="t" stroked="f" coordsize="438150,279400" o:gfxdata="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NgtE0LbAAAACwEAAA8AAAAAAAAAAQAgAAAAIgAAAGRycy9kb3ducmV2LnhtbFBL&#10;AQIUABQAAAAIAIdO4kC72UPcuwMAALoLAAAOAAAAAAAAAAEAIAAAACoBAABkcnMvZTJvRG9jLnht&#10;bFBLBQYAAAAABgAGAFkBAABXBwAAAAA=&#10;" path="m25400,82550l0,171450,95250,266700,361950,279400,393700,190500,438150,0,298450,19050,196850,50800,25400,82550xe">
                <v:path textboxrect="0,0,438150,279400" o:connectlocs="25400,82550;0,171450;95250,266700;361950,279400;393700,190500;438150,0;298450,19050;196850,50800;25400,82550" o:connectangles="0,0,0,0,0,0,0,0,0"/>
                <v:fill on="t" opacity="2752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4043680</wp:posOffset>
                </wp:positionH>
                <wp:positionV relativeFrom="paragraph">
                  <wp:posOffset>3148965</wp:posOffset>
                </wp:positionV>
                <wp:extent cx="704850" cy="825500"/>
                <wp:effectExtent l="0" t="0" r="0" b="12700"/>
                <wp:wrapNone/>
                <wp:docPr id="71" name="任意多边形 71"/>
                <wp:cNvGraphicFramePr/>
                <a:graphic xmlns:a="http://schemas.openxmlformats.org/drawingml/2006/main">
                  <a:graphicData uri="http://schemas.microsoft.com/office/word/2010/wordprocessingShape">
                    <wps:wsp>
                      <wps:cNvSpPr/>
                      <wps:spPr>
                        <a:xfrm>
                          <a:off x="4943475" y="4048760"/>
                          <a:ext cx="704850" cy="825500"/>
                        </a:xfrm>
                        <a:custGeom>
                          <a:avLst/>
                          <a:gdLst>
                            <a:gd name="connisteX0" fmla="*/ 95250 w 704850"/>
                            <a:gd name="connsiteY0" fmla="*/ 0 h 825500"/>
                            <a:gd name="connisteX1" fmla="*/ 120650 w 704850"/>
                            <a:gd name="connsiteY1" fmla="*/ 101600 h 825500"/>
                            <a:gd name="connisteX2" fmla="*/ 76200 w 704850"/>
                            <a:gd name="connsiteY2" fmla="*/ 215900 h 825500"/>
                            <a:gd name="connisteX3" fmla="*/ 114300 w 704850"/>
                            <a:gd name="connsiteY3" fmla="*/ 260350 h 825500"/>
                            <a:gd name="connisteX4" fmla="*/ 165100 w 704850"/>
                            <a:gd name="connsiteY4" fmla="*/ 285750 h 825500"/>
                            <a:gd name="connisteX5" fmla="*/ 114300 w 704850"/>
                            <a:gd name="connsiteY5" fmla="*/ 501650 h 825500"/>
                            <a:gd name="connisteX6" fmla="*/ 57150 w 704850"/>
                            <a:gd name="connsiteY6" fmla="*/ 635000 h 825500"/>
                            <a:gd name="connisteX7" fmla="*/ 0 w 704850"/>
                            <a:gd name="connsiteY7" fmla="*/ 641350 h 825500"/>
                            <a:gd name="connisteX8" fmla="*/ 0 w 704850"/>
                            <a:gd name="connsiteY8" fmla="*/ 723900 h 825500"/>
                            <a:gd name="connisteX9" fmla="*/ 88900 w 704850"/>
                            <a:gd name="connsiteY9" fmla="*/ 736600 h 825500"/>
                            <a:gd name="connisteX10" fmla="*/ 88900 w 704850"/>
                            <a:gd name="connsiteY10" fmla="*/ 787400 h 825500"/>
                            <a:gd name="connisteX11" fmla="*/ 342900 w 704850"/>
                            <a:gd name="connsiteY11" fmla="*/ 825500 h 825500"/>
                            <a:gd name="connisteX12" fmla="*/ 438150 w 704850"/>
                            <a:gd name="connsiteY12" fmla="*/ 660400 h 825500"/>
                            <a:gd name="connisteX13" fmla="*/ 374650 w 704850"/>
                            <a:gd name="connsiteY13" fmla="*/ 571500 h 825500"/>
                            <a:gd name="connisteX14" fmla="*/ 311150 w 704850"/>
                            <a:gd name="connsiteY14" fmla="*/ 476250 h 825500"/>
                            <a:gd name="connisteX15" fmla="*/ 508000 w 704850"/>
                            <a:gd name="connsiteY15" fmla="*/ 431800 h 825500"/>
                            <a:gd name="connisteX16" fmla="*/ 698500 w 704850"/>
                            <a:gd name="connsiteY16" fmla="*/ 381000 h 825500"/>
                            <a:gd name="connisteX17" fmla="*/ 704850 w 704850"/>
                            <a:gd name="connsiteY17" fmla="*/ 311150 h 825500"/>
                            <a:gd name="connisteX18" fmla="*/ 552450 w 704850"/>
                            <a:gd name="connsiteY18" fmla="*/ 298450 h 825500"/>
                            <a:gd name="connisteX19" fmla="*/ 298450 w 704850"/>
                            <a:gd name="connsiteY19" fmla="*/ 317500 h 825500"/>
                            <a:gd name="connisteX20" fmla="*/ 298450 w 704850"/>
                            <a:gd name="connsiteY20" fmla="*/ 247650 h 825500"/>
                            <a:gd name="connisteX21" fmla="*/ 482600 w 704850"/>
                            <a:gd name="connsiteY21" fmla="*/ 203200 h 825500"/>
                            <a:gd name="connisteX22" fmla="*/ 495300 w 704850"/>
                            <a:gd name="connsiteY22" fmla="*/ 88900 h 825500"/>
                            <a:gd name="connisteX23" fmla="*/ 393700 w 704850"/>
                            <a:gd name="connsiteY23" fmla="*/ 76200 h 825500"/>
                            <a:gd name="connisteX24" fmla="*/ 184150 w 704850"/>
                            <a:gd name="connsiteY24" fmla="*/ 0 h 825500"/>
                            <a:gd name="connisteX25" fmla="*/ 95250 w 704850"/>
                            <a:gd name="connsiteY25" fmla="*/ 0 h 825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Lst>
                          <a:rect l="l" t="t" r="r" b="b"/>
                          <a:pathLst>
                            <a:path w="704850" h="825500">
                              <a:moveTo>
                                <a:pt x="95250" y="0"/>
                              </a:moveTo>
                              <a:lnTo>
                                <a:pt x="120650" y="101600"/>
                              </a:lnTo>
                              <a:lnTo>
                                <a:pt x="76200" y="215900"/>
                              </a:lnTo>
                              <a:lnTo>
                                <a:pt x="114300" y="260350"/>
                              </a:lnTo>
                              <a:lnTo>
                                <a:pt x="165100" y="285750"/>
                              </a:lnTo>
                              <a:lnTo>
                                <a:pt x="114300" y="501650"/>
                              </a:lnTo>
                              <a:lnTo>
                                <a:pt x="57150" y="635000"/>
                              </a:lnTo>
                              <a:lnTo>
                                <a:pt x="0" y="641350"/>
                              </a:lnTo>
                              <a:lnTo>
                                <a:pt x="0" y="723900"/>
                              </a:lnTo>
                              <a:lnTo>
                                <a:pt x="88900" y="736600"/>
                              </a:lnTo>
                              <a:lnTo>
                                <a:pt x="88900" y="787400"/>
                              </a:lnTo>
                              <a:lnTo>
                                <a:pt x="342900" y="825500"/>
                              </a:lnTo>
                              <a:lnTo>
                                <a:pt x="438150" y="660400"/>
                              </a:lnTo>
                              <a:lnTo>
                                <a:pt x="374650" y="571500"/>
                              </a:lnTo>
                              <a:lnTo>
                                <a:pt x="311150" y="476250"/>
                              </a:lnTo>
                              <a:lnTo>
                                <a:pt x="508000" y="431800"/>
                              </a:lnTo>
                              <a:lnTo>
                                <a:pt x="698500" y="381000"/>
                              </a:lnTo>
                              <a:lnTo>
                                <a:pt x="704850" y="311150"/>
                              </a:lnTo>
                              <a:lnTo>
                                <a:pt x="552450" y="298450"/>
                              </a:lnTo>
                              <a:lnTo>
                                <a:pt x="298450" y="317500"/>
                              </a:lnTo>
                              <a:lnTo>
                                <a:pt x="298450" y="247650"/>
                              </a:lnTo>
                              <a:lnTo>
                                <a:pt x="482600" y="203200"/>
                              </a:lnTo>
                              <a:lnTo>
                                <a:pt x="495300" y="88900"/>
                              </a:lnTo>
                              <a:lnTo>
                                <a:pt x="393700" y="76200"/>
                              </a:lnTo>
                              <a:lnTo>
                                <a:pt x="184150" y="0"/>
                              </a:lnTo>
                              <a:lnTo>
                                <a:pt x="95250" y="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18.4pt;margin-top:247.95pt;height:65pt;width:55.5pt;z-index:251693056;mso-width-relative:page;mso-height-relative:page;" fillcolor="#FFFF00" filled="t" stroked="f" coordsize="704850,825500" o:gfxdata="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fYlDfdoAAAALAQAADwAAAAAAAAABACAAAAAiAAAAZHJzL2Rvd25yZXYueG1sUEsB&#10;AhQAFAAAAAgAh07iQI/vcyK8BQAAuxkAAA4AAAAAAAAAAQAgAAAAKQEAAGRycy9lMm9Eb2MueG1s&#10;UEsFBgAAAAAGAAYAWQEAAFcJAAAAAA==&#10;" path="m95250,0l120650,101600,76200,215900,114300,260350,165100,285750,114300,501650,57150,635000,0,641350,0,723900,88900,736600,88900,787400,342900,825500,438150,660400,374650,571500,311150,476250,508000,431800,698500,381000,704850,311150,552450,298450,298450,317500,298450,247650,482600,203200,495300,88900,393700,76200,184150,0,95250,0xe">
                <v:path textboxrect="0,0,704850,825500" o:connectlocs="95250,0;120650,101600;76200,215900;114300,260350;165100,285750;114300,501650;57150,635000;0,641350;0,723900;88900,736600;88900,787400;342900,825500;438150,660400;374650,571500;311150,476250;508000,431800;698500,381000;704850,311150;552450,298450;298450,317500;298450,247650;482600,203200;495300,88900;393700,76200;184150,0;95250,0" o:connectangles="0,0,0,0,0,0,0,0,0,0,0,0,0,0,0,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3910330</wp:posOffset>
                </wp:positionH>
                <wp:positionV relativeFrom="paragraph">
                  <wp:posOffset>1746250</wp:posOffset>
                </wp:positionV>
                <wp:extent cx="488950" cy="298450"/>
                <wp:effectExtent l="0" t="0" r="6350" b="6350"/>
                <wp:wrapNone/>
                <wp:docPr id="69" name="任意多边形 69"/>
                <wp:cNvGraphicFramePr/>
                <a:graphic xmlns:a="http://schemas.openxmlformats.org/drawingml/2006/main">
                  <a:graphicData uri="http://schemas.microsoft.com/office/word/2010/wordprocessingShape">
                    <wps:wsp>
                      <wps:cNvSpPr/>
                      <wps:spPr>
                        <a:xfrm>
                          <a:off x="4810125" y="2646045"/>
                          <a:ext cx="488950" cy="298450"/>
                        </a:xfrm>
                        <a:custGeom>
                          <a:avLst/>
                          <a:gdLst>
                            <a:gd name="connisteX0" fmla="*/ 6350 w 488950"/>
                            <a:gd name="connsiteY0" fmla="*/ 12700 h 298450"/>
                            <a:gd name="connisteX1" fmla="*/ 0 w 488950"/>
                            <a:gd name="connsiteY1" fmla="*/ 298450 h 298450"/>
                            <a:gd name="connisteX2" fmla="*/ 488950 w 488950"/>
                            <a:gd name="connsiteY2" fmla="*/ 292100 h 298450"/>
                            <a:gd name="connisteX3" fmla="*/ 469900 w 488950"/>
                            <a:gd name="connsiteY3" fmla="*/ 171450 h 298450"/>
                            <a:gd name="connisteX4" fmla="*/ 349250 w 488950"/>
                            <a:gd name="connsiteY4" fmla="*/ 146050 h 298450"/>
                            <a:gd name="connisteX5" fmla="*/ 361950 w 488950"/>
                            <a:gd name="connsiteY5" fmla="*/ 50800 h 298450"/>
                            <a:gd name="connisteX6" fmla="*/ 228600 w 488950"/>
                            <a:gd name="connsiteY6" fmla="*/ 12700 h 298450"/>
                            <a:gd name="connisteX7" fmla="*/ 184150 w 488950"/>
                            <a:gd name="connsiteY7" fmla="*/ 19050 h 298450"/>
                            <a:gd name="connisteX8" fmla="*/ 158750 w 488950"/>
                            <a:gd name="connsiteY8" fmla="*/ 69850 h 298450"/>
                            <a:gd name="connisteX9" fmla="*/ 107950 w 488950"/>
                            <a:gd name="connsiteY9" fmla="*/ 44450 h 298450"/>
                            <a:gd name="connisteX10" fmla="*/ 88900 w 488950"/>
                            <a:gd name="connsiteY10" fmla="*/ 0 h 298450"/>
                            <a:gd name="connisteX11" fmla="*/ 6350 w 488950"/>
                            <a:gd name="connsiteY11" fmla="*/ 12700 h 2984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488950" h="298450">
                              <a:moveTo>
                                <a:pt x="6350" y="12700"/>
                              </a:moveTo>
                              <a:lnTo>
                                <a:pt x="0" y="298450"/>
                              </a:lnTo>
                              <a:lnTo>
                                <a:pt x="488950" y="292100"/>
                              </a:lnTo>
                              <a:lnTo>
                                <a:pt x="469900" y="171450"/>
                              </a:lnTo>
                              <a:lnTo>
                                <a:pt x="349250" y="146050"/>
                              </a:lnTo>
                              <a:lnTo>
                                <a:pt x="361950" y="50800"/>
                              </a:lnTo>
                              <a:lnTo>
                                <a:pt x="228600" y="12700"/>
                              </a:lnTo>
                              <a:lnTo>
                                <a:pt x="184150" y="19050"/>
                              </a:lnTo>
                              <a:lnTo>
                                <a:pt x="158750" y="69850"/>
                              </a:lnTo>
                              <a:lnTo>
                                <a:pt x="107950" y="44450"/>
                              </a:lnTo>
                              <a:lnTo>
                                <a:pt x="88900" y="0"/>
                              </a:lnTo>
                              <a:lnTo>
                                <a:pt x="6350" y="12700"/>
                              </a:lnTo>
                              <a:close/>
                            </a:path>
                          </a:pathLst>
                        </a:custGeom>
                        <a:solidFill>
                          <a:srgbClr val="FFFF00">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07.9pt;margin-top:137.5pt;height:23.5pt;width:38.5pt;z-index:251692032;mso-width-relative:page;mso-height-relative:page;" fillcolor="#FFFF00" filled="t" stroked="f" coordsize="488950,298450" o:gfxdata="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EAYlC9gAAAALAQAADwAAAAAA&#10;AAABACAAAAAiAAAAZHJzL2Rvd25yZXYueG1sUEsBAhQAFAAAAAgAh07iQO/HUDkUBAAAKw4AAA4A&#10;AAAAAAAAAQAgAAAAJwEAAGRycy9lMm9Eb2MueG1sUEsFBgAAAAAGAAYAWQEAAK0HAAAAAA==&#10;" path="m6350,12700l0,298450,488950,292100,469900,171450,349250,146050,361950,50800,228600,12700,184150,19050,158750,69850,107950,44450,88900,0,6350,12700xe">
                <v:path textboxrect="0,0,488950,298450" o:connectlocs="6350,12700;0,298450;488950,292100;469900,171450;349250,146050;361950,50800;228600,12700;184150,19050;158750,69850;107950,44450;88900,0;6350,12700" o:connectangles="0,0,0,0,0,0,0,0,0,0,0,0"/>
                <v:fill on="t" opacity="29491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3573780</wp:posOffset>
                </wp:positionH>
                <wp:positionV relativeFrom="paragraph">
                  <wp:posOffset>1257300</wp:posOffset>
                </wp:positionV>
                <wp:extent cx="406400" cy="349250"/>
                <wp:effectExtent l="0" t="0" r="12700" b="12700"/>
                <wp:wrapNone/>
                <wp:docPr id="68" name="任意多边形 68"/>
                <wp:cNvGraphicFramePr/>
                <a:graphic xmlns:a="http://schemas.openxmlformats.org/drawingml/2006/main">
                  <a:graphicData uri="http://schemas.microsoft.com/office/word/2010/wordprocessingShape">
                    <wps:wsp>
                      <wps:cNvSpPr/>
                      <wps:spPr>
                        <a:xfrm>
                          <a:off x="4473575" y="2157095"/>
                          <a:ext cx="406400" cy="349250"/>
                        </a:xfrm>
                        <a:custGeom>
                          <a:avLst/>
                          <a:gdLst>
                            <a:gd name="connisteX0" fmla="*/ 203200 w 406400"/>
                            <a:gd name="connsiteY0" fmla="*/ 0 h 349250"/>
                            <a:gd name="connisteX1" fmla="*/ 63500 w 406400"/>
                            <a:gd name="connsiteY1" fmla="*/ 12700 h 349250"/>
                            <a:gd name="connisteX2" fmla="*/ 76200 w 406400"/>
                            <a:gd name="connsiteY2" fmla="*/ 222250 h 349250"/>
                            <a:gd name="connisteX3" fmla="*/ 0 w 406400"/>
                            <a:gd name="connsiteY3" fmla="*/ 349250 h 349250"/>
                            <a:gd name="connisteX4" fmla="*/ 107950 w 406400"/>
                            <a:gd name="connsiteY4" fmla="*/ 311150 h 349250"/>
                            <a:gd name="connisteX5" fmla="*/ 139700 w 406400"/>
                            <a:gd name="connsiteY5" fmla="*/ 254000 h 349250"/>
                            <a:gd name="connisteX6" fmla="*/ 254000 w 406400"/>
                            <a:gd name="connsiteY6" fmla="*/ 241300 h 349250"/>
                            <a:gd name="connisteX7" fmla="*/ 406400 w 406400"/>
                            <a:gd name="connsiteY7" fmla="*/ 209550 h 349250"/>
                            <a:gd name="connisteX8" fmla="*/ 393700 w 406400"/>
                            <a:gd name="connsiteY8" fmla="*/ 25400 h 349250"/>
                            <a:gd name="connisteX9" fmla="*/ 234950 w 406400"/>
                            <a:gd name="connsiteY9" fmla="*/ 0 h 349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06400" h="349250">
                              <a:moveTo>
                                <a:pt x="203200" y="0"/>
                              </a:moveTo>
                              <a:lnTo>
                                <a:pt x="63500" y="12700"/>
                              </a:lnTo>
                              <a:lnTo>
                                <a:pt x="76200" y="222250"/>
                              </a:lnTo>
                              <a:lnTo>
                                <a:pt x="0" y="349250"/>
                              </a:lnTo>
                              <a:lnTo>
                                <a:pt x="107950" y="311150"/>
                              </a:lnTo>
                              <a:lnTo>
                                <a:pt x="139700" y="254000"/>
                              </a:lnTo>
                              <a:lnTo>
                                <a:pt x="254000" y="241300"/>
                              </a:lnTo>
                              <a:lnTo>
                                <a:pt x="406400" y="209550"/>
                              </a:lnTo>
                              <a:lnTo>
                                <a:pt x="393700" y="25400"/>
                              </a:lnTo>
                              <a:lnTo>
                                <a:pt x="234950" y="0"/>
                              </a:lnTo>
                            </a:path>
                          </a:pathLst>
                        </a:custGeom>
                        <a:solidFill>
                          <a:srgbClr val="FFFF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81.4pt;margin-top:99pt;height:27.5pt;width:32pt;z-index:251691008;mso-width-relative:page;mso-height-relative:page;" fillcolor="#FFFF00" filled="t" stroked="f" coordsize="406400,349250" o:gfxdata="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MherYfVAAAACwEAAA8AAAAAAAAAAQAgAAAA&#10;IgAAAGRycy9kb3ducmV2LnhtbFBLAQIUABQAAAAIAIdO4kAqhN/A1gMAAH0MAAAOAAAAAAAAAAEA&#10;IAAAACQBAABkcnMvZTJvRG9jLnhtbFBLBQYAAAAABgAGAFkBAABsBwAAAAA=&#10;" path="m203200,0l63500,12700,76200,222250,0,349250,107950,311150,139700,254000,254000,241300,406400,209550,393700,25400,234950,0e">
                <v:path textboxrect="0,0,406400,349250" o:connectlocs="203200,0;63500,12700;76200,222250;0,349250;107950,311150;139700,254000;254000,241300;406400,209550;393700,25400;234950,0" o:connectangles="0,0,0,0,0,0,0,0,0,0"/>
                <v:fill on="t" opacity="30801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3262630</wp:posOffset>
                </wp:positionH>
                <wp:positionV relativeFrom="paragraph">
                  <wp:posOffset>2393950</wp:posOffset>
                </wp:positionV>
                <wp:extent cx="679450" cy="654050"/>
                <wp:effectExtent l="0" t="0" r="6350" b="12700"/>
                <wp:wrapNone/>
                <wp:docPr id="67" name="任意多边形 67"/>
                <wp:cNvGraphicFramePr/>
                <a:graphic xmlns:a="http://schemas.openxmlformats.org/drawingml/2006/main">
                  <a:graphicData uri="http://schemas.microsoft.com/office/word/2010/wordprocessingShape">
                    <wps:wsp>
                      <wps:cNvSpPr/>
                      <wps:spPr>
                        <a:xfrm>
                          <a:off x="4162425" y="3293745"/>
                          <a:ext cx="679450" cy="654050"/>
                        </a:xfrm>
                        <a:custGeom>
                          <a:avLst/>
                          <a:gdLst>
                            <a:gd name="connisteX0" fmla="*/ 514350 w 679450"/>
                            <a:gd name="connsiteY0" fmla="*/ 0 h 654050"/>
                            <a:gd name="connisteX1" fmla="*/ 495300 w 679450"/>
                            <a:gd name="connsiteY1" fmla="*/ 44450 h 654050"/>
                            <a:gd name="connisteX2" fmla="*/ 393700 w 679450"/>
                            <a:gd name="connsiteY2" fmla="*/ 44450 h 654050"/>
                            <a:gd name="connisteX3" fmla="*/ 266700 w 679450"/>
                            <a:gd name="connsiteY3" fmla="*/ 412750 h 654050"/>
                            <a:gd name="connisteX4" fmla="*/ 31750 w 679450"/>
                            <a:gd name="connsiteY4" fmla="*/ 438150 h 654050"/>
                            <a:gd name="connisteX5" fmla="*/ 0 w 679450"/>
                            <a:gd name="connsiteY5" fmla="*/ 552450 h 654050"/>
                            <a:gd name="connisteX6" fmla="*/ 127000 w 679450"/>
                            <a:gd name="connsiteY6" fmla="*/ 603250 h 654050"/>
                            <a:gd name="connisteX7" fmla="*/ 133350 w 679450"/>
                            <a:gd name="connsiteY7" fmla="*/ 654050 h 654050"/>
                            <a:gd name="connisteX8" fmla="*/ 222250 w 679450"/>
                            <a:gd name="connsiteY8" fmla="*/ 654050 h 654050"/>
                            <a:gd name="connisteX9" fmla="*/ 228600 w 679450"/>
                            <a:gd name="connsiteY9" fmla="*/ 596900 h 654050"/>
                            <a:gd name="connisteX10" fmla="*/ 349250 w 679450"/>
                            <a:gd name="connsiteY10" fmla="*/ 609600 h 654050"/>
                            <a:gd name="connisteX11" fmla="*/ 476250 w 679450"/>
                            <a:gd name="connsiteY11" fmla="*/ 285750 h 654050"/>
                            <a:gd name="connisteX12" fmla="*/ 660400 w 679450"/>
                            <a:gd name="connsiteY12" fmla="*/ 190500 h 654050"/>
                            <a:gd name="connisteX13" fmla="*/ 679450 w 679450"/>
                            <a:gd name="connsiteY13" fmla="*/ 50800 h 654050"/>
                            <a:gd name="connisteX14" fmla="*/ 488950 w 679450"/>
                            <a:gd name="connsiteY14" fmla="*/ 50800 h 6540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679450" h="654050">
                              <a:moveTo>
                                <a:pt x="514350" y="0"/>
                              </a:moveTo>
                              <a:lnTo>
                                <a:pt x="495300" y="44450"/>
                              </a:lnTo>
                              <a:lnTo>
                                <a:pt x="393700" y="44450"/>
                              </a:lnTo>
                              <a:lnTo>
                                <a:pt x="266700" y="412750"/>
                              </a:lnTo>
                              <a:lnTo>
                                <a:pt x="31750" y="438150"/>
                              </a:lnTo>
                              <a:lnTo>
                                <a:pt x="0" y="552450"/>
                              </a:lnTo>
                              <a:lnTo>
                                <a:pt x="127000" y="603250"/>
                              </a:lnTo>
                              <a:lnTo>
                                <a:pt x="133350" y="654050"/>
                              </a:lnTo>
                              <a:lnTo>
                                <a:pt x="222250" y="654050"/>
                              </a:lnTo>
                              <a:lnTo>
                                <a:pt x="228600" y="596900"/>
                              </a:lnTo>
                              <a:lnTo>
                                <a:pt x="349250" y="609600"/>
                              </a:lnTo>
                              <a:lnTo>
                                <a:pt x="476250" y="285750"/>
                              </a:lnTo>
                              <a:lnTo>
                                <a:pt x="660400" y="190500"/>
                              </a:lnTo>
                              <a:lnTo>
                                <a:pt x="679450" y="50800"/>
                              </a:lnTo>
                              <a:lnTo>
                                <a:pt x="488950" y="50800"/>
                              </a:lnTo>
                            </a:path>
                          </a:pathLst>
                        </a:custGeom>
                        <a:solidFill>
                          <a:srgbClr val="FFFF00">
                            <a:alpha val="4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56.9pt;margin-top:188.5pt;height:51.5pt;width:53.5pt;z-index:251689984;mso-width-relative:page;mso-height-relative:page;" fillcolor="#FFFF00" filled="t" stroked="f" coordsize="679450,654050" o:gfxdata="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UKt6UdsAAAALAQAADwAAAAAAAAABACAAAAAiAAAAZHJzL2Rvd25yZXYu&#10;eG1sUEsBAhQAFAAAAAgAh07iQLH1yNZrBAAArhAAAA4AAAAAAAAAAQAgAAAAKgEAAGRycy9lMm9E&#10;b2MueG1sUEsFBgAAAAAGAAYAWQEAAAcIAAAAAA==&#10;" path="m514350,0l495300,44450,393700,44450,266700,412750,31750,438150,0,552450,127000,603250,133350,654050,222250,654050,228600,596900,349250,609600,476250,285750,660400,190500,679450,50800,488950,50800e">
                <v:path textboxrect="0,0,679450,654050" o:connectlocs="514350,0;495300,44450;393700,44450;266700,412750;31750,438150;0,552450;127000,603250;133350,654050;222250,654050;228600,596900;349250,609600;476250,285750;660400,190500;679450,50800;488950,50800" o:connectangles="0,0,0,0,0,0,0,0,0,0,0,0,0,0,0"/>
                <v:fill on="t" opacity="30801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3338830</wp:posOffset>
                </wp:positionH>
                <wp:positionV relativeFrom="paragraph">
                  <wp:posOffset>4899660</wp:posOffset>
                </wp:positionV>
                <wp:extent cx="1111250" cy="292100"/>
                <wp:effectExtent l="0" t="0" r="12700" b="12700"/>
                <wp:wrapNone/>
                <wp:docPr id="65" name="任意多边形 65"/>
                <wp:cNvGraphicFramePr/>
                <a:graphic xmlns:a="http://schemas.openxmlformats.org/drawingml/2006/main">
                  <a:graphicData uri="http://schemas.microsoft.com/office/word/2010/wordprocessingShape">
                    <wps:wsp>
                      <wps:cNvSpPr/>
                      <wps:spPr>
                        <a:xfrm>
                          <a:off x="4238625" y="5799455"/>
                          <a:ext cx="1111250" cy="292100"/>
                        </a:xfrm>
                        <a:custGeom>
                          <a:avLst/>
                          <a:gdLst>
                            <a:gd name="connisteX0" fmla="*/ 0 w 1111250"/>
                            <a:gd name="connsiteY0" fmla="*/ 88900 h 292100"/>
                            <a:gd name="connisteX1" fmla="*/ 12700 w 1111250"/>
                            <a:gd name="connsiteY1" fmla="*/ 234950 h 292100"/>
                            <a:gd name="connisteX2" fmla="*/ 133350 w 1111250"/>
                            <a:gd name="connsiteY2" fmla="*/ 241300 h 292100"/>
                            <a:gd name="connisteX3" fmla="*/ 342900 w 1111250"/>
                            <a:gd name="connsiteY3" fmla="*/ 190500 h 292100"/>
                            <a:gd name="connisteX4" fmla="*/ 336550 w 1111250"/>
                            <a:gd name="connsiteY4" fmla="*/ 292100 h 292100"/>
                            <a:gd name="connisteX5" fmla="*/ 520700 w 1111250"/>
                            <a:gd name="connsiteY5" fmla="*/ 292100 h 292100"/>
                            <a:gd name="connisteX6" fmla="*/ 495300 w 1111250"/>
                            <a:gd name="connsiteY6" fmla="*/ 158750 h 292100"/>
                            <a:gd name="connisteX7" fmla="*/ 755650 w 1111250"/>
                            <a:gd name="connsiteY7" fmla="*/ 146050 h 292100"/>
                            <a:gd name="connisteX8" fmla="*/ 742950 w 1111250"/>
                            <a:gd name="connsiteY8" fmla="*/ 241300 h 292100"/>
                            <a:gd name="connisteX9" fmla="*/ 996950 w 1111250"/>
                            <a:gd name="connsiteY9" fmla="*/ 279400 h 292100"/>
                            <a:gd name="connisteX10" fmla="*/ 1111250 w 1111250"/>
                            <a:gd name="connsiteY10" fmla="*/ 279400 h 292100"/>
                            <a:gd name="connisteX11" fmla="*/ 1060450 w 1111250"/>
                            <a:gd name="connsiteY11" fmla="*/ 0 h 292100"/>
                            <a:gd name="connisteX12" fmla="*/ 717550 w 1111250"/>
                            <a:gd name="connsiteY12" fmla="*/ 0 h 292100"/>
                            <a:gd name="connisteX13" fmla="*/ 685800 w 1111250"/>
                            <a:gd name="connsiteY13" fmla="*/ 69850 h 292100"/>
                            <a:gd name="connisteX14" fmla="*/ 615950 w 1111250"/>
                            <a:gd name="connsiteY14" fmla="*/ 107950 h 292100"/>
                            <a:gd name="connisteX15" fmla="*/ 596900 w 1111250"/>
                            <a:gd name="connsiteY15" fmla="*/ 69850 h 292100"/>
                            <a:gd name="connisteX16" fmla="*/ 349250 w 1111250"/>
                            <a:gd name="connsiteY16" fmla="*/ 57150 h 292100"/>
                            <a:gd name="connisteX17" fmla="*/ 298450 w 1111250"/>
                            <a:gd name="connsiteY17" fmla="*/ 107950 h 292100"/>
                            <a:gd name="connisteX18" fmla="*/ 241300 w 1111250"/>
                            <a:gd name="connsiteY18" fmla="*/ 107950 h 292100"/>
                            <a:gd name="connisteX19" fmla="*/ 254000 w 1111250"/>
                            <a:gd name="connsiteY19" fmla="*/ 38100 h 292100"/>
                            <a:gd name="connisteX20" fmla="*/ 165100 w 1111250"/>
                            <a:gd name="connsiteY20" fmla="*/ 31750 h 292100"/>
                            <a:gd name="connisteX21" fmla="*/ 114300 w 1111250"/>
                            <a:gd name="connsiteY21" fmla="*/ 95250 h 292100"/>
                            <a:gd name="connisteX22" fmla="*/ 0 w 1111250"/>
                            <a:gd name="connsiteY22" fmla="*/ 88900 h 2921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Lst>
                          <a:rect l="l" t="t" r="r" b="b"/>
                          <a:pathLst>
                            <a:path w="1111250" h="292100">
                              <a:moveTo>
                                <a:pt x="0" y="88900"/>
                              </a:moveTo>
                              <a:lnTo>
                                <a:pt x="12700" y="234950"/>
                              </a:lnTo>
                              <a:lnTo>
                                <a:pt x="133350" y="241300"/>
                              </a:lnTo>
                              <a:lnTo>
                                <a:pt x="342900" y="190500"/>
                              </a:lnTo>
                              <a:lnTo>
                                <a:pt x="336550" y="292100"/>
                              </a:lnTo>
                              <a:lnTo>
                                <a:pt x="520700" y="292100"/>
                              </a:lnTo>
                              <a:lnTo>
                                <a:pt x="495300" y="158750"/>
                              </a:lnTo>
                              <a:lnTo>
                                <a:pt x="755650" y="146050"/>
                              </a:lnTo>
                              <a:lnTo>
                                <a:pt x="742950" y="241300"/>
                              </a:lnTo>
                              <a:lnTo>
                                <a:pt x="996950" y="279400"/>
                              </a:lnTo>
                              <a:lnTo>
                                <a:pt x="1111250" y="279400"/>
                              </a:lnTo>
                              <a:lnTo>
                                <a:pt x="1060450" y="0"/>
                              </a:lnTo>
                              <a:lnTo>
                                <a:pt x="717550" y="0"/>
                              </a:lnTo>
                              <a:lnTo>
                                <a:pt x="685800" y="69850"/>
                              </a:lnTo>
                              <a:lnTo>
                                <a:pt x="615950" y="107950"/>
                              </a:lnTo>
                              <a:lnTo>
                                <a:pt x="596900" y="69850"/>
                              </a:lnTo>
                              <a:lnTo>
                                <a:pt x="349250" y="57150"/>
                              </a:lnTo>
                              <a:lnTo>
                                <a:pt x="298450" y="107950"/>
                              </a:lnTo>
                              <a:lnTo>
                                <a:pt x="241300" y="107950"/>
                              </a:lnTo>
                              <a:lnTo>
                                <a:pt x="254000" y="38100"/>
                              </a:lnTo>
                              <a:lnTo>
                                <a:pt x="165100" y="31750"/>
                              </a:lnTo>
                              <a:lnTo>
                                <a:pt x="114300" y="95250"/>
                              </a:lnTo>
                              <a:lnTo>
                                <a:pt x="0" y="88900"/>
                              </a:lnTo>
                              <a:close/>
                            </a:path>
                          </a:pathLst>
                        </a:custGeom>
                        <a:solidFill>
                          <a:srgbClr val="FFFF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62.9pt;margin-top:385.8pt;height:23pt;width:87.5pt;z-index:251688960;mso-width-relative:page;mso-height-relative:page;" fillcolor="#FFFF00" filled="t" stroked="f" coordsize="1111250,292100" o:gfxdata="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D1pEor2gAAAAsBAAAPAAAAAAAAAAEAIAAAACIAAABkcnMvZG93bnJldi54&#10;bWxQSwECFAAUAAAACACHTuJAAmIE7k8FAABhFwAADgAAAAAAAAABACAAAAApAQAAZHJzL2Uyb0Rv&#10;Yy54bWxQSwUGAAAAAAYABgBZAQAA6ggAAAAA&#10;" path="m0,88900l12700,234950,133350,241300,342900,190500,336550,292100,520700,292100,495300,158750,755650,146050,742950,241300,996950,279400,1111250,279400,1060450,0,717550,0,685800,69850,615950,107950,596900,69850,349250,57150,298450,107950,241300,107950,254000,38100,165100,31750,114300,95250,0,88900xe">
                <v:path textboxrect="0,0,1111250,292100" o:connectlocs="0,88900;12700,234950;133350,241300;342900,190500;336550,292100;520700,292100;495300,158750;755650,146050;742950,241300;996950,279400;1111250,279400;1060450,0;717550,0;685800,69850;615950,107950;596900,69850;349250,57150;298450,107950;241300,107950;254000,38100;165100,31750;114300,95250;0,88900" o:connectangles="0,0,0,0,0,0,0,0,0,0,0,0,0,0,0,0,0,0,0,0,0,0,0"/>
                <v:fill on="t" opacity="26869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2214880</wp:posOffset>
                </wp:positionH>
                <wp:positionV relativeFrom="paragraph">
                  <wp:posOffset>3555365</wp:posOffset>
                </wp:positionV>
                <wp:extent cx="762000" cy="838200"/>
                <wp:effectExtent l="0" t="0" r="0" b="0"/>
                <wp:wrapNone/>
                <wp:docPr id="64" name="任意多边形 64"/>
                <wp:cNvGraphicFramePr/>
                <a:graphic xmlns:a="http://schemas.openxmlformats.org/drawingml/2006/main">
                  <a:graphicData uri="http://schemas.microsoft.com/office/word/2010/wordprocessingShape">
                    <wps:wsp>
                      <wps:cNvSpPr/>
                      <wps:spPr>
                        <a:xfrm>
                          <a:off x="3114675" y="4455160"/>
                          <a:ext cx="762000" cy="838200"/>
                        </a:xfrm>
                        <a:custGeom>
                          <a:avLst/>
                          <a:gdLst>
                            <a:gd name="connisteX0" fmla="*/ 0 w 762000"/>
                            <a:gd name="connsiteY0" fmla="*/ 0 h 838200"/>
                            <a:gd name="connisteX1" fmla="*/ 0 w 762000"/>
                            <a:gd name="connsiteY1" fmla="*/ 203200 h 838200"/>
                            <a:gd name="connisteX2" fmla="*/ 177800 w 762000"/>
                            <a:gd name="connsiteY2" fmla="*/ 234950 h 838200"/>
                            <a:gd name="connisteX3" fmla="*/ 203200 w 762000"/>
                            <a:gd name="connsiteY3" fmla="*/ 450850 h 838200"/>
                            <a:gd name="connisteX4" fmla="*/ 317500 w 762000"/>
                            <a:gd name="connsiteY4" fmla="*/ 495300 h 838200"/>
                            <a:gd name="connisteX5" fmla="*/ 279400 w 762000"/>
                            <a:gd name="connsiteY5" fmla="*/ 768350 h 838200"/>
                            <a:gd name="connisteX6" fmla="*/ 692150 w 762000"/>
                            <a:gd name="connsiteY6" fmla="*/ 838200 h 838200"/>
                            <a:gd name="connisteX7" fmla="*/ 762000 w 762000"/>
                            <a:gd name="connsiteY7" fmla="*/ 469900 h 838200"/>
                            <a:gd name="connisteX8" fmla="*/ 412750 w 762000"/>
                            <a:gd name="connsiteY8" fmla="*/ 381000 h 838200"/>
                            <a:gd name="connisteX9" fmla="*/ 419100 w 762000"/>
                            <a:gd name="connsiteY9" fmla="*/ 107950 h 838200"/>
                            <a:gd name="connisteX10" fmla="*/ 215900 w 762000"/>
                            <a:gd name="connsiteY10" fmla="*/ 82550 h 838200"/>
                            <a:gd name="connisteX11" fmla="*/ 196850 w 762000"/>
                            <a:gd name="connsiteY11" fmla="*/ 6350 h 838200"/>
                            <a:gd name="connisteX12" fmla="*/ 0 w 762000"/>
                            <a:gd name="connsiteY12" fmla="*/ 0 h 8382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762000" h="838200">
                              <a:moveTo>
                                <a:pt x="0" y="0"/>
                              </a:moveTo>
                              <a:lnTo>
                                <a:pt x="0" y="203200"/>
                              </a:lnTo>
                              <a:lnTo>
                                <a:pt x="177800" y="234950"/>
                              </a:lnTo>
                              <a:lnTo>
                                <a:pt x="203200" y="450850"/>
                              </a:lnTo>
                              <a:lnTo>
                                <a:pt x="317500" y="495300"/>
                              </a:lnTo>
                              <a:lnTo>
                                <a:pt x="279400" y="768350"/>
                              </a:lnTo>
                              <a:lnTo>
                                <a:pt x="692150" y="838200"/>
                              </a:lnTo>
                              <a:lnTo>
                                <a:pt x="762000" y="469900"/>
                              </a:lnTo>
                              <a:lnTo>
                                <a:pt x="412750" y="381000"/>
                              </a:lnTo>
                              <a:lnTo>
                                <a:pt x="419100" y="107950"/>
                              </a:lnTo>
                              <a:lnTo>
                                <a:pt x="215900" y="82550"/>
                              </a:lnTo>
                              <a:lnTo>
                                <a:pt x="196850" y="6350"/>
                              </a:lnTo>
                              <a:lnTo>
                                <a:pt x="0" y="0"/>
                              </a:lnTo>
                              <a:close/>
                            </a:path>
                          </a:pathLst>
                        </a:custGeom>
                        <a:solidFill>
                          <a:srgbClr val="FFFF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174.4pt;margin-top:279.95pt;height:66pt;width:60pt;z-index:251687936;mso-width-relative:page;mso-height-relative:page;" fillcolor="#FFFF00" filled="t" stroked="f" coordsize="762000,838200" o:gfxdata="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IINwXPbAAAACwEAAA8AAAAAAAAAAQAgAAAAIgAAAGRycy9kb3ducmV2Lnht&#10;bFBLAQIUABQAAAAIAIdO4kBOadpMMAQAAPQOAAAOAAAAAAAAAAEAIAAAACoBAABkcnMvZTJvRG9j&#10;LnhtbFBLBQYAAAAABgAGAFkBAADMBwAAAAA=&#10;" path="m0,0l0,203200,177800,234950,203200,450850,317500,495300,279400,768350,692150,838200,762000,469900,412750,381000,419100,107950,215900,82550,196850,6350,0,0xe">
                <v:path textboxrect="0,0,762000,838200" o:connectlocs="0,0;0,203200;177800,234950;203200,450850;317500,495300;279400,768350;692150,838200;762000,469900;412750,381000;419100,107950;215900,82550;196850,6350;0,0" o:connectangles="0,0,0,0,0,0,0,0,0,0,0,0,0"/>
                <v:fill on="t" opacity="26869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2265680</wp:posOffset>
                </wp:positionH>
                <wp:positionV relativeFrom="paragraph">
                  <wp:posOffset>2850515</wp:posOffset>
                </wp:positionV>
                <wp:extent cx="488950" cy="444500"/>
                <wp:effectExtent l="0" t="0" r="6350" b="12700"/>
                <wp:wrapNone/>
                <wp:docPr id="63" name="任意多边形 63"/>
                <wp:cNvGraphicFramePr/>
                <a:graphic xmlns:a="http://schemas.openxmlformats.org/drawingml/2006/main">
                  <a:graphicData uri="http://schemas.microsoft.com/office/word/2010/wordprocessingShape">
                    <wps:wsp>
                      <wps:cNvSpPr/>
                      <wps:spPr>
                        <a:xfrm>
                          <a:off x="3165475" y="3750310"/>
                          <a:ext cx="488950" cy="444500"/>
                        </a:xfrm>
                        <a:custGeom>
                          <a:avLst/>
                          <a:gdLst>
                            <a:gd name="connisteX0" fmla="*/ 222250 w 488950"/>
                            <a:gd name="connsiteY0" fmla="*/ 6350 h 444500"/>
                            <a:gd name="connisteX1" fmla="*/ 387350 w 488950"/>
                            <a:gd name="connsiteY1" fmla="*/ 0 h 444500"/>
                            <a:gd name="connisteX2" fmla="*/ 488950 w 488950"/>
                            <a:gd name="connsiteY2" fmla="*/ 95250 h 444500"/>
                            <a:gd name="connisteX3" fmla="*/ 419100 w 488950"/>
                            <a:gd name="connsiteY3" fmla="*/ 241300 h 444500"/>
                            <a:gd name="connisteX4" fmla="*/ 336550 w 488950"/>
                            <a:gd name="connsiteY4" fmla="*/ 444500 h 444500"/>
                            <a:gd name="connisteX5" fmla="*/ 88900 w 488950"/>
                            <a:gd name="connsiteY5" fmla="*/ 431800 h 444500"/>
                            <a:gd name="connisteX6" fmla="*/ 19050 w 488950"/>
                            <a:gd name="connsiteY6" fmla="*/ 393700 h 444500"/>
                            <a:gd name="connisteX7" fmla="*/ 0 w 488950"/>
                            <a:gd name="connsiteY7" fmla="*/ 254000 h 444500"/>
                            <a:gd name="connisteX8" fmla="*/ 222250 w 488950"/>
                            <a:gd name="connsiteY8" fmla="*/ 6350 h 444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488950" h="444500">
                              <a:moveTo>
                                <a:pt x="222250" y="6350"/>
                              </a:moveTo>
                              <a:lnTo>
                                <a:pt x="387350" y="0"/>
                              </a:lnTo>
                              <a:lnTo>
                                <a:pt x="488950" y="95250"/>
                              </a:lnTo>
                              <a:lnTo>
                                <a:pt x="419100" y="241300"/>
                              </a:lnTo>
                              <a:lnTo>
                                <a:pt x="336550" y="444500"/>
                              </a:lnTo>
                              <a:lnTo>
                                <a:pt x="88900" y="431800"/>
                              </a:lnTo>
                              <a:lnTo>
                                <a:pt x="19050" y="393700"/>
                              </a:lnTo>
                              <a:lnTo>
                                <a:pt x="0" y="254000"/>
                              </a:lnTo>
                              <a:lnTo>
                                <a:pt x="222250" y="6350"/>
                              </a:lnTo>
                              <a:close/>
                            </a:path>
                          </a:pathLst>
                        </a:custGeom>
                        <a:solidFill>
                          <a:srgbClr val="FFFF00">
                            <a:alpha val="4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178.4pt;margin-top:224.45pt;height:35pt;width:38.5pt;z-index:251686912;mso-width-relative:page;mso-height-relative:page;" fillcolor="#FFFF00" filled="t" stroked="f" coordsize="488950,444500" o:gfxdata="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GI7D/HWAAAACwEAAA8AAAAAAAAAAQAgAAAAIgAAAGRycy9kb3ducmV2LnhtbFBLAQIUABQA&#10;AAAIAIdO4kDCX5YwugMAALoLAAAOAAAAAAAAAAEAIAAAACUBAABkcnMvZTJvRG9jLnhtbFBLBQYA&#10;AAAABgAGAFkBAABRBwAAAAA=&#10;" path="m222250,6350l387350,0,488950,95250,419100,241300,336550,444500,88900,431800,19050,393700,0,254000,222250,6350xe">
                <v:path textboxrect="0,0,488950,444500" o:connectlocs="222250,6350;387350,0;488950,95250;419100,241300;336550,444500;88900,431800;19050,393700;0,254000;222250,6350" o:connectangles="0,0,0,0,0,0,0,0,0"/>
                <v:fill on="t" opacity="2752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2049780</wp:posOffset>
                </wp:positionH>
                <wp:positionV relativeFrom="paragraph">
                  <wp:posOffset>2209165</wp:posOffset>
                </wp:positionV>
                <wp:extent cx="558800" cy="590550"/>
                <wp:effectExtent l="0" t="0" r="12700" b="0"/>
                <wp:wrapNone/>
                <wp:docPr id="60" name="任意多边形 60"/>
                <wp:cNvGraphicFramePr/>
                <a:graphic xmlns:a="http://schemas.openxmlformats.org/drawingml/2006/main">
                  <a:graphicData uri="http://schemas.microsoft.com/office/word/2010/wordprocessingShape">
                    <wps:wsp>
                      <wps:cNvSpPr/>
                      <wps:spPr>
                        <a:xfrm>
                          <a:off x="2949575" y="3108960"/>
                          <a:ext cx="558800" cy="590550"/>
                        </a:xfrm>
                        <a:custGeom>
                          <a:avLst/>
                          <a:gdLst>
                            <a:gd name="connisteX0" fmla="*/ 266700 w 558800"/>
                            <a:gd name="connsiteY0" fmla="*/ 88900 h 590550"/>
                            <a:gd name="connisteX1" fmla="*/ 298450 w 558800"/>
                            <a:gd name="connsiteY1" fmla="*/ 0 h 590550"/>
                            <a:gd name="connisteX2" fmla="*/ 406400 w 558800"/>
                            <a:gd name="connsiteY2" fmla="*/ 44450 h 590550"/>
                            <a:gd name="connisteX3" fmla="*/ 387350 w 558800"/>
                            <a:gd name="connsiteY3" fmla="*/ 63500 h 590550"/>
                            <a:gd name="connisteX4" fmla="*/ 558800 w 558800"/>
                            <a:gd name="connsiteY4" fmla="*/ 139700 h 590550"/>
                            <a:gd name="connisteX5" fmla="*/ 552450 w 558800"/>
                            <a:gd name="connsiteY5" fmla="*/ 203200 h 590550"/>
                            <a:gd name="connisteX6" fmla="*/ 501650 w 558800"/>
                            <a:gd name="connsiteY6" fmla="*/ 304800 h 590550"/>
                            <a:gd name="connisteX7" fmla="*/ 457200 w 558800"/>
                            <a:gd name="connsiteY7" fmla="*/ 349250 h 590550"/>
                            <a:gd name="connisteX8" fmla="*/ 304800 w 558800"/>
                            <a:gd name="connsiteY8" fmla="*/ 368300 h 590550"/>
                            <a:gd name="connisteX9" fmla="*/ 323850 w 558800"/>
                            <a:gd name="connsiteY9" fmla="*/ 488950 h 590550"/>
                            <a:gd name="connisteX10" fmla="*/ 412750 w 558800"/>
                            <a:gd name="connsiteY10" fmla="*/ 527050 h 590550"/>
                            <a:gd name="connisteX11" fmla="*/ 406400 w 558800"/>
                            <a:gd name="connsiteY11" fmla="*/ 584200 h 590550"/>
                            <a:gd name="connisteX12" fmla="*/ 254000 w 558800"/>
                            <a:gd name="connsiteY12" fmla="*/ 590550 h 590550"/>
                            <a:gd name="connisteX13" fmla="*/ 146050 w 558800"/>
                            <a:gd name="connsiteY13" fmla="*/ 425450 h 590550"/>
                            <a:gd name="connisteX14" fmla="*/ 0 w 558800"/>
                            <a:gd name="connsiteY14" fmla="*/ 412750 h 590550"/>
                            <a:gd name="connisteX15" fmla="*/ 0 w 558800"/>
                            <a:gd name="connsiteY15" fmla="*/ 336550 h 590550"/>
                            <a:gd name="connisteX16" fmla="*/ 152400 w 558800"/>
                            <a:gd name="connsiteY16" fmla="*/ 133350 h 590550"/>
                            <a:gd name="connisteX17" fmla="*/ 266700 w 558800"/>
                            <a:gd name="connsiteY17" fmla="*/ 88900 h 5905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558800" h="590550">
                              <a:moveTo>
                                <a:pt x="266700" y="88900"/>
                              </a:moveTo>
                              <a:lnTo>
                                <a:pt x="298450" y="0"/>
                              </a:lnTo>
                              <a:lnTo>
                                <a:pt x="406400" y="44450"/>
                              </a:lnTo>
                              <a:lnTo>
                                <a:pt x="387350" y="63500"/>
                              </a:lnTo>
                              <a:lnTo>
                                <a:pt x="558800" y="139700"/>
                              </a:lnTo>
                              <a:lnTo>
                                <a:pt x="552450" y="203200"/>
                              </a:lnTo>
                              <a:lnTo>
                                <a:pt x="501650" y="304800"/>
                              </a:lnTo>
                              <a:lnTo>
                                <a:pt x="457200" y="349250"/>
                              </a:lnTo>
                              <a:lnTo>
                                <a:pt x="304800" y="368300"/>
                              </a:lnTo>
                              <a:lnTo>
                                <a:pt x="323850" y="488950"/>
                              </a:lnTo>
                              <a:lnTo>
                                <a:pt x="412750" y="527050"/>
                              </a:lnTo>
                              <a:lnTo>
                                <a:pt x="406400" y="584200"/>
                              </a:lnTo>
                              <a:lnTo>
                                <a:pt x="254000" y="590550"/>
                              </a:lnTo>
                              <a:lnTo>
                                <a:pt x="146050" y="425450"/>
                              </a:lnTo>
                              <a:lnTo>
                                <a:pt x="0" y="412750"/>
                              </a:lnTo>
                              <a:lnTo>
                                <a:pt x="0" y="336550"/>
                              </a:lnTo>
                              <a:lnTo>
                                <a:pt x="152400" y="133350"/>
                              </a:lnTo>
                              <a:lnTo>
                                <a:pt x="266700" y="88900"/>
                              </a:lnTo>
                              <a:close/>
                            </a:path>
                          </a:pathLst>
                        </a:custGeom>
                        <a:solidFill>
                          <a:srgbClr val="FFFF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161.4pt;margin-top:173.95pt;height:46.5pt;width:44pt;z-index:251685888;mso-width-relative:page;mso-height-relative:page;" fillcolor="#FFFF00" filled="t" stroked="f" coordsize="558800,590550" o:gfxdata="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C4QuS72QAAAAsBAAAPAAAAAAAAAAEAIAAAACIAAABkcnMvZG93bnJldi54&#10;bWxQSwECFAAUAAAACACHTuJAUYK9A94EAAAvEwAADgAAAAAAAAABACAAAAAoAQAAZHJzL2Uyb0Rv&#10;Yy54bWxQSwUGAAAAAAYABgBZAQAAeAgAAAAA&#10;" path="m266700,88900l298450,0,406400,44450,387350,63500,558800,139700,552450,203200,501650,304800,457200,349250,304800,368300,323850,488950,412750,527050,406400,584200,254000,590550,146050,425450,0,412750,0,336550,152400,133350,266700,88900xe">
                <v:path textboxrect="0,0,558800,590550" o:connectlocs="266700,88900;298450,0;406400,44450;387350,63500;558800,139700;552450,203200;501650,304800;457200,349250;304800,368300;323850,488950;412750,527050;406400,584200;254000,590550;146050,425450;0,412750;0,336550;152400,133350;266700,88900" o:connectangles="0,0,0,0,0,0,0,0,0,0,0,0,0,0,0,0,0,0"/>
                <v:fill on="t" opacity="28835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3605530</wp:posOffset>
                </wp:positionH>
                <wp:positionV relativeFrom="paragraph">
                  <wp:posOffset>838200</wp:posOffset>
                </wp:positionV>
                <wp:extent cx="984250" cy="438150"/>
                <wp:effectExtent l="0" t="0" r="6350" b="0"/>
                <wp:wrapNone/>
                <wp:docPr id="59" name="任意多边形 59"/>
                <wp:cNvGraphicFramePr/>
                <a:graphic xmlns:a="http://schemas.openxmlformats.org/drawingml/2006/main">
                  <a:graphicData uri="http://schemas.microsoft.com/office/word/2010/wordprocessingShape">
                    <wps:wsp>
                      <wps:cNvSpPr/>
                      <wps:spPr>
                        <a:xfrm>
                          <a:off x="4505325" y="1737995"/>
                          <a:ext cx="984250" cy="438150"/>
                        </a:xfrm>
                        <a:custGeom>
                          <a:avLst/>
                          <a:gdLst>
                            <a:gd name="connisteX0" fmla="*/ 6350 w 984250"/>
                            <a:gd name="connsiteY0" fmla="*/ 50800 h 438150"/>
                            <a:gd name="connisteX1" fmla="*/ 76200 w 984250"/>
                            <a:gd name="connsiteY1" fmla="*/ 114300 h 438150"/>
                            <a:gd name="connisteX2" fmla="*/ 393700 w 984250"/>
                            <a:gd name="connsiteY2" fmla="*/ 107950 h 438150"/>
                            <a:gd name="connisteX3" fmla="*/ 381000 w 984250"/>
                            <a:gd name="connsiteY3" fmla="*/ 292100 h 438150"/>
                            <a:gd name="connisteX4" fmla="*/ 628650 w 984250"/>
                            <a:gd name="connsiteY4" fmla="*/ 323850 h 438150"/>
                            <a:gd name="connisteX5" fmla="*/ 590550 w 984250"/>
                            <a:gd name="connsiteY5" fmla="*/ 438150 h 438150"/>
                            <a:gd name="connisteX6" fmla="*/ 946150 w 984250"/>
                            <a:gd name="connsiteY6" fmla="*/ 431800 h 438150"/>
                            <a:gd name="connisteX7" fmla="*/ 933450 w 984250"/>
                            <a:gd name="connsiteY7" fmla="*/ 177800 h 438150"/>
                            <a:gd name="connisteX8" fmla="*/ 977900 w 984250"/>
                            <a:gd name="connsiteY8" fmla="*/ 158750 h 438150"/>
                            <a:gd name="connisteX9" fmla="*/ 984250 w 984250"/>
                            <a:gd name="connsiteY9" fmla="*/ 6350 h 438150"/>
                            <a:gd name="connisteX10" fmla="*/ 0 w 984250"/>
                            <a:gd name="connsiteY10" fmla="*/ 0 h 438150"/>
                            <a:gd name="connisteX11" fmla="*/ 6350 w 984250"/>
                            <a:gd name="connsiteY11" fmla="*/ 50800 h 4381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984250" h="438150">
                              <a:moveTo>
                                <a:pt x="6350" y="50800"/>
                              </a:moveTo>
                              <a:lnTo>
                                <a:pt x="76200" y="114300"/>
                              </a:lnTo>
                              <a:lnTo>
                                <a:pt x="393700" y="107950"/>
                              </a:lnTo>
                              <a:lnTo>
                                <a:pt x="381000" y="292100"/>
                              </a:lnTo>
                              <a:lnTo>
                                <a:pt x="628650" y="323850"/>
                              </a:lnTo>
                              <a:lnTo>
                                <a:pt x="590550" y="438150"/>
                              </a:lnTo>
                              <a:lnTo>
                                <a:pt x="946150" y="431800"/>
                              </a:lnTo>
                              <a:lnTo>
                                <a:pt x="933450" y="177800"/>
                              </a:lnTo>
                              <a:lnTo>
                                <a:pt x="977900" y="158750"/>
                              </a:lnTo>
                              <a:lnTo>
                                <a:pt x="984250" y="6350"/>
                              </a:lnTo>
                              <a:lnTo>
                                <a:pt x="0" y="0"/>
                              </a:lnTo>
                              <a:lnTo>
                                <a:pt x="6350" y="50800"/>
                              </a:lnTo>
                              <a:close/>
                            </a:path>
                          </a:pathLst>
                        </a:custGeom>
                        <a:solidFill>
                          <a:srgbClr val="FFFF00">
                            <a:alpha val="53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83.9pt;margin-top:66pt;height:34.5pt;width:77.5pt;z-index:251684864;mso-width-relative:page;mso-height-relative:page;" fillcolor="#FFFF00" filled="t" stroked="f" coordsize="984250,438150" o:gfxdata="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O85AJfX&#10;AAAACwEAAA8AAAAAAAAAAQAgAAAAIgAAAGRycy9kb3ducmV2LnhtbFBLAQIUABQAAAAIAIdO4kAE&#10;Vn/bIgQAADEOAAAOAAAAAAAAAAEAIAAAACYBAABkcnMvZTJvRG9jLnhtbFBLBQYAAAAABgAGAFkB&#10;AAC6BwAAAAA=&#10;" path="m6350,50800l76200,114300,393700,107950,381000,292100,628650,323850,590550,438150,946150,431800,933450,177800,977900,158750,984250,6350,0,0,6350,50800xe">
                <v:path textboxrect="0,0,984250,438150" o:connectlocs="6350,50800;76200,114300;393700,107950;381000,292100;628650,323850;590550,438150;946150,431800;933450,177800;977900,158750;984250,6350;0,0;6350,50800" o:connectangles="0,0,0,0,0,0,0,0,0,0,0,0"/>
                <v:fill on="t" opacity="34734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2570480</wp:posOffset>
                </wp:positionH>
                <wp:positionV relativeFrom="paragraph">
                  <wp:posOffset>844550</wp:posOffset>
                </wp:positionV>
                <wp:extent cx="869950" cy="304800"/>
                <wp:effectExtent l="0" t="0" r="6350" b="0"/>
                <wp:wrapNone/>
                <wp:docPr id="58" name="任意多边形 58"/>
                <wp:cNvGraphicFramePr/>
                <a:graphic xmlns:a="http://schemas.openxmlformats.org/drawingml/2006/main">
                  <a:graphicData uri="http://schemas.microsoft.com/office/word/2010/wordprocessingShape">
                    <wps:wsp>
                      <wps:cNvSpPr/>
                      <wps:spPr>
                        <a:xfrm>
                          <a:off x="3470275" y="1744345"/>
                          <a:ext cx="869950" cy="304800"/>
                        </a:xfrm>
                        <a:custGeom>
                          <a:avLst/>
                          <a:gdLst>
                            <a:gd name="connisteX0" fmla="*/ 38100 w 869950"/>
                            <a:gd name="connsiteY0" fmla="*/ 69850 h 304800"/>
                            <a:gd name="connisteX1" fmla="*/ 0 w 869950"/>
                            <a:gd name="connsiteY1" fmla="*/ 285750 h 304800"/>
                            <a:gd name="connisteX2" fmla="*/ 146050 w 869950"/>
                            <a:gd name="connsiteY2" fmla="*/ 304800 h 304800"/>
                            <a:gd name="connisteX3" fmla="*/ 203200 w 869950"/>
                            <a:gd name="connsiteY3" fmla="*/ 177800 h 304800"/>
                            <a:gd name="connisteX4" fmla="*/ 819150 w 869950"/>
                            <a:gd name="connsiteY4" fmla="*/ 171450 h 304800"/>
                            <a:gd name="connisteX5" fmla="*/ 869950 w 869950"/>
                            <a:gd name="connsiteY5" fmla="*/ 95250 h 304800"/>
                            <a:gd name="connisteX6" fmla="*/ 736600 w 869950"/>
                            <a:gd name="connsiteY6" fmla="*/ 69850 h 304800"/>
                            <a:gd name="connisteX7" fmla="*/ 679450 w 869950"/>
                            <a:gd name="connsiteY7" fmla="*/ 0 h 304800"/>
                            <a:gd name="connisteX8" fmla="*/ 419100 w 869950"/>
                            <a:gd name="connsiteY8" fmla="*/ 0 h 304800"/>
                            <a:gd name="connisteX9" fmla="*/ 412750 w 869950"/>
                            <a:gd name="connsiteY9" fmla="*/ 76200 h 304800"/>
                            <a:gd name="connisteX10" fmla="*/ 38100 w 869950"/>
                            <a:gd name="connsiteY10" fmla="*/ 69850 h 3048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869950" h="304800">
                              <a:moveTo>
                                <a:pt x="38100" y="69850"/>
                              </a:moveTo>
                              <a:lnTo>
                                <a:pt x="0" y="285750"/>
                              </a:lnTo>
                              <a:lnTo>
                                <a:pt x="146050" y="304800"/>
                              </a:lnTo>
                              <a:lnTo>
                                <a:pt x="203200" y="177800"/>
                              </a:lnTo>
                              <a:lnTo>
                                <a:pt x="819150" y="171450"/>
                              </a:lnTo>
                              <a:lnTo>
                                <a:pt x="869950" y="95250"/>
                              </a:lnTo>
                              <a:lnTo>
                                <a:pt x="736600" y="69850"/>
                              </a:lnTo>
                              <a:lnTo>
                                <a:pt x="679450" y="0"/>
                              </a:lnTo>
                              <a:lnTo>
                                <a:pt x="419100" y="0"/>
                              </a:lnTo>
                              <a:lnTo>
                                <a:pt x="412750" y="76200"/>
                              </a:lnTo>
                              <a:lnTo>
                                <a:pt x="38100" y="69850"/>
                              </a:lnTo>
                              <a:close/>
                            </a:path>
                          </a:pathLst>
                        </a:custGeom>
                        <a:solidFill>
                          <a:srgbClr val="FFFF00">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02.4pt;margin-top:66.5pt;height:24pt;width:68.5pt;z-index:251683840;mso-width-relative:page;mso-height-relative:page;" fillcolor="#FFFF00" filled="t" stroked="f" coordsize="869950,304800" o:gfxdata="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Vqr/2dgAAAALAQAADwAAAAAAAAABACAAAAAiAAAAZHJzL2Rvd25yZXYueG1sUEsBAhQAFAAA&#10;AAgAh07iQFalYwLwAwAAVg0AAA4AAAAAAAAAAQAgAAAAJwEAAGRycy9lMm9Eb2MueG1sUEsFBgAA&#10;AAAGAAYAWQEAAIkHAAAAAA==&#10;" path="m38100,69850l0,285750,146050,304800,203200,177800,819150,171450,869950,95250,736600,69850,679450,0,419100,0,412750,76200,38100,69850xe">
                <v:path textboxrect="0,0,869950,304800" o:connectlocs="38100,69850;0,285750;146050,304800;203200,177800;819150,171450;869950,95250;736600,69850;679450,0;419100,0;412750,76200;38100,69850" o:connectangles="0,0,0,0,0,0,0,0,0,0,0"/>
                <v:fill on="t" opacity="31457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2583180</wp:posOffset>
                </wp:positionH>
                <wp:positionV relativeFrom="paragraph">
                  <wp:posOffset>1511300</wp:posOffset>
                </wp:positionV>
                <wp:extent cx="406400" cy="215900"/>
                <wp:effectExtent l="0" t="0" r="12700" b="12700"/>
                <wp:wrapNone/>
                <wp:docPr id="56" name="任意多边形 56"/>
                <wp:cNvGraphicFramePr/>
                <a:graphic xmlns:a="http://schemas.openxmlformats.org/drawingml/2006/main">
                  <a:graphicData uri="http://schemas.microsoft.com/office/word/2010/wordprocessingShape">
                    <wps:wsp>
                      <wps:cNvSpPr/>
                      <wps:spPr>
                        <a:xfrm>
                          <a:off x="3482975" y="2404745"/>
                          <a:ext cx="406400" cy="215900"/>
                        </a:xfrm>
                        <a:custGeom>
                          <a:avLst/>
                          <a:gdLst>
                            <a:gd name="connisteX0" fmla="*/ 44450 w 406400"/>
                            <a:gd name="connsiteY0" fmla="*/ 0 h 215900"/>
                            <a:gd name="connisteX1" fmla="*/ 0 w 406400"/>
                            <a:gd name="connsiteY1" fmla="*/ 184150 h 215900"/>
                            <a:gd name="connisteX2" fmla="*/ 101600 w 406400"/>
                            <a:gd name="connsiteY2" fmla="*/ 209550 h 215900"/>
                            <a:gd name="connisteX3" fmla="*/ 336550 w 406400"/>
                            <a:gd name="connsiteY3" fmla="*/ 215900 h 215900"/>
                            <a:gd name="connisteX4" fmla="*/ 406400 w 406400"/>
                            <a:gd name="connsiteY4" fmla="*/ 139700 h 215900"/>
                            <a:gd name="connisteX5" fmla="*/ 361950 w 406400"/>
                            <a:gd name="connsiteY5" fmla="*/ 38100 h 215900"/>
                            <a:gd name="connisteX6" fmla="*/ 260350 w 406400"/>
                            <a:gd name="connsiteY6" fmla="*/ 25400 h 215900"/>
                            <a:gd name="connisteX7" fmla="*/ 44450 w 406400"/>
                            <a:gd name="connsiteY7" fmla="*/ 0 h 2159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406400" h="215900">
                              <a:moveTo>
                                <a:pt x="44450" y="0"/>
                              </a:moveTo>
                              <a:lnTo>
                                <a:pt x="0" y="184150"/>
                              </a:lnTo>
                              <a:lnTo>
                                <a:pt x="101600" y="209550"/>
                              </a:lnTo>
                              <a:lnTo>
                                <a:pt x="336550" y="215900"/>
                              </a:lnTo>
                              <a:lnTo>
                                <a:pt x="406400" y="139700"/>
                              </a:lnTo>
                              <a:lnTo>
                                <a:pt x="361950" y="38100"/>
                              </a:lnTo>
                              <a:lnTo>
                                <a:pt x="260350" y="25400"/>
                              </a:lnTo>
                              <a:lnTo>
                                <a:pt x="44450" y="0"/>
                              </a:lnTo>
                              <a:close/>
                            </a:path>
                          </a:pathLst>
                        </a:custGeom>
                        <a:solidFill>
                          <a:srgbClr val="FFFF00">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03.4pt;margin-top:119pt;height:17pt;width:32pt;z-index:251682816;mso-width-relative:page;mso-height-relative:page;" fillcolor="#FFFF00" filled="t" stroked="f" coordsize="406400,215900" o:gfxdata="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r0ej2tgAAAALAQAADwAAAAAAAAABACAAAAAi&#10;AAAAZHJzL2Rvd25yZXYueG1sUEsBAhQAFAAAAAgAh07iQMh/o16ZAwAA5QoAAA4AAAAAAAAAAQAg&#10;AAAAJwEAAGRycy9lMm9Eb2MueG1sUEsFBgAAAAAGAAYAWQEAADIHAAAAAA==&#10;" path="m44450,0l0,184150,101600,209550,336550,215900,406400,139700,361950,38100,260350,25400,44450,0xe">
                <v:path textboxrect="0,0,406400,215900" o:connectlocs="44450,0;0,184150;101600,209550;336550,215900;406400,139700;361950,38100;260350,25400;44450,0" o:connectangles="0,0,0,0,0,0,0,0"/>
                <v:fill on="t" opacity="31457f" focussize="0,0"/>
                <v:stroke on="f" weight="1pt"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4373880</wp:posOffset>
                </wp:positionH>
                <wp:positionV relativeFrom="paragraph">
                  <wp:posOffset>285750</wp:posOffset>
                </wp:positionV>
                <wp:extent cx="495300" cy="323850"/>
                <wp:effectExtent l="85725" t="0" r="0" b="0"/>
                <wp:wrapNone/>
                <wp:docPr id="53" name="文本框 53"/>
                <wp:cNvGraphicFramePr/>
                <a:graphic xmlns:a="http://schemas.openxmlformats.org/drawingml/2006/main">
                  <a:graphicData uri="http://schemas.microsoft.com/office/word/2010/wordprocessingShape">
                    <wps:wsp>
                      <wps:cNvSpPr txBox="1"/>
                      <wps:spPr>
                        <a:xfrm rot="18780000">
                          <a:off x="0" y="0"/>
                          <a:ext cx="4953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00B050"/>
                                <w:sz w:val="18"/>
                                <w:szCs w:val="18"/>
                                <w:lang w:val="en-US" w:eastAsia="zh-CN"/>
                              </w:rPr>
                            </w:pPr>
                            <w:r>
                              <w:rPr>
                                <w:rFonts w:hint="eastAsia"/>
                                <w:b/>
                                <w:bCs/>
                                <w:color w:val="00B050"/>
                                <w:sz w:val="18"/>
                                <w:szCs w:val="18"/>
                                <w:lang w:val="en-US" w:eastAsia="zh-CN"/>
                              </w:rPr>
                              <w:t>灰河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4pt;margin-top:22.5pt;height:25.5pt;width:39pt;rotation:-3080192f;z-index:251681792;mso-width-relative:page;mso-height-relative:page;" filled="f" stroked="f" coordsize="21600,21600" o:gfxdata="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4JVGV2QAAAAkBAAAPAAAAAAAAAAEAIAAA&#10;ACIAAABkcnMvZG93bnJldi54bWxQSwECFAAUAAAACACHTuJAH6HezUQCAAB2BAAADgAAAAAAAAAB&#10;ACAAAAAo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00B050"/>
                          <w:sz w:val="18"/>
                          <w:szCs w:val="18"/>
                          <w:lang w:val="en-US" w:eastAsia="zh-CN"/>
                        </w:rPr>
                      </w:pPr>
                      <w:r>
                        <w:rPr>
                          <w:rFonts w:hint="eastAsia"/>
                          <w:b/>
                          <w:bCs/>
                          <w:color w:val="00B050"/>
                          <w:sz w:val="18"/>
                          <w:szCs w:val="18"/>
                          <w:lang w:val="en-US" w:eastAsia="zh-CN"/>
                        </w:rPr>
                        <w:t>灰河</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1694180</wp:posOffset>
                </wp:positionH>
                <wp:positionV relativeFrom="paragraph">
                  <wp:posOffset>1270000</wp:posOffset>
                </wp:positionV>
                <wp:extent cx="495300" cy="323850"/>
                <wp:effectExtent l="0" t="0" r="0" b="0"/>
                <wp:wrapNone/>
                <wp:docPr id="52" name="文本框 52"/>
                <wp:cNvGraphicFramePr/>
                <a:graphic xmlns:a="http://schemas.openxmlformats.org/drawingml/2006/main">
                  <a:graphicData uri="http://schemas.microsoft.com/office/word/2010/wordprocessingShape">
                    <wps:wsp>
                      <wps:cNvSpPr txBox="1"/>
                      <wps:spPr>
                        <a:xfrm rot="20280000">
                          <a:off x="0" y="0"/>
                          <a:ext cx="4953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00B050"/>
                                <w:sz w:val="18"/>
                                <w:szCs w:val="18"/>
                                <w:lang w:val="en-US" w:eastAsia="zh-CN"/>
                              </w:rPr>
                            </w:pPr>
                            <w:r>
                              <w:rPr>
                                <w:rFonts w:hint="eastAsia"/>
                                <w:b/>
                                <w:bCs/>
                                <w:color w:val="00B050"/>
                                <w:sz w:val="18"/>
                                <w:szCs w:val="18"/>
                                <w:lang w:val="en-US" w:eastAsia="zh-CN"/>
                              </w:rPr>
                              <w:t>灰河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4pt;margin-top:100pt;height:25.5pt;width:39pt;rotation:-1441792f;z-index:251680768;mso-width-relative:page;mso-height-relative:page;" filled="f" stroked="f" coordsize="21600,21600" o:gfxdata="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W2nf3YAAAACwEAAA8AAAAAAAAAAQAgAAAA&#10;IgAAAGRycy9kb3ducmV2LnhtbFBLAQIUABQAAAAIAIdO4kBAT04xRAIAAHYEAAAOAAAAAAAAAAEA&#10;IAAAACc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00B050"/>
                          <w:sz w:val="18"/>
                          <w:szCs w:val="18"/>
                          <w:lang w:val="en-US" w:eastAsia="zh-CN"/>
                        </w:rPr>
                      </w:pPr>
                      <w:r>
                        <w:rPr>
                          <w:rFonts w:hint="eastAsia"/>
                          <w:b/>
                          <w:bCs/>
                          <w:color w:val="00B050"/>
                          <w:sz w:val="18"/>
                          <w:szCs w:val="18"/>
                          <w:lang w:val="en-US" w:eastAsia="zh-CN"/>
                        </w:rPr>
                        <w:t>灰河</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449580</wp:posOffset>
                </wp:positionH>
                <wp:positionV relativeFrom="paragraph">
                  <wp:posOffset>108585</wp:posOffset>
                </wp:positionV>
                <wp:extent cx="5861050" cy="2330450"/>
                <wp:effectExtent l="4445" t="4445" r="20955" b="27305"/>
                <wp:wrapNone/>
                <wp:docPr id="51" name="任意多边形 51"/>
                <wp:cNvGraphicFramePr/>
                <a:graphic xmlns:a="http://schemas.openxmlformats.org/drawingml/2006/main">
                  <a:graphicData uri="http://schemas.microsoft.com/office/word/2010/wordprocessingShape">
                    <wps:wsp>
                      <wps:cNvSpPr/>
                      <wps:spPr>
                        <a:xfrm>
                          <a:off x="1349375" y="1008380"/>
                          <a:ext cx="5861050" cy="2330450"/>
                        </a:xfrm>
                        <a:custGeom>
                          <a:avLst/>
                          <a:gdLst>
                            <a:gd name="connisteX0" fmla="*/ 5861050 w 5861050"/>
                            <a:gd name="connsiteY0" fmla="*/ 0 h 2330450"/>
                            <a:gd name="connisteX1" fmla="*/ 5759450 w 5861050"/>
                            <a:gd name="connsiteY1" fmla="*/ 139700 h 2330450"/>
                            <a:gd name="connisteX2" fmla="*/ 5448300 w 5861050"/>
                            <a:gd name="connsiteY2" fmla="*/ 139700 h 2330450"/>
                            <a:gd name="connisteX3" fmla="*/ 5200650 w 5861050"/>
                            <a:gd name="connsiteY3" fmla="*/ 177800 h 2330450"/>
                            <a:gd name="connisteX4" fmla="*/ 5073650 w 5861050"/>
                            <a:gd name="connsiteY4" fmla="*/ 241300 h 2330450"/>
                            <a:gd name="connisteX5" fmla="*/ 4997450 w 5861050"/>
                            <a:gd name="connsiteY5" fmla="*/ 260350 h 2330450"/>
                            <a:gd name="connisteX6" fmla="*/ 4699000 w 5861050"/>
                            <a:gd name="connsiteY6" fmla="*/ 146050 h 2330450"/>
                            <a:gd name="connisteX7" fmla="*/ 4476750 w 5861050"/>
                            <a:gd name="connsiteY7" fmla="*/ 234950 h 2330450"/>
                            <a:gd name="connisteX8" fmla="*/ 4324350 w 5861050"/>
                            <a:gd name="connsiteY8" fmla="*/ 254000 h 2330450"/>
                            <a:gd name="connisteX9" fmla="*/ 4216400 w 5861050"/>
                            <a:gd name="connsiteY9" fmla="*/ 393700 h 2330450"/>
                            <a:gd name="connisteX10" fmla="*/ 4159250 w 5861050"/>
                            <a:gd name="connsiteY10" fmla="*/ 539750 h 2330450"/>
                            <a:gd name="connisteX11" fmla="*/ 4064000 w 5861050"/>
                            <a:gd name="connsiteY11" fmla="*/ 571500 h 2330450"/>
                            <a:gd name="connisteX12" fmla="*/ 3930650 w 5861050"/>
                            <a:gd name="connsiteY12" fmla="*/ 546100 h 2330450"/>
                            <a:gd name="connisteX13" fmla="*/ 3816350 w 5861050"/>
                            <a:gd name="connsiteY13" fmla="*/ 438150 h 2330450"/>
                            <a:gd name="connisteX14" fmla="*/ 3752850 w 5861050"/>
                            <a:gd name="connsiteY14" fmla="*/ 431800 h 2330450"/>
                            <a:gd name="connisteX15" fmla="*/ 3702050 w 5861050"/>
                            <a:gd name="connsiteY15" fmla="*/ 469900 h 2330450"/>
                            <a:gd name="connisteX16" fmla="*/ 3727450 w 5861050"/>
                            <a:gd name="connsiteY16" fmla="*/ 571500 h 2330450"/>
                            <a:gd name="connisteX17" fmla="*/ 3702050 w 5861050"/>
                            <a:gd name="connsiteY17" fmla="*/ 628650 h 2330450"/>
                            <a:gd name="connisteX18" fmla="*/ 3670300 w 5861050"/>
                            <a:gd name="connsiteY18" fmla="*/ 908050 h 2330450"/>
                            <a:gd name="connisteX19" fmla="*/ 3695700 w 5861050"/>
                            <a:gd name="connsiteY19" fmla="*/ 1054100 h 2330450"/>
                            <a:gd name="connisteX20" fmla="*/ 3517900 w 5861050"/>
                            <a:gd name="connsiteY20" fmla="*/ 1111250 h 2330450"/>
                            <a:gd name="connisteX21" fmla="*/ 3365500 w 5861050"/>
                            <a:gd name="connsiteY21" fmla="*/ 1104900 h 2330450"/>
                            <a:gd name="connisteX22" fmla="*/ 3175000 w 5861050"/>
                            <a:gd name="connsiteY22" fmla="*/ 939800 h 2330450"/>
                            <a:gd name="connisteX23" fmla="*/ 3111500 w 5861050"/>
                            <a:gd name="connsiteY23" fmla="*/ 933450 h 2330450"/>
                            <a:gd name="connisteX24" fmla="*/ 3003550 w 5861050"/>
                            <a:gd name="connsiteY24" fmla="*/ 1085850 h 2330450"/>
                            <a:gd name="connisteX25" fmla="*/ 2863850 w 5861050"/>
                            <a:gd name="connsiteY25" fmla="*/ 1143000 h 2330450"/>
                            <a:gd name="connisteX26" fmla="*/ 2527300 w 5861050"/>
                            <a:gd name="connsiteY26" fmla="*/ 1143000 h 2330450"/>
                            <a:gd name="connisteX27" fmla="*/ 2324100 w 5861050"/>
                            <a:gd name="connsiteY27" fmla="*/ 1187450 h 2330450"/>
                            <a:gd name="connisteX28" fmla="*/ 2235200 w 5861050"/>
                            <a:gd name="connsiteY28" fmla="*/ 1301750 h 2330450"/>
                            <a:gd name="connisteX29" fmla="*/ 2032000 w 5861050"/>
                            <a:gd name="connsiteY29" fmla="*/ 1314450 h 2330450"/>
                            <a:gd name="connisteX30" fmla="*/ 1701800 w 5861050"/>
                            <a:gd name="connsiteY30" fmla="*/ 1333500 h 2330450"/>
                            <a:gd name="connisteX31" fmla="*/ 1441450 w 5861050"/>
                            <a:gd name="connsiteY31" fmla="*/ 1447800 h 2330450"/>
                            <a:gd name="connisteX32" fmla="*/ 1193800 w 5861050"/>
                            <a:gd name="connsiteY32" fmla="*/ 1441450 h 2330450"/>
                            <a:gd name="connisteX33" fmla="*/ 1022350 w 5861050"/>
                            <a:gd name="connsiteY33" fmla="*/ 1670050 h 2330450"/>
                            <a:gd name="connisteX34" fmla="*/ 768350 w 5861050"/>
                            <a:gd name="connsiteY34" fmla="*/ 1790700 h 2330450"/>
                            <a:gd name="connisteX35" fmla="*/ 647700 w 5861050"/>
                            <a:gd name="connsiteY35" fmla="*/ 1860550 h 2330450"/>
                            <a:gd name="connisteX36" fmla="*/ 647700 w 5861050"/>
                            <a:gd name="connsiteY36" fmla="*/ 2076450 h 2330450"/>
                            <a:gd name="connisteX37" fmla="*/ 565150 w 5861050"/>
                            <a:gd name="connsiteY37" fmla="*/ 2108200 h 2330450"/>
                            <a:gd name="connisteX38" fmla="*/ 361950 w 5861050"/>
                            <a:gd name="connsiteY38" fmla="*/ 2133600 h 2330450"/>
                            <a:gd name="connisteX39" fmla="*/ 215900 w 5861050"/>
                            <a:gd name="connsiteY39" fmla="*/ 2216150 h 2330450"/>
                            <a:gd name="connisteX40" fmla="*/ 146050 w 5861050"/>
                            <a:gd name="connsiteY40" fmla="*/ 2260600 h 2330450"/>
                            <a:gd name="connisteX41" fmla="*/ 0 w 5861050"/>
                            <a:gd name="connsiteY41" fmla="*/ 2330450 h 23304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Lst>
                          <a:rect l="l" t="t" r="r" b="b"/>
                          <a:pathLst>
                            <a:path w="5861050" h="2330450">
                              <a:moveTo>
                                <a:pt x="5861050" y="0"/>
                              </a:moveTo>
                              <a:cubicBezTo>
                                <a:pt x="5847080" y="27940"/>
                                <a:pt x="5842000" y="111760"/>
                                <a:pt x="5759450" y="139700"/>
                              </a:cubicBezTo>
                              <a:cubicBezTo>
                                <a:pt x="5676900" y="167640"/>
                                <a:pt x="5560060" y="132080"/>
                                <a:pt x="5448300" y="139700"/>
                              </a:cubicBezTo>
                              <a:cubicBezTo>
                                <a:pt x="5336540" y="147320"/>
                                <a:pt x="5275580" y="157480"/>
                                <a:pt x="5200650" y="177800"/>
                              </a:cubicBezTo>
                              <a:cubicBezTo>
                                <a:pt x="5125720" y="198120"/>
                                <a:pt x="5114290" y="224790"/>
                                <a:pt x="5073650" y="241300"/>
                              </a:cubicBezTo>
                              <a:cubicBezTo>
                                <a:pt x="5033010" y="257810"/>
                                <a:pt x="5072380" y="279400"/>
                                <a:pt x="4997450" y="260350"/>
                              </a:cubicBezTo>
                              <a:cubicBezTo>
                                <a:pt x="4922520" y="241300"/>
                                <a:pt x="4803140" y="151130"/>
                                <a:pt x="4699000" y="146050"/>
                              </a:cubicBezTo>
                              <a:cubicBezTo>
                                <a:pt x="4594860" y="140970"/>
                                <a:pt x="4551680" y="213360"/>
                                <a:pt x="4476750" y="234950"/>
                              </a:cubicBezTo>
                              <a:cubicBezTo>
                                <a:pt x="4401820" y="256540"/>
                                <a:pt x="4376420" y="222250"/>
                                <a:pt x="4324350" y="254000"/>
                              </a:cubicBezTo>
                              <a:cubicBezTo>
                                <a:pt x="4272280" y="285750"/>
                                <a:pt x="4249420" y="336550"/>
                                <a:pt x="4216400" y="393700"/>
                              </a:cubicBezTo>
                              <a:cubicBezTo>
                                <a:pt x="4183380" y="450850"/>
                                <a:pt x="4189730" y="504190"/>
                                <a:pt x="4159250" y="539750"/>
                              </a:cubicBezTo>
                              <a:cubicBezTo>
                                <a:pt x="4128770" y="575310"/>
                                <a:pt x="4109720" y="570230"/>
                                <a:pt x="4064000" y="571500"/>
                              </a:cubicBezTo>
                              <a:cubicBezTo>
                                <a:pt x="4018280" y="572770"/>
                                <a:pt x="3980180" y="572770"/>
                                <a:pt x="3930650" y="546100"/>
                              </a:cubicBezTo>
                              <a:cubicBezTo>
                                <a:pt x="3881120" y="519430"/>
                                <a:pt x="3851910" y="461010"/>
                                <a:pt x="3816350" y="438150"/>
                              </a:cubicBezTo>
                              <a:cubicBezTo>
                                <a:pt x="3780790" y="415290"/>
                                <a:pt x="3775710" y="425450"/>
                                <a:pt x="3752850" y="431800"/>
                              </a:cubicBezTo>
                              <a:cubicBezTo>
                                <a:pt x="3729990" y="438150"/>
                                <a:pt x="3707130" y="441960"/>
                                <a:pt x="3702050" y="469900"/>
                              </a:cubicBezTo>
                              <a:cubicBezTo>
                                <a:pt x="3696970" y="497840"/>
                                <a:pt x="3727450" y="539750"/>
                                <a:pt x="3727450" y="571500"/>
                              </a:cubicBezTo>
                              <a:cubicBezTo>
                                <a:pt x="3727450" y="603250"/>
                                <a:pt x="3713480" y="561340"/>
                                <a:pt x="3702050" y="628650"/>
                              </a:cubicBezTo>
                              <a:cubicBezTo>
                                <a:pt x="3690620" y="695960"/>
                                <a:pt x="3671570" y="822960"/>
                                <a:pt x="3670300" y="908050"/>
                              </a:cubicBezTo>
                              <a:cubicBezTo>
                                <a:pt x="3669030" y="993140"/>
                                <a:pt x="3726180" y="1013460"/>
                                <a:pt x="3695700" y="1054100"/>
                              </a:cubicBezTo>
                              <a:cubicBezTo>
                                <a:pt x="3665220" y="1094740"/>
                                <a:pt x="3583940" y="1101090"/>
                                <a:pt x="3517900" y="1111250"/>
                              </a:cubicBezTo>
                              <a:cubicBezTo>
                                <a:pt x="3451860" y="1121410"/>
                                <a:pt x="3434080" y="1139190"/>
                                <a:pt x="3365500" y="1104900"/>
                              </a:cubicBezTo>
                              <a:cubicBezTo>
                                <a:pt x="3296920" y="1070610"/>
                                <a:pt x="3225800" y="974090"/>
                                <a:pt x="3175000" y="939800"/>
                              </a:cubicBezTo>
                              <a:cubicBezTo>
                                <a:pt x="3124200" y="905510"/>
                                <a:pt x="3145790" y="904240"/>
                                <a:pt x="3111500" y="933450"/>
                              </a:cubicBezTo>
                              <a:cubicBezTo>
                                <a:pt x="3077210" y="962660"/>
                                <a:pt x="3053080" y="1043940"/>
                                <a:pt x="3003550" y="1085850"/>
                              </a:cubicBezTo>
                              <a:cubicBezTo>
                                <a:pt x="2954020" y="1127760"/>
                                <a:pt x="2959100" y="1131570"/>
                                <a:pt x="2863850" y="1143000"/>
                              </a:cubicBezTo>
                              <a:cubicBezTo>
                                <a:pt x="2768600" y="1154430"/>
                                <a:pt x="2635250" y="1134110"/>
                                <a:pt x="2527300" y="1143000"/>
                              </a:cubicBezTo>
                              <a:cubicBezTo>
                                <a:pt x="2419350" y="1151890"/>
                                <a:pt x="2382520" y="1155700"/>
                                <a:pt x="2324100" y="1187450"/>
                              </a:cubicBezTo>
                              <a:cubicBezTo>
                                <a:pt x="2265680" y="1219200"/>
                                <a:pt x="2293620" y="1276350"/>
                                <a:pt x="2235200" y="1301750"/>
                              </a:cubicBezTo>
                              <a:cubicBezTo>
                                <a:pt x="2176780" y="1327150"/>
                                <a:pt x="2138680" y="1308100"/>
                                <a:pt x="2032000" y="1314450"/>
                              </a:cubicBezTo>
                              <a:cubicBezTo>
                                <a:pt x="1925320" y="1320800"/>
                                <a:pt x="1819910" y="1306830"/>
                                <a:pt x="1701800" y="1333500"/>
                              </a:cubicBezTo>
                              <a:cubicBezTo>
                                <a:pt x="1583690" y="1360170"/>
                                <a:pt x="1543050" y="1426210"/>
                                <a:pt x="1441450" y="1447800"/>
                              </a:cubicBezTo>
                              <a:cubicBezTo>
                                <a:pt x="1339850" y="1469390"/>
                                <a:pt x="1277620" y="1397000"/>
                                <a:pt x="1193800" y="1441450"/>
                              </a:cubicBezTo>
                              <a:cubicBezTo>
                                <a:pt x="1109980" y="1485900"/>
                                <a:pt x="1107440" y="1600200"/>
                                <a:pt x="1022350" y="1670050"/>
                              </a:cubicBezTo>
                              <a:cubicBezTo>
                                <a:pt x="937260" y="1739900"/>
                                <a:pt x="843280" y="1752600"/>
                                <a:pt x="768350" y="1790700"/>
                              </a:cubicBezTo>
                              <a:cubicBezTo>
                                <a:pt x="693420" y="1828800"/>
                                <a:pt x="671830" y="1803400"/>
                                <a:pt x="647700" y="1860550"/>
                              </a:cubicBezTo>
                              <a:cubicBezTo>
                                <a:pt x="623570" y="1917700"/>
                                <a:pt x="664210" y="2026920"/>
                                <a:pt x="647700" y="2076450"/>
                              </a:cubicBezTo>
                              <a:cubicBezTo>
                                <a:pt x="631190" y="2125980"/>
                                <a:pt x="622300" y="2096770"/>
                                <a:pt x="565150" y="2108200"/>
                              </a:cubicBezTo>
                              <a:cubicBezTo>
                                <a:pt x="508000" y="2119630"/>
                                <a:pt x="431800" y="2112010"/>
                                <a:pt x="361950" y="2133600"/>
                              </a:cubicBezTo>
                              <a:cubicBezTo>
                                <a:pt x="292100" y="2155190"/>
                                <a:pt x="259080" y="2190750"/>
                                <a:pt x="215900" y="2216150"/>
                              </a:cubicBezTo>
                              <a:cubicBezTo>
                                <a:pt x="172720" y="2241550"/>
                                <a:pt x="189230" y="2237740"/>
                                <a:pt x="146050" y="2260600"/>
                              </a:cubicBezTo>
                              <a:cubicBezTo>
                                <a:pt x="102870" y="2283460"/>
                                <a:pt x="27940" y="2317115"/>
                                <a:pt x="0" y="2330450"/>
                              </a:cubicBezTo>
                            </a:path>
                          </a:pathLst>
                        </a:cu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C000"/>
                              </w:rPr>
                            </w:pPr>
                          </w:p>
                        </w:txbxContent>
                      </wps:txbx>
                      <wps:bodyPr/>
                    </wps:wsp>
                  </a:graphicData>
                </a:graphic>
              </wp:anchor>
            </w:drawing>
          </mc:Choice>
          <mc:Fallback>
            <w:pict>
              <v:shape id="_x0000_s1026" o:spid="_x0000_s1026" o:spt="100" style="position:absolute;left:0pt;margin-left:35.4pt;margin-top:8.55pt;height:183.5pt;width:461.5pt;z-index:251679744;mso-width-relative:page;mso-height-relative:page;" filled="f" stroked="t" coordsize="5861050,2330450" o:gfxdata="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" path="m5861050,0c5847080,27940,5842000,111760,5759450,139700c5676900,167640,5560060,132080,5448300,139700c5336540,147320,5275580,157480,5200650,177800c5125720,198120,5114290,224790,5073650,241300c5033010,257810,5072380,279400,4997450,260350c4922520,241300,4803140,151130,4699000,146050c4594860,140970,4551680,213360,4476750,234950c4401820,256540,4376420,222250,4324350,254000c4272280,285750,4249420,336550,4216400,393700c4183380,450850,4189730,504190,4159250,539750c4128770,575310,4109720,570230,4064000,571500c4018280,572770,3980180,572770,3930650,546100c3881120,519430,3851910,461010,3816350,438150c3780790,415290,3775710,425450,3752850,431800c3729990,438150,3707130,441960,3702050,469900c3696970,497840,3727450,539750,3727450,571500c3727450,603250,3713480,561340,3702050,628650c3690620,695960,3671570,822960,3670300,908050c3669030,993140,3726180,1013460,3695700,1054100c3665220,1094740,3583940,1101090,3517900,1111250c3451860,1121410,3434080,1139190,3365500,1104900c3296920,1070610,3225800,974090,3175000,939800c3124200,905510,3145790,904240,3111500,933450c3077210,962660,3053080,1043940,3003550,1085850c2954020,1127760,2959100,1131570,2863850,1143000c2768600,1154430,2635250,1134110,2527300,1143000c2419350,1151890,2382520,1155700,2324100,1187450c2265680,1219200,2293620,1276350,2235200,1301750c2176780,1327150,2138680,1308100,2032000,1314450c1925320,1320800,1819910,1306830,1701800,1333500c1583690,1360170,1543050,1426210,1441450,1447800c1339850,1469390,1277620,1397000,1193800,1441450c1109980,1485900,1107440,1600200,1022350,1670050c937260,1739900,843280,1752600,768350,1790700c693420,1828800,671830,1803400,647700,1860550c623570,1917700,664210,2026920,647700,2076450c631190,2125980,622300,2096770,565150,2108200c508000,2119630,431800,2112010,361950,2133600c292100,2155190,259080,2190750,215900,2216150c172720,2241550,189230,2237740,146050,2260600c102870,2283460,27940,2317115,0,2330450e">
                <v:path textboxrect="0,0,5861050,2330450" o:connectlocs="5861050,0;5759450,139700;5448300,139700;5200650,177800;5073650,241300;4997450,260350;4699000,146050;4476750,234950;4324350,254000;4216400,393700;4159250,539750;4064000,571500;3930650,546100;3816350,438150;3752850,431800;3702050,469900;3727450,571500;3702050,628650;3670300,908050;3695700,1054100;3517900,1111250;3365500,1104900;3175000,939800;3111500,933450;3003550,1085850;2863850,1143000;2527300,1143000;2324100,1187450;2235200,1301750;2032000,1314450;1701800,1333500;1441450,1447800;1193800,1441450;1022350,1670050;768350,1790700;647700,1860550;647700,2076450;565150,2108200;361950,2133600;215900,2216150;146050,2260600;0,2330450" o:connectangles="0,0,0,0,0,0,0,0,0,0,0,0,0,0,0,0,0,0,0,0,0,0,0,0,0,0,0,0,0,0,0,0,0,0,0,0,0,0,0,0,0,0"/>
                <v:fill on="f" focussize="0,0"/>
                <v:stroke weight="1.75pt" color="#00B050 [3204]" miterlimit="8" joinstyle="miter"/>
                <v:imagedata o:title=""/>
                <o:lock v:ext="edit" aspectratio="f"/>
                <v:textbox>
                  <w:txbxContent>
                    <w:p>
                      <w:pPr>
                        <w:jc w:val="center"/>
                        <w:rPr>
                          <w:color w:val="FFC000"/>
                        </w:rPr>
                      </w:pP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5262880</wp:posOffset>
                </wp:positionH>
                <wp:positionV relativeFrom="paragraph">
                  <wp:posOffset>2819400</wp:posOffset>
                </wp:positionV>
                <wp:extent cx="495300" cy="32385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4953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0000"/>
                                <w:sz w:val="18"/>
                                <w:szCs w:val="18"/>
                                <w:lang w:val="en-US" w:eastAsia="zh-CN"/>
                              </w:rPr>
                            </w:pPr>
                            <w:r>
                              <w:rPr>
                                <w:rFonts w:hint="eastAsia"/>
                                <w:b/>
                                <w:bCs/>
                                <w:color w:val="FF0000"/>
                                <w:sz w:val="18"/>
                                <w:szCs w:val="18"/>
                                <w:lang w:val="en-US" w:eastAsia="zh-CN"/>
                              </w:rPr>
                              <w:t>2.5km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4pt;margin-top:222pt;height:25.5pt;width:39pt;z-index:251678720;mso-width-relative:page;mso-height-relative:page;" filled="f" stroked="f" coordsize="21600,21600" o:gfxdata="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ON4TbAAAACwEAAA8AAAAAAAAAAQAgAAAAIgAAAGRy&#10;cy9kb3ducmV2LnhtbFBLAQIUABQAAAAIAIdO4kCpdOqvOwIAAGcEAAAOAAAAAAAAAAEAIAAAACo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color w:val="FF0000"/>
                          <w:sz w:val="18"/>
                          <w:szCs w:val="18"/>
                          <w:lang w:val="en-US" w:eastAsia="zh-CN"/>
                        </w:rPr>
                      </w:pPr>
                      <w:r>
                        <w:rPr>
                          <w:rFonts w:hint="eastAsia"/>
                          <w:b/>
                          <w:bCs/>
                          <w:color w:val="FF0000"/>
                          <w:sz w:val="18"/>
                          <w:szCs w:val="18"/>
                          <w:lang w:val="en-US" w:eastAsia="zh-CN"/>
                        </w:rPr>
                        <w:t>2.5km</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4246880</wp:posOffset>
                </wp:positionH>
                <wp:positionV relativeFrom="paragraph">
                  <wp:posOffset>2794000</wp:posOffset>
                </wp:positionV>
                <wp:extent cx="495300" cy="323850"/>
                <wp:effectExtent l="0" t="0" r="0" b="0"/>
                <wp:wrapNone/>
                <wp:docPr id="47" name="文本框 47"/>
                <wp:cNvGraphicFramePr/>
                <a:graphic xmlns:a="http://schemas.openxmlformats.org/drawingml/2006/main">
                  <a:graphicData uri="http://schemas.microsoft.com/office/word/2010/wordprocessingShape">
                    <wps:wsp>
                      <wps:cNvSpPr txBox="1"/>
                      <wps:spPr>
                        <a:xfrm>
                          <a:off x="5235575" y="4074795"/>
                          <a:ext cx="4953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bCs/>
                                <w:color w:val="FF0000"/>
                                <w:sz w:val="13"/>
                                <w:szCs w:val="13"/>
                                <w:lang w:eastAsia="zh-CN"/>
                              </w:rPr>
                            </w:pPr>
                            <w:r>
                              <w:rPr>
                                <w:rFonts w:hint="eastAsia"/>
                                <w:b/>
                                <w:bCs/>
                                <w:color w:val="FF0000"/>
                                <w:sz w:val="13"/>
                                <w:szCs w:val="13"/>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4pt;margin-top:220pt;height:25.5pt;width:39pt;z-index:251677696;mso-width-relative:page;mso-height-relative:page;" filled="f" stroked="f" coordsize="21600,21600" o:gfxdata="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2EJTz2wAAAAsBAAAPAAAAAAAA&#10;AAEAIAAAACIAAABkcnMvZG93bnJldi54bWxQSwECFAAUAAAACACHTuJAjLnXIEgCAABz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bCs/>
                          <w:color w:val="FF0000"/>
                          <w:sz w:val="13"/>
                          <w:szCs w:val="13"/>
                          <w:lang w:eastAsia="zh-CN"/>
                        </w:rPr>
                      </w:pPr>
                      <w:r>
                        <w:rPr>
                          <w:rFonts w:hint="eastAsia"/>
                          <w:b/>
                          <w:bCs/>
                          <w:color w:val="FF0000"/>
                          <w:sz w:val="13"/>
                          <w:szCs w:val="13"/>
                          <w:lang w:eastAsia="zh-CN"/>
                        </w:rPr>
                        <w:t>本项目</w:t>
                      </w:r>
                    </w:p>
                  </w:txbxContent>
                </v:textbox>
              </v:shape>
            </w:pict>
          </mc:Fallback>
        </mc:AlternateContent>
      </w:r>
      <w:r>
        <w:drawing>
          <wp:anchor distT="0" distB="0" distL="114300" distR="114300" simplePos="0" relativeHeight="251668480" behindDoc="1" locked="0" layoutInCell="1" allowOverlap="1">
            <wp:simplePos x="0" y="0"/>
            <wp:positionH relativeFrom="column">
              <wp:posOffset>410845</wp:posOffset>
            </wp:positionH>
            <wp:positionV relativeFrom="paragraph">
              <wp:posOffset>71755</wp:posOffset>
            </wp:positionV>
            <wp:extent cx="8054340" cy="5384165"/>
            <wp:effectExtent l="0" t="0" r="3810" b="6985"/>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8"/>
                    <a:stretch>
                      <a:fillRect/>
                    </a:stretch>
                  </pic:blipFill>
                  <pic:spPr>
                    <a:xfrm>
                      <a:off x="0" y="0"/>
                      <a:ext cx="8054340" cy="5384165"/>
                    </a:xfrm>
                    <a:prstGeom prst="rect">
                      <a:avLst/>
                    </a:prstGeom>
                    <a:noFill/>
                    <a:ln>
                      <a:noFill/>
                    </a:ln>
                  </pic:spPr>
                </pic:pic>
              </a:graphicData>
            </a:graphic>
          </wp:anchor>
        </w:drawing>
      </w:r>
      <w:r>
        <w:rPr>
          <w:sz w:val="24"/>
        </w:rPr>
        <mc:AlternateContent>
          <mc:Choice Requires="wps">
            <w:drawing>
              <wp:anchor distT="0" distB="0" distL="114300" distR="114300" simplePos="0" relativeHeight="251676672" behindDoc="0" locked="0" layoutInCell="1" allowOverlap="1">
                <wp:simplePos x="0" y="0"/>
                <wp:positionH relativeFrom="column">
                  <wp:posOffset>2151380</wp:posOffset>
                </wp:positionH>
                <wp:positionV relativeFrom="paragraph">
                  <wp:posOffset>5237480</wp:posOffset>
                </wp:positionV>
                <wp:extent cx="2349500" cy="1270"/>
                <wp:effectExtent l="0" t="0" r="0" b="0"/>
                <wp:wrapNone/>
                <wp:docPr id="46" name="直接连接符 46"/>
                <wp:cNvGraphicFramePr/>
                <a:graphic xmlns:a="http://schemas.openxmlformats.org/drawingml/2006/main">
                  <a:graphicData uri="http://schemas.microsoft.com/office/word/2010/wordprocessingShape">
                    <wps:wsp>
                      <wps:cNvCnPr/>
                      <wps:spPr>
                        <a:xfrm flipH="1">
                          <a:off x="0" y="0"/>
                          <a:ext cx="2349500" cy="127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9.4pt;margin-top:412.4pt;height:0.1pt;width:185pt;z-index:251676672;mso-width-relative:page;mso-height-relative:page;" filled="f" stroked="t" coordsize="21600,21600" o:gfxdata="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X799zVAAAACwEAAA8AAAAAAAAAAQAgAAAAIgAAAGRycy9kb3ducmV2LnhtbFBLAQIU&#10;ABQAAAAIAIdO4kAF8QyZ9gEAAMEDAAAOAAAAAAAAAAEAIAAAACQBAABkcnMvZTJvRG9jLnhtbFBL&#10;BQYAAAAABgAGAFkBAACMBQ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4431030</wp:posOffset>
                </wp:positionH>
                <wp:positionV relativeFrom="paragraph">
                  <wp:posOffset>5237480</wp:posOffset>
                </wp:positionV>
                <wp:extent cx="2249805" cy="1270"/>
                <wp:effectExtent l="0" t="0" r="0" b="0"/>
                <wp:wrapNone/>
                <wp:docPr id="38" name="直接连接符 38"/>
                <wp:cNvGraphicFramePr/>
                <a:graphic xmlns:a="http://schemas.openxmlformats.org/drawingml/2006/main">
                  <a:graphicData uri="http://schemas.microsoft.com/office/word/2010/wordprocessingShape">
                    <wps:wsp>
                      <wps:cNvCnPr/>
                      <wps:spPr>
                        <a:xfrm flipH="1">
                          <a:off x="5349875" y="3890645"/>
                          <a:ext cx="2249805"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48.9pt;margin-top:412.4pt;height:0.1pt;width:177.15pt;z-index:251667456;mso-width-relative:page;mso-height-relative:page;" filled="f" stroked="t" coordsize="21600,21600" o:gfxdata="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BKIB2gAAAAwBAAAPAAAAAAAAAAEAIAAAACIAAABkcnMv&#10;ZG93bnJldi54bWxQSwECFAAUAAAACACHTuJAj7tKhwECAADNAwAADgAAAAAAAAABACAAAAApAQAA&#10;ZHJzL2Uyb0RvYy54bWxQSwUGAAAAAAYABgBZAQAAnAU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1046480</wp:posOffset>
                </wp:positionH>
                <wp:positionV relativeFrom="paragraph">
                  <wp:posOffset>4151630</wp:posOffset>
                </wp:positionV>
                <wp:extent cx="2195830" cy="1270"/>
                <wp:effectExtent l="7620" t="0" r="10160" b="13970"/>
                <wp:wrapNone/>
                <wp:docPr id="44" name="直接连接符 44"/>
                <wp:cNvGraphicFramePr/>
                <a:graphic xmlns:a="http://schemas.openxmlformats.org/drawingml/2006/main">
                  <a:graphicData uri="http://schemas.microsoft.com/office/word/2010/wordprocessingShape">
                    <wps:wsp>
                      <wps:cNvCnPr/>
                      <wps:spPr>
                        <a:xfrm rot="16200000" flipH="1">
                          <a:off x="0" y="0"/>
                          <a:ext cx="2195830" cy="127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2.4pt;margin-top:326.9pt;height:0.1pt;width:172.9pt;rotation:5898240f;z-index:251674624;mso-width-relative:page;mso-height-relative:page;" filled="f" stroked="t" coordsize="21600,21600" o:gfxdata="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uCPXZAAAACwEAAA8AAAAAAAAAAQAgAAAAIgAAAGRycy9kb3ducmV2&#10;LnhtbFBLAQIUABQAAAAIAIdO4kA04xRg+wEAANADAAAOAAAAAAAAAAEAIAAAACgBAABkcnMvZTJv&#10;RG9jLnhtbFBLBQYAAAAABgAGAFkBAACVBQ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2272030</wp:posOffset>
                </wp:positionH>
                <wp:positionV relativeFrom="paragraph">
                  <wp:posOffset>811530</wp:posOffset>
                </wp:positionV>
                <wp:extent cx="2216150" cy="1270"/>
                <wp:effectExtent l="0" t="0" r="0" b="0"/>
                <wp:wrapNone/>
                <wp:docPr id="43" name="直接连接符 43"/>
                <wp:cNvGraphicFramePr/>
                <a:graphic xmlns:a="http://schemas.openxmlformats.org/drawingml/2006/main">
                  <a:graphicData uri="http://schemas.microsoft.com/office/word/2010/wordprocessingShape">
                    <wps:wsp>
                      <wps:cNvCnPr/>
                      <wps:spPr>
                        <a:xfrm flipH="1">
                          <a:off x="0" y="0"/>
                          <a:ext cx="2216150"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78.9pt;margin-top:63.9pt;height:0.1pt;width:174.5pt;z-index:251673600;mso-width-relative:page;mso-height-relative:page;" filled="f" stroked="t" coordsize="21600,21600" o:gfxdata="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ogGvdgAAAALAQAADwAAAAAAAAABACAAAAAiAAAAZHJzL2Rvd25yZXYueG1sUEsBAhQA&#10;FAAAAAgAh07iQHoh0NTyAQAAwQMAAA4AAAAAAAAAAQAgAAAAJwEAAGRycy9lMm9Eb2MueG1sUEsF&#10;BgAAAAAGAAYAWQEAAIsFA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2265680</wp:posOffset>
                </wp:positionH>
                <wp:positionV relativeFrom="paragraph">
                  <wp:posOffset>819150</wp:posOffset>
                </wp:positionV>
                <wp:extent cx="3810" cy="2244090"/>
                <wp:effectExtent l="9525" t="0" r="24765" b="3810"/>
                <wp:wrapNone/>
                <wp:docPr id="45" name="直接连接符 45"/>
                <wp:cNvGraphicFramePr/>
                <a:graphic xmlns:a="http://schemas.openxmlformats.org/drawingml/2006/main">
                  <a:graphicData uri="http://schemas.microsoft.com/office/word/2010/wordprocessingShape">
                    <wps:wsp>
                      <wps:cNvCnPr/>
                      <wps:spPr>
                        <a:xfrm>
                          <a:off x="0" y="0"/>
                          <a:ext cx="3810" cy="22440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8.4pt;margin-top:64.5pt;height:176.7pt;width:0.3pt;z-index:251675648;mso-width-relative:page;mso-height-relative:page;" filled="f" stroked="t" coordsize="21600,21600" o:gfxdata="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9wiC1wAAAAsBAAAPAAAAAAAAAAEAIAAAACIAAABkcnMvZG93bnJldi54bWxQSwECFAAUAAAACACH&#10;TuJAv9e0BuwBAAC3AwAADgAAAAAAAAABACAAAAAmAQAAZHJzL2Uyb0RvYy54bWxQSwUGAAAAAAYA&#10;BgBZAQAAhAU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2145030</wp:posOffset>
                </wp:positionH>
                <wp:positionV relativeFrom="paragraph">
                  <wp:posOffset>3060700</wp:posOffset>
                </wp:positionV>
                <wp:extent cx="125730" cy="0"/>
                <wp:effectExtent l="0" t="9525" r="7620" b="9525"/>
                <wp:wrapNone/>
                <wp:docPr id="42" name="直接连接符 42"/>
                <wp:cNvGraphicFramePr/>
                <a:graphic xmlns:a="http://schemas.openxmlformats.org/drawingml/2006/main">
                  <a:graphicData uri="http://schemas.microsoft.com/office/word/2010/wordprocessingShape">
                    <wps:wsp>
                      <wps:cNvCnPr/>
                      <wps:spPr>
                        <a:xfrm flipH="1">
                          <a:off x="0" y="0"/>
                          <a:ext cx="1257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68.9pt;margin-top:241pt;height:0pt;width:9.9pt;z-index:251672576;mso-width-relative:page;mso-height-relative:page;" filled="f" stroked="t" coordsize="21600,21600" o:gfxdata="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3LygdoAAAALAQAADwAAAAAAAAABACAAAAAiAAAAZHJzL2Rvd25yZXYueG1sUEsBAhQAFAAA&#10;AAgAh07iQHBQRWftAQAAvQMAAA4AAAAAAAAAAQAgAAAAKQEAAGRycy9lMm9Eb2MueG1sUEsFBgAA&#10;AAAGAAYAWQEAAIgFA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4469130</wp:posOffset>
                </wp:positionH>
                <wp:positionV relativeFrom="paragraph">
                  <wp:posOffset>811530</wp:posOffset>
                </wp:positionV>
                <wp:extent cx="2216150" cy="1270"/>
                <wp:effectExtent l="0" t="0" r="0" b="0"/>
                <wp:wrapNone/>
                <wp:docPr id="41" name="直接连接符 41"/>
                <wp:cNvGraphicFramePr/>
                <a:graphic xmlns:a="http://schemas.openxmlformats.org/drawingml/2006/main">
                  <a:graphicData uri="http://schemas.microsoft.com/office/word/2010/wordprocessingShape">
                    <wps:wsp>
                      <wps:cNvCnPr/>
                      <wps:spPr>
                        <a:xfrm flipH="1">
                          <a:off x="0" y="0"/>
                          <a:ext cx="2216150"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1.9pt;margin-top:63.9pt;height:0.1pt;width:174.5pt;z-index:251671552;mso-width-relative:page;mso-height-relative:page;" filled="f" stroked="t" coordsize="21600,21600" o:gfxdata="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tP1/ZAAAADAEAAA8AAAAAAAAAAQAgAAAAIgAAAGRycy9kb3ducmV2LnhtbFBLAQIU&#10;ABQAAAAIAIdO4kCIVrTA8gEAAMEDAAAOAAAAAAAAAAEAIAAAACgBAABkcnMvZTJvRG9jLnhtbFBL&#10;BQYAAAAABgAGAFkBAACMBQ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5574030</wp:posOffset>
                </wp:positionH>
                <wp:positionV relativeFrom="paragraph">
                  <wp:posOffset>1916430</wp:posOffset>
                </wp:positionV>
                <wp:extent cx="2216150" cy="1270"/>
                <wp:effectExtent l="9525" t="0" r="27305" b="12700"/>
                <wp:wrapNone/>
                <wp:docPr id="40" name="直接连接符 40"/>
                <wp:cNvGraphicFramePr/>
                <a:graphic xmlns:a="http://schemas.openxmlformats.org/drawingml/2006/main">
                  <a:graphicData uri="http://schemas.microsoft.com/office/word/2010/wordprocessingShape">
                    <wps:wsp>
                      <wps:cNvCnPr/>
                      <wps:spPr>
                        <a:xfrm rot="16200000" flipH="1">
                          <a:off x="0" y="0"/>
                          <a:ext cx="2216150"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8.9pt;margin-top:150.9pt;height:0.1pt;width:174.5pt;rotation:5898240f;z-index:251670528;mso-width-relative:page;mso-height-relative:page;" filled="f" stroked="t" coordsize="21600,21600" o:gfxdata="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eQH8LZAAAADAEAAA8AAAAAAAAAAQAgAAAAIgAAAGRycy9kb3ducmV2Lnht&#10;bFBLAQIUABQAAAAIAIdO4kCs8dTs+AEAANADAAAOAAAAAAAAAAEAIAAAACgBAABkcnMvZTJvRG9j&#10;LnhtbFBLBQYAAAAABgAGAFkBAACSBQ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5574030</wp:posOffset>
                </wp:positionH>
                <wp:positionV relativeFrom="paragraph">
                  <wp:posOffset>4132580</wp:posOffset>
                </wp:positionV>
                <wp:extent cx="2216150" cy="1270"/>
                <wp:effectExtent l="9525" t="0" r="27305" b="12700"/>
                <wp:wrapNone/>
                <wp:docPr id="39" name="直接连接符 39"/>
                <wp:cNvGraphicFramePr/>
                <a:graphic xmlns:a="http://schemas.openxmlformats.org/drawingml/2006/main">
                  <a:graphicData uri="http://schemas.microsoft.com/office/word/2010/wordprocessingShape">
                    <wps:wsp>
                      <wps:cNvCnPr/>
                      <wps:spPr>
                        <a:xfrm rot="16200000" flipH="1">
                          <a:off x="0" y="0"/>
                          <a:ext cx="2216150"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8.9pt;margin-top:325.4pt;height:0.1pt;width:174.5pt;rotation:5898240f;z-index:251669504;mso-width-relative:page;mso-height-relative:page;" filled="f" stroked="t" coordsize="21600,21600" o:gfxdata="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ftk2QAAAAwBAAAPAAAAAAAAAAEAIAAAACIAAABkcnMvZG93bnJldi54&#10;bWxQSwECFAAUAAAACACHTuJAgo8S2fkBAADQAwAADgAAAAAAAAABACAAAAAoAQAAZHJzL2Uyb0Rv&#10;Yy54bWxQSwUGAAAAAAYABgBZAQAAkwUAAAAA&#10;">
                <v:fill on="f" focussize="0,0"/>
                <v:stroke weight="1.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4462780</wp:posOffset>
                </wp:positionH>
                <wp:positionV relativeFrom="paragraph">
                  <wp:posOffset>3035300</wp:posOffset>
                </wp:positionV>
                <wp:extent cx="2222500" cy="5080"/>
                <wp:effectExtent l="0" t="20320" r="6350" b="31750"/>
                <wp:wrapNone/>
                <wp:docPr id="37" name="直接箭头连接符 37"/>
                <wp:cNvGraphicFramePr/>
                <a:graphic xmlns:a="http://schemas.openxmlformats.org/drawingml/2006/main">
                  <a:graphicData uri="http://schemas.microsoft.com/office/word/2010/wordprocessingShape">
                    <wps:wsp>
                      <wps:cNvCnPr/>
                      <wps:spPr>
                        <a:xfrm>
                          <a:off x="5349875" y="3890645"/>
                          <a:ext cx="2222500" cy="5080"/>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1.4pt;margin-top:239pt;height:0.4pt;width:175pt;z-index:251666432;mso-width-relative:page;mso-height-relative:page;" filled="f" stroked="t" coordsize="21600,21600" o:gfxdata="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VTJJNkAAAAMAQAADwAAAAAAAAABACAAAAAiAAAAZHJzL2Rvd25yZXYueG1sUEsBAhQAFAAAAAgA&#10;h07iQLm+cy8kAgAAAwQAAA4AAAAAAAAAAQAgAAAAKAEAAGRycy9lMm9Eb2MueG1sUEsFBgAAAAAG&#10;AAYAWQEAAL4FAAAAAA==&#10;">
                <v:fill on="f" focussize="0,0"/>
                <v:stroke weight="0.5pt" color="#FF0000 [3204]" miterlimit="8" joinstyle="miter" endarrow="block" endarrowwidth="narrow"/>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4361180</wp:posOffset>
                </wp:positionH>
                <wp:positionV relativeFrom="paragraph">
                  <wp:posOffset>2990850</wp:posOffset>
                </wp:positionV>
                <wp:extent cx="95250" cy="76200"/>
                <wp:effectExtent l="8255" t="6985" r="10795" b="12065"/>
                <wp:wrapNone/>
                <wp:docPr id="36" name="任意多边形 36"/>
                <wp:cNvGraphicFramePr/>
                <a:graphic xmlns:a="http://schemas.openxmlformats.org/drawingml/2006/main">
                  <a:graphicData uri="http://schemas.microsoft.com/office/word/2010/wordprocessingShape">
                    <wps:wsp>
                      <wps:cNvSpPr/>
                      <wps:spPr>
                        <a:xfrm>
                          <a:off x="5260975" y="3890645"/>
                          <a:ext cx="95250" cy="76200"/>
                        </a:xfrm>
                        <a:custGeom>
                          <a:avLst/>
                          <a:gdLst>
                            <a:gd name="connisteX0" fmla="*/ 38100 w 95250"/>
                            <a:gd name="connsiteY0" fmla="*/ 6350 h 76200"/>
                            <a:gd name="connisteX1" fmla="*/ 38100 w 95250"/>
                            <a:gd name="connsiteY1" fmla="*/ 50800 h 76200"/>
                            <a:gd name="connisteX2" fmla="*/ 0 w 95250"/>
                            <a:gd name="connsiteY2" fmla="*/ 44450 h 76200"/>
                            <a:gd name="connisteX3" fmla="*/ 6350 w 95250"/>
                            <a:gd name="connsiteY3" fmla="*/ 69850 h 76200"/>
                            <a:gd name="connisteX4" fmla="*/ 95250 w 95250"/>
                            <a:gd name="connsiteY4" fmla="*/ 76200 h 76200"/>
                            <a:gd name="connisteX5" fmla="*/ 88900 w 95250"/>
                            <a:gd name="connsiteY5" fmla="*/ 0 h 76200"/>
                            <a:gd name="connisteX6" fmla="*/ 38100 w 95250"/>
                            <a:gd name="connsiteY6" fmla="*/ 6350 h 762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5250" h="76200">
                              <a:moveTo>
                                <a:pt x="38100" y="6350"/>
                              </a:moveTo>
                              <a:lnTo>
                                <a:pt x="38100" y="50800"/>
                              </a:lnTo>
                              <a:lnTo>
                                <a:pt x="0" y="44450"/>
                              </a:lnTo>
                              <a:lnTo>
                                <a:pt x="6350" y="69850"/>
                              </a:lnTo>
                              <a:lnTo>
                                <a:pt x="95250" y="76200"/>
                              </a:lnTo>
                              <a:lnTo>
                                <a:pt x="88900" y="0"/>
                              </a:lnTo>
                              <a:lnTo>
                                <a:pt x="38100" y="63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43.4pt;margin-top:235.5pt;height:6pt;width:7.5pt;z-index:251665408;mso-width-relative:page;mso-height-relative:page;" filled="f" stroked="t" coordsize="95250,76200" o:gfxdata="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y/3QV2AAAAAsBAAAPAAAAAAAAAAEAIAAAACIAAABkcnMv&#10;ZG93bnJldi54bWxQSwECFAAUAAAACACHTuJA80ncJlkDAADVCQAADgAAAAAAAAABACAAAAAnAQAA&#10;ZHJzL2Uyb0RvYy54bWxQSwUGAAAAAAYABgBZAQAA8gYAAAAA&#10;" path="m38100,6350l38100,50800,0,44450,6350,69850,95250,76200,88900,0,38100,6350xe">
                <v:path textboxrect="0,0,95250,76200" o:connectlocs="38100,6350;38100,50800;0,44450;6350,69850;95250,76200;88900,0;38100,6350" o:connectangles="0,0,0,0,0,0,0"/>
                <v:fill on="f" focussize="0,0"/>
                <v:stroke weight="1pt" color="#FF0000 [3204]" miterlimit="8" joinstyle="miter"/>
                <v:imagedata o:title=""/>
                <o:lock v:ext="edit" aspectratio="f"/>
                <v:textbox>
                  <w:txbxContent>
                    <w:p>
                      <w:pPr>
                        <w:jc w:val="center"/>
                      </w:pPr>
                    </w:p>
                  </w:txbxContent>
                </v:textbox>
              </v:shape>
            </w:pict>
          </mc:Fallback>
        </mc:AlternateContent>
      </w:r>
      <w:r>
        <w:rPr>
          <w:rFonts w:hint="eastAsia"/>
          <w:sz w:val="24"/>
          <w:lang w:val="en-US" w:eastAsia="zh-CN"/>
        </w:rPr>
        <w:t>1</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bookmarkStart w:id="44" w:name="_Toc16558"/>
      <w:bookmarkStart w:id="45" w:name="_Toc12844"/>
      <w:bookmarkStart w:id="46" w:name="_Toc30534"/>
      <w:r>
        <w:rPr>
          <w:rFonts w:hint="default"/>
          <w:lang w:val="en-US" w:eastAsia="zh-CN"/>
        </w:rPr>
        <w:t xml:space="preserve">2.6 </w:t>
      </w:r>
      <w:r>
        <w:rPr>
          <w:rFonts w:hint="eastAsia"/>
          <w:lang w:val="en-US" w:eastAsia="zh-CN"/>
        </w:rPr>
        <w:t>相关规划及政策</w:t>
      </w:r>
      <w:bookmarkEnd w:id="44"/>
      <w:bookmarkEnd w:id="45"/>
      <w:bookmarkEnd w:id="46"/>
    </w:p>
    <w:p>
      <w:pPr>
        <w:pStyle w:val="4"/>
        <w:bidi w:val="0"/>
      </w:pPr>
      <w:r>
        <w:rPr>
          <w:rFonts w:hint="default"/>
          <w:lang w:val="en-US" w:eastAsia="zh-CN"/>
        </w:rPr>
        <w:t xml:space="preserve">2.6.1 </w:t>
      </w:r>
      <w:r>
        <w:t>《叶县城乡总体规划（2017-2035）》</w:t>
      </w:r>
    </w:p>
    <w:p>
      <w:pPr>
        <w:bidi w:val="0"/>
      </w:pPr>
      <w:r>
        <w:t>一、规划期限</w:t>
      </w:r>
    </w:p>
    <w:p>
      <w:pPr>
        <w:bidi w:val="0"/>
      </w:pPr>
      <w:r>
        <w:t>本次规划期限为2017-2035年，近期至2020年，远景展望至2050年。</w:t>
      </w:r>
    </w:p>
    <w:p>
      <w:pPr>
        <w:bidi w:val="0"/>
      </w:pPr>
      <w:r>
        <w:t>二、规划层次及范围</w:t>
      </w:r>
    </w:p>
    <w:p>
      <w:pPr>
        <w:bidi w:val="0"/>
      </w:pPr>
      <w:r>
        <w:t>本规划分为叶县县域、城市规划区、中心城区三个层次。</w:t>
      </w:r>
    </w:p>
    <w:p>
      <w:pPr>
        <w:bidi w:val="0"/>
      </w:pPr>
      <w:r>
        <w:t>（一）县域层次：叶县行政管辖范围，总面积约为1387平方公里。</w:t>
      </w:r>
    </w:p>
    <w:p>
      <w:pPr>
        <w:bidi w:val="0"/>
      </w:pPr>
      <w:r>
        <w:t>（二）城市规划区层次：包括盐都、昆阳、九龙三个街道办事处和马庄回族乡、龚店乡的全部行政辖区范围，以及田庄乡、廉村镇的兰南高速以南行政区域，面积约210平方公里。</w:t>
      </w:r>
    </w:p>
    <w:p>
      <w:pPr>
        <w:bidi w:val="0"/>
      </w:pPr>
      <w:r>
        <w:t>（三）中心城区层次</w:t>
      </w:r>
      <w:r>
        <w:rPr>
          <w:rFonts w:hint="eastAsia"/>
          <w:lang w:eastAsia="zh-CN"/>
        </w:rPr>
        <w:t>：</w:t>
      </w:r>
      <w:r>
        <w:t>叶县城市规划区内连片的城市建设用地，范围涉及盐都、昆阳、九龙三个街道办事处和马庄回族乡、廉村镇等辖区，规划区范围</w:t>
      </w:r>
      <w:r>
        <w:rPr>
          <w:rFonts w:hint="eastAsia"/>
          <w:lang w:eastAsia="zh-CN"/>
        </w:rPr>
        <w:t>，</w:t>
      </w:r>
      <w:r>
        <w:t>西至平叶快速路，北至沙河南岸，东至大东环路，南至新灰河北岸，规划控制区约44.5平方公里，其中城市建设用地约为38平方公里。</w:t>
      </w:r>
    </w:p>
    <w:p>
      <w:pPr>
        <w:bidi w:val="0"/>
      </w:pPr>
      <w:r>
        <w:t>三、城市性质</w:t>
      </w:r>
    </w:p>
    <w:p>
      <w:pPr>
        <w:bidi w:val="0"/>
      </w:pPr>
      <w:r>
        <w:t>规划确定的城市性质为：平顶山南部组团城市，叶公文化名城，中原经济区重要的盐化工基地。</w:t>
      </w:r>
    </w:p>
    <w:p>
      <w:pPr>
        <w:bidi w:val="0"/>
      </w:pPr>
      <w:r>
        <w:t>四、城市人口规模</w:t>
      </w:r>
    </w:p>
    <w:p>
      <w:pPr>
        <w:bidi w:val="0"/>
      </w:pPr>
      <w:r>
        <w:t>规划近期至2020年，中心城区人口约25万人，县域人口约80万人；远期至2035年，中心城区人口约38万人，县域人口约90万人。</w:t>
      </w:r>
    </w:p>
    <w:p>
      <w:pPr>
        <w:bidi w:val="0"/>
      </w:pPr>
      <w:r>
        <w:t>五、中心城区城市空间结构</w:t>
      </w:r>
    </w:p>
    <w:p>
      <w:pPr>
        <w:bidi w:val="0"/>
      </w:pPr>
      <w:r>
        <w:t>叶县中心城区的规划充分结合产城融合发展理念，以产兴城、依城促产，统筹产业集聚区与城市组团的空间布局，规划中心城区城市形态为</w:t>
      </w:r>
      <w:r>
        <w:rPr>
          <w:rFonts w:hint="eastAsia"/>
          <w:lang w:eastAsia="zh-CN"/>
        </w:rPr>
        <w:t>“</w:t>
      </w:r>
      <w:r>
        <w:t>一核两湖多廊、三大城市组团、两个特色小镇、四大都市旅游区</w:t>
      </w:r>
      <w:r>
        <w:rPr>
          <w:rFonts w:hint="eastAsia"/>
          <w:lang w:eastAsia="zh-CN"/>
        </w:rPr>
        <w:t>”</w:t>
      </w:r>
      <w:r>
        <w:t>。其中：</w:t>
      </w:r>
    </w:p>
    <w:p>
      <w:pPr>
        <w:bidi w:val="0"/>
      </w:pPr>
      <w:r>
        <w:t>一核：昆阳古城旅游服务核心；</w:t>
      </w:r>
    </w:p>
    <w:p>
      <w:pPr>
        <w:bidi w:val="0"/>
      </w:pPr>
      <w:r>
        <w:t>两湖：昆阳湖、绿叶湖；</w:t>
      </w:r>
    </w:p>
    <w:p>
      <w:pPr>
        <w:bidi w:val="0"/>
      </w:pPr>
      <w:r>
        <w:t>多廊：沿昆阳湖——沙河湿地——广安湖——人民公园——小灰河——护城河——九龙湖——昆阳湖的环形生态景观廊道、大灰河生态廊道、沙河生态廊道、平舞铁路生态廊道、玄武大道景观廊道、昆阳湖——绿叶湖生态廊道等</w:t>
      </w:r>
    </w:p>
    <w:p>
      <w:pPr>
        <w:bidi w:val="0"/>
      </w:pPr>
      <w:r>
        <w:t>三大城市组团：昆北新城组团、魅力老城组团、活力产城组团；</w:t>
      </w:r>
    </w:p>
    <w:p>
      <w:pPr>
        <w:bidi w:val="0"/>
      </w:pPr>
      <w:r>
        <w:t>两个特色小镇：中心城区西部的教育小镇、健康产业小镇等两个特色小镇</w:t>
      </w:r>
    </w:p>
    <w:p>
      <w:pPr>
        <w:bidi w:val="0"/>
      </w:pPr>
      <w:r>
        <w:t>四大都市旅游区：沙河生态公园旅游区、昆阳古城文化旅游区、都市休闲农业观光区（田园综合体）、灰河生态农业观光园。</w:t>
      </w:r>
    </w:p>
    <w:p>
      <w:pPr>
        <w:bidi w:val="0"/>
        <w:rPr>
          <w:u w:val="single"/>
        </w:rPr>
      </w:pPr>
      <w:r>
        <w:rPr>
          <w:rFonts w:hint="eastAsia"/>
          <w:lang w:val="en-US" w:eastAsia="zh-CN"/>
        </w:rPr>
        <w:t>规划符合性分析：本项目属于</w:t>
      </w:r>
      <w:r>
        <w:rPr>
          <w:lang w:val="en-US" w:eastAsia="zh-CN"/>
        </w:rPr>
        <w:t>橡胶和塑料制品业</w:t>
      </w:r>
      <w:r>
        <w:rPr>
          <w:rFonts w:hint="eastAsia"/>
          <w:lang w:val="en-US" w:eastAsia="zh-CN"/>
        </w:rPr>
        <w:t>建设项目，选址位于平顶山市叶县廉村镇二郎庙村村北200米路东，占地属于建设用地，位于灰河南岸2350m处，不在</w:t>
      </w:r>
      <w:r>
        <w:t>城市建设用地</w:t>
      </w:r>
      <w:r>
        <w:rPr>
          <w:rFonts w:hint="eastAsia"/>
          <w:lang w:eastAsia="zh-CN"/>
        </w:rPr>
        <w:t>规划范围内</w:t>
      </w:r>
      <w:r>
        <w:rPr>
          <w:rFonts w:hint="eastAsia"/>
          <w:lang w:val="en-US" w:eastAsia="zh-CN"/>
        </w:rPr>
        <w:t>。符合《</w:t>
      </w:r>
      <w:r>
        <w:t>叶县城乡总体规划（2017-2035）</w:t>
      </w:r>
      <w:r>
        <w:rPr>
          <w:rFonts w:hint="eastAsia"/>
          <w:lang w:val="en-US" w:eastAsia="zh-CN"/>
        </w:rPr>
        <w:t>》和</w:t>
      </w:r>
      <w:r>
        <w:rPr>
          <w:u w:val="single"/>
        </w:rPr>
        <w:t>《平顶山市叶县廉村镇土地利用总体规划</w:t>
      </w:r>
      <w:r>
        <w:rPr>
          <w:rFonts w:hint="eastAsia"/>
          <w:u w:val="single"/>
          <w:lang w:eastAsia="zh-CN"/>
        </w:rPr>
        <w:t>（</w:t>
      </w:r>
      <w:r>
        <w:rPr>
          <w:rFonts w:hint="eastAsia"/>
          <w:u w:val="single"/>
          <w:lang w:val="en-US" w:eastAsia="zh-CN"/>
        </w:rPr>
        <w:t>2010-2020）》的相关要求。</w:t>
      </w:r>
    </w:p>
    <w:p>
      <w:pPr>
        <w:pStyle w:val="4"/>
        <w:bidi w:val="0"/>
      </w:pPr>
      <w:r>
        <w:rPr>
          <w:rFonts w:hint="default"/>
          <w:lang w:val="en-US" w:eastAsia="zh-CN"/>
        </w:rPr>
        <w:t>2.6.</w:t>
      </w:r>
      <w:r>
        <w:rPr>
          <w:rFonts w:hint="eastAsia"/>
          <w:lang w:val="en-US" w:eastAsia="zh-CN"/>
        </w:rPr>
        <w:t>2</w:t>
      </w:r>
      <w:r>
        <w:rPr>
          <w:rFonts w:hint="default"/>
          <w:lang w:val="en-US" w:eastAsia="zh-CN"/>
        </w:rPr>
        <w:t xml:space="preserve"> </w:t>
      </w:r>
      <w:r>
        <w:rPr>
          <w:lang w:val="en-US" w:eastAsia="zh-CN"/>
        </w:rPr>
        <w:t>饮用水源地保护规划</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val="0"/>
          <w:bCs w:val="0"/>
          <w:u w:val="none"/>
        </w:rPr>
      </w:pPr>
      <w:r>
        <w:rPr>
          <w:rFonts w:hint="eastAsia"/>
          <w:b w:val="0"/>
          <w:bCs w:val="0"/>
          <w:u w:val="none"/>
          <w:lang w:val="en-US" w:eastAsia="zh-CN"/>
        </w:rPr>
        <w:t>1、</w:t>
      </w:r>
      <w:r>
        <w:rPr>
          <w:rFonts w:hint="default"/>
          <w:b w:val="0"/>
          <w:bCs w:val="0"/>
          <w:u w:val="none"/>
        </w:rPr>
        <w:t>与</w:t>
      </w:r>
      <w:r>
        <w:rPr>
          <w:rFonts w:hint="eastAsia"/>
          <w:b w:val="0"/>
          <w:bCs w:val="0"/>
          <w:u w:val="none"/>
          <w:lang w:eastAsia="zh-CN"/>
        </w:rPr>
        <w:t>“</w:t>
      </w:r>
      <w:r>
        <w:rPr>
          <w:rFonts w:hint="default"/>
          <w:b w:val="0"/>
          <w:bCs w:val="0"/>
          <w:u w:val="none"/>
        </w:rPr>
        <w:t>南水北调中线工程水源保护区</w:t>
      </w:r>
      <w:r>
        <w:rPr>
          <w:rFonts w:hint="eastAsia"/>
          <w:b w:val="0"/>
          <w:bCs w:val="0"/>
          <w:u w:val="none"/>
          <w:lang w:eastAsia="zh-CN"/>
        </w:rPr>
        <w:t>”</w:t>
      </w:r>
      <w:r>
        <w:rPr>
          <w:rFonts w:hint="default"/>
          <w:b w:val="0"/>
          <w:bCs w:val="0"/>
          <w:u w:val="none"/>
        </w:rPr>
        <w:t>的相符性分析</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b w:val="0"/>
          <w:bCs w:val="0"/>
          <w:u w:val="none"/>
        </w:rPr>
      </w:pPr>
      <w:r>
        <w:rPr>
          <w:rFonts w:hint="default"/>
          <w:b w:val="0"/>
          <w:bCs w:val="0"/>
          <w:u w:val="none"/>
        </w:rPr>
        <w:t>2018年6月28日，河南省南水北调中线工程建设领导小组办公室、河南省环保厅、河南省水利厅、河南省国土资源厅联合下发了《关于印发南水北调中线一期工程总干渠（河南段）两侧饮用水水源保护区划的通知》（豫调办</w:t>
      </w:r>
      <w:r>
        <w:rPr>
          <w:rFonts w:hint="eastAsia" w:ascii="宋体" w:hAnsi="宋体" w:eastAsia="宋体" w:cs="宋体"/>
          <w:b w:val="0"/>
          <w:bCs w:val="0"/>
          <w:u w:val="none"/>
        </w:rPr>
        <w:t>〔</w:t>
      </w:r>
      <w:r>
        <w:rPr>
          <w:rFonts w:hint="default"/>
          <w:b w:val="0"/>
          <w:bCs w:val="0"/>
          <w:u w:val="none"/>
        </w:rPr>
        <w:t>2018</w:t>
      </w:r>
      <w:r>
        <w:rPr>
          <w:rFonts w:hint="eastAsia" w:ascii="宋体" w:hAnsi="宋体" w:eastAsia="宋体" w:cs="宋体"/>
          <w:b w:val="0"/>
          <w:bCs w:val="0"/>
          <w:u w:val="none"/>
        </w:rPr>
        <w:t>〕</w:t>
      </w:r>
      <w:r>
        <w:rPr>
          <w:rFonts w:hint="default"/>
          <w:b w:val="0"/>
          <w:bCs w:val="0"/>
          <w:u w:val="none"/>
        </w:rPr>
        <w:t>56号），调整了南水北调中线一期工程河南段的保护区划范围，调整后，本项目所在地的干渠段的南水北调一级保护区范围50m，二级保护区范围为一级保护区外延150m。</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b w:val="0"/>
          <w:bCs w:val="0"/>
          <w:u w:val="single"/>
          <w:lang w:val="en-US" w:eastAsia="zh-CN"/>
        </w:rPr>
      </w:pPr>
      <w:r>
        <w:rPr>
          <w:rFonts w:hint="default" w:ascii="Times New Roman" w:hAnsi="Times New Roman"/>
          <w:b w:val="0"/>
          <w:bCs w:val="0"/>
          <w:u w:val="single"/>
          <w:lang w:val="en-US" w:eastAsia="zh-CN"/>
        </w:rPr>
        <w:t>《关于印发南水北调中线一期工程总干渠（河南段）两侧饮用水水源保护区划的通知》（豫调办</w:t>
      </w:r>
      <w:r>
        <w:rPr>
          <w:rFonts w:hint="eastAsia"/>
          <w:b w:val="0"/>
          <w:bCs w:val="0"/>
          <w:u w:val="single"/>
          <w:lang w:val="en-US" w:eastAsia="zh-CN"/>
        </w:rPr>
        <w:t>〔</w:t>
      </w:r>
      <w:r>
        <w:rPr>
          <w:rFonts w:hint="default" w:ascii="Times New Roman" w:hAnsi="Times New Roman"/>
          <w:b w:val="0"/>
          <w:bCs w:val="0"/>
          <w:u w:val="single"/>
          <w:lang w:val="en-US" w:eastAsia="zh-CN"/>
        </w:rPr>
        <w:t>2018</w:t>
      </w:r>
      <w:r>
        <w:rPr>
          <w:rFonts w:hint="eastAsia"/>
          <w:b w:val="0"/>
          <w:bCs w:val="0"/>
          <w:u w:val="single"/>
          <w:lang w:val="en-US" w:eastAsia="zh-CN"/>
        </w:rPr>
        <w:t>〕</w:t>
      </w:r>
      <w:r>
        <w:rPr>
          <w:rFonts w:hint="default" w:ascii="Times New Roman" w:hAnsi="Times New Roman"/>
          <w:b w:val="0"/>
          <w:bCs w:val="0"/>
          <w:u w:val="single"/>
          <w:lang w:val="en-US" w:eastAsia="zh-CN"/>
        </w:rPr>
        <w:t>56号）中规定如下：</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b w:val="0"/>
          <w:bCs w:val="0"/>
          <w:u w:val="single"/>
          <w:lang w:val="en-US" w:eastAsia="zh-CN"/>
        </w:rPr>
      </w:pPr>
      <w:r>
        <w:rPr>
          <w:rFonts w:hint="default" w:ascii="Times New Roman" w:hAnsi="Times New Roman"/>
          <w:b w:val="0"/>
          <w:bCs w:val="0"/>
          <w:u w:val="single"/>
          <w:lang w:val="en-US" w:eastAsia="zh-CN"/>
        </w:rPr>
        <w:t>南水北调中线一期工程河南段宝丰县境内的划定范围如下：分段桩号SH23+703.2～SH35+844.2，一级保护区宽度50m，二级保护区宽度500m。保护区管理规定如下：</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b w:val="0"/>
          <w:bCs w:val="0"/>
          <w:u w:val="single"/>
          <w:lang w:val="en-US" w:eastAsia="zh-CN"/>
        </w:rPr>
      </w:pPr>
      <w:r>
        <w:rPr>
          <w:rFonts w:hint="default" w:ascii="Times New Roman" w:hAnsi="Times New Roman"/>
          <w:b w:val="0"/>
          <w:bCs w:val="0"/>
          <w:u w:val="single"/>
          <w:lang w:val="en-US" w:eastAsia="zh-CN"/>
        </w:rPr>
        <w:t>（1）在饮用水水源保护区内，禁止设置排污口；禁止使用剧毒和高残留农药，不得滥用化肥；禁止利用渗坑、渗井、裂隙等排放污水和其他有害废弃物；禁止利用储水层孔隙、裂隙及废弃矿坑储存石油、放射性物质、有毒化学品、农药等。</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b w:val="0"/>
          <w:bCs w:val="0"/>
          <w:u w:val="single"/>
          <w:lang w:val="en-US" w:eastAsia="zh-CN"/>
        </w:rPr>
      </w:pPr>
      <w:r>
        <w:rPr>
          <w:rFonts w:hint="default" w:ascii="Times New Roman" w:hAnsi="Times New Roman"/>
          <w:b w:val="0"/>
          <w:bCs w:val="0"/>
          <w:u w:val="single"/>
          <w:lang w:val="en-US" w:eastAsia="zh-CN"/>
        </w:rPr>
        <w:t>（2）在一级保护区内，禁止新建、改建、扩建排放污染物的建设项目。</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u w:val="single"/>
        </w:rPr>
      </w:pPr>
      <w:r>
        <w:rPr>
          <w:rFonts w:hint="default" w:ascii="Times New Roman" w:hAnsi="Times New Roman"/>
          <w:b w:val="0"/>
          <w:bCs w:val="0"/>
          <w:u w:val="single"/>
          <w:lang w:val="en-US" w:eastAsia="zh-CN"/>
        </w:rPr>
        <w:t>（3）在二级保护区内，禁止新建、改建、扩建排放污染物的项目。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Calibri" w:hAnsi="Calibri" w:cs="Calibri"/>
          <w:b w:val="0"/>
          <w:bCs w:val="0"/>
          <w:color w:val="auto"/>
          <w:sz w:val="24"/>
          <w:u w:val="single"/>
        </w:rPr>
      </w:pPr>
      <w:r>
        <w:rPr>
          <w:b w:val="0"/>
          <w:bCs w:val="0"/>
          <w:u w:val="single"/>
        </w:rPr>
        <w:t>本项目在南水北调干渠右岸，距离南水北调中线干渠约</w:t>
      </w:r>
      <w:r>
        <w:rPr>
          <w:rFonts w:hint="eastAsia"/>
          <w:b w:val="0"/>
          <w:bCs w:val="0"/>
          <w:u w:val="single"/>
          <w:lang w:val="en-US" w:eastAsia="zh-CN"/>
        </w:rPr>
        <w:t>27</w:t>
      </w:r>
      <w:r>
        <w:rPr>
          <w:b w:val="0"/>
          <w:bCs w:val="0"/>
          <w:u w:val="single"/>
        </w:rPr>
        <w:t>km，不在其保护区范围内，</w:t>
      </w:r>
      <w:r>
        <w:rPr>
          <w:rFonts w:hint="default" w:ascii="Calibri" w:hAnsi="Calibri" w:cs="Calibri"/>
          <w:b w:val="0"/>
          <w:bCs w:val="0"/>
          <w:color w:val="auto"/>
          <w:sz w:val="24"/>
          <w:u w:val="single"/>
        </w:rPr>
        <w:t>项目建设符合南水北调中线工程水源保护的要求。</w:t>
      </w:r>
    </w:p>
    <w:p>
      <w:pPr>
        <w:bidi w:val="0"/>
      </w:pPr>
      <w:r>
        <w:rPr>
          <w:rFonts w:hint="eastAsia"/>
          <w:lang w:val="en-US" w:eastAsia="zh-CN"/>
        </w:rPr>
        <w:t>2、与叶县集中式饮用水源保护区划的协调性</w:t>
      </w:r>
    </w:p>
    <w:p>
      <w:pPr>
        <w:bidi w:val="0"/>
      </w:pPr>
      <w:r>
        <w:rPr>
          <w:rFonts w:hint="eastAsia"/>
          <w:lang w:val="en-US" w:eastAsia="zh-CN"/>
        </w:rPr>
        <w:t>根据《河南省县级集中式饮用水水源保护区划》豫政办〔</w:t>
      </w:r>
      <w:r>
        <w:rPr>
          <w:rFonts w:hint="default"/>
          <w:lang w:val="en-US" w:eastAsia="zh-CN"/>
        </w:rPr>
        <w:t>2013</w:t>
      </w:r>
      <w:r>
        <w:rPr>
          <w:rFonts w:hint="eastAsia"/>
          <w:lang w:val="en-US" w:eastAsia="zh-CN"/>
        </w:rPr>
        <w:t>〕</w:t>
      </w:r>
      <w:r>
        <w:rPr>
          <w:rFonts w:hint="default"/>
          <w:lang w:val="en-US" w:eastAsia="zh-CN"/>
        </w:rPr>
        <w:t>107</w:t>
      </w:r>
      <w:r>
        <w:rPr>
          <w:rFonts w:hint="eastAsia"/>
          <w:lang w:val="en-US" w:eastAsia="zh-CN"/>
        </w:rPr>
        <w:t>号文，叶县地下水源保护区主要包括叶县盐都水务地下水井群、自由路地下水井群和东升街地下水井群：</w:t>
      </w:r>
    </w:p>
    <w:p>
      <w:pPr>
        <w:bidi w:val="0"/>
      </w:pPr>
      <w:r>
        <w:rPr>
          <w:rFonts w:hint="eastAsia"/>
          <w:lang w:val="en-US" w:eastAsia="zh-CN"/>
        </w:rPr>
        <w:t>（</w:t>
      </w:r>
      <w:r>
        <w:rPr>
          <w:rFonts w:hint="default"/>
          <w:lang w:val="en-US" w:eastAsia="zh-CN"/>
        </w:rPr>
        <w:t>1</w:t>
      </w:r>
      <w:r>
        <w:rPr>
          <w:rFonts w:hint="eastAsia"/>
          <w:lang w:val="en-US" w:eastAsia="zh-CN"/>
        </w:rPr>
        <w:t>）叶县盐都水务地下水井群（昆鲁大道以北、昆阳大道以西，共</w:t>
      </w:r>
      <w:r>
        <w:rPr>
          <w:rFonts w:hint="default"/>
          <w:lang w:val="en-US" w:eastAsia="zh-CN"/>
        </w:rPr>
        <w:t>3</w:t>
      </w:r>
      <w:r>
        <w:rPr>
          <w:rFonts w:hint="eastAsia"/>
          <w:lang w:val="en-US" w:eastAsia="zh-CN"/>
        </w:rPr>
        <w:t>眼井）</w:t>
      </w:r>
    </w:p>
    <w:p>
      <w:pPr>
        <w:bidi w:val="0"/>
      </w:pPr>
      <w:r>
        <w:rPr>
          <w:rFonts w:hint="eastAsia"/>
          <w:lang w:val="en-US" w:eastAsia="zh-CN"/>
        </w:rPr>
        <w:t>一级保护区范围：取水井外围</w:t>
      </w:r>
      <w:r>
        <w:rPr>
          <w:rFonts w:hint="default"/>
          <w:lang w:val="en-US" w:eastAsia="zh-CN"/>
        </w:rPr>
        <w:t>30</w:t>
      </w:r>
      <w:r>
        <w:rPr>
          <w:rFonts w:hint="eastAsia"/>
          <w:lang w:val="en-US" w:eastAsia="zh-CN"/>
        </w:rPr>
        <w:t>米的区域。</w:t>
      </w:r>
    </w:p>
    <w:p>
      <w:pPr>
        <w:bidi w:val="0"/>
      </w:pPr>
      <w:r>
        <w:rPr>
          <w:rFonts w:hint="eastAsia"/>
          <w:lang w:val="en-US" w:eastAsia="zh-CN"/>
        </w:rPr>
        <w:t>二级保护区范围：一级保护区外，</w:t>
      </w:r>
      <w:r>
        <w:rPr>
          <w:rFonts w:hint="default"/>
          <w:lang w:val="en-US" w:eastAsia="zh-CN"/>
        </w:rPr>
        <w:t>1</w:t>
      </w:r>
      <w:r>
        <w:rPr>
          <w:rFonts w:hint="eastAsia"/>
          <w:lang w:val="en-US" w:eastAsia="zh-CN"/>
        </w:rPr>
        <w:t>～</w:t>
      </w:r>
      <w:r>
        <w:rPr>
          <w:rFonts w:hint="default"/>
          <w:lang w:val="en-US" w:eastAsia="zh-CN"/>
        </w:rPr>
        <w:t>2</w:t>
      </w:r>
      <w:r>
        <w:rPr>
          <w:rFonts w:hint="eastAsia"/>
          <w:lang w:val="en-US" w:eastAsia="zh-CN"/>
        </w:rPr>
        <w:t>号取水井外围</w:t>
      </w:r>
      <w:r>
        <w:rPr>
          <w:rFonts w:hint="default"/>
          <w:lang w:val="en-US" w:eastAsia="zh-CN"/>
        </w:rPr>
        <w:t>330</w:t>
      </w:r>
      <w:r>
        <w:rPr>
          <w:rFonts w:hint="eastAsia"/>
          <w:lang w:val="en-US" w:eastAsia="zh-CN"/>
        </w:rPr>
        <w:t>米外公切线所包含的区域。</w:t>
      </w:r>
    </w:p>
    <w:p>
      <w:pPr>
        <w:bidi w:val="0"/>
      </w:pPr>
      <w:r>
        <w:rPr>
          <w:rFonts w:hint="eastAsia"/>
          <w:lang w:val="en-US" w:eastAsia="zh-CN"/>
        </w:rPr>
        <w:t>准保护区范围：二级保护区外，东至新建街、西至北关大街、南至文化路、北至昆鲁大道的区域。</w:t>
      </w:r>
    </w:p>
    <w:p>
      <w:pPr>
        <w:bidi w:val="0"/>
      </w:pPr>
      <w:r>
        <w:rPr>
          <w:rFonts w:hint="eastAsia"/>
          <w:lang w:val="en-US" w:eastAsia="zh-CN"/>
        </w:rPr>
        <w:t>（</w:t>
      </w:r>
      <w:r>
        <w:rPr>
          <w:rFonts w:hint="default"/>
          <w:lang w:val="en-US" w:eastAsia="zh-CN"/>
        </w:rPr>
        <w:t>2</w:t>
      </w:r>
      <w:r>
        <w:rPr>
          <w:rFonts w:hint="eastAsia"/>
          <w:lang w:val="en-US" w:eastAsia="zh-CN"/>
        </w:rPr>
        <w:t>）叶县自由路地下水井群（共</w:t>
      </w:r>
      <w:r>
        <w:rPr>
          <w:rFonts w:hint="default"/>
          <w:lang w:val="en-US" w:eastAsia="zh-CN"/>
        </w:rPr>
        <w:t>2</w:t>
      </w:r>
      <w:r>
        <w:rPr>
          <w:rFonts w:hint="eastAsia"/>
          <w:lang w:val="en-US" w:eastAsia="zh-CN"/>
        </w:rPr>
        <w:t>眼井）</w:t>
      </w:r>
    </w:p>
    <w:p>
      <w:pPr>
        <w:bidi w:val="0"/>
      </w:pPr>
      <w:r>
        <w:rPr>
          <w:rFonts w:hint="eastAsia"/>
          <w:lang w:val="en-US" w:eastAsia="zh-CN"/>
        </w:rPr>
        <w:t>一级保护区范围：取水井外围</w:t>
      </w:r>
      <w:r>
        <w:rPr>
          <w:rFonts w:hint="default"/>
          <w:lang w:val="en-US" w:eastAsia="zh-CN"/>
        </w:rPr>
        <w:t>200</w:t>
      </w:r>
      <w:r>
        <w:rPr>
          <w:rFonts w:hint="eastAsia"/>
          <w:lang w:val="en-US" w:eastAsia="zh-CN"/>
        </w:rPr>
        <w:t>米外公切线所包含的区域。</w:t>
      </w:r>
    </w:p>
    <w:p>
      <w:pPr>
        <w:bidi w:val="0"/>
      </w:pPr>
      <w:r>
        <w:rPr>
          <w:rFonts w:hint="eastAsia"/>
          <w:lang w:val="en-US" w:eastAsia="zh-CN"/>
        </w:rPr>
        <w:t>（</w:t>
      </w:r>
      <w:r>
        <w:rPr>
          <w:rFonts w:hint="default"/>
          <w:lang w:val="en-US" w:eastAsia="zh-CN"/>
        </w:rPr>
        <w:t>3</w:t>
      </w:r>
      <w:r>
        <w:rPr>
          <w:rFonts w:hint="eastAsia"/>
          <w:lang w:val="en-US" w:eastAsia="zh-CN"/>
        </w:rPr>
        <w:t>）叶县东升街地下水井群（昆鲁大道以南、昆阳大道以东、中心路以北，共</w:t>
      </w:r>
      <w:r>
        <w:rPr>
          <w:rFonts w:hint="default"/>
          <w:lang w:val="en-US" w:eastAsia="zh-CN"/>
        </w:rPr>
        <w:t>6</w:t>
      </w:r>
      <w:r>
        <w:rPr>
          <w:rFonts w:hint="eastAsia"/>
          <w:lang w:val="en-US" w:eastAsia="zh-CN"/>
        </w:rPr>
        <w:t>眼井）</w:t>
      </w:r>
    </w:p>
    <w:p>
      <w:pPr>
        <w:bidi w:val="0"/>
      </w:pPr>
      <w:r>
        <w:rPr>
          <w:rFonts w:hint="eastAsia"/>
          <w:lang w:val="en-US" w:eastAsia="zh-CN"/>
        </w:rPr>
        <w:t>一级保护区范围：取水井外围</w:t>
      </w:r>
      <w:r>
        <w:rPr>
          <w:rFonts w:hint="default"/>
          <w:lang w:val="en-US" w:eastAsia="zh-CN"/>
        </w:rPr>
        <w:t>30</w:t>
      </w:r>
      <w:r>
        <w:rPr>
          <w:rFonts w:hint="eastAsia"/>
          <w:lang w:val="en-US" w:eastAsia="zh-CN"/>
        </w:rPr>
        <w:t>米的区域。</w:t>
      </w:r>
    </w:p>
    <w:p>
      <w:pPr>
        <w:bidi w:val="0"/>
      </w:pPr>
      <w:r>
        <w:rPr>
          <w:rFonts w:hint="eastAsia"/>
          <w:lang w:val="en-US" w:eastAsia="zh-CN"/>
        </w:rPr>
        <w:t>本项目位于平顶山市叶县廉村镇二郎庙村村北200米路东，距离北侧叶县县城最近为8.5k</w:t>
      </w:r>
      <w:r>
        <w:rPr>
          <w:rFonts w:hint="default"/>
          <w:lang w:val="en-US" w:eastAsia="zh-CN"/>
        </w:rPr>
        <w:t>m</w:t>
      </w:r>
      <w:r>
        <w:rPr>
          <w:rFonts w:hint="eastAsia"/>
          <w:lang w:val="en-US" w:eastAsia="zh-CN"/>
        </w:rPr>
        <w:t>，不在其划定的一级、二级保护区和准保护区范围内，符合叶县县级集中式饮用水水源保护区划要求。</w:t>
      </w:r>
    </w:p>
    <w:p>
      <w:pPr>
        <w:bidi w:val="0"/>
      </w:pPr>
      <w:r>
        <w:rPr>
          <w:rFonts w:hint="eastAsia"/>
          <w:lang w:val="en-US" w:eastAsia="zh-CN"/>
        </w:rPr>
        <w:t>3、与叶县乡镇集中式饮用水源保护区划协调性</w:t>
      </w:r>
    </w:p>
    <w:p>
      <w:pPr>
        <w:bidi w:val="0"/>
      </w:pPr>
      <w:r>
        <w:rPr>
          <w:rFonts w:hint="eastAsia"/>
          <w:lang w:val="en-US" w:eastAsia="zh-CN"/>
        </w:rPr>
        <w:t>根据《河南省人民政府办公厅关于印发河南省乡镇集中式饮用水水源保护区划的通知》（豫政办</w:t>
      </w:r>
      <w:r>
        <w:rPr>
          <w:rFonts w:hint="eastAsia" w:ascii="宋体" w:hAnsi="宋体" w:eastAsia="宋体" w:cs="宋体"/>
          <w:lang w:val="en-US" w:eastAsia="zh-CN"/>
        </w:rPr>
        <w:t>〔</w:t>
      </w:r>
      <w:r>
        <w:rPr>
          <w:rFonts w:hint="default"/>
          <w:lang w:val="en-US" w:eastAsia="zh-CN"/>
        </w:rPr>
        <w:t>2016</w:t>
      </w:r>
      <w:r>
        <w:rPr>
          <w:rFonts w:hint="eastAsia" w:ascii="宋体" w:hAnsi="宋体" w:eastAsia="宋体" w:cs="宋体"/>
          <w:lang w:val="en-US" w:eastAsia="zh-CN"/>
        </w:rPr>
        <w:t>〕</w:t>
      </w:r>
      <w:r>
        <w:rPr>
          <w:rFonts w:hint="default"/>
          <w:lang w:val="en-US" w:eastAsia="zh-CN"/>
        </w:rPr>
        <w:t>23</w:t>
      </w:r>
      <w:r>
        <w:rPr>
          <w:rFonts w:hint="eastAsia"/>
          <w:lang w:val="en-US" w:eastAsia="zh-CN"/>
        </w:rPr>
        <w:t>号），叶县乡镇集中式饮用水水源保护区划如下：</w:t>
      </w:r>
    </w:p>
    <w:p>
      <w:pPr>
        <w:bidi w:val="0"/>
      </w:pPr>
      <w:r>
        <w:rPr>
          <w:rFonts w:hint="eastAsia"/>
          <w:lang w:val="en-US" w:eastAsia="zh-CN"/>
        </w:rPr>
        <w:t>①叶县任店镇水厂地下水井（共</w:t>
      </w:r>
      <w:r>
        <w:rPr>
          <w:rFonts w:hint="default"/>
          <w:lang w:val="en-US" w:eastAsia="zh-CN"/>
        </w:rPr>
        <w:t>1</w:t>
      </w:r>
      <w:r>
        <w:rPr>
          <w:rFonts w:hint="eastAsia"/>
          <w:lang w:val="en-US" w:eastAsia="zh-CN"/>
        </w:rPr>
        <w:t>眼井）</w:t>
      </w:r>
    </w:p>
    <w:p>
      <w:pPr>
        <w:bidi w:val="0"/>
      </w:pPr>
      <w:r>
        <w:rPr>
          <w:rFonts w:hint="eastAsia"/>
          <w:lang w:val="en-US" w:eastAsia="zh-CN"/>
        </w:rPr>
        <w:t>一级保护区范围：水厂厂区及外围东</w:t>
      </w:r>
      <w:r>
        <w:rPr>
          <w:rFonts w:hint="default"/>
          <w:lang w:val="en-US" w:eastAsia="zh-CN"/>
        </w:rPr>
        <w:t>25</w:t>
      </w:r>
      <w:r>
        <w:rPr>
          <w:rFonts w:hint="eastAsia"/>
          <w:lang w:val="en-US" w:eastAsia="zh-CN"/>
        </w:rPr>
        <w:t>米、南</w:t>
      </w:r>
      <w:r>
        <w:rPr>
          <w:rFonts w:hint="default"/>
          <w:lang w:val="en-US" w:eastAsia="zh-CN"/>
        </w:rPr>
        <w:t>11</w:t>
      </w:r>
      <w:r>
        <w:rPr>
          <w:rFonts w:hint="eastAsia"/>
          <w:lang w:val="en-US" w:eastAsia="zh-CN"/>
        </w:rPr>
        <w:t>米、北</w:t>
      </w:r>
      <w:r>
        <w:rPr>
          <w:rFonts w:hint="default"/>
          <w:lang w:val="en-US" w:eastAsia="zh-CN"/>
        </w:rPr>
        <w:t>29</w:t>
      </w:r>
      <w:r>
        <w:rPr>
          <w:rFonts w:hint="eastAsia"/>
          <w:lang w:val="en-US" w:eastAsia="zh-CN"/>
        </w:rPr>
        <w:t>米的区域。</w:t>
      </w:r>
    </w:p>
    <w:p>
      <w:pPr>
        <w:bidi w:val="0"/>
      </w:pPr>
      <w:r>
        <w:rPr>
          <w:rFonts w:hint="eastAsia"/>
          <w:lang w:val="en-US" w:eastAsia="zh-CN"/>
        </w:rPr>
        <w:t>②叶县廉村镇水厂地下水井（共</w:t>
      </w:r>
      <w:r>
        <w:rPr>
          <w:rFonts w:hint="default"/>
          <w:lang w:val="en-US" w:eastAsia="zh-CN"/>
        </w:rPr>
        <w:t>1</w:t>
      </w:r>
      <w:r>
        <w:rPr>
          <w:rFonts w:hint="eastAsia"/>
          <w:lang w:val="en-US" w:eastAsia="zh-CN"/>
        </w:rPr>
        <w:t>眼井）</w:t>
      </w:r>
    </w:p>
    <w:p>
      <w:pPr>
        <w:bidi w:val="0"/>
      </w:pPr>
      <w:r>
        <w:rPr>
          <w:rFonts w:hint="eastAsia"/>
          <w:lang w:val="en-US" w:eastAsia="zh-CN"/>
        </w:rPr>
        <w:t>一级保护区范围：水厂厂区及外围东</w:t>
      </w:r>
      <w:r>
        <w:rPr>
          <w:rFonts w:hint="default"/>
          <w:lang w:val="en-US" w:eastAsia="zh-CN"/>
        </w:rPr>
        <w:t>30</w:t>
      </w:r>
      <w:r>
        <w:rPr>
          <w:rFonts w:hint="eastAsia"/>
          <w:lang w:val="en-US" w:eastAsia="zh-CN"/>
        </w:rPr>
        <w:t>米、西</w:t>
      </w:r>
      <w:r>
        <w:rPr>
          <w:rFonts w:hint="default"/>
          <w:lang w:val="en-US" w:eastAsia="zh-CN"/>
        </w:rPr>
        <w:t>10</w:t>
      </w:r>
      <w:r>
        <w:rPr>
          <w:rFonts w:hint="eastAsia"/>
          <w:lang w:val="en-US" w:eastAsia="zh-CN"/>
        </w:rPr>
        <w:t>米、南</w:t>
      </w:r>
      <w:r>
        <w:rPr>
          <w:rFonts w:hint="default"/>
          <w:lang w:val="en-US" w:eastAsia="zh-CN"/>
        </w:rPr>
        <w:t>5</w:t>
      </w:r>
      <w:r>
        <w:rPr>
          <w:rFonts w:hint="eastAsia"/>
          <w:lang w:val="en-US" w:eastAsia="zh-CN"/>
        </w:rPr>
        <w:t>米、北</w:t>
      </w:r>
      <w:r>
        <w:rPr>
          <w:rFonts w:hint="default"/>
          <w:lang w:val="en-US" w:eastAsia="zh-CN"/>
        </w:rPr>
        <w:t>30</w:t>
      </w:r>
      <w:r>
        <w:rPr>
          <w:rFonts w:hint="eastAsia"/>
          <w:lang w:val="en-US" w:eastAsia="zh-CN"/>
        </w:rPr>
        <w:t>米的区域。</w:t>
      </w:r>
    </w:p>
    <w:p>
      <w:pPr>
        <w:bidi w:val="0"/>
      </w:pPr>
      <w:r>
        <w:rPr>
          <w:rFonts w:hint="eastAsia"/>
          <w:lang w:val="en-US" w:eastAsia="zh-CN"/>
        </w:rPr>
        <w:t>③叶县水寨乡蒋李水厂地下水井（共</w:t>
      </w:r>
      <w:r>
        <w:rPr>
          <w:rFonts w:hint="default"/>
          <w:lang w:val="en-US" w:eastAsia="zh-CN"/>
        </w:rPr>
        <w:t>1</w:t>
      </w:r>
      <w:r>
        <w:rPr>
          <w:rFonts w:hint="eastAsia"/>
          <w:lang w:val="en-US" w:eastAsia="zh-CN"/>
        </w:rPr>
        <w:t>眼井）</w:t>
      </w:r>
    </w:p>
    <w:p>
      <w:pPr>
        <w:bidi w:val="0"/>
      </w:pPr>
      <w:r>
        <w:rPr>
          <w:rFonts w:hint="eastAsia"/>
          <w:lang w:val="en-US" w:eastAsia="zh-CN"/>
        </w:rPr>
        <w:t>一级保护区范围：水厂厂区及外围东</w:t>
      </w:r>
      <w:r>
        <w:rPr>
          <w:rFonts w:hint="default"/>
          <w:lang w:val="en-US" w:eastAsia="zh-CN"/>
        </w:rPr>
        <w:t>10</w:t>
      </w:r>
      <w:r>
        <w:rPr>
          <w:rFonts w:hint="eastAsia"/>
          <w:lang w:val="en-US" w:eastAsia="zh-CN"/>
        </w:rPr>
        <w:t>米、西</w:t>
      </w:r>
      <w:r>
        <w:rPr>
          <w:rFonts w:hint="default"/>
          <w:lang w:val="en-US" w:eastAsia="zh-CN"/>
        </w:rPr>
        <w:t>30</w:t>
      </w:r>
      <w:r>
        <w:rPr>
          <w:rFonts w:hint="eastAsia"/>
          <w:lang w:val="en-US" w:eastAsia="zh-CN"/>
        </w:rPr>
        <w:t>米、南</w:t>
      </w:r>
      <w:r>
        <w:rPr>
          <w:rFonts w:hint="default"/>
          <w:lang w:val="en-US" w:eastAsia="zh-CN"/>
        </w:rPr>
        <w:t>10</w:t>
      </w:r>
      <w:r>
        <w:rPr>
          <w:rFonts w:hint="eastAsia"/>
          <w:lang w:val="en-US" w:eastAsia="zh-CN"/>
        </w:rPr>
        <w:t>米、北</w:t>
      </w:r>
      <w:r>
        <w:rPr>
          <w:rFonts w:hint="default"/>
          <w:lang w:val="en-US" w:eastAsia="zh-CN"/>
        </w:rPr>
        <w:t>30</w:t>
      </w:r>
      <w:r>
        <w:rPr>
          <w:rFonts w:hint="eastAsia"/>
          <w:lang w:val="en-US" w:eastAsia="zh-CN"/>
        </w:rPr>
        <w:t>米的区域。</w:t>
      </w:r>
    </w:p>
    <w:p>
      <w:pPr>
        <w:bidi w:val="0"/>
      </w:pPr>
      <w:r>
        <w:rPr>
          <w:rFonts w:hint="eastAsia"/>
          <w:lang w:val="en-US" w:eastAsia="zh-CN"/>
        </w:rPr>
        <w:t>④叶县保安镇水厂地下水井（共</w:t>
      </w:r>
      <w:r>
        <w:rPr>
          <w:rFonts w:hint="default"/>
          <w:lang w:val="en-US" w:eastAsia="zh-CN"/>
        </w:rPr>
        <w:t>1</w:t>
      </w:r>
      <w:r>
        <w:rPr>
          <w:rFonts w:hint="eastAsia"/>
          <w:lang w:val="en-US" w:eastAsia="zh-CN"/>
        </w:rPr>
        <w:t>眼井）</w:t>
      </w:r>
    </w:p>
    <w:p>
      <w:pPr>
        <w:bidi w:val="0"/>
      </w:pPr>
      <w:r>
        <w:rPr>
          <w:rFonts w:hint="eastAsia"/>
          <w:lang w:val="en-US" w:eastAsia="zh-CN"/>
        </w:rPr>
        <w:t>一级保护区范围：水厂厂区及外围东</w:t>
      </w:r>
      <w:r>
        <w:rPr>
          <w:rFonts w:hint="default"/>
          <w:lang w:val="en-US" w:eastAsia="zh-CN"/>
        </w:rPr>
        <w:t>10</w:t>
      </w:r>
      <w:r>
        <w:rPr>
          <w:rFonts w:hint="eastAsia"/>
          <w:lang w:val="en-US" w:eastAsia="zh-CN"/>
        </w:rPr>
        <w:t>米、西</w:t>
      </w:r>
      <w:r>
        <w:rPr>
          <w:rFonts w:hint="default"/>
          <w:lang w:val="en-US" w:eastAsia="zh-CN"/>
        </w:rPr>
        <w:t>30</w:t>
      </w:r>
      <w:r>
        <w:rPr>
          <w:rFonts w:hint="eastAsia"/>
          <w:lang w:val="en-US" w:eastAsia="zh-CN"/>
        </w:rPr>
        <w:t>米、南</w:t>
      </w:r>
      <w:r>
        <w:rPr>
          <w:rFonts w:hint="default"/>
          <w:lang w:val="en-US" w:eastAsia="zh-CN"/>
        </w:rPr>
        <w:t>15</w:t>
      </w:r>
      <w:r>
        <w:rPr>
          <w:rFonts w:hint="eastAsia"/>
          <w:lang w:val="en-US" w:eastAsia="zh-CN"/>
        </w:rPr>
        <w:t>米、北</w:t>
      </w:r>
      <w:r>
        <w:rPr>
          <w:rFonts w:hint="default"/>
          <w:lang w:val="en-US" w:eastAsia="zh-CN"/>
        </w:rPr>
        <w:t>30</w:t>
      </w:r>
      <w:r>
        <w:rPr>
          <w:rFonts w:hint="eastAsia"/>
          <w:lang w:val="en-US" w:eastAsia="zh-CN"/>
        </w:rPr>
        <w:t>米的区域。</w:t>
      </w:r>
    </w:p>
    <w:p>
      <w:pPr>
        <w:bidi w:val="0"/>
      </w:pPr>
      <w:r>
        <w:rPr>
          <w:rFonts w:hint="eastAsia"/>
          <w:lang w:val="en-US" w:eastAsia="zh-CN"/>
        </w:rPr>
        <w:t>二级保护区范围：一级保护区外围</w:t>
      </w:r>
      <w:r>
        <w:rPr>
          <w:rFonts w:hint="default"/>
          <w:lang w:val="en-US" w:eastAsia="zh-CN"/>
        </w:rPr>
        <w:t>300</w:t>
      </w:r>
      <w:r>
        <w:rPr>
          <w:rFonts w:hint="eastAsia"/>
          <w:lang w:val="en-US" w:eastAsia="zh-CN"/>
        </w:rPr>
        <w:t>米的区域。</w:t>
      </w:r>
    </w:p>
    <w:p>
      <w:pPr>
        <w:bidi w:val="0"/>
        <w:rPr>
          <w:rFonts w:hint="eastAsia"/>
          <w:lang w:val="en-US" w:eastAsia="zh-CN"/>
        </w:rPr>
      </w:pPr>
      <w:r>
        <w:rPr>
          <w:rFonts w:hint="eastAsia"/>
          <w:lang w:val="en-US" w:eastAsia="zh-CN"/>
        </w:rPr>
        <w:t>本项目选址位于平顶山市叶县廉村镇二郎庙村村北200米路东，在叶县廉村镇水厂地下水井划定水源地的乡镇范围内，距离约2.6</w:t>
      </w:r>
      <w:r>
        <w:rPr>
          <w:rFonts w:hint="default"/>
          <w:lang w:val="en-US" w:eastAsia="zh-CN"/>
        </w:rPr>
        <w:t>km</w:t>
      </w:r>
      <w:r>
        <w:rPr>
          <w:rFonts w:hint="eastAsia"/>
          <w:lang w:val="en-US" w:eastAsia="zh-CN"/>
        </w:rPr>
        <w:t>，不在本次调查范围内，本次项目建设对该水源地影响基本可以忽略。</w:t>
      </w:r>
    </w:p>
    <w:p>
      <w:pPr>
        <w:pStyle w:val="4"/>
        <w:bidi w:val="0"/>
        <w:rPr>
          <w:rFonts w:hint="eastAsia"/>
          <w:lang w:val="en-US" w:eastAsia="zh-CN"/>
        </w:rPr>
      </w:pPr>
      <w:r>
        <w:rPr>
          <w:rFonts w:hint="eastAsia"/>
          <w:lang w:val="en-US" w:eastAsia="zh-CN"/>
        </w:rPr>
        <w:t>2.6.3 “三线一单”环境保护管理要求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u w:val="single"/>
        </w:rPr>
      </w:pPr>
      <w:r>
        <w:rPr>
          <w:rFonts w:hint="eastAsia" w:ascii="宋体" w:hAnsi="宋体"/>
          <w:sz w:val="24"/>
          <w:szCs w:val="24"/>
          <w:u w:val="single"/>
        </w:rPr>
        <w:t>①</w:t>
      </w:r>
      <w:r>
        <w:rPr>
          <w:rFonts w:hint="eastAsia"/>
          <w:sz w:val="24"/>
          <w:szCs w:val="24"/>
          <w:u w:val="single"/>
        </w:rPr>
        <w:t>生态保护红线</w:t>
      </w:r>
    </w:p>
    <w:p>
      <w:pPr>
        <w:spacing w:line="360" w:lineRule="auto"/>
        <w:ind w:firstLine="480" w:firstLineChars="200"/>
        <w:rPr>
          <w:rFonts w:hint="eastAsia" w:ascii="Times New Roman" w:hAnsi="Times New Roman"/>
          <w:sz w:val="24"/>
          <w:szCs w:val="24"/>
          <w:u w:val="single"/>
        </w:rPr>
      </w:pPr>
      <w:r>
        <w:rPr>
          <w:rFonts w:hint="eastAsia" w:ascii="Times New Roman" w:hAnsi="Times New Roman"/>
          <w:sz w:val="24"/>
          <w:szCs w:val="24"/>
          <w:u w:val="single"/>
        </w:rPr>
        <w:t>为深入贯彻《中共中央国务院关于全面加强生态环境保护坚决打好污染防治攻坚战的意见》和《河南省人民政府关于实施“三线一单”生态环境分区管控的意见》（豫政〔2020〕37号），</w:t>
      </w:r>
      <w:r>
        <w:rPr>
          <w:rFonts w:hint="eastAsia" w:ascii="Times New Roman" w:hAnsi="Times New Roman"/>
          <w:sz w:val="24"/>
          <w:szCs w:val="24"/>
          <w:u w:val="single"/>
          <w:lang w:eastAsia="zh-CN"/>
        </w:rPr>
        <w:t>平顶山</w:t>
      </w:r>
      <w:r>
        <w:rPr>
          <w:rFonts w:hint="eastAsia" w:ascii="Times New Roman" w:hAnsi="Times New Roman"/>
          <w:sz w:val="24"/>
          <w:szCs w:val="24"/>
          <w:u w:val="single"/>
        </w:rPr>
        <w:t>市编制发布了《平顶山市人民政府关于实施“三线一单”生态环境分区管控的意见》（平政〔2021〕10号）。</w:t>
      </w:r>
    </w:p>
    <w:p>
      <w:pPr>
        <w:spacing w:line="360" w:lineRule="auto"/>
        <w:ind w:firstLine="480" w:firstLineChars="200"/>
        <w:rPr>
          <w:rFonts w:hint="eastAsia" w:ascii="Times New Roman" w:hAnsi="Times New Roman" w:eastAsia="宋体"/>
          <w:sz w:val="24"/>
          <w:szCs w:val="24"/>
          <w:u w:val="single"/>
          <w:lang w:val="en-US" w:eastAsia="zh-CN"/>
        </w:rPr>
      </w:pPr>
      <w:r>
        <w:rPr>
          <w:rFonts w:hint="eastAsia"/>
          <w:sz w:val="24"/>
          <w:szCs w:val="24"/>
          <w:u w:val="single"/>
        </w:rPr>
        <w:t>本</w:t>
      </w:r>
      <w:r>
        <w:rPr>
          <w:rFonts w:hint="eastAsia" w:ascii="Times New Roman" w:hAnsi="Times New Roman"/>
          <w:sz w:val="24"/>
          <w:szCs w:val="24"/>
          <w:u w:val="single"/>
        </w:rPr>
        <w:t>项目位于</w:t>
      </w:r>
      <w:r>
        <w:rPr>
          <w:rFonts w:hint="eastAsia" w:ascii="Times New Roman" w:hAnsi="Times New Roman"/>
          <w:sz w:val="24"/>
          <w:szCs w:val="24"/>
          <w:u w:val="single"/>
          <w:lang w:eastAsia="zh-CN"/>
        </w:rPr>
        <w:t>河南省</w:t>
      </w:r>
      <w:r>
        <w:rPr>
          <w:rFonts w:hint="eastAsia" w:ascii="Times New Roman" w:hAnsi="Times New Roman"/>
          <w:sz w:val="24"/>
          <w:szCs w:val="24"/>
          <w:u w:val="single"/>
          <w:lang w:val="en-US" w:eastAsia="zh-CN"/>
        </w:rPr>
        <w:t>平顶山市叶县廉村镇二郎庙村村北200米路东</w:t>
      </w:r>
      <w:r>
        <w:rPr>
          <w:rFonts w:hint="eastAsia" w:ascii="Times New Roman" w:hAnsi="Times New Roman"/>
          <w:sz w:val="24"/>
          <w:szCs w:val="24"/>
          <w:u w:val="single"/>
          <w:lang w:val="zh-CN"/>
        </w:rPr>
        <w:t>，</w:t>
      </w:r>
      <w:r>
        <w:rPr>
          <w:rFonts w:hint="eastAsia" w:ascii="Times New Roman" w:hAnsi="Times New Roman"/>
          <w:sz w:val="24"/>
          <w:szCs w:val="24"/>
          <w:u w:val="single"/>
          <w:lang w:val="zh-CN" w:eastAsia="zh-CN"/>
        </w:rPr>
        <w:t>根据平顶山市《</w:t>
      </w:r>
      <w:r>
        <w:rPr>
          <w:rFonts w:hint="eastAsia" w:ascii="Times New Roman" w:hAnsi="Times New Roman"/>
          <w:sz w:val="24"/>
          <w:szCs w:val="24"/>
          <w:u w:val="single"/>
          <w:lang w:val="en-US" w:eastAsia="zh-CN"/>
        </w:rPr>
        <w:t>县（市、区）环境管控单元生态环境准入清单》，本项目所在地不在准入清单内。因此执行《平顶山</w:t>
      </w:r>
      <w:r>
        <w:rPr>
          <w:rFonts w:hint="eastAsia" w:ascii="Times New Roman" w:hAnsi="Times New Roman" w:eastAsia="宋体"/>
          <w:sz w:val="24"/>
          <w:szCs w:val="24"/>
          <w:u w:val="single"/>
          <w:lang w:val="en-US" w:eastAsia="zh-CN"/>
        </w:rPr>
        <w:t>市生态环境总体准入要求》。具体要求如下：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single"/>
          <w:lang w:val="zh-CN" w:eastAsia="zh-CN"/>
        </w:rPr>
      </w:pPr>
      <w:r>
        <w:rPr>
          <w:rFonts w:hint="eastAsia"/>
          <w:b/>
          <w:bCs/>
          <w:u w:val="single"/>
          <w:lang w:val="zh-CN" w:eastAsia="zh-CN"/>
        </w:rPr>
        <w:t>表</w:t>
      </w:r>
      <w:r>
        <w:rPr>
          <w:rFonts w:hint="eastAsia"/>
          <w:b/>
          <w:bCs/>
          <w:u w:val="single"/>
          <w:lang w:val="en-US" w:eastAsia="zh-CN"/>
        </w:rPr>
        <w:t>2.6-1</w:t>
      </w:r>
      <w:r>
        <w:rPr>
          <w:rFonts w:hint="eastAsia"/>
          <w:b/>
          <w:bCs/>
          <w:u w:val="single"/>
          <w:lang w:val="zh-CN" w:eastAsia="zh-CN"/>
        </w:rPr>
        <w:t xml:space="preserve">  项目与河南省生态环境准入清单相符性分析一览表</w:t>
      </w:r>
    </w:p>
    <w:tbl>
      <w:tblPr>
        <w:tblStyle w:val="2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5220"/>
        <w:gridCol w:w="2120"/>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sz w:val="21"/>
                <w:szCs w:val="21"/>
                <w:u w:val="none"/>
              </w:rPr>
            </w:pPr>
            <w:r>
              <w:rPr>
                <w:rFonts w:hint="eastAsia" w:ascii="Times New Roman" w:hAnsi="Times New Roman" w:eastAsia="宋体" w:cs="黑体"/>
                <w:b/>
                <w:bCs/>
                <w:i w:val="0"/>
                <w:iCs w:val="0"/>
                <w:color w:val="000000"/>
                <w:kern w:val="0"/>
                <w:sz w:val="21"/>
                <w:szCs w:val="21"/>
                <w:u w:val="none"/>
                <w:lang w:val="en-US" w:eastAsia="zh-CN" w:bidi="ar"/>
              </w:rPr>
              <w:t>维度</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sz w:val="21"/>
                <w:szCs w:val="21"/>
                <w:u w:val="none"/>
              </w:rPr>
            </w:pPr>
            <w:r>
              <w:rPr>
                <w:rFonts w:hint="eastAsia" w:ascii="Times New Roman" w:hAnsi="Times New Roman" w:eastAsia="宋体" w:cs="黑体"/>
                <w:b/>
                <w:bCs/>
                <w:i w:val="0"/>
                <w:iCs w:val="0"/>
                <w:color w:val="000000"/>
                <w:kern w:val="0"/>
                <w:sz w:val="21"/>
                <w:szCs w:val="21"/>
                <w:u w:val="none"/>
                <w:lang w:val="en-US" w:eastAsia="zh-CN" w:bidi="ar"/>
              </w:rPr>
              <w:t>管控要求</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kern w:val="0"/>
                <w:sz w:val="21"/>
                <w:szCs w:val="21"/>
                <w:u w:val="none"/>
                <w:lang w:val="en-US" w:eastAsia="zh-CN" w:bidi="ar"/>
              </w:rPr>
            </w:pPr>
            <w:r>
              <w:rPr>
                <w:rFonts w:hint="eastAsia" w:ascii="Times New Roman" w:hAnsi="Times New Roman" w:eastAsia="宋体" w:cs="黑体"/>
                <w:b/>
                <w:bCs/>
                <w:i w:val="0"/>
                <w:iCs w:val="0"/>
                <w:color w:val="000000"/>
                <w:kern w:val="0"/>
                <w:sz w:val="21"/>
                <w:szCs w:val="21"/>
                <w:u w:val="none"/>
                <w:lang w:val="en-US" w:eastAsia="zh-CN" w:bidi="ar"/>
              </w:rPr>
              <w:t>项目情况</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kern w:val="0"/>
                <w:sz w:val="21"/>
                <w:szCs w:val="21"/>
                <w:u w:val="none"/>
                <w:lang w:val="en-US" w:eastAsia="zh-CN" w:bidi="ar"/>
              </w:rPr>
            </w:pPr>
            <w:r>
              <w:rPr>
                <w:rFonts w:hint="eastAsia" w:ascii="Times New Roman" w:hAnsi="Times New Roman" w:eastAsia="宋体" w:cs="黑体"/>
                <w:b/>
                <w:bCs/>
                <w:i w:val="0"/>
                <w:iCs w:val="0"/>
                <w:color w:val="000000"/>
                <w:kern w:val="0"/>
                <w:sz w:val="21"/>
                <w:szCs w:val="21"/>
                <w:u w:val="none"/>
                <w:lang w:val="en-US" w:eastAsia="zh-CN" w:bidi="ar"/>
              </w:rPr>
              <w:t>相符性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lang w:eastAsia="zh-CN"/>
              </w:rPr>
            </w:pPr>
            <w:r>
              <w:rPr>
                <w:rFonts w:hint="eastAsia" w:ascii="Times New Roman" w:hAnsi="Times New Roman" w:eastAsia="宋体" w:cs="宋体"/>
                <w:i w:val="0"/>
                <w:iCs w:val="0"/>
                <w:color w:val="000000"/>
                <w:sz w:val="21"/>
                <w:szCs w:val="21"/>
                <w:u w:val="none"/>
              </w:rPr>
              <w:t>产业发展</w:t>
            </w:r>
            <w:r>
              <w:rPr>
                <w:rFonts w:hint="eastAsia" w:ascii="Times New Roman" w:hAnsi="Times New Roman" w:eastAsia="宋体" w:cs="宋体"/>
                <w:i w:val="0"/>
                <w:iCs w:val="0"/>
                <w:color w:val="000000"/>
                <w:sz w:val="21"/>
                <w:szCs w:val="21"/>
                <w:u w:val="none"/>
                <w:lang w:eastAsia="zh-CN"/>
              </w:rPr>
              <w:t>准入</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1.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做好产业链、创新链、供应链、价值链、制度链“五链”耦合，把新基建、新技术、新材料、新装备、新产品、新业态作为高质量发展的主攻方向。2.支持各省辖市、省直管县（市）大力推动焦炭、铸造、</w:t>
            </w:r>
            <w:r>
              <w:rPr>
                <w:rFonts w:hint="eastAsia" w:cs="宋体"/>
                <w:i w:val="0"/>
                <w:iCs w:val="0"/>
                <w:color w:val="000000"/>
                <w:sz w:val="21"/>
                <w:szCs w:val="21"/>
                <w:u w:val="none"/>
                <w:lang w:eastAsia="zh-CN"/>
              </w:rPr>
              <w:t>碳素</w:t>
            </w:r>
            <w:r>
              <w:rPr>
                <w:rFonts w:hint="eastAsia" w:ascii="Times New Roman" w:hAnsi="Times New Roman" w:eastAsia="宋体" w:cs="宋体"/>
                <w:i w:val="0"/>
                <w:iCs w:val="0"/>
                <w:color w:val="000000"/>
                <w:sz w:val="21"/>
                <w:szCs w:val="21"/>
                <w:u w:val="none"/>
              </w:rPr>
              <w:t>、耐火材料、铁合金、棕刚玉等产业整合，加快集中集群集约发展。3.禁止新建、扩建《产业结构调整指导目录（2019年本）》明确的淘汰类项目。禁止引入《市场准入负面清单（2020年版）》禁止准入类事项。4.禁止耐火材料、陶瓷等行业新建、扩建以煤炭为燃料的项目和企业。禁止建设生产和使用高VOCs含量的溶剂型涂料、油墨、胶粘剂等项目。全面取缔露天和敞开式喷涂作业，有条件的工业集聚区建设集中喷涂工程中心。禁止新建采用含汞工艺的电石法聚氯乙烯生产项目，禁止新建原生汞矿，逐步停止原生汞开采。5.原则上不再新建天然气热电联产和天然气化工项目。原则上禁止新建、扩建单纯新增产能的钢铁、电解铝、水泥、平板玻璃、传统煤化工（甲醇、合成氨）、焦化、铸造、铝用炭素、耐火材料制品、砖瓦窑、铅锌冶炼（含再生铅）等行业产能。原则上京津冀及周边地区禁止新建露天矿山建设项目。6.严把“两高”项目生态环境准入关，严格限制“两高”项目盲目发展。新建、改建、扩建“两高”项目须符合生态环境保护法律法规和相关法定规划，符合产业政策规划、国土空间规划、“三线一单”、能耗“双控”、煤炭消费减量替代、碳排放、污染物排放等约束性要求。按照《河南省淘汰落后产能综合标准体系（2020 年本）》，严格执行能耗、环保、质量、安全、技术等法规标准。</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1、项目为废弃资源综合利用业和塑料制品业，不属于高耗能、高排放和产能过剩的产业项目。</w:t>
            </w:r>
            <w:r>
              <w:rPr>
                <w:rFonts w:hint="eastAsia" w:ascii="Times New Roman" w:hAnsi="Times New Roman" w:eastAsia="宋体" w:cs="宋体"/>
                <w:i w:val="0"/>
                <w:iCs w:val="0"/>
                <w:color w:val="000000"/>
                <w:sz w:val="21"/>
                <w:szCs w:val="21"/>
                <w:u w:val="none"/>
              </w:rPr>
              <w:t>符合产业政策规划、国土空间规划、“三线一单”</w:t>
            </w:r>
            <w:r>
              <w:rPr>
                <w:rFonts w:hint="eastAsia" w:ascii="Times New Roman" w:hAnsi="Times New Roman" w:eastAsia="宋体" w:cs="宋体"/>
                <w:i w:val="0"/>
                <w:iCs w:val="0"/>
                <w:color w:val="000000"/>
                <w:sz w:val="21"/>
                <w:szCs w:val="21"/>
                <w:u w:val="none"/>
                <w:lang w:eastAsia="zh-CN"/>
              </w:rPr>
              <w:t>要求</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生态空间总体管控</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1.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4.在饮用水水源保护区内，禁止设置排污口。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5.南水北调中线干渠一级保护区内禁止新建、改建、扩建与供水设施和保护水源无关的建设项目。</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项目选址不在饮用水水源保护区。不在</w:t>
            </w:r>
            <w:r>
              <w:rPr>
                <w:rFonts w:hint="eastAsia" w:ascii="Times New Roman" w:hAnsi="Times New Roman" w:eastAsia="宋体" w:cs="宋体"/>
                <w:i w:val="0"/>
                <w:iCs w:val="0"/>
                <w:color w:val="000000"/>
                <w:sz w:val="21"/>
                <w:szCs w:val="21"/>
                <w:u w:val="none"/>
              </w:rPr>
              <w:t>南水北调中线干渠一级保护区内</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大气生态环境总体管控</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1. 集中供暖区禁止新建、扩建分散燃煤供热锅炉；已建成的不能达标排放的燃煤供热锅炉，应当期限内拆除。30万千瓦及以上热电联产电厂供热半径15公里范围内的燃煤锅炉和落后燃煤小热电全部关停整合。城市建成区生物质锅炉实施超低排放改造，燃气锅炉实施低氮改造。对不能稳定达标排放、改造升级无望的污染企业，依法依规停产限产、关停退出。</w:t>
            </w:r>
            <w:r>
              <w:rPr>
                <w:rFonts w:hint="eastAsia" w:ascii="Times New Roman" w:hAnsi="Times New Roman" w:eastAsia="宋体" w:cs="宋体"/>
                <w:i w:val="0"/>
                <w:iCs w:val="0"/>
                <w:color w:val="000000"/>
                <w:sz w:val="21"/>
                <w:szCs w:val="21"/>
                <w:u w:val="none"/>
                <w:lang w:val="en-US" w:eastAsia="zh-CN"/>
              </w:rPr>
              <w:t>2、</w:t>
            </w:r>
            <w:r>
              <w:rPr>
                <w:rFonts w:hint="eastAsia" w:ascii="Times New Roman" w:hAnsi="Times New Roman" w:eastAsia="宋体" w:cs="宋体"/>
                <w:i w:val="0"/>
                <w:iCs w:val="0"/>
                <w:color w:val="000000"/>
                <w:sz w:val="21"/>
                <w:szCs w:val="21"/>
                <w:u w:val="none"/>
              </w:rPr>
              <w:t>不符合城市建设规划、行业发展规划、生态环境功能定位的重点污染企业退出城市建成区。城市建成区、人群密集区、重点流域的重污染企业和危险化学品等环境风险大的企业搬迁改造、关停退出。新建涉高VOCs排放的石化、化工、包装印刷、工业涂装等重点行业企业要入产业集聚区，实行区域内VOCs排放等量或倍量削减替代。5.强化项目环评及“三同时”管理，国家、省绩效分级重点行业的新建、改建、扩建项目达到B级以上要求。7.强化施工扬尘污染防治，将建筑、市政、拆除、公路、水利等各类施工工地扬尘污染防治纳入建筑施工安全生产文明施工管理范畴，严格执行开复工验收、“三员”（监督员、网络员、管理员）管理、城市建筑垃圾处置核准、扬尘防治预算管理等制度，做到工地周边围挡、物料堆放覆盖、土方开挖湿法作业、路面硬化、出入车辆清洗、渣土车辆密闭运输“六个百分之百”，禁止施工工地现场搅拌混凝土、现场配置砂浆。</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single"/>
                <w:lang w:val="en-US" w:eastAsia="zh-CN" w:bidi="ar"/>
              </w:rPr>
              <w:t>本项目排放污染物主要为颗粒物</w:t>
            </w:r>
            <w:r>
              <w:rPr>
                <w:rFonts w:hint="eastAsia" w:cs="宋体"/>
                <w:i w:val="0"/>
                <w:iCs w:val="0"/>
                <w:color w:val="000000"/>
                <w:kern w:val="0"/>
                <w:sz w:val="21"/>
                <w:szCs w:val="21"/>
                <w:u w:val="single"/>
                <w:lang w:val="en-US" w:eastAsia="zh-CN" w:bidi="ar"/>
              </w:rPr>
              <w:t>、苯乙烯、氨、硫化氢</w:t>
            </w:r>
            <w:r>
              <w:rPr>
                <w:rFonts w:hint="eastAsia" w:ascii="Times New Roman" w:hAnsi="Times New Roman" w:eastAsia="宋体" w:cs="宋体"/>
                <w:i w:val="0"/>
                <w:iCs w:val="0"/>
                <w:color w:val="000000"/>
                <w:kern w:val="0"/>
                <w:sz w:val="21"/>
                <w:szCs w:val="21"/>
                <w:u w:val="single"/>
                <w:lang w:val="en-US" w:eastAsia="zh-CN" w:bidi="ar"/>
              </w:rPr>
              <w:t>和非甲烷总烃，满足总量减排要求</w:t>
            </w:r>
            <w:r>
              <w:rPr>
                <w:rFonts w:hint="eastAsia" w:cs="宋体"/>
                <w:i w:val="0"/>
                <w:iCs w:val="0"/>
                <w:color w:val="000000"/>
                <w:kern w:val="0"/>
                <w:sz w:val="21"/>
                <w:szCs w:val="21"/>
                <w:u w:val="single"/>
                <w:lang w:val="en-US" w:eastAsia="zh-CN" w:bidi="ar"/>
              </w:rPr>
              <w:t>，其中非甲烷总烃实施区域内倍量削减替代，满足</w:t>
            </w:r>
            <w:r>
              <w:rPr>
                <w:rFonts w:hint="eastAsia" w:ascii="Times New Roman" w:hAnsi="Times New Roman" w:eastAsia="宋体" w:cs="宋体"/>
                <w:i w:val="0"/>
                <w:iCs w:val="0"/>
                <w:color w:val="000000"/>
                <w:kern w:val="0"/>
                <w:sz w:val="21"/>
                <w:szCs w:val="21"/>
                <w:u w:val="single"/>
                <w:lang w:val="en-US" w:eastAsia="zh-CN" w:bidi="ar"/>
              </w:rPr>
              <w:t>当地总量减排要求</w:t>
            </w:r>
            <w:r>
              <w:rPr>
                <w:rFonts w:hint="eastAsia" w:ascii="Times New Roman" w:hAnsi="Times New Roman" w:eastAsia="宋体" w:cs="宋体"/>
                <w:i w:val="0"/>
                <w:iCs w:val="0"/>
                <w:color w:val="000000"/>
                <w:kern w:val="0"/>
                <w:sz w:val="21"/>
                <w:szCs w:val="21"/>
                <w:u w:val="none"/>
                <w:lang w:val="en-US" w:eastAsia="zh-CN" w:bidi="ar"/>
              </w:rPr>
              <w:t>。企业达到</w:t>
            </w:r>
            <w:r>
              <w:rPr>
                <w:rFonts w:hint="eastAsia" w:ascii="Times New Roman" w:hAnsi="Times New Roman" w:eastAsia="宋体" w:cs="宋体"/>
                <w:i w:val="0"/>
                <w:iCs w:val="0"/>
                <w:color w:val="000000"/>
                <w:sz w:val="21"/>
                <w:szCs w:val="21"/>
                <w:u w:val="none"/>
              </w:rPr>
              <w:t>省绩效分级重点行业B级以上要求</w:t>
            </w:r>
            <w:r>
              <w:rPr>
                <w:rFonts w:hint="eastAsia" w:ascii="Times New Roman" w:hAnsi="Times New Roman" w:eastAsia="宋体" w:cs="宋体"/>
                <w:i w:val="0"/>
                <w:iCs w:val="0"/>
                <w:color w:val="000000"/>
                <w:sz w:val="21"/>
                <w:szCs w:val="21"/>
                <w:u w:val="none"/>
                <w:lang w:eastAsia="zh-CN"/>
              </w:rPr>
              <w:t>，强化施工期污染控制</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水生态环境总体管控</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sz w:val="21"/>
                <w:szCs w:val="21"/>
                <w:u w:val="none"/>
              </w:rPr>
              <w:t>5.新建、改建、扩建造纸、焦化、氮肥、农副食品加工、毛皮制革、印染、有色金属、原料药制造、电镀等重点水污染物排放行业建设项目实行主要污染物排放等量或减量置换。9.按照“减量化、稳定化、无害化、资源化”要求，加快推进城镇污水处理厂污泥无害化处理处置和资源化利用。依法查处取缔非法污泥堆放点，禁止重金属等污染物不达标的污泥进行土地利用。2021年年底，全省城市和县城污泥无害化处置率分别达到95%以上和85%以上。</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single"/>
                <w:lang w:val="en-US" w:eastAsia="zh-CN" w:bidi="ar"/>
              </w:rPr>
              <w:t>项目不属于重点水污染行业，清洗用水经处理后回用于清洗工序</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single"/>
          <w:lang w:val="zh-CN" w:eastAsia="zh-CN"/>
        </w:rPr>
      </w:pPr>
      <w:r>
        <w:rPr>
          <w:rFonts w:hint="eastAsia"/>
          <w:b/>
          <w:bCs/>
          <w:u w:val="single"/>
          <w:lang w:val="zh-CN" w:eastAsia="zh-CN"/>
        </w:rPr>
        <w:t>表</w:t>
      </w:r>
      <w:r>
        <w:rPr>
          <w:rFonts w:hint="eastAsia"/>
          <w:b/>
          <w:bCs/>
          <w:u w:val="single"/>
          <w:lang w:val="en-US" w:eastAsia="zh-CN"/>
        </w:rPr>
        <w:t>2.6-2</w:t>
      </w:r>
      <w:r>
        <w:rPr>
          <w:rFonts w:hint="eastAsia"/>
          <w:b/>
          <w:bCs/>
          <w:u w:val="single"/>
          <w:lang w:val="zh-CN" w:eastAsia="zh-CN"/>
        </w:rPr>
        <w:t xml:space="preserve">  项目与平顶山市生态环境准入清单相符性分析一览表</w:t>
      </w:r>
    </w:p>
    <w:tbl>
      <w:tblPr>
        <w:tblStyle w:val="2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5220"/>
        <w:gridCol w:w="2120"/>
        <w:gridCol w:w="1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sz w:val="21"/>
                <w:szCs w:val="21"/>
                <w:u w:val="none"/>
              </w:rPr>
            </w:pPr>
            <w:r>
              <w:rPr>
                <w:rFonts w:hint="eastAsia" w:ascii="Times New Roman" w:hAnsi="Times New Roman" w:eastAsia="宋体" w:cs="黑体"/>
                <w:b/>
                <w:bCs/>
                <w:i w:val="0"/>
                <w:iCs w:val="0"/>
                <w:color w:val="000000"/>
                <w:kern w:val="0"/>
                <w:sz w:val="21"/>
                <w:szCs w:val="21"/>
                <w:u w:val="none"/>
                <w:lang w:val="en-US" w:eastAsia="zh-CN" w:bidi="ar"/>
              </w:rPr>
              <w:t>维度</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sz w:val="21"/>
                <w:szCs w:val="21"/>
                <w:u w:val="none"/>
              </w:rPr>
            </w:pPr>
            <w:r>
              <w:rPr>
                <w:rFonts w:hint="eastAsia" w:ascii="Times New Roman" w:hAnsi="Times New Roman" w:eastAsia="宋体" w:cs="黑体"/>
                <w:b/>
                <w:bCs/>
                <w:i w:val="0"/>
                <w:iCs w:val="0"/>
                <w:color w:val="000000"/>
                <w:kern w:val="0"/>
                <w:sz w:val="21"/>
                <w:szCs w:val="21"/>
                <w:u w:val="none"/>
                <w:lang w:val="en-US" w:eastAsia="zh-CN" w:bidi="ar"/>
              </w:rPr>
              <w:t>管控要求</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kern w:val="0"/>
                <w:sz w:val="21"/>
                <w:szCs w:val="21"/>
                <w:u w:val="none"/>
                <w:lang w:val="en-US" w:eastAsia="zh-CN" w:bidi="ar"/>
              </w:rPr>
            </w:pPr>
            <w:r>
              <w:rPr>
                <w:rFonts w:hint="eastAsia" w:ascii="Times New Roman" w:hAnsi="Times New Roman" w:eastAsia="宋体" w:cs="黑体"/>
                <w:b/>
                <w:bCs/>
                <w:i w:val="0"/>
                <w:iCs w:val="0"/>
                <w:color w:val="000000"/>
                <w:kern w:val="0"/>
                <w:sz w:val="21"/>
                <w:szCs w:val="21"/>
                <w:u w:val="none"/>
                <w:lang w:val="en-US" w:eastAsia="zh-CN" w:bidi="ar"/>
              </w:rPr>
              <w:t>项目情况</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黑体"/>
                <w:b/>
                <w:bCs/>
                <w:i w:val="0"/>
                <w:iCs w:val="0"/>
                <w:color w:val="000000"/>
                <w:kern w:val="0"/>
                <w:sz w:val="21"/>
                <w:szCs w:val="21"/>
                <w:u w:val="none"/>
                <w:lang w:val="en-US" w:eastAsia="zh-CN" w:bidi="ar"/>
              </w:rPr>
            </w:pPr>
            <w:r>
              <w:rPr>
                <w:rFonts w:hint="eastAsia" w:ascii="Times New Roman" w:hAnsi="Times New Roman" w:eastAsia="宋体" w:cs="黑体"/>
                <w:b/>
                <w:bCs/>
                <w:i w:val="0"/>
                <w:iCs w:val="0"/>
                <w:color w:val="000000"/>
                <w:kern w:val="0"/>
                <w:sz w:val="21"/>
                <w:szCs w:val="21"/>
                <w:u w:val="none"/>
                <w:lang w:val="en-US" w:eastAsia="zh-CN" w:bidi="ar"/>
              </w:rPr>
              <w:t>相符性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空间布局约束</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1.全市原则上禁止新建、扩建单纯新增产能的钢铁、电解铝、水泥、平板玻璃、传统煤化工（甲醇、合成氨）、焦化、铸造、铝用炭素、耐火材料制品、砖瓦窑、铅锌冶炼(含再生铅)等高耗能、高排放和产能过剩的产业项目。2.禁燃区内禁止新建火电、水泥、铸造、陶瓷、焦化、洗煤、烧结砖等高污染项目；禁止燃烧原（散）煤、蜂窝煤、焦炭、木炭、煤矸石、煤泥、煤焦油、重油、渣油等燃料；禁止燃烧各种可燃废物和直接燃用生物质燃料，已建成的使用高污染燃料的各类设施限期拆除或改造，对于超出规定期限继续燃用高污染燃料的设施，责令拆除或者没收。综合采用“电代煤”“气代煤”、清洁能源替代散煤等多种方式，减少燃煤散烧污染。3.在南水北调中线总干渠一级饮用水源保护区内，禁止新建、改建、扩建与供水设施和保护水源无关的建设项目。在二级饮用水源保护区内，禁止新建、改建、扩建排放污染物的建设项目。4.在饮用水水源保护区内，禁止设置排污口。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禁止在饮用水水源准保护区内新建、扩建对水体污染严重的建设项目；改建建设项目，不得增加排污量。5.禁养区内禁止建设畜禽养殖场和养殖小区。6.禁止在地质环境脆弱区开发矿产资源，禁止开挖耕地烧制实心砖瓦；已查明资源储量的水泥用灰岩、化工用灰岩、溶剂用灰岩矿区内，禁止将灰岩作建筑石料用矿产开采。禁止开采区内，除国家基础性、公益性地质调查及符合政策要求的、以国家战略性矿产地储备为目的的矿产资源勘查项目外，一律不得新设探矿权、采矿权，严厉打击和取缔违法采矿活动。7.严格限制“两高”项目盲目发展。8.一级保护区内已建成的与供水设施和保护水源无关的建设项目，由县级以上人民政府责令拆除或者关闭。二级保护区内已建成的排放污染物的建设项目，由县级以上人民政府责令拆除或者关闭。9.石化、现代煤化工项目应纳入国家产业规划。新建、扩建石化、化工、焦化、有色金属冶炼、平板玻璃项目应布设在依法合规设立并经规划环评的产业园区。10.对澧河、沙河、北汝河及其主要支流、白龟山水库、昭平台水库、孤石滩水库、石漫滩水库、南水北调总干渠和流进中心城市的河流进行保护，其中包括白龟山水库的入库河流、沙河上游、大浪河、澎河、应河及中心城区内的湛河。保护区分为绝对生态控制区和建设控制区，保护范围在下层次规划中予以落实。除绿化以外的城市建设严禁占用绝对生态控制区内的河湖湿地。</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项目为废弃资源综合利用业和塑料制品业，不属于高耗能、高排放和产能过剩的产业项目。2、项目不属于火电、水泥、铸造、陶瓷、焦化、洗煤、烧结砖等高污染项目。能源使用为电力。3、项目位于选址位于平顶山市叶县廉村镇二郎庙村村北200米路东，距离南水北调中线干渠约27km，不在南水北调中线总干渠一级饮用水源保护区内。4、项目位于选址位于平顶山市叶县廉村镇二郎庙村村北200米路东，不在饮用水水源保护区内、饮用水水源一级保护区内和二级饮用水源保护区内。5、项目为废弃资源综合利用业和塑料制品业，不属于畜禽养殖场和养殖小区。6、项目为废弃资源综合利用业和塑料制品业，不属于矿产开发业。1、项目为废弃资源综合利用业和塑料制品业，不属于“两高”产业项目。8、项目位于选址位于平顶山市叶县廉村镇二郎庙村村北200米路东，不在饮用水水源保护区内、饮用水水源一级保护区内和二级饮用水源保护区内。9、项目不属于石化、现代煤化工项目。10、本项目不涉及。</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污染物排放</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管控</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1.新、改、扩建项目主要污染物排放要求满足当地总量减排要求。2.在饮用水源保护区内，禁止设置排污口；禁止使用剧毒和高残留农药，不得滥用化肥；禁止利用渗坑、渗井、裂隙等排放污水和其他有害废弃物；禁止利用储水层孔隙、裂隙及废弃矿坑储存石油、放射性物质、有毒化学品、农药等。3.实施工业低碳行动，推进钢铁、煤化工、水泥、铝加工、玻璃、耐火材料制品、煤电等产业绿色、减量、提质发展，开展全流程清洁化、循环化、低碳化改造，加快建设绿色制造体系。4.完善新能源汽车推广应用及产业化发展政策措施，推动全市公共领域车辆新能源化。除保留部分应急车辆及新能源汽车无法满足使用需求情况外，新增及更新公交车、出租车（含巡游出租车和网约车）应全部为新能源汽车。5.</w:t>
            </w:r>
            <w:r>
              <w:rPr>
                <w:rStyle w:val="50"/>
                <w:rFonts w:ascii="Times New Roman" w:hAnsi="Times New Roman" w:eastAsia="宋体"/>
                <w:sz w:val="21"/>
                <w:szCs w:val="21"/>
                <w:lang w:val="en-US" w:eastAsia="zh-CN" w:bidi="ar"/>
              </w:rPr>
              <w:t>“十四五”期间，全市环境空气质量、地表水质量、地下水质量完成国家、省、市下达目标要求。</w:t>
            </w:r>
            <w:r>
              <w:rPr>
                <w:rFonts w:hint="eastAsia" w:ascii="Times New Roman" w:hAnsi="Times New Roman" w:eastAsia="宋体" w:cs="宋体"/>
                <w:i w:val="0"/>
                <w:iCs w:val="0"/>
                <w:color w:val="000000"/>
                <w:kern w:val="0"/>
                <w:sz w:val="21"/>
                <w:szCs w:val="21"/>
                <w:u w:val="none"/>
                <w:lang w:val="en-US" w:eastAsia="zh-CN" w:bidi="ar"/>
              </w:rPr>
              <w:t>2021年，推进垃圾焚烧发电企业全面完成提标治理，焚烧炉烟气颗粒物、二氧化硫、氮氧化物排放浓度（1小时均值）在基准氧含量11%的条件下分别不高于10、35、100毫克/立方米，采用氨法脱硝、氨法脱硫工艺的垃圾焚烧废气氨排放浓度不高于8毫克/立方米。6.新建“两高”项目应按照《关于加强重点行业建设项目区域削减措施监督管理的通知》要求，依据区域环境质量改善目标，制定配套区域污染物削减方案，采取有效的污染物区域削减措施，腾出足够的环境容量。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7.开展清洁取暖“双替代”巩固提升行动，对完成“双替代”供暖改造的区域开展“回头看”，查漏补缺，落实电力和天然气供应保障和电价气价优惠政策。在已公告划定为“禁煤区”的区域，开展散煤治理行动，依法查处违规销售、储存、运输、使用洁净型煤和散煤的行为，严防严控散煤复烧，确保全市平原地区散煤清零。对不具备“双替代”改造条件的边远山区实行洁净型煤兜底全覆盖。8.加强八里河、净肠河、灰河、将相河4个水环境质量改善河流的治理力度，采取控源截污、清淤、生态修复等措施，确保水环境质量持续改善。对现状水质较好的沙河、北汝河、澧河源头及干流河段开展生态环境安全评估，实施生态环境保护和综合治理，恢复水生态系统完整性，确保良好水体水质稳定。9.大宗物料优先采用铁路、管道或水路运输，短途接驳优先使用新能源车辆运输。积极推动铁路专用线建设，落实《河南省加快推进铁路专用线进企入园工程实施方案》，推进煤炭、钢铁、电力、焦化、水泥等大宗货物年运输量150万吨以上的大型工矿企业以及大型物流园区新(改、扩)建铁路专用线。</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single"/>
                <w:lang w:val="en-US" w:eastAsia="zh-CN" w:bidi="ar"/>
              </w:rPr>
              <w:t>1、本项目排放污染物主要为颗粒物</w:t>
            </w:r>
            <w:r>
              <w:rPr>
                <w:rFonts w:hint="eastAsia" w:cs="宋体"/>
                <w:i w:val="0"/>
                <w:iCs w:val="0"/>
                <w:color w:val="000000"/>
                <w:kern w:val="0"/>
                <w:sz w:val="21"/>
                <w:szCs w:val="21"/>
                <w:u w:val="single"/>
                <w:lang w:val="en-US" w:eastAsia="zh-CN" w:bidi="ar"/>
              </w:rPr>
              <w:t>、苯乙烯、氨、硫化氢</w:t>
            </w:r>
            <w:r>
              <w:rPr>
                <w:rFonts w:hint="eastAsia" w:ascii="Times New Roman" w:hAnsi="Times New Roman" w:eastAsia="宋体" w:cs="宋体"/>
                <w:i w:val="0"/>
                <w:iCs w:val="0"/>
                <w:color w:val="000000"/>
                <w:kern w:val="0"/>
                <w:sz w:val="21"/>
                <w:szCs w:val="21"/>
                <w:u w:val="single"/>
                <w:lang w:val="en-US" w:eastAsia="zh-CN" w:bidi="ar"/>
              </w:rPr>
              <w:t>和非甲烷总烃，满足总量减排要求</w:t>
            </w:r>
            <w:r>
              <w:rPr>
                <w:rFonts w:hint="eastAsia" w:cs="宋体"/>
                <w:i w:val="0"/>
                <w:iCs w:val="0"/>
                <w:color w:val="000000"/>
                <w:kern w:val="0"/>
                <w:sz w:val="21"/>
                <w:szCs w:val="21"/>
                <w:u w:val="single"/>
                <w:lang w:val="en-US" w:eastAsia="zh-CN" w:bidi="ar"/>
              </w:rPr>
              <w:t>，其中非甲烷总烃实施区域内倍量削减替代，满足</w:t>
            </w:r>
            <w:r>
              <w:rPr>
                <w:rFonts w:hint="eastAsia" w:ascii="Times New Roman" w:hAnsi="Times New Roman" w:eastAsia="宋体" w:cs="宋体"/>
                <w:i w:val="0"/>
                <w:iCs w:val="0"/>
                <w:color w:val="000000"/>
                <w:kern w:val="0"/>
                <w:sz w:val="21"/>
                <w:szCs w:val="21"/>
                <w:u w:val="single"/>
                <w:lang w:val="en-US" w:eastAsia="zh-CN" w:bidi="ar"/>
              </w:rPr>
              <w:t>当地总量减排要求。</w:t>
            </w:r>
            <w:r>
              <w:rPr>
                <w:rFonts w:hint="eastAsia" w:ascii="Times New Roman" w:hAnsi="Times New Roman" w:eastAsia="宋体" w:cs="宋体"/>
                <w:i w:val="0"/>
                <w:iCs w:val="0"/>
                <w:color w:val="000000"/>
                <w:kern w:val="0"/>
                <w:sz w:val="21"/>
                <w:szCs w:val="21"/>
                <w:u w:val="none"/>
                <w:lang w:val="en-US" w:eastAsia="zh-CN" w:bidi="ar"/>
              </w:rPr>
              <w:t>2、项目所在地不属于饮用水源保护区。3、项目不属于钢铁、煤化工、水泥、铝加工、玻璃、耐火材料制品、煤电等产业。4、项目不涉及。5、项目不涉及。6、项目不属于“两高”项目。7、项目不涉及。8、项目不涉及。9、项目运输车辆符合国家要求。</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环境风险防控</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1.开展饮用水水源规范化建设和饮用水水源地环境状况排查评估以及风险预警，强化对水源保护区管线穿越、交通运输等风险源的风险管理，依法清理饮用水水源保护区内违法建筑和排污口。2.强化全市涉化工、危险废物等产业集聚区（专业园区）以及建设项目环境风险防范体系建设，有效防范环境风险。</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1、项目选址不在饮用水水源保护区。2、项目危险废物均得到合理有效处置。</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资源利用效率要求</w:t>
            </w:r>
          </w:p>
        </w:tc>
        <w:tc>
          <w:tcPr>
            <w:tcW w:w="5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bidi="ar"/>
              </w:rPr>
              <w:t>1.十四五期间，全市煤炭消费总量控制完成国家、省、市下达目标要求。全市能耗增量控制目标控制完成国家、省、市下达目标要求。严格落实《河南省耗煤项目煤炭消费替代管理（暂行）办法》。新建耗煤项目严格按规定采取煤炭消费减量替代措施，不得使用高污染燃料作为煤炭减量替代措施。“十四五”能耗双控和减煤目标：强度初步下降14.5%，能耗增量控制目标105万吨标准煤；煤炭消费总量降低目标14%，煤炭消费总量控制目标1940万吨。2.十四五期间，全市年用水总量控制完成国家、省、市下达目标要求。合理调整工业布局和产业结构，限制高耗水项目，淘汰高耗水工艺和设备；鼓励节水技术开发和节水设备、器具的研制，重点抓工业内部循环用水，提高重复利用率。对公共供水能力能够满足用水需求的和南水北调受水区内，应逐步关停自备井，停止开采地下水。在城市公共供水管网能够满足用水需要还要申请地下水的，以及在严重超采区内取用地下水的，不予批准。3.实行严格的耕地保护制度和节约用地制度，提高土地资源利用效率。新增建设用地土壤环境安全保障率100%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single"/>
                <w:lang w:val="en-US" w:eastAsia="zh-CN" w:bidi="ar"/>
              </w:rPr>
              <w:t>1、项目使用能源为电。2、项目清洗用水经处理后回用于清洗工序。3、项目占地面积32000m</w:t>
            </w:r>
            <w:r>
              <w:rPr>
                <w:rFonts w:hint="eastAsia" w:ascii="Times New Roman" w:hAnsi="Times New Roman" w:eastAsia="宋体" w:cs="宋体"/>
                <w:i w:val="0"/>
                <w:iCs w:val="0"/>
                <w:color w:val="000000"/>
                <w:kern w:val="0"/>
                <w:sz w:val="21"/>
                <w:szCs w:val="21"/>
                <w:u w:val="single"/>
                <w:vertAlign w:val="superscript"/>
                <w:lang w:val="en-US" w:eastAsia="zh-CN" w:bidi="ar"/>
              </w:rPr>
              <w:t>2</w:t>
            </w:r>
            <w:r>
              <w:rPr>
                <w:rFonts w:hint="eastAsia" w:ascii="Times New Roman" w:hAnsi="Times New Roman" w:eastAsia="宋体" w:cs="宋体"/>
                <w:i w:val="0"/>
                <w:iCs w:val="0"/>
                <w:color w:val="000000"/>
                <w:kern w:val="0"/>
                <w:sz w:val="21"/>
                <w:szCs w:val="21"/>
                <w:u w:val="single"/>
                <w:lang w:val="en-US" w:eastAsia="zh-CN" w:bidi="ar"/>
              </w:rPr>
              <w:t>，主要污染物为颗粒物</w:t>
            </w:r>
            <w:r>
              <w:rPr>
                <w:rFonts w:hint="eastAsia" w:cs="宋体"/>
                <w:i w:val="0"/>
                <w:iCs w:val="0"/>
                <w:color w:val="000000"/>
                <w:kern w:val="0"/>
                <w:sz w:val="21"/>
                <w:szCs w:val="21"/>
                <w:u w:val="single"/>
                <w:lang w:val="en-US" w:eastAsia="zh-CN" w:bidi="ar"/>
              </w:rPr>
              <w:t>、苯乙烯、硫化氢、氨</w:t>
            </w:r>
            <w:r>
              <w:rPr>
                <w:rFonts w:hint="eastAsia" w:ascii="Times New Roman" w:hAnsi="Times New Roman" w:eastAsia="宋体" w:cs="宋体"/>
                <w:i w:val="0"/>
                <w:iCs w:val="0"/>
                <w:color w:val="000000"/>
                <w:kern w:val="0"/>
                <w:sz w:val="21"/>
                <w:szCs w:val="21"/>
                <w:u w:val="single"/>
                <w:lang w:val="en-US" w:eastAsia="zh-CN" w:bidi="ar"/>
              </w:rPr>
              <w:t>和有机废气，对耕地几乎不产生影响。</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相符</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Calibri" w:hAnsi="Calibri" w:cs="Calibri"/>
          <w:sz w:val="24"/>
        </w:rPr>
      </w:pPr>
      <w:r>
        <w:rPr>
          <w:rFonts w:hint="eastAsia" w:ascii="宋体" w:hAnsi="宋体" w:eastAsia="宋体" w:cs="宋体"/>
          <w:sz w:val="24"/>
        </w:rPr>
        <w:t>②</w:t>
      </w:r>
      <w:r>
        <w:rPr>
          <w:rFonts w:ascii="Calibri" w:hAnsi="Calibri" w:cs="Calibri"/>
          <w:sz w:val="24"/>
        </w:rPr>
        <w:t>资源利用上线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hAnsi="宋体" w:cs="宋体"/>
          <w:color w:val="000000" w:themeColor="text1"/>
          <w:sz w:val="24"/>
          <w14:textFill>
            <w14:solidFill>
              <w14:schemeClr w14:val="tx1"/>
            </w14:solidFill>
          </w14:textFill>
        </w:rPr>
      </w:pPr>
      <w:r>
        <w:rPr>
          <w:rFonts w:ascii="Calibri" w:hAnsi="Calibri" w:cs="Calibri"/>
          <w:sz w:val="24"/>
        </w:rPr>
        <w:t>本项目</w:t>
      </w:r>
      <w:r>
        <w:rPr>
          <w:rFonts w:hint="eastAsia" w:ascii="Calibri" w:hAnsi="Calibri" w:cs="宋体"/>
          <w:kern w:val="0"/>
          <w:sz w:val="24"/>
        </w:rPr>
        <w:t>属于废弃资源综合利用业，所用原料来源于</w:t>
      </w:r>
      <w:r>
        <w:rPr>
          <w:rFonts w:hint="eastAsia" w:ascii="Calibri" w:hAnsi="Calibri" w:cs="宋体"/>
          <w:kern w:val="0"/>
          <w:sz w:val="24"/>
          <w:lang w:eastAsia="zh-CN"/>
        </w:rPr>
        <w:t>废塑料</w:t>
      </w:r>
      <w:r>
        <w:rPr>
          <w:rFonts w:hint="eastAsia" w:hAnsi="宋体" w:cs="宋体"/>
          <w:sz w:val="24"/>
        </w:rPr>
        <w:t>。</w:t>
      </w:r>
      <w:r>
        <w:rPr>
          <w:rFonts w:hint="eastAsia" w:hAnsi="宋体" w:cs="宋体"/>
          <w:sz w:val="24"/>
          <w:u w:val="single"/>
        </w:rPr>
        <w:t>生</w:t>
      </w:r>
      <w:r>
        <w:rPr>
          <w:rFonts w:hint="eastAsia" w:ascii="Calibri" w:hAnsi="Calibri" w:cs="宋体"/>
          <w:kern w:val="0"/>
          <w:sz w:val="24"/>
          <w:u w:val="single"/>
        </w:rPr>
        <w:t>产过程中</w:t>
      </w:r>
      <w:r>
        <w:rPr>
          <w:rFonts w:hint="eastAsia" w:ascii="Calibri" w:hAnsi="Calibri" w:cs="宋体"/>
          <w:kern w:val="0"/>
          <w:sz w:val="24"/>
          <w:u w:val="single"/>
          <w:lang w:val="en-US" w:eastAsia="zh-CN"/>
        </w:rPr>
        <w:t>物料清洗废水、循环冷却水和喷淋塔废水经污水处理站处理后回用于清洗工序。</w:t>
      </w:r>
      <w:r>
        <w:rPr>
          <w:rFonts w:hint="eastAsia" w:ascii="Calibri" w:hAnsi="Calibri" w:cs="宋体"/>
          <w:kern w:val="0"/>
          <w:sz w:val="24"/>
          <w:lang w:val="en-US" w:eastAsia="zh-CN"/>
        </w:rPr>
        <w:t>餐饮废水经隔油池处理后与生活污水一起进入化粪池，定期清掏肥田，废水不外排。</w:t>
      </w:r>
      <w:r>
        <w:rPr>
          <w:rFonts w:hint="eastAsia" w:ascii="Calibri" w:hAnsi="Calibri" w:cs="宋体"/>
          <w:kern w:val="0"/>
          <w:sz w:val="24"/>
        </w:rPr>
        <w:t>整个生产过程中注重节水，提高了水的重复</w:t>
      </w:r>
      <w:r>
        <w:rPr>
          <w:rFonts w:hint="eastAsia" w:ascii="Calibri" w:hAnsi="Calibri" w:cs="宋体"/>
          <w:color w:val="000000" w:themeColor="text1"/>
          <w:kern w:val="0"/>
          <w:sz w:val="24"/>
          <w14:textFill>
            <w14:solidFill>
              <w14:schemeClr w14:val="tx1"/>
            </w14:solidFill>
          </w14:textFill>
        </w:rPr>
        <w:t>利用率，符合水资源利用总量要求。本项目</w:t>
      </w:r>
      <w:r>
        <w:rPr>
          <w:rFonts w:hint="eastAsia" w:ascii="Calibri" w:hAnsi="Calibri" w:cs="宋体"/>
          <w:color w:val="000000" w:themeColor="text1"/>
          <w:kern w:val="0"/>
          <w:sz w:val="24"/>
          <w:lang w:eastAsia="zh-CN"/>
          <w14:textFill>
            <w14:solidFill>
              <w14:schemeClr w14:val="tx1"/>
            </w14:solidFill>
          </w14:textFill>
        </w:rPr>
        <w:t>用水</w:t>
      </w:r>
      <w:r>
        <w:rPr>
          <w:rFonts w:hint="eastAsia" w:ascii="Calibri" w:hAnsi="Calibri" w:cs="宋体"/>
          <w:color w:val="000000" w:themeColor="text1"/>
          <w:kern w:val="0"/>
          <w:sz w:val="24"/>
          <w14:textFill>
            <w14:solidFill>
              <w14:schemeClr w14:val="tx1"/>
            </w14:solidFill>
          </w14:textFill>
        </w:rPr>
        <w:t>采用地下水，生产过程中采用电能，符合能源利用总量要求</w:t>
      </w:r>
      <w:r>
        <w:rPr>
          <w:rFonts w:hint="eastAsia" w:hAnsi="宋体" w:cs="宋体"/>
          <w:color w:val="000000" w:themeColor="text1"/>
          <w:sz w:val="24"/>
          <w14:textFill>
            <w14:solidFill>
              <w14:schemeClr w14:val="tx1"/>
            </w14:solidFill>
          </w14:textFill>
        </w:rPr>
        <w:t>；</w:t>
      </w:r>
      <w:r>
        <w:rPr>
          <w:rFonts w:hint="eastAsia"/>
          <w:color w:val="000000" w:themeColor="text1"/>
          <w14:textFill>
            <w14:solidFill>
              <w14:schemeClr w14:val="tx1"/>
            </w14:solidFill>
          </w14:textFill>
        </w:rPr>
        <w:t>用地为</w:t>
      </w:r>
      <w:r>
        <w:rPr>
          <w:rFonts w:hint="eastAsia"/>
          <w:color w:val="000000" w:themeColor="text1"/>
          <w:lang w:eastAsia="zh-CN"/>
          <w14:textFill>
            <w14:solidFill>
              <w14:schemeClr w14:val="tx1"/>
            </w14:solidFill>
          </w14:textFill>
        </w:rPr>
        <w:t>建设</w:t>
      </w:r>
      <w:r>
        <w:rPr>
          <w:rFonts w:hint="eastAsia"/>
          <w:color w:val="000000" w:themeColor="text1"/>
          <w14:textFill>
            <w14:solidFill>
              <w14:schemeClr w14:val="tx1"/>
            </w14:solidFill>
          </w14:textFill>
        </w:rPr>
        <w:t>用地，</w:t>
      </w:r>
      <w:r>
        <w:rPr>
          <w:rFonts w:hint="eastAsia"/>
          <w:color w:val="000000" w:themeColor="text1"/>
          <w:lang w:eastAsia="zh-CN"/>
          <w14:textFill>
            <w14:solidFill>
              <w14:schemeClr w14:val="tx1"/>
            </w14:solidFill>
          </w14:textFill>
        </w:rPr>
        <w:t>租赁个人现有厂院和厂房</w:t>
      </w:r>
      <w:r>
        <w:rPr>
          <w:rFonts w:hint="eastAsia"/>
          <w:color w:val="000000" w:themeColor="text1"/>
          <w14:textFill>
            <w14:solidFill>
              <w14:schemeClr w14:val="tx1"/>
            </w14:solidFill>
          </w14:textFill>
        </w:rPr>
        <w:t>，不新增土地</w:t>
      </w:r>
      <w:r>
        <w:rPr>
          <w:rFonts w:hint="eastAsia" w:hAnsi="宋体" w:cs="宋体"/>
          <w:color w:val="000000" w:themeColor="text1"/>
          <w:sz w:val="24"/>
          <w14:textFill>
            <w14:solidFill>
              <w14:schemeClr w14:val="tx1"/>
            </w14:solidFill>
          </w14:textFill>
        </w:rPr>
        <w:t>，符合土地资源开发规模要求。由此可知，本项目符合资源利用上线要求。</w:t>
      </w:r>
    </w:p>
    <w:p>
      <w:pPr>
        <w:keepNext w:val="0"/>
        <w:keepLines w:val="0"/>
        <w:pageBreakBefore w:val="0"/>
        <w:kinsoku/>
        <w:wordWrap/>
        <w:overflowPunct/>
        <w:topLinePunct w:val="0"/>
        <w:autoSpaceDE/>
        <w:autoSpaceDN/>
        <w:bidi w:val="0"/>
        <w:adjustRightInd/>
        <w:snapToGrid/>
        <w:spacing w:line="360" w:lineRule="auto"/>
        <w:jc w:val="both"/>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环境质量底线</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rPr>
      </w:pPr>
      <w:r>
        <w:rPr>
          <w:rFonts w:hint="eastAsia"/>
        </w:rPr>
        <w:t>根据《河南省</w:t>
      </w:r>
      <w:r>
        <w:rPr>
          <w:rFonts w:hint="eastAsia"/>
          <w:lang w:eastAsia="zh-CN"/>
        </w:rPr>
        <w:t>“</w:t>
      </w:r>
      <w:r>
        <w:rPr>
          <w:rFonts w:hint="eastAsia"/>
        </w:rPr>
        <w:t>三线一单</w:t>
      </w:r>
      <w:r>
        <w:rPr>
          <w:rFonts w:hint="eastAsia"/>
          <w:lang w:eastAsia="zh-CN"/>
        </w:rPr>
        <w:t>”</w:t>
      </w:r>
      <w:r>
        <w:rPr>
          <w:rFonts w:hint="eastAsia"/>
        </w:rPr>
        <w:t>研究报告》和《河南省</w:t>
      </w:r>
      <w:r>
        <w:rPr>
          <w:rFonts w:hint="eastAsia"/>
          <w:lang w:eastAsia="zh-CN"/>
        </w:rPr>
        <w:t>“</w:t>
      </w:r>
      <w:r>
        <w:rPr>
          <w:rFonts w:hint="eastAsia"/>
        </w:rPr>
        <w:t>三线一单</w:t>
      </w:r>
      <w:r>
        <w:rPr>
          <w:rFonts w:hint="eastAsia"/>
          <w:lang w:eastAsia="zh-CN"/>
        </w:rPr>
        <w:t>”</w:t>
      </w:r>
      <w:r>
        <w:rPr>
          <w:rFonts w:hint="eastAsia"/>
        </w:rPr>
        <w:t>文本》中环境质量底线及环境分区管控要求，河南省水环境管控分区共1528个，其中优先保护区523个，面积11940.52km</w:t>
      </w:r>
      <w:r>
        <w:rPr>
          <w:rFonts w:hint="eastAsia"/>
          <w:vertAlign w:val="superscript"/>
        </w:rPr>
        <w:t>2</w:t>
      </w:r>
      <w:r>
        <w:rPr>
          <w:rFonts w:hint="eastAsia"/>
        </w:rPr>
        <w:t>，占全省面积比例约7.2%；重点管控区463个，面积18745.20km</w:t>
      </w:r>
      <w:r>
        <w:rPr>
          <w:rFonts w:hint="eastAsia"/>
          <w:vertAlign w:val="superscript"/>
        </w:rPr>
        <w:t>2</w:t>
      </w:r>
      <w:r>
        <w:rPr>
          <w:rFonts w:hint="eastAsia"/>
        </w:rPr>
        <w:t>，占全省面积比例约11.31%；一般管控区542个，面积135050.41km</w:t>
      </w:r>
      <w:r>
        <w:rPr>
          <w:rFonts w:hint="eastAsia"/>
          <w:vertAlign w:val="superscript"/>
        </w:rPr>
        <w:t>2</w:t>
      </w:r>
      <w:r>
        <w:rPr>
          <w:rFonts w:hint="eastAsia"/>
        </w:rPr>
        <w:t>，占全省面积比例约81.49%。大气环境重点管控区包括大气环境的高排放区、弱扩散区、受体敏感区及布局敏感区四大类，最后划定的大气环境重点管控区按照受体敏感区＞高排放区＞布局敏感区＞弱扩散区的原则，对重叠区域进行聚合处理。河南省重点管控区739个，面积约42731.06km</w:t>
      </w:r>
      <w:r>
        <w:rPr>
          <w:rFonts w:hint="eastAsia"/>
          <w:vertAlign w:val="superscript"/>
        </w:rPr>
        <w:t>2</w:t>
      </w:r>
      <w:r>
        <w:rPr>
          <w:rFonts w:hint="eastAsia"/>
        </w:rPr>
        <w:t>，占河南全省面积的25.78%，其中受体敏感区、高排放区、布局敏感区、弱扩散区占河南全省面积的比例分别为4.73%、6.81%、12.12%和12.42%；在聚合处理大气环境优先管控区和重点管控区后，河南省大气环境一般管控区121个，面积约为109520.89km</w:t>
      </w:r>
      <w:r>
        <w:rPr>
          <w:rFonts w:hint="eastAsia"/>
          <w:vertAlign w:val="superscript"/>
        </w:rPr>
        <w:t>2</w:t>
      </w:r>
      <w:r>
        <w:rPr>
          <w:rFonts w:hint="eastAsia"/>
        </w:rPr>
        <w:t>，占全省面积的66.08%。全省土壤环境共划定优先保护区158个，面积82839.7km</w:t>
      </w:r>
      <w:r>
        <w:rPr>
          <w:rFonts w:hint="eastAsia"/>
          <w:vertAlign w:val="superscript"/>
        </w:rPr>
        <w:t>2</w:t>
      </w:r>
      <w:r>
        <w:rPr>
          <w:rFonts w:hint="eastAsia"/>
        </w:rPr>
        <w:t>，占全省面积的49.98%；重点管控区3176个，其中面状管控区245个、点状管控区2931个，面积1931.54km</w:t>
      </w:r>
      <w:r>
        <w:rPr>
          <w:rFonts w:hint="eastAsia"/>
          <w:vertAlign w:val="superscript"/>
        </w:rPr>
        <w:t>2</w:t>
      </w:r>
      <w:r>
        <w:rPr>
          <w:rFonts w:hint="eastAsia"/>
        </w:rPr>
        <w:t>，占全省面积的1.17%；一般管控区158个，面积80964.88km</w:t>
      </w:r>
      <w:r>
        <w:rPr>
          <w:rFonts w:hint="eastAsia"/>
          <w:vertAlign w:val="superscript"/>
        </w:rPr>
        <w:t>2</w:t>
      </w:r>
      <w:r>
        <w:rPr>
          <w:rFonts w:hint="eastAsia"/>
        </w:rPr>
        <w:t>，占全省面积的48.85%。</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lang w:val="zh-CN"/>
        </w:rPr>
      </w:pPr>
      <w:r>
        <w:rPr>
          <w:rFonts w:hint="eastAsia"/>
        </w:rPr>
        <w:t>经调查，本项目选址位于水环境重点管控区和大气环境高排放区。本项目属于</w:t>
      </w:r>
      <w:r>
        <w:rPr>
          <w:rFonts w:hint="eastAsia" w:ascii="Times New Roman" w:hAnsi="Times New Roman"/>
          <w:lang w:val="en-US" w:eastAsia="zh-CN"/>
        </w:rPr>
        <w:t>废弃资源综合利用业</w:t>
      </w:r>
      <w:r>
        <w:rPr>
          <w:rFonts w:hint="eastAsia"/>
        </w:rPr>
        <w:t>，其营运后</w:t>
      </w:r>
      <w:r>
        <w:rPr>
          <w:rFonts w:hint="eastAsia"/>
          <w:u w:val="single"/>
          <w:lang w:eastAsia="zh-CN"/>
        </w:rPr>
        <w:t>破碎工序车间内二次密闭，破碎粉尘</w:t>
      </w:r>
      <w:r>
        <w:rPr>
          <w:rFonts w:hint="eastAsia"/>
          <w:u w:val="single"/>
        </w:rPr>
        <w:t>废气采用袋式除尘器处理</w:t>
      </w:r>
      <w:r>
        <w:rPr>
          <w:rFonts w:hint="eastAsia"/>
        </w:rPr>
        <w:t>，污染物排放量小，可以实现达标排放；</w:t>
      </w:r>
      <w:r>
        <w:rPr>
          <w:rFonts w:hint="eastAsia"/>
          <w:u w:val="single"/>
          <w:lang w:eastAsia="zh-CN"/>
        </w:rPr>
        <w:t>造粒工序车间内二次密闭，造粒产生有机废气使用喷淋塔</w:t>
      </w:r>
      <w:r>
        <w:rPr>
          <w:rFonts w:hint="eastAsia"/>
          <w:u w:val="single"/>
          <w:lang w:val="en-US" w:eastAsia="zh-CN"/>
        </w:rPr>
        <w:t>+</w:t>
      </w:r>
      <w:r>
        <w:rPr>
          <w:rFonts w:hint="eastAsia"/>
          <w:u w:val="single"/>
          <w:lang w:eastAsia="zh-CN"/>
        </w:rPr>
        <w:t>吸附浓缩</w:t>
      </w:r>
      <w:r>
        <w:rPr>
          <w:rFonts w:hint="eastAsia"/>
          <w:u w:val="single"/>
          <w:lang w:val="en-US" w:eastAsia="zh-CN"/>
        </w:rPr>
        <w:t>+催化燃烧设备处理</w:t>
      </w:r>
      <w:r>
        <w:rPr>
          <w:rFonts w:hint="eastAsia"/>
          <w:u w:val="single"/>
          <w:lang w:eastAsia="zh-CN"/>
        </w:rPr>
        <w:t>；造粒工序车间内二次密闭，注塑工序产生有机废气使用吸附浓缩</w:t>
      </w:r>
      <w:r>
        <w:rPr>
          <w:rFonts w:hint="eastAsia"/>
          <w:u w:val="single"/>
          <w:lang w:val="en-US" w:eastAsia="zh-CN"/>
        </w:rPr>
        <w:t>+催化燃烧设备处理，处理有机废气排放量较小；污水站废气采用二级活性炭吸附装置处理。项目物料清洗废水、循环冷却水和喷淋塔废水经污水处理站处理后回用于清洗工序。餐饮废水经隔油池处理后与生活污水一起进入化粪池，定期清掏肥田，废水不外排。</w:t>
      </w:r>
      <w:r>
        <w:rPr>
          <w:rFonts w:hint="eastAsia"/>
        </w:rPr>
        <w:t>由此可知，本项目建设符合环境质量底线要求。</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jc w:val="both"/>
        <w:textAlignment w:val="auto"/>
      </w:pPr>
      <w:r>
        <w:rPr>
          <w:rFonts w:hint="eastAsia"/>
          <w:sz w:val="24"/>
          <w:szCs w:val="24"/>
          <w:lang w:val="zh-CN"/>
        </w:rPr>
        <w:t>②</w:t>
      </w:r>
      <w:r>
        <w:t>负面清单</w:t>
      </w:r>
      <w:r>
        <w:rPr>
          <w:rFonts w:hint="eastAsia"/>
          <w:lang w:eastAsia="zh-CN"/>
        </w:rPr>
        <w:t>：</w:t>
      </w:r>
      <w:r>
        <w:t>本项目符合国家当前产业政策，且已通过叶县发展和改革委员会备案，属于国家当前</w:t>
      </w:r>
      <w:r>
        <w:rPr>
          <w:rFonts w:hint="eastAsia"/>
          <w:lang w:eastAsia="zh-CN"/>
        </w:rPr>
        <w:t>鼓励</w:t>
      </w:r>
      <w:r>
        <w:t>类项目</w:t>
      </w:r>
      <w:r>
        <w:rPr>
          <w:rFonts w:hint="eastAsia"/>
          <w:lang w:eastAsia="zh-CN"/>
        </w:rPr>
        <w:t>，不在负面清单内</w:t>
      </w:r>
      <w:r>
        <w:t>。</w:t>
      </w:r>
    </w:p>
    <w:p>
      <w:pPr>
        <w:pStyle w:val="4"/>
        <w:ind w:firstLine="602"/>
        <w:rPr>
          <w:rFonts w:hint="eastAsia" w:eastAsia="宋体"/>
          <w:b/>
          <w:bCs/>
          <w:u w:val="none"/>
          <w:lang w:eastAsia="zh-CN"/>
        </w:rPr>
      </w:pPr>
      <w:r>
        <w:rPr>
          <w:rFonts w:hint="eastAsia"/>
          <w:lang w:val="en-US" w:eastAsia="zh-CN"/>
        </w:rPr>
        <w:t>2.6.4 关于平顶山市2021年大气、水、土壤污染防治攻坚战实施方案和农村农业污染治理实施方案的通知（平攻坚办〔2021〕37号）</w:t>
      </w:r>
      <w:r>
        <w:rPr>
          <w:rFonts w:hint="eastAsia"/>
          <w:b/>
          <w:bCs/>
          <w:u w:val="none"/>
          <w:lang w:eastAsia="zh-CN"/>
        </w:rPr>
        <w:t>相符性分析</w:t>
      </w:r>
    </w:p>
    <w:p>
      <w:pPr>
        <w:ind w:firstLine="480"/>
        <w:rPr>
          <w:b w:val="0"/>
          <w:bCs w:val="0"/>
          <w:u w:val="none"/>
        </w:rPr>
      </w:pPr>
      <w:r>
        <w:rPr>
          <w:rFonts w:hint="eastAsia"/>
          <w:b w:val="0"/>
          <w:bCs w:val="0"/>
          <w:u w:val="none"/>
          <w:lang w:eastAsia="zh-CN"/>
        </w:rPr>
        <w:t>一、</w:t>
      </w:r>
      <w:r>
        <w:rPr>
          <w:b w:val="0"/>
          <w:bCs w:val="0"/>
          <w:u w:val="none"/>
        </w:rPr>
        <w:t>本项目与</w:t>
      </w:r>
      <w:r>
        <w:rPr>
          <w:b w:val="0"/>
          <w:bCs w:val="0"/>
          <w:color w:val="000000" w:themeColor="text1"/>
          <w:u w:val="none"/>
          <w14:textFill>
            <w14:solidFill>
              <w14:schemeClr w14:val="tx1"/>
            </w14:solidFill>
          </w14:textFill>
        </w:rPr>
        <w:t>平顶山2021年大气污染防治攻坚战实施方案</w:t>
      </w:r>
      <w:r>
        <w:rPr>
          <w:b w:val="0"/>
          <w:bCs w:val="0"/>
          <w:u w:val="none"/>
        </w:rPr>
        <w:t>相关部分相符性分析见表2.</w:t>
      </w:r>
      <w:r>
        <w:rPr>
          <w:rFonts w:hint="eastAsia"/>
          <w:b w:val="0"/>
          <w:bCs w:val="0"/>
          <w:u w:val="none"/>
          <w:lang w:val="en-US"/>
        </w:rPr>
        <w:t>6</w:t>
      </w:r>
      <w:r>
        <w:rPr>
          <w:b w:val="0"/>
          <w:bCs w:val="0"/>
          <w:u w:val="none"/>
        </w:rPr>
        <w:t>-</w:t>
      </w:r>
      <w:r>
        <w:rPr>
          <w:rFonts w:hint="eastAsia"/>
          <w:b w:val="0"/>
          <w:bCs w:val="0"/>
          <w:u w:val="none"/>
          <w:lang w:val="en-US" w:eastAsia="zh-CN"/>
        </w:rPr>
        <w:t>3</w:t>
      </w:r>
      <w:r>
        <w:rPr>
          <w:b w:val="0"/>
          <w:bCs w:val="0"/>
          <w:u w:val="non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zh-CN" w:eastAsia="zh-CN"/>
        </w:rPr>
      </w:pPr>
      <w:r>
        <w:rPr>
          <w:rFonts w:hint="eastAsia"/>
          <w:b/>
          <w:bCs/>
          <w:lang w:val="zh-CN" w:eastAsia="zh-CN"/>
        </w:rPr>
        <w:t>表2.</w:t>
      </w:r>
      <w:r>
        <w:rPr>
          <w:rFonts w:hint="eastAsia"/>
          <w:b/>
          <w:bCs/>
          <w:lang w:val="en-US" w:eastAsia="zh-CN"/>
        </w:rPr>
        <w:t>6</w:t>
      </w:r>
      <w:r>
        <w:rPr>
          <w:rFonts w:hint="eastAsia"/>
          <w:b/>
          <w:bCs/>
          <w:lang w:val="zh-CN" w:eastAsia="zh-CN"/>
        </w:rPr>
        <w:t>-</w:t>
      </w:r>
      <w:r>
        <w:rPr>
          <w:rFonts w:hint="eastAsia"/>
          <w:b/>
          <w:bCs/>
          <w:lang w:val="en-US" w:eastAsia="zh-CN"/>
        </w:rPr>
        <w:t xml:space="preserve">3  </w:t>
      </w:r>
      <w:r>
        <w:rPr>
          <w:rFonts w:hint="eastAsia"/>
          <w:b/>
          <w:bCs/>
          <w:lang w:val="zh-CN" w:eastAsia="zh-CN"/>
        </w:rPr>
        <w:t>本项目与《平顶山2021年大气污染防治攻坚战实施方案》相符性分析</w:t>
      </w:r>
    </w:p>
    <w:tbl>
      <w:tblPr>
        <w:tblStyle w:val="21"/>
        <w:tblW w:w="50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2"/>
        <w:gridCol w:w="5430"/>
        <w:gridCol w:w="1715"/>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1" w:type="dxa"/>
            <w:vAlign w:val="center"/>
          </w:tcPr>
          <w:p>
            <w:pPr>
              <w:pStyle w:val="30"/>
              <w:bidi w:val="0"/>
              <w:rPr>
                <w:rFonts w:hint="default"/>
                <w:sz w:val="21"/>
                <w:szCs w:val="21"/>
              </w:rPr>
            </w:pPr>
            <w:r>
              <w:rPr>
                <w:sz w:val="21"/>
                <w:szCs w:val="21"/>
              </w:rPr>
              <w:t>项目</w:t>
            </w:r>
          </w:p>
        </w:tc>
        <w:tc>
          <w:tcPr>
            <w:tcW w:w="5425" w:type="dxa"/>
            <w:vAlign w:val="center"/>
          </w:tcPr>
          <w:p>
            <w:pPr>
              <w:pStyle w:val="30"/>
              <w:bidi w:val="0"/>
              <w:rPr>
                <w:rFonts w:hint="default"/>
                <w:sz w:val="21"/>
                <w:szCs w:val="21"/>
              </w:rPr>
            </w:pPr>
            <w:r>
              <w:rPr>
                <w:sz w:val="21"/>
                <w:szCs w:val="21"/>
              </w:rPr>
              <w:t>攻坚行动方案要求</w:t>
            </w:r>
          </w:p>
        </w:tc>
        <w:tc>
          <w:tcPr>
            <w:tcW w:w="1713" w:type="dxa"/>
            <w:vAlign w:val="center"/>
          </w:tcPr>
          <w:p>
            <w:pPr>
              <w:pStyle w:val="30"/>
              <w:bidi w:val="0"/>
              <w:rPr>
                <w:rFonts w:hint="default"/>
                <w:sz w:val="21"/>
                <w:szCs w:val="21"/>
              </w:rPr>
            </w:pPr>
            <w:r>
              <w:rPr>
                <w:sz w:val="21"/>
                <w:szCs w:val="21"/>
              </w:rPr>
              <w:t>本项目情况</w:t>
            </w:r>
          </w:p>
        </w:tc>
        <w:tc>
          <w:tcPr>
            <w:tcW w:w="1040" w:type="dxa"/>
            <w:vAlign w:val="center"/>
          </w:tcPr>
          <w:p>
            <w:pPr>
              <w:pStyle w:val="30"/>
              <w:bidi w:val="0"/>
              <w:rPr>
                <w:rFonts w:hint="default"/>
                <w:sz w:val="21"/>
                <w:szCs w:val="21"/>
              </w:rPr>
            </w:pPr>
            <w:r>
              <w:rPr>
                <w:sz w:val="21"/>
                <w:szCs w:val="21"/>
              </w:rPr>
              <w:t>相符性分析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031" w:type="dxa"/>
            <w:vAlign w:val="center"/>
          </w:tcPr>
          <w:p>
            <w:pPr>
              <w:pStyle w:val="30"/>
              <w:bidi w:val="0"/>
              <w:rPr>
                <w:rFonts w:hint="default"/>
                <w:sz w:val="21"/>
                <w:szCs w:val="21"/>
              </w:rPr>
            </w:pPr>
            <w:r>
              <w:rPr>
                <w:sz w:val="21"/>
                <w:szCs w:val="21"/>
              </w:rPr>
              <w:t>（五）全面推行重点行业绩效分级，深化工业企业大气污染综合</w:t>
            </w:r>
          </w:p>
        </w:tc>
        <w:tc>
          <w:tcPr>
            <w:tcW w:w="5425" w:type="dxa"/>
            <w:vAlign w:val="center"/>
          </w:tcPr>
          <w:p>
            <w:pPr>
              <w:pStyle w:val="30"/>
              <w:bidi w:val="0"/>
              <w:rPr>
                <w:rFonts w:hint="default"/>
                <w:sz w:val="21"/>
                <w:szCs w:val="21"/>
              </w:rPr>
            </w:pPr>
            <w:r>
              <w:rPr>
                <w:sz w:val="21"/>
                <w:szCs w:val="21"/>
              </w:rPr>
              <w:t>23.推进重点行业绩效分级管理。对接省重点行业企业绩效分级管理工作，坚持绩效评级与县（市、区）环境质量改善达标挂钩，以企业</w:t>
            </w:r>
            <w:r>
              <w:rPr>
                <w:rFonts w:hint="eastAsia"/>
                <w:sz w:val="21"/>
                <w:szCs w:val="21"/>
                <w:lang w:eastAsia="zh-CN"/>
              </w:rPr>
              <w:t>“</w:t>
            </w:r>
            <w:r>
              <w:rPr>
                <w:sz w:val="21"/>
                <w:szCs w:val="21"/>
              </w:rPr>
              <w:t>梯度达标</w:t>
            </w:r>
            <w:r>
              <w:rPr>
                <w:rFonts w:hint="eastAsia"/>
                <w:sz w:val="21"/>
                <w:szCs w:val="21"/>
                <w:lang w:eastAsia="zh-CN"/>
              </w:rPr>
              <w:t>”</w:t>
            </w:r>
            <w:r>
              <w:rPr>
                <w:sz w:val="21"/>
                <w:szCs w:val="21"/>
              </w:rPr>
              <w:t>为抓手，促进行业治理能力治理水平整体升级。2021年年底前，重点行业绩效分级A、B级企业达到省定要求，全市范围内基本消除D级企业。落实 A、B级企业相关鼓励政策，发挥先进示范引领作用</w:t>
            </w:r>
            <w:r>
              <w:rPr>
                <w:rFonts w:hint="eastAsia"/>
                <w:sz w:val="21"/>
                <w:szCs w:val="21"/>
                <w:lang w:eastAsia="zh-CN"/>
              </w:rPr>
              <w:t>；</w:t>
            </w:r>
            <w:r>
              <w:rPr>
                <w:sz w:val="21"/>
                <w:szCs w:val="21"/>
              </w:rPr>
              <w:t>严格执行C、D级企业污染管控措施，促进全市工业污染治理水平全面提升。</w:t>
            </w:r>
          </w:p>
        </w:tc>
        <w:tc>
          <w:tcPr>
            <w:tcW w:w="1713" w:type="dxa"/>
            <w:vAlign w:val="center"/>
          </w:tcPr>
          <w:p>
            <w:pPr>
              <w:pStyle w:val="30"/>
              <w:bidi w:val="0"/>
              <w:jc w:val="both"/>
              <w:rPr>
                <w:rFonts w:hint="default" w:eastAsia="宋体"/>
                <w:sz w:val="21"/>
                <w:szCs w:val="21"/>
                <w:lang w:val="en-US" w:eastAsia="zh-CN"/>
              </w:rPr>
            </w:pPr>
            <w:r>
              <w:rPr>
                <w:rFonts w:hint="eastAsia"/>
                <w:sz w:val="21"/>
                <w:szCs w:val="21"/>
                <w:u w:val="single"/>
                <w:lang w:eastAsia="zh-CN"/>
              </w:rPr>
              <w:t>本项属于河南省重点行业，达到河南省重点行业绩效分级指南（2021年修订版）</w:t>
            </w:r>
            <w:r>
              <w:rPr>
                <w:rFonts w:hint="eastAsia"/>
                <w:u w:val="single"/>
                <w:lang w:val="en-US" w:eastAsia="zh-CN"/>
              </w:rPr>
              <w:t>污染企业B级管理要求。</w:t>
            </w:r>
          </w:p>
        </w:tc>
        <w:tc>
          <w:tcPr>
            <w:tcW w:w="1040" w:type="dxa"/>
            <w:vAlign w:val="center"/>
          </w:tcPr>
          <w:p>
            <w:pPr>
              <w:pStyle w:val="30"/>
              <w:bidi w:val="0"/>
              <w:rPr>
                <w:rFonts w:hint="default"/>
                <w:sz w:val="21"/>
                <w:szCs w:val="21"/>
              </w:rPr>
            </w:pPr>
            <w:r>
              <w:rPr>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jc w:val="center"/>
        </w:trPr>
        <w:tc>
          <w:tcPr>
            <w:tcW w:w="1031" w:type="dxa"/>
            <w:vAlign w:val="center"/>
          </w:tcPr>
          <w:p>
            <w:pPr>
              <w:pStyle w:val="30"/>
              <w:bidi w:val="0"/>
              <w:rPr>
                <w:rFonts w:hint="default"/>
                <w:sz w:val="21"/>
                <w:szCs w:val="21"/>
              </w:rPr>
            </w:pPr>
            <w:r>
              <w:rPr>
                <w:sz w:val="21"/>
                <w:szCs w:val="21"/>
              </w:rPr>
              <w:t>（六）强化臭氧协同控制，持续深化挥发性有机物污染治理。</w:t>
            </w:r>
          </w:p>
        </w:tc>
        <w:tc>
          <w:tcPr>
            <w:tcW w:w="5425" w:type="dxa"/>
            <w:vAlign w:val="center"/>
          </w:tcPr>
          <w:p>
            <w:pPr>
              <w:pStyle w:val="30"/>
              <w:bidi w:val="0"/>
              <w:rPr>
                <w:rFonts w:hint="default"/>
                <w:sz w:val="21"/>
                <w:szCs w:val="21"/>
              </w:rPr>
            </w:pPr>
            <w:r>
              <w:rPr>
                <w:sz w:val="21"/>
                <w:szCs w:val="21"/>
              </w:rPr>
              <w:t>31.加强工业企业VOCs全过程运行管理。巩固V</w:t>
            </w:r>
            <w:r>
              <w:rPr>
                <w:rFonts w:hint="eastAsia"/>
                <w:sz w:val="21"/>
                <w:szCs w:val="21"/>
                <w:lang w:val="en-US" w:eastAsia="zh-CN"/>
              </w:rPr>
              <w:t>O</w:t>
            </w:r>
            <w:r>
              <w:rPr>
                <w:sz w:val="21"/>
                <w:szCs w:val="21"/>
              </w:rPr>
              <w:t>Cs综合治理成效，聚焦提升企业废气收集率、治理设施同步运行率和去除率，鼓励企业采用高于现行标准要求的治理措施，取消废气排放系统旁路设置，因安全生产等原因必须保留的，应将旁路保留清单分别报市、县两级生态环境部门备案并加强日常监管。强化VOCs无组织排放收集，在保证安全的前提下，实施含VOCs物料全方位、全链条、全环节密闭管理，实现厂房由开敞变密闭、由常压变负压、由逸散变聚合、空气由污浊变清新的</w:t>
            </w:r>
            <w:r>
              <w:rPr>
                <w:rFonts w:hint="eastAsia"/>
                <w:sz w:val="21"/>
                <w:szCs w:val="21"/>
                <w:lang w:eastAsia="zh-CN"/>
              </w:rPr>
              <w:t>“</w:t>
            </w:r>
            <w:r>
              <w:rPr>
                <w:sz w:val="21"/>
                <w:szCs w:val="21"/>
              </w:rPr>
              <w:t>四由四变</w:t>
            </w:r>
            <w:r>
              <w:rPr>
                <w:rFonts w:hint="eastAsia"/>
                <w:sz w:val="21"/>
                <w:szCs w:val="21"/>
                <w:lang w:eastAsia="zh-CN"/>
              </w:rPr>
              <w:t>”</w:t>
            </w:r>
            <w:r>
              <w:rPr>
                <w:sz w:val="21"/>
                <w:szCs w:val="21"/>
              </w:rPr>
              <w:t>目标。2021年5月起，生态环境部门组织开展夏季VOCs重点排放单位专项检查。</w:t>
            </w:r>
          </w:p>
        </w:tc>
        <w:tc>
          <w:tcPr>
            <w:tcW w:w="1713" w:type="dxa"/>
            <w:vAlign w:val="center"/>
          </w:tcPr>
          <w:p>
            <w:pPr>
              <w:pStyle w:val="19"/>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240" w:lineRule="auto"/>
              <w:ind w:left="0" w:leftChars="0" w:firstLine="0" w:firstLineChars="0"/>
              <w:jc w:val="both"/>
              <w:textAlignment w:val="auto"/>
              <w:rPr>
                <w:rFonts w:hint="default"/>
                <w:sz w:val="21"/>
                <w:szCs w:val="21"/>
              </w:rPr>
            </w:pPr>
            <w:r>
              <w:rPr>
                <w:rFonts w:hint="eastAsia" w:cstheme="minorBidi"/>
                <w:color w:val="000000"/>
                <w:kern w:val="2"/>
                <w:sz w:val="21"/>
                <w:szCs w:val="21"/>
                <w:lang w:val="en-US" w:eastAsia="zh-CN" w:bidi="ar"/>
              </w:rPr>
              <w:t>造粒工序二次密闭，</w:t>
            </w:r>
            <w:r>
              <w:rPr>
                <w:rFonts w:hint="eastAsia" w:ascii="Times New Roman" w:hAnsi="Times New Roman" w:eastAsia="宋体" w:cstheme="minorBidi"/>
                <w:color w:val="000000"/>
                <w:kern w:val="2"/>
                <w:sz w:val="21"/>
                <w:szCs w:val="21"/>
                <w:lang w:val="en-US" w:eastAsia="zh-CN" w:bidi="ar"/>
              </w:rPr>
              <w:t>造粒</w:t>
            </w:r>
            <w:r>
              <w:rPr>
                <w:rFonts w:hint="eastAsia" w:cstheme="minorBidi"/>
                <w:color w:val="000000"/>
                <w:kern w:val="2"/>
                <w:sz w:val="21"/>
                <w:szCs w:val="21"/>
                <w:lang w:val="en-US" w:eastAsia="zh-CN" w:bidi="ar"/>
              </w:rPr>
              <w:t>废气</w:t>
            </w:r>
            <w:r>
              <w:rPr>
                <w:rFonts w:hint="eastAsia" w:ascii="Times New Roman" w:hAnsi="Times New Roman" w:eastAsia="宋体" w:cstheme="minorBidi"/>
                <w:color w:val="000000"/>
                <w:kern w:val="2"/>
                <w:sz w:val="21"/>
                <w:szCs w:val="21"/>
                <w:lang w:val="en-US" w:eastAsia="zh-CN" w:bidi="ar"/>
              </w:rPr>
              <w:t>经</w:t>
            </w:r>
            <w:r>
              <w:rPr>
                <w:rFonts w:hint="eastAsia" w:cstheme="minorBidi"/>
                <w:color w:val="000000"/>
                <w:kern w:val="2"/>
                <w:sz w:val="21"/>
                <w:szCs w:val="21"/>
                <w:lang w:val="en-US" w:eastAsia="zh-CN" w:bidi="ar"/>
              </w:rPr>
              <w:t>喷淋塔+</w:t>
            </w:r>
            <w:r>
              <w:rPr>
                <w:rFonts w:hint="eastAsia" w:ascii="Times New Roman" w:hAnsi="Times New Roman" w:eastAsia="宋体" w:cstheme="minorBidi"/>
                <w:color w:val="000000"/>
                <w:kern w:val="2"/>
                <w:sz w:val="21"/>
                <w:szCs w:val="21"/>
                <w:lang w:val="en-US" w:eastAsia="zh-CN" w:bidi="ar"/>
              </w:rPr>
              <w:t>吸附浓缩+催化燃烧装置处理。</w:t>
            </w:r>
            <w:r>
              <w:rPr>
                <w:rFonts w:hint="eastAsia" w:cstheme="minorBidi"/>
                <w:color w:val="000000"/>
                <w:kern w:val="2"/>
                <w:sz w:val="21"/>
                <w:szCs w:val="21"/>
                <w:lang w:val="en-US" w:eastAsia="zh-CN" w:bidi="ar"/>
              </w:rPr>
              <w:t>注塑</w:t>
            </w:r>
            <w:r>
              <w:rPr>
                <w:rFonts w:hint="eastAsia" w:ascii="Times New Roman" w:hAnsi="Times New Roman" w:eastAsia="宋体" w:cstheme="minorBidi"/>
                <w:color w:val="000000"/>
                <w:kern w:val="2"/>
                <w:sz w:val="21"/>
                <w:szCs w:val="21"/>
                <w:lang w:val="en-US" w:eastAsia="zh-CN" w:bidi="ar"/>
              </w:rPr>
              <w:t>有机废气经吸附浓缩+催化燃烧装置处理。</w:t>
            </w:r>
          </w:p>
        </w:tc>
        <w:tc>
          <w:tcPr>
            <w:tcW w:w="1040" w:type="dxa"/>
            <w:vAlign w:val="center"/>
          </w:tcPr>
          <w:p>
            <w:pPr>
              <w:pStyle w:val="30"/>
              <w:bidi w:val="0"/>
              <w:rPr>
                <w:rFonts w:hint="default"/>
                <w:sz w:val="21"/>
                <w:szCs w:val="21"/>
              </w:rPr>
            </w:pPr>
            <w:r>
              <w:rPr>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1" w:type="dxa"/>
            <w:vAlign w:val="center"/>
          </w:tcPr>
          <w:p>
            <w:pPr>
              <w:pStyle w:val="30"/>
              <w:bidi w:val="0"/>
              <w:rPr>
                <w:rFonts w:hint="default"/>
                <w:sz w:val="21"/>
                <w:szCs w:val="21"/>
              </w:rPr>
            </w:pPr>
            <w:r>
              <w:rPr>
                <w:sz w:val="21"/>
                <w:szCs w:val="21"/>
              </w:rPr>
              <w:t>（七）强化重污染天气应急管控，大力推动多污染协同减排</w:t>
            </w:r>
          </w:p>
        </w:tc>
        <w:tc>
          <w:tcPr>
            <w:tcW w:w="5425" w:type="dxa"/>
            <w:vAlign w:val="center"/>
          </w:tcPr>
          <w:p>
            <w:pPr>
              <w:pStyle w:val="30"/>
              <w:bidi w:val="0"/>
              <w:rPr>
                <w:rFonts w:hint="default"/>
                <w:sz w:val="21"/>
                <w:szCs w:val="21"/>
              </w:rPr>
            </w:pPr>
            <w:r>
              <w:rPr>
                <w:sz w:val="21"/>
                <w:szCs w:val="21"/>
              </w:rPr>
              <w:t>35.全面推行差异化精准管控。对接省重污染天气应急减排清单动态更新机制，针对不同治理水平和排放强度的工业企业，科学精准分类施策，将重污染天气应急减排措施落实到具体单位、具体企业、具体工地、具体生产环节，实施更加精准的差异化管控。对治理水平先进、污染物排放量低的小微涉气企业视情减少应急管控措施，避免对达到环境管理规范标准的民生保障类企业采取停限产措施。优化日常大气污染防治监督执法方式，发挥环境守法企业在日常监管中的正面激励和示范效应，促进企业环境绩效水平整体提升和经济高质量发展</w:t>
            </w:r>
          </w:p>
        </w:tc>
        <w:tc>
          <w:tcPr>
            <w:tcW w:w="1713" w:type="dxa"/>
            <w:vAlign w:val="center"/>
          </w:tcPr>
          <w:p>
            <w:pPr>
              <w:pStyle w:val="30"/>
              <w:bidi w:val="0"/>
              <w:rPr>
                <w:rFonts w:hint="default"/>
                <w:sz w:val="21"/>
                <w:szCs w:val="21"/>
              </w:rPr>
            </w:pPr>
            <w:r>
              <w:rPr>
                <w:rFonts w:hint="eastAsia"/>
                <w:lang w:val="en-US" w:eastAsia="zh-CN"/>
              </w:rPr>
              <w:t>项目符合</w:t>
            </w:r>
            <w:r>
              <w:rPr>
                <w:rFonts w:hint="eastAsia"/>
                <w:sz w:val="21"/>
                <w:szCs w:val="21"/>
                <w:u w:val="single"/>
                <w:lang w:eastAsia="zh-CN"/>
              </w:rPr>
              <w:t>河南省重点行业绩效分级指南（2021年修订版）</w:t>
            </w:r>
            <w:r>
              <w:rPr>
                <w:rFonts w:hint="eastAsia"/>
                <w:u w:val="single"/>
                <w:lang w:val="en-US" w:eastAsia="zh-CN"/>
              </w:rPr>
              <w:t>污染企业B级</w:t>
            </w:r>
            <w:r>
              <w:rPr>
                <w:rFonts w:hint="eastAsia"/>
                <w:lang w:val="en-US" w:eastAsia="zh-CN"/>
              </w:rPr>
              <w:t>管理要求。</w:t>
            </w:r>
          </w:p>
        </w:tc>
        <w:tc>
          <w:tcPr>
            <w:tcW w:w="1040" w:type="dxa"/>
            <w:vAlign w:val="center"/>
          </w:tcPr>
          <w:p>
            <w:pPr>
              <w:pStyle w:val="30"/>
              <w:bidi w:val="0"/>
              <w:rPr>
                <w:rFonts w:hint="eastAsia" w:eastAsia="宋体"/>
                <w:sz w:val="21"/>
                <w:szCs w:val="21"/>
                <w:lang w:eastAsia="zh-CN"/>
              </w:rPr>
            </w:pPr>
            <w:r>
              <w:rPr>
                <w:rFonts w:hint="eastAsia"/>
                <w:sz w:val="21"/>
                <w:szCs w:val="21"/>
                <w:lang w:eastAsia="zh-CN"/>
              </w:rPr>
              <w:t>相符</w:t>
            </w:r>
          </w:p>
        </w:tc>
      </w:tr>
    </w:tbl>
    <w:p>
      <w:pPr>
        <w:keepNext w:val="0"/>
        <w:keepLines w:val="0"/>
        <w:pageBreakBefore w:val="0"/>
        <w:widowControl w:val="0"/>
        <w:kinsoku/>
        <w:wordWrap/>
        <w:overflowPunct/>
        <w:topLinePunct w:val="0"/>
        <w:bidi w:val="0"/>
        <w:adjustRightInd/>
        <w:snapToGrid/>
        <w:spacing w:line="360" w:lineRule="auto"/>
        <w:ind w:firstLine="480"/>
        <w:textAlignment w:val="auto"/>
        <w:rPr>
          <w:rFonts w:hint="eastAsia"/>
          <w:b w:val="0"/>
          <w:bCs w:val="0"/>
          <w:u w:val="single"/>
          <w:lang w:eastAsia="zh-CN"/>
        </w:rPr>
      </w:pPr>
      <w:r>
        <w:rPr>
          <w:rFonts w:hint="eastAsia"/>
          <w:b w:val="0"/>
          <w:bCs w:val="0"/>
          <w:u w:val="single"/>
          <w:lang w:eastAsia="zh-CN"/>
        </w:rPr>
        <w:t>二、</w:t>
      </w:r>
      <w:r>
        <w:rPr>
          <w:b w:val="0"/>
          <w:bCs w:val="0"/>
          <w:u w:val="single"/>
        </w:rPr>
        <w:t>本项目与</w:t>
      </w:r>
      <w:r>
        <w:rPr>
          <w:rFonts w:hint="eastAsia"/>
          <w:b w:val="0"/>
          <w:bCs w:val="0"/>
          <w:u w:val="single"/>
          <w:lang w:eastAsia="zh-CN"/>
        </w:rPr>
        <w:t>平顶山市2021年水污染防治攻坚战实施方案相符性</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ascii="Times New Roman" w:hAnsi="Times New Roman" w:cs="Times New Roman"/>
          <w:kern w:val="2"/>
          <w:szCs w:val="24"/>
          <w:u w:val="single"/>
          <w:lang w:val="en-US" w:eastAsia="zh-CN" w:bidi="ar"/>
        </w:rPr>
        <w:t>为贯彻落实党中央、国务院和省委、省政府、市委、市政府关于深入打好污染防治攻坚战的决策部署，深入打好水污染防治攻坚战，持续改善全市水生态环境质量，制定本方案。与本项目相关的内容如下：</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cs="Times New Roman"/>
          <w:kern w:val="2"/>
          <w:szCs w:val="24"/>
          <w:u w:val="single"/>
          <w:lang w:val="en-US" w:eastAsia="zh-CN" w:bidi="ar"/>
        </w:rPr>
        <w:t>1、</w:t>
      </w:r>
      <w:r>
        <w:rPr>
          <w:rFonts w:hint="eastAsia" w:ascii="Times New Roman" w:hAnsi="Times New Roman" w:cs="Times New Roman"/>
          <w:kern w:val="2"/>
          <w:szCs w:val="24"/>
          <w:u w:val="single"/>
          <w:lang w:val="en-US" w:eastAsia="zh-CN" w:bidi="ar"/>
        </w:rPr>
        <w:t>工作目标</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ascii="Times New Roman" w:hAnsi="Times New Roman" w:cs="Times New Roman"/>
          <w:kern w:val="2"/>
          <w:szCs w:val="24"/>
          <w:u w:val="single"/>
          <w:lang w:val="en-US" w:eastAsia="zh-CN" w:bidi="ar"/>
        </w:rPr>
        <w:t>国省控断面完成国家和省下达的地表水环境质量和饮用水水源地取水水质目标要求，全市断面水质总体达标率达到67%以上。消除南水北调中线工程总干渠（平顶山段）环境风险隐患，确保水质安全。巩固提升市（县）建成区黑臭水体整治成果。</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cs="Times New Roman"/>
          <w:kern w:val="2"/>
          <w:szCs w:val="24"/>
          <w:u w:val="single"/>
          <w:lang w:val="en-US" w:eastAsia="zh-CN" w:bidi="ar"/>
        </w:rPr>
        <w:t>2、</w:t>
      </w:r>
      <w:r>
        <w:rPr>
          <w:rFonts w:hint="eastAsia" w:ascii="Times New Roman" w:hAnsi="Times New Roman" w:cs="Times New Roman"/>
          <w:kern w:val="2"/>
          <w:szCs w:val="24"/>
          <w:u w:val="single"/>
          <w:lang w:val="en-US" w:eastAsia="zh-CN" w:bidi="ar"/>
        </w:rPr>
        <w:t>主要任务</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ascii="Times New Roman" w:hAnsi="Times New Roman" w:cs="Times New Roman"/>
          <w:kern w:val="2"/>
          <w:szCs w:val="24"/>
          <w:u w:val="single"/>
          <w:lang w:val="en-US" w:eastAsia="zh-CN" w:bidi="ar"/>
        </w:rPr>
        <w:t>（三）深入打好河湖水生态环境治理与修复攻坚战役</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cs="Times New Roman"/>
          <w:kern w:val="2"/>
          <w:szCs w:val="24"/>
          <w:u w:val="single"/>
          <w:lang w:val="en-US" w:eastAsia="zh-CN" w:bidi="ar"/>
        </w:rPr>
        <w:t>（</w:t>
      </w:r>
      <w:r>
        <w:rPr>
          <w:rFonts w:hint="eastAsia" w:ascii="Times New Roman" w:hAnsi="Times New Roman" w:cs="Times New Roman"/>
          <w:kern w:val="2"/>
          <w:szCs w:val="24"/>
          <w:u w:val="single"/>
          <w:lang w:val="en-US" w:eastAsia="zh-CN" w:bidi="ar"/>
        </w:rPr>
        <w:t>10</w:t>
      </w:r>
      <w:r>
        <w:rPr>
          <w:rFonts w:hint="eastAsia" w:cs="Times New Roman"/>
          <w:kern w:val="2"/>
          <w:szCs w:val="24"/>
          <w:u w:val="single"/>
          <w:lang w:val="en-US" w:eastAsia="zh-CN" w:bidi="ar"/>
        </w:rPr>
        <w:t>）</w:t>
      </w:r>
      <w:r>
        <w:rPr>
          <w:rFonts w:hint="eastAsia" w:ascii="Times New Roman" w:hAnsi="Times New Roman" w:cs="Times New Roman"/>
          <w:kern w:val="2"/>
          <w:szCs w:val="24"/>
          <w:u w:val="single"/>
          <w:lang w:val="en-US" w:eastAsia="zh-CN" w:bidi="ar"/>
        </w:rPr>
        <w:t>加快污染较重河流治理。以存在劣Ⅴ类断面和不能稳定达标断面为重点，加快推进卫东区及高新区北湛河、叶县灰河、宝丰县净肠河、鲁山县金鸭河、湛河区三曹寨河、示范区贺营沟等污染较重河流的治理。按照“一河一策”要求，做到问题、时间、区域、对象、措施“五个精准”，完善综合治理方案并组织实施，谋划建设一批水环境综合治理工程，进一步提升水生态环境质量。</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ascii="Times New Roman" w:hAnsi="Times New Roman" w:cs="Times New Roman"/>
          <w:kern w:val="2"/>
          <w:szCs w:val="24"/>
          <w:u w:val="single"/>
          <w:lang w:val="en-US" w:eastAsia="zh-CN" w:bidi="ar"/>
        </w:rPr>
        <w:t>……</w:t>
      </w:r>
    </w:p>
    <w:p>
      <w:pPr>
        <w:pStyle w:val="19"/>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ascii="Calibri" w:hAnsi="Calibri" w:cs="Calibri"/>
          <w:sz w:val="24"/>
          <w:u w:val="single"/>
        </w:rPr>
        <w:t>本项目</w:t>
      </w:r>
      <w:r>
        <w:rPr>
          <w:rFonts w:hint="eastAsia" w:ascii="Calibri" w:hAnsi="Calibri" w:cs="宋体"/>
          <w:kern w:val="0"/>
          <w:sz w:val="24"/>
          <w:u w:val="single"/>
        </w:rPr>
        <w:t>属于废弃资源综合利用业，所用原料来源于</w:t>
      </w:r>
      <w:r>
        <w:rPr>
          <w:rFonts w:hint="eastAsia" w:ascii="Calibri" w:hAnsi="Calibri" w:cs="宋体"/>
          <w:kern w:val="0"/>
          <w:sz w:val="24"/>
          <w:u w:val="single"/>
          <w:lang w:eastAsia="zh-CN"/>
        </w:rPr>
        <w:t>废塑料</w:t>
      </w:r>
      <w:r>
        <w:rPr>
          <w:rFonts w:hint="eastAsia" w:hAnsi="宋体" w:cs="宋体"/>
          <w:sz w:val="24"/>
          <w:u w:val="single"/>
        </w:rPr>
        <w:t>。生</w:t>
      </w:r>
      <w:r>
        <w:rPr>
          <w:rFonts w:hint="eastAsia" w:ascii="Calibri" w:hAnsi="Calibri" w:cs="宋体"/>
          <w:kern w:val="0"/>
          <w:sz w:val="24"/>
          <w:u w:val="single"/>
        </w:rPr>
        <w:t>产过程中</w:t>
      </w:r>
      <w:r>
        <w:rPr>
          <w:rFonts w:hint="eastAsia" w:ascii="Calibri" w:hAnsi="Calibri" w:cs="宋体"/>
          <w:kern w:val="0"/>
          <w:sz w:val="24"/>
          <w:u w:val="single"/>
          <w:lang w:val="en-US" w:eastAsia="zh-CN"/>
        </w:rPr>
        <w:t>物料清洗废水、循环冷却水和喷淋塔废水经污水处理站处理后回用于清洗工序。餐饮废水经隔油池处理后与生活污水进入化粪池，定期清掏肥田，废水不外排。满足</w:t>
      </w:r>
      <w:r>
        <w:rPr>
          <w:rFonts w:hint="eastAsia"/>
          <w:b w:val="0"/>
          <w:bCs w:val="0"/>
          <w:u w:val="single"/>
          <w:lang w:eastAsia="zh-CN"/>
        </w:rPr>
        <w:t>2021年水污染防治攻坚战实施方案的要求。</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u w:val="single"/>
          <w:lang w:val="en-US" w:eastAsia="zh-CN" w:bidi="ar"/>
        </w:rPr>
      </w:pPr>
      <w:r>
        <w:rPr>
          <w:rFonts w:hint="eastAsia" w:ascii="Times New Roman" w:hAnsi="Times New Roman" w:cs="Times New Roman"/>
          <w:kern w:val="2"/>
          <w:szCs w:val="24"/>
          <w:u w:val="single"/>
          <w:lang w:val="en-US" w:eastAsia="zh-CN" w:bidi="ar"/>
        </w:rPr>
        <w:t>三、本项目与平顶山市2021年土壤污染防治攻坚战实施方案相符性</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为贯彻落实党中央、国务院，省委、省政府和市委、市政府关于深入打好污染防治攻坚战的决策部署，持续深入打好土壤污染防治攻坚战，切实加强土壤生态环境保护，推进生态强市建设，制定本方案。与本项目相关的内容如下：</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工作目标</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全市土壤环境质量总体保持稳定，土壤环境风险得到管控，土壤污染防治体系基本完善。土壤安全利用进一步巩固提升，受污染耕地安全利用率力争实现100%，污染地块安全利用率力争实现100%。土壤污染重点监管单位自行监测完成率达到100%，土壤和地下水污染隐患排查完成率达到100%。</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w:t>
      </w:r>
    </w:p>
    <w:p>
      <w:pPr>
        <w:pStyle w:val="19"/>
        <w:keepNext w:val="0"/>
        <w:keepLines w:val="0"/>
        <w:pageBreakBefore w:val="0"/>
        <w:widowControl w:val="0"/>
        <w:tabs>
          <w:tab w:val="left" w:pos="4140"/>
        </w:tabs>
        <w:kinsoku/>
        <w:wordWrap/>
        <w:overflowPunct/>
        <w:topLinePunct w:val="0"/>
        <w:autoSpaceDE w:val="0"/>
        <w:autoSpaceDN w:val="0"/>
        <w:bidi w:val="0"/>
        <w:adjustRightInd/>
        <w:snapToGrid/>
        <w:spacing w:before="0" w:beforeAutospacing="0" w:after="0" w:afterAutospacing="0" w:line="360" w:lineRule="auto"/>
        <w:ind w:firstLine="480" w:firstLineChars="200"/>
        <w:jc w:val="both"/>
        <w:textAlignment w:val="auto"/>
        <w:rPr>
          <w:rFonts w:hint="eastAsia"/>
          <w:u w:val="single"/>
          <w:lang w:val="en-US" w:eastAsia="zh-CN"/>
        </w:rPr>
      </w:pPr>
      <w:r>
        <w:rPr>
          <w:rFonts w:hint="eastAsia"/>
          <w:u w:val="single"/>
          <w:lang w:val="en-US" w:eastAsia="zh-CN"/>
        </w:rPr>
        <w:t>本项目为新建项目，根据土壤检测报告，目前厂区内各检测点位的检测值均满足《土壤环境质量标准  建设用地土壤污染风险管控标准（试行）》（GB36600-2018）中标准限值。运营期间将按照《平顶山市2021年土壤污染防治攻坚战实施方案》中相关要求，做好土壤污染防治工作。</w:t>
      </w:r>
    </w:p>
    <w:p>
      <w:pPr>
        <w:pStyle w:val="4"/>
        <w:bidi w:val="0"/>
        <w:rPr>
          <w:rFonts w:hint="eastAsia"/>
          <w:lang w:val="en-US" w:eastAsia="zh-CN"/>
        </w:rPr>
      </w:pPr>
      <w:r>
        <w:rPr>
          <w:rFonts w:hint="eastAsia"/>
          <w:lang w:val="en-US" w:eastAsia="zh-CN"/>
        </w:rPr>
        <w:t>2.6.5 与《河南省重污染天气重点行业应急减排措施制定技术指南 （</w:t>
      </w:r>
      <w:r>
        <w:rPr>
          <w:rFonts w:hint="default"/>
          <w:lang w:val="en-US" w:eastAsia="zh-CN"/>
        </w:rPr>
        <w:t>2021</w:t>
      </w:r>
      <w:r>
        <w:rPr>
          <w:rFonts w:hint="eastAsia"/>
          <w:lang w:val="en-US" w:eastAsia="zh-CN"/>
        </w:rPr>
        <w:t>年修订版）》相符性分析</w:t>
      </w:r>
    </w:p>
    <w:p>
      <w:pPr>
        <w:pStyle w:val="19"/>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kern w:val="2"/>
          <w:szCs w:val="24"/>
          <w:lang w:bidi="ar"/>
        </w:rPr>
      </w:pPr>
      <w:r>
        <w:rPr>
          <w:rFonts w:hint="default" w:ascii="Times New Roman" w:hAnsi="Times New Roman" w:cs="Times New Roman"/>
          <w:kern w:val="2"/>
          <w:szCs w:val="24"/>
          <w:lang w:val="en-US" w:eastAsia="zh-CN" w:bidi="ar"/>
        </w:rPr>
        <w:t>为提高重污染天气应对能力，提升精细化管控水平，保</w:t>
      </w:r>
      <w:r>
        <w:rPr>
          <w:rFonts w:hint="eastAsia" w:ascii="Times New Roman" w:hAnsi="Times New Roman" w:cs="Times New Roman"/>
          <w:kern w:val="2"/>
          <w:szCs w:val="24"/>
          <w:lang w:val="en-US" w:eastAsia="zh-CN" w:bidi="ar"/>
        </w:rPr>
        <w:t>障应急减排清单编制质量，统一和规范行业减排措施，实现工业减排全覆盖，根据生态环境部《重污染天气重点行业应急减排措施制定技术指南（</w:t>
      </w:r>
      <w:r>
        <w:rPr>
          <w:rFonts w:hint="default" w:ascii="Times New Roman" w:hAnsi="Times New Roman" w:cs="Times New Roman"/>
          <w:kern w:val="2"/>
          <w:szCs w:val="24"/>
          <w:lang w:val="en-US" w:eastAsia="zh-CN" w:bidi="ar"/>
        </w:rPr>
        <w:t>2020</w:t>
      </w:r>
      <w:r>
        <w:rPr>
          <w:rFonts w:hint="eastAsia" w:ascii="Times New Roman" w:hAnsi="Times New Roman" w:cs="Times New Roman"/>
          <w:kern w:val="2"/>
          <w:szCs w:val="24"/>
          <w:lang w:val="en-US" w:eastAsia="zh-CN" w:bidi="ar"/>
        </w:rPr>
        <w:t>年修订版）》相关要求，在生态环境部</w:t>
      </w:r>
      <w:r>
        <w:rPr>
          <w:rFonts w:hint="default" w:ascii="Times New Roman" w:hAnsi="Times New Roman" w:cs="Times New Roman"/>
          <w:kern w:val="2"/>
          <w:szCs w:val="24"/>
          <w:lang w:val="en-US" w:eastAsia="zh-CN" w:bidi="ar"/>
        </w:rPr>
        <w:t>39</w:t>
      </w:r>
      <w:r>
        <w:rPr>
          <w:rFonts w:hint="eastAsia" w:ascii="Times New Roman" w:hAnsi="Times New Roman" w:cs="Times New Roman"/>
          <w:kern w:val="2"/>
          <w:szCs w:val="24"/>
          <w:lang w:val="en-US" w:eastAsia="zh-CN" w:bidi="ar"/>
        </w:rPr>
        <w:t>个重点行业基础上，结合我省工业污染特征、企业治理水平、管理能力等，调整和新增了矿石（煤炭）采选与加工、纺织印染与服饰制造、有机化工、肥料制造（除煤制氮肥）、活性炭制造、塑料制品、珍珠岩加工、磨料磨具、金属表面处理及热处理加工、电池制造、汽修、商砼（沥青）搅拌站等</w:t>
      </w:r>
      <w:r>
        <w:rPr>
          <w:rFonts w:hint="default" w:ascii="Times New Roman" w:hAnsi="Times New Roman" w:cs="Times New Roman"/>
          <w:kern w:val="2"/>
          <w:szCs w:val="24"/>
          <w:lang w:val="en-US" w:eastAsia="zh-CN" w:bidi="ar"/>
        </w:rPr>
        <w:t>12</w:t>
      </w:r>
      <w:r>
        <w:rPr>
          <w:rFonts w:hint="eastAsia" w:ascii="Times New Roman" w:hAnsi="Times New Roman" w:cs="Times New Roman"/>
          <w:kern w:val="2"/>
          <w:szCs w:val="24"/>
          <w:lang w:val="en-US" w:eastAsia="zh-CN" w:bidi="ar"/>
        </w:rPr>
        <w:t>个省级重点行业绩效分级标准。对国家</w:t>
      </w:r>
      <w:r>
        <w:rPr>
          <w:rFonts w:hint="default" w:ascii="Times New Roman" w:hAnsi="Times New Roman" w:cs="Times New Roman"/>
          <w:kern w:val="2"/>
          <w:szCs w:val="24"/>
          <w:lang w:val="en-US" w:eastAsia="zh-CN" w:bidi="ar"/>
        </w:rPr>
        <w:t>39</w:t>
      </w:r>
      <w:r>
        <w:rPr>
          <w:rFonts w:hint="eastAsia" w:ascii="Times New Roman" w:hAnsi="Times New Roman" w:cs="Times New Roman"/>
          <w:kern w:val="2"/>
          <w:szCs w:val="24"/>
          <w:lang w:val="en-US" w:eastAsia="zh-CN" w:bidi="ar"/>
        </w:rPr>
        <w:t>个重点行业和省级</w:t>
      </w:r>
      <w:r>
        <w:rPr>
          <w:rFonts w:hint="default" w:ascii="Times New Roman" w:hAnsi="Times New Roman" w:cs="Times New Roman"/>
          <w:kern w:val="2"/>
          <w:szCs w:val="24"/>
          <w:lang w:val="en-US" w:eastAsia="zh-CN" w:bidi="ar"/>
        </w:rPr>
        <w:t>12</w:t>
      </w:r>
      <w:r>
        <w:rPr>
          <w:rFonts w:hint="eastAsia" w:ascii="Times New Roman" w:hAnsi="Times New Roman" w:cs="Times New Roman"/>
          <w:kern w:val="2"/>
          <w:szCs w:val="24"/>
          <w:lang w:val="en-US" w:eastAsia="zh-CN" w:bidi="ar"/>
        </w:rPr>
        <w:t>个重点行业外的其他行业，制定了通用行业绩效指标，将涉气企业分为三种污染排放类型，即涉</w:t>
      </w:r>
      <w:r>
        <w:rPr>
          <w:rFonts w:hint="default" w:ascii="Times New Roman" w:hAnsi="Times New Roman" w:cs="Times New Roman"/>
          <w:kern w:val="2"/>
          <w:szCs w:val="24"/>
          <w:lang w:val="en-US" w:eastAsia="zh-CN" w:bidi="ar"/>
        </w:rPr>
        <w:t>PM</w:t>
      </w:r>
      <w:r>
        <w:rPr>
          <w:rFonts w:hint="eastAsia" w:ascii="Times New Roman" w:hAnsi="Times New Roman" w:cs="Times New Roman"/>
          <w:kern w:val="2"/>
          <w:szCs w:val="24"/>
          <w:lang w:val="en-US" w:eastAsia="zh-CN" w:bidi="ar"/>
        </w:rPr>
        <w:t>、涉</w:t>
      </w:r>
      <w:r>
        <w:rPr>
          <w:rFonts w:hint="default" w:ascii="Times New Roman" w:hAnsi="Times New Roman" w:cs="Times New Roman"/>
          <w:kern w:val="2"/>
          <w:szCs w:val="24"/>
          <w:lang w:val="en-US" w:eastAsia="zh-CN" w:bidi="ar"/>
        </w:rPr>
        <w:t>VOCs</w:t>
      </w:r>
      <w:r>
        <w:rPr>
          <w:rFonts w:hint="eastAsia" w:ascii="Times New Roman" w:hAnsi="Times New Roman" w:cs="Times New Roman"/>
          <w:kern w:val="2"/>
          <w:szCs w:val="24"/>
          <w:lang w:val="en-US" w:eastAsia="zh-CN" w:bidi="ar"/>
        </w:rPr>
        <w:t>和涉锅炉</w:t>
      </w:r>
      <w:r>
        <w:rPr>
          <w:rFonts w:hint="default" w:ascii="Times New Roman" w:hAnsi="Times New Roman" w:cs="Times New Roman"/>
          <w:kern w:val="2"/>
          <w:szCs w:val="24"/>
          <w:lang w:val="en-US" w:eastAsia="zh-CN" w:bidi="ar"/>
        </w:rPr>
        <w:t>/</w:t>
      </w:r>
      <w:r>
        <w:rPr>
          <w:rFonts w:hint="eastAsia" w:ascii="Times New Roman" w:hAnsi="Times New Roman" w:cs="Times New Roman"/>
          <w:kern w:val="2"/>
          <w:szCs w:val="24"/>
          <w:lang w:val="en-US" w:eastAsia="zh-CN" w:bidi="ar"/>
        </w:rPr>
        <w:t>炉窑排放企业。对涉</w:t>
      </w:r>
      <w:r>
        <w:rPr>
          <w:rFonts w:hint="default" w:ascii="Times New Roman" w:hAnsi="Times New Roman" w:cs="Times New Roman"/>
          <w:kern w:val="2"/>
          <w:szCs w:val="24"/>
          <w:lang w:val="en-US" w:eastAsia="zh-CN" w:bidi="ar"/>
        </w:rPr>
        <w:t>PM</w:t>
      </w:r>
      <w:r>
        <w:rPr>
          <w:rFonts w:hint="eastAsia" w:ascii="Times New Roman" w:hAnsi="Times New Roman" w:cs="Times New Roman"/>
          <w:kern w:val="2"/>
          <w:szCs w:val="24"/>
          <w:lang w:val="en-US" w:eastAsia="zh-CN" w:bidi="ar"/>
        </w:rPr>
        <w:t>与涉</w:t>
      </w:r>
      <w:r>
        <w:rPr>
          <w:rFonts w:hint="default" w:ascii="Times New Roman" w:hAnsi="Times New Roman" w:cs="Times New Roman"/>
          <w:kern w:val="2"/>
          <w:szCs w:val="24"/>
          <w:lang w:val="en-US" w:eastAsia="zh-CN" w:bidi="ar"/>
        </w:rPr>
        <w:t>VOCs</w:t>
      </w:r>
      <w:r>
        <w:rPr>
          <w:rFonts w:hint="eastAsia" w:ascii="Times New Roman" w:hAnsi="Times New Roman" w:cs="Times New Roman"/>
          <w:kern w:val="2"/>
          <w:szCs w:val="24"/>
          <w:lang w:val="en-US" w:eastAsia="zh-CN" w:bidi="ar"/>
        </w:rPr>
        <w:t>企业的管控制定了基本要求，对涉锅炉</w:t>
      </w:r>
      <w:r>
        <w:rPr>
          <w:rFonts w:hint="default" w:ascii="Times New Roman" w:hAnsi="Times New Roman" w:cs="Times New Roman"/>
          <w:kern w:val="2"/>
          <w:szCs w:val="24"/>
          <w:lang w:val="en-US" w:eastAsia="zh-CN" w:bidi="ar"/>
        </w:rPr>
        <w:t>/</w:t>
      </w:r>
      <w:r>
        <w:rPr>
          <w:rFonts w:hint="eastAsia" w:ascii="Times New Roman" w:hAnsi="Times New Roman" w:cs="Times New Roman"/>
          <w:kern w:val="2"/>
          <w:szCs w:val="24"/>
          <w:lang w:val="en-US" w:eastAsia="zh-CN" w:bidi="ar"/>
        </w:rPr>
        <w:t>炉窑企业制定了差异化管控要求。</w:t>
      </w:r>
    </w:p>
    <w:p>
      <w:pPr>
        <w:pStyle w:val="19"/>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lang w:val="en-US" w:eastAsia="zh-CN" w:bidi="ar"/>
        </w:rPr>
        <w:sectPr>
          <w:pgSz w:w="11906" w:h="16838"/>
          <w:pgMar w:top="1417" w:right="1417" w:bottom="1417" w:left="1417" w:header="680" w:footer="794"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imes New Roman"/>
          <w:kern w:val="2"/>
          <w:szCs w:val="24"/>
          <w:lang w:val="en-US" w:eastAsia="zh-CN" w:bidi="ar"/>
        </w:rPr>
        <w:t>基本要求是指各类企业必须达到的最低要求，达不到要求的应限期整改，整改完成后才能按照绩效指标要求进行评定。未开展绩效评级的企业如无特殊原因应列入采暖季错峰停产减排清单，其他季节预警期间采取停产减排措施，并优先列入其他临时强化措施停产减排清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zh-CN" w:eastAsia="zh-CN"/>
        </w:rPr>
      </w:pPr>
      <w:r>
        <w:rPr>
          <w:rFonts w:hint="default"/>
          <w:b/>
          <w:bCs/>
          <w:lang w:val="zh-CN" w:eastAsia="zh-CN"/>
        </w:rPr>
        <w:t>表</w:t>
      </w:r>
      <w:r>
        <w:rPr>
          <w:rFonts w:hint="default"/>
          <w:b/>
          <w:bCs/>
          <w:lang w:val="en-US" w:eastAsia="zh-CN"/>
        </w:rPr>
        <w:t>2.6-</w:t>
      </w:r>
      <w:r>
        <w:rPr>
          <w:rFonts w:hint="eastAsia"/>
          <w:b/>
          <w:bCs/>
          <w:lang w:val="en-US" w:eastAsia="zh-CN"/>
        </w:rPr>
        <w:t>4</w:t>
      </w:r>
      <w:r>
        <w:rPr>
          <w:rFonts w:hint="default"/>
          <w:b/>
          <w:bCs/>
          <w:lang w:val="en-US" w:eastAsia="zh-CN"/>
        </w:rPr>
        <w:t xml:space="preserve">  本项目</w:t>
      </w:r>
      <w:r>
        <w:rPr>
          <w:rFonts w:hint="eastAsia"/>
          <w:b/>
          <w:bCs/>
          <w:lang w:val="en-US" w:eastAsia="zh-CN"/>
        </w:rPr>
        <w:t>对照塑料制品行业</w:t>
      </w:r>
      <w:r>
        <w:rPr>
          <w:rFonts w:hint="default"/>
          <w:b/>
          <w:bCs/>
          <w:lang w:val="zh-CN" w:eastAsia="zh-CN"/>
        </w:rPr>
        <w:t>绩效分级指标总表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114"/>
        <w:gridCol w:w="4060"/>
        <w:gridCol w:w="3048"/>
        <w:gridCol w:w="1729"/>
        <w:gridCol w:w="184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差异化指标</w:t>
            </w:r>
          </w:p>
        </w:tc>
        <w:tc>
          <w:tcPr>
            <w:tcW w:w="142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A级企业</w:t>
            </w:r>
          </w:p>
        </w:tc>
        <w:tc>
          <w:tcPr>
            <w:tcW w:w="107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B级企业</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C级企业</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企业对标情况</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eastAsia="zh-CN"/>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原料、能源类型</w:t>
            </w:r>
          </w:p>
        </w:tc>
        <w:tc>
          <w:tcPr>
            <w:tcW w:w="1428"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1.原料全部使用非再生料（即使用原包料，非废旧塑料）；</w:t>
            </w:r>
          </w:p>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2.能源使用电、天然气、液化石油气等能源。</w:t>
            </w:r>
          </w:p>
        </w:tc>
        <w:tc>
          <w:tcPr>
            <w:tcW w:w="1072"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能源使用电、天然气、液化石油气等能源。</w:t>
            </w:r>
          </w:p>
        </w:tc>
        <w:tc>
          <w:tcPr>
            <w:tcW w:w="608"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未达到B级要求</w:t>
            </w:r>
          </w:p>
        </w:tc>
        <w:tc>
          <w:tcPr>
            <w:tcW w:w="650"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企业为废塑料加工企业，使用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电</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能</w:t>
            </w:r>
          </w:p>
        </w:tc>
        <w:tc>
          <w:tcPr>
            <w:tcW w:w="449"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生产工艺及装备水平</w:t>
            </w:r>
          </w:p>
        </w:tc>
        <w:tc>
          <w:tcPr>
            <w:tcW w:w="2500" w:type="pct"/>
            <w:gridSpan w:val="2"/>
            <w:vAlign w:val="center"/>
          </w:tcPr>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1.属于《产业结构调整指导目录（2019年版）》鼓励类和允许类；2.符合相关行业产业政策；3.符合河南省相关政策要求；4.符合市级规划。</w:t>
            </w:r>
          </w:p>
        </w:tc>
        <w:tc>
          <w:tcPr>
            <w:tcW w:w="608" w:type="pct"/>
            <w:vAlign w:val="center"/>
          </w:tcPr>
          <w:p>
            <w:pPr>
              <w:spacing w:line="240" w:lineRule="auto"/>
              <w:ind w:left="0" w:leftChars="0" w:firstLine="0" w:firstLineChars="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B级要求</w:t>
            </w:r>
          </w:p>
        </w:tc>
        <w:tc>
          <w:tcPr>
            <w:tcW w:w="650" w:type="pct"/>
            <w:vAlign w:val="center"/>
          </w:tcPr>
          <w:p>
            <w:pPr>
              <w:keepNext w:val="0"/>
              <w:keepLines w:val="0"/>
              <w:pageBreakBefore w:val="0"/>
              <w:widowControl w:val="0"/>
              <w:numPr>
                <w:ilvl w:val="0"/>
                <w:numId w:val="0"/>
              </w:numPr>
              <w:tabs>
                <w:tab w:val="left" w:pos="1290"/>
              </w:tabs>
              <w:kinsoku/>
              <w:wordWrap/>
              <w:overflowPunct/>
              <w:topLinePunct w:val="0"/>
              <w:autoSpaceDE/>
              <w:autoSpaceDN/>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企业符合相关规划</w:t>
            </w:r>
          </w:p>
        </w:tc>
        <w:tc>
          <w:tcPr>
            <w:tcW w:w="449" w:type="pct"/>
            <w:vAlign w:val="center"/>
          </w:tcPr>
          <w:p>
            <w:pPr>
              <w:keepNext w:val="0"/>
              <w:keepLines w:val="0"/>
              <w:pageBreakBefore w:val="0"/>
              <w:widowControl w:val="0"/>
              <w:numPr>
                <w:ilvl w:val="0"/>
                <w:numId w:val="0"/>
              </w:numPr>
              <w:tabs>
                <w:tab w:val="left" w:pos="1290"/>
              </w:tabs>
              <w:kinsoku/>
              <w:wordWrap/>
              <w:overflowPunct/>
              <w:topLinePunct w:val="0"/>
              <w:autoSpaceDE/>
              <w:autoSpaceDN/>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废气收集及处理工艺</w:t>
            </w:r>
          </w:p>
        </w:tc>
        <w:tc>
          <w:tcPr>
            <w:tcW w:w="1428" w:type="pct"/>
            <w:vAlign w:val="center"/>
          </w:tcPr>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投料、挤塑、注塑、滚塑、吹塑、压延、挤出、造粒、热定型、冷却、发泡、熟化、干燥等涉VOCs序采用密闭设备或在密闭空间内操作，废气有效收集至VOCs废气处理系统，车间外无异味；采用局部集气罩的，距集气罩开口面最远处的VOCs无组织排放位置，控制风速不低于0.3米/秒；</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2.VOCs治理采用燃烧工艺（包括直接燃烧、催化燃烧和蓄热燃烧），或静电、吸附、低温等离子、生物法等两级及以上组合工艺处理（采用一次性活性炭吸附的，活性炭碘值在800mg/g及以上）；</w:t>
            </w:r>
          </w:p>
          <w:p>
            <w:pPr>
              <w:spacing w:line="240" w:lineRule="auto"/>
              <w:ind w:left="0" w:leftChars="0" w:firstLine="0" w:firstLineChars="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3.粉状、粒状物料采用自动投料器投加和配混，投加和混配工序在封闭车间内进行，PM有效收集，采用覆膜滤袋、滤筒等高效除尘技术；</w:t>
            </w:r>
          </w:p>
          <w:p>
            <w:pPr>
              <w:spacing w:line="240" w:lineRule="auto"/>
              <w:ind w:left="0" w:leftChars="0" w:firstLine="0" w:firstLineChars="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4.废吸附剂应密闭的包装袋或容器储存、转运，并建立储存、处置台账；</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5.NOx治理采用低氮燃烧、SNCR/SCR等适宜技术。</w:t>
            </w:r>
          </w:p>
        </w:tc>
        <w:tc>
          <w:tcPr>
            <w:tcW w:w="1072" w:type="pct"/>
            <w:vAlign w:val="center"/>
          </w:tcPr>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1.同A级第1条要求；</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2.同A级第2条要求；</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3.粉状物料投加、配混应在封闭车间内进行，PM有效收集，并采用袋式除尘等高效除尘技术；</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4.同A级第4条要求；</w:t>
            </w:r>
          </w:p>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5.同A级第5条要求。</w:t>
            </w:r>
          </w:p>
        </w:tc>
        <w:tc>
          <w:tcPr>
            <w:tcW w:w="608" w:type="pct"/>
            <w:vAlign w:val="center"/>
          </w:tcPr>
          <w:p>
            <w:pPr>
              <w:spacing w:line="240" w:lineRule="auto"/>
              <w:ind w:left="0" w:leftChars="0" w:firstLine="0" w:firstLineChars="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numPr>
                <w:ilvl w:val="0"/>
                <w:numId w:val="0"/>
              </w:numPr>
              <w:tabs>
                <w:tab w:val="left" w:pos="1290"/>
              </w:tabs>
              <w:kinsoku/>
              <w:wordWrap/>
              <w:overflowPunct/>
              <w:topLinePunct w:val="0"/>
              <w:autoSpaceDE/>
              <w:autoSpaceDN/>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u w:val="single"/>
                <w:lang w:val="en-US" w:eastAsia="zh-CN"/>
                <w14:textFill>
                  <w14:solidFill>
                    <w14:schemeClr w14:val="tx1"/>
                  </w14:solidFill>
                </w14:textFill>
              </w:rPr>
              <w:t>造粒工序车间内二次密闭，</w:t>
            </w:r>
            <w:r>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造粒</w:t>
            </w:r>
            <w:r>
              <w:rPr>
                <w:rFonts w:hint="eastAsia" w:cs="Times New Roman" w:eastAsiaTheme="minorEastAsia"/>
                <w:color w:val="000000" w:themeColor="text1"/>
                <w:sz w:val="21"/>
                <w:szCs w:val="21"/>
                <w:u w:val="single"/>
                <w:lang w:val="en-US" w:eastAsia="zh-CN"/>
                <w14:textFill>
                  <w14:solidFill>
                    <w14:schemeClr w14:val="tx1"/>
                  </w14:solidFill>
                </w14:textFill>
              </w:rPr>
              <w:t>废气</w:t>
            </w:r>
            <w:r>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微负压状态收集后，引至</w:t>
            </w:r>
            <w:r>
              <w:rPr>
                <w:rFonts w:hint="eastAsia" w:ascii="Times New Roman" w:hAnsi="Times New Roman" w:cs="Times New Roman" w:eastAsiaTheme="minorEastAsia"/>
                <w:color w:val="000000" w:themeColor="text1"/>
                <w:sz w:val="21"/>
                <w:szCs w:val="21"/>
                <w:u w:val="single"/>
                <w:lang w:val="en-US" w:eastAsia="zh-CN"/>
                <w14:textFill>
                  <w14:solidFill>
                    <w14:schemeClr w14:val="tx1"/>
                  </w14:solidFill>
                </w14:textFill>
              </w:rPr>
              <w:t>喷淋塔+</w:t>
            </w:r>
            <w:r>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吸附浓缩+催化燃烧装置处理</w:t>
            </w:r>
            <w:r>
              <w:rPr>
                <w:rFonts w:hint="eastAsia" w:ascii="Times New Roman" w:hAnsi="Times New Roman" w:cs="Times New Roman" w:eastAsiaTheme="minorEastAsia"/>
                <w:color w:val="000000" w:themeColor="text1"/>
                <w:sz w:val="21"/>
                <w:szCs w:val="21"/>
                <w:u w:val="single"/>
                <w:lang w:val="en-US" w:eastAsia="zh-CN"/>
                <w14:textFill>
                  <w14:solidFill>
                    <w14:schemeClr w14:val="tx1"/>
                  </w14:solidFill>
                </w14:textFill>
              </w:rPr>
              <w:t>后经</w:t>
            </w:r>
            <w:r>
              <w:rPr>
                <w:rFonts w:hint="eastAsia"/>
                <w:color w:val="000000" w:themeColor="text1"/>
                <w:sz w:val="21"/>
                <w:szCs w:val="21"/>
                <w:u w:val="single"/>
                <w:lang w:val="en-US" w:eastAsia="zh-CN"/>
                <w14:textFill>
                  <w14:solidFill>
                    <w14:schemeClr w14:val="tx1"/>
                  </w14:solidFill>
                </w14:textFill>
              </w:rPr>
              <w:t>15m排气筒排放</w:t>
            </w:r>
            <w:r>
              <w:rPr>
                <w:rFonts w:hint="default" w:ascii="Times New Roman" w:hAnsi="Times New Roman" w:cs="Times New Roman" w:eastAsiaTheme="minorEastAsia"/>
                <w:color w:val="000000" w:themeColor="text1"/>
                <w:sz w:val="21"/>
                <w:szCs w:val="21"/>
                <w:u w:val="singl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注塑</w:t>
            </w:r>
            <w:r>
              <w:rPr>
                <w:rFonts w:hint="eastAsia" w:cs="Times New Roman" w:eastAsiaTheme="minorEastAsia"/>
                <w:color w:val="000000" w:themeColor="text1"/>
                <w:sz w:val="21"/>
                <w:szCs w:val="21"/>
                <w:u w:val="single"/>
                <w:lang w:val="en-US" w:eastAsia="zh-CN"/>
                <w14:textFill>
                  <w14:solidFill>
                    <w14:schemeClr w14:val="tx1"/>
                  </w14:solidFill>
                </w14:textFill>
              </w:rPr>
              <w:t>工序车间内二次密闭</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，微负压收集有机废气经车间微负压状态收集后，引至吸附浓缩+催化燃烧装置处理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后经</w:t>
            </w:r>
            <w:r>
              <w:rPr>
                <w:rFonts w:hint="eastAsia"/>
                <w:color w:val="000000" w:themeColor="text1"/>
                <w:sz w:val="21"/>
                <w:szCs w:val="21"/>
                <w:lang w:val="en-US" w:eastAsia="zh-CN"/>
                <w14:textFill>
                  <w14:solidFill>
                    <w14:schemeClr w14:val="tx1"/>
                  </w14:solidFill>
                </w14:textFill>
              </w:rPr>
              <w:t>15m排气筒排放</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u w:val="single"/>
                <w:lang w:val="en-US" w:eastAsia="zh-CN"/>
                <w14:textFill>
                  <w14:solidFill>
                    <w14:schemeClr w14:val="tx1"/>
                  </w14:solidFill>
                </w14:textFill>
              </w:rPr>
              <w:t>粉碎</w:t>
            </w:r>
            <w:r>
              <w:rPr>
                <w:rFonts w:hint="eastAsia" w:cs="Times New Roman" w:eastAsiaTheme="minorEastAsia"/>
                <w:color w:val="000000" w:themeColor="text1"/>
                <w:sz w:val="21"/>
                <w:szCs w:val="21"/>
                <w:u w:val="single"/>
                <w:lang w:val="en-US" w:eastAsia="zh-CN"/>
                <w14:textFill>
                  <w14:solidFill>
                    <w14:schemeClr w14:val="tx1"/>
                  </w14:solidFill>
                </w14:textFill>
              </w:rPr>
              <w:t>工序车间内二次密闭，</w:t>
            </w:r>
            <w:r>
              <w:rPr>
                <w:rFonts w:hint="eastAsia" w:ascii="Times New Roman" w:hAnsi="Times New Roman" w:cs="Times New Roman" w:eastAsiaTheme="minorEastAsia"/>
                <w:color w:val="000000" w:themeColor="text1"/>
                <w:sz w:val="21"/>
                <w:szCs w:val="21"/>
                <w:u w:val="single"/>
                <w:lang w:val="en-US" w:eastAsia="zh-CN"/>
                <w14:textFill>
                  <w14:solidFill>
                    <w14:schemeClr w14:val="tx1"/>
                  </w14:solidFill>
                </w14:textFill>
              </w:rPr>
              <w:t>粉碎废气采用</w:t>
            </w:r>
            <w:r>
              <w:rPr>
                <w:rFonts w:hint="eastAsia"/>
                <w:color w:val="000000" w:themeColor="text1"/>
                <w:sz w:val="21"/>
                <w:szCs w:val="21"/>
                <w:u w:val="single"/>
                <w:lang w:eastAsia="zh-CN"/>
                <w14:textFill>
                  <w14:solidFill>
                    <w14:schemeClr w14:val="tx1"/>
                  </w14:solidFill>
                </w14:textFill>
              </w:rPr>
              <w:t>微负压</w:t>
            </w:r>
            <w:r>
              <w:rPr>
                <w:rFonts w:hint="eastAsia"/>
                <w:color w:val="000000" w:themeColor="text1"/>
                <w:sz w:val="21"/>
                <w:szCs w:val="21"/>
                <w:u w:val="single"/>
                <w:lang w:val="en-US" w:eastAsia="zh-CN"/>
                <w14:textFill>
                  <w14:solidFill>
                    <w14:schemeClr w14:val="tx1"/>
                  </w14:solidFill>
                </w14:textFill>
              </w:rPr>
              <w:t>+袋式除尘器处理后经15m排气筒排放</w:t>
            </w:r>
          </w:p>
        </w:tc>
        <w:tc>
          <w:tcPr>
            <w:tcW w:w="449" w:type="pct"/>
            <w:vAlign w:val="center"/>
          </w:tcPr>
          <w:p>
            <w:pPr>
              <w:keepNext w:val="0"/>
              <w:keepLines w:val="0"/>
              <w:pageBreakBefore w:val="0"/>
              <w:widowControl w:val="0"/>
              <w:numPr>
                <w:ilvl w:val="0"/>
                <w:numId w:val="0"/>
              </w:numPr>
              <w:tabs>
                <w:tab w:val="left" w:pos="1290"/>
              </w:tabs>
              <w:kinsoku/>
              <w:wordWrap/>
              <w:overflowPunct/>
              <w:topLinePunct w:val="0"/>
              <w:autoSpaceDE/>
              <w:autoSpaceDN/>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7"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无组织管控</w:t>
            </w:r>
          </w:p>
        </w:tc>
        <w:tc>
          <w:tcPr>
            <w:tcW w:w="142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1.VOCs物料存储于密闭的容器、包装袋、储罐、储库、料仓中；盛装VOCs物料的容器或包装袋存放于室内；盛装VOCs物料的容器或包装袋在非取用状态时应加盖、封口，保持密闭；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2.粉状物料采用气力输送、管状带式输送机、螺旋输送机等自动化、密闭输送方式；粒状物料采用封闭皮带等自动化、封闭输送方式；液态VOCs物料采用密闭管道输送；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3.产生VOCs的生产工序和装置应设置有效集气装置并引至VOCs末端处理设施；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4.厂区道路及车间地面硬化，车间地面、墙壁、设备顶部整洁无积尘；厂内地面全部硬化或绿化，无成片裸露土地。</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1.同A级第1条要求；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2.粉状物料采用气力输送、管状带式输送机、螺旋输送机等自动化、密闭输送方式；粒状物料采用密闭的包装袋、容器或罐车进行物料转移；液态VOCs物料采用密闭容器或罐车输送；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3.同A级第3条要求；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4.同A级第4条要求。</w:t>
            </w:r>
          </w:p>
        </w:tc>
        <w:tc>
          <w:tcPr>
            <w:tcW w:w="608" w:type="pct"/>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未达到B级要求</w:t>
            </w:r>
          </w:p>
        </w:tc>
        <w:tc>
          <w:tcPr>
            <w:tcW w:w="650"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企业不涉及VOCs物料，不涉及粉状物料，产生有机废气采用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吸附浓缩+催化燃烧装置处理</w:t>
            </w:r>
            <w:r>
              <w:rPr>
                <w:rFonts w:hint="eastAsia"/>
                <w:color w:val="000000" w:themeColor="text1"/>
                <w:sz w:val="21"/>
                <w:szCs w:val="21"/>
                <w:lang w:val="en-US" w:eastAsia="zh-CN"/>
                <w14:textFill>
                  <w14:solidFill>
                    <w14:schemeClr w14:val="tx1"/>
                  </w14:solidFill>
                </w14:textFill>
              </w:rPr>
              <w:t>，厂区道路及车间地面硬化，车间地面、墙壁、设备顶部整洁无积尘；厂内地面全部硬化或绿化，无成片裸露土地。</w:t>
            </w:r>
          </w:p>
        </w:tc>
        <w:tc>
          <w:tcPr>
            <w:tcW w:w="449" w:type="pct"/>
            <w:vAlign w:val="center"/>
          </w:tcPr>
          <w:p>
            <w:pPr>
              <w:pStyle w:val="12"/>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排放限值</w:t>
            </w:r>
          </w:p>
        </w:tc>
        <w:tc>
          <w:tcPr>
            <w:tcW w:w="142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1.全厂有组织PM、NMHC有组织排放浓度分别不高于10、10mg/m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2.VOCs治理设施同步运行率和去除率分别达到100%和80%；去除率确实达不到的，生产车间或生产设备的无组织排放监控点NMHC浓度低于4mg/m³，企业边界1hNMHC平均浓度低于2mg/m³；</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3.锅炉烟气排放限值要求：燃气锅炉PM、SO</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、NOx排放浓度分别不高于：5、10、50/30【1】mg/m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07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1.全厂有组织PM、NMHC有组织排放浓度分别不高于10、30mg/m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2.同A级第2条要求；</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3.同A级第3条要求。</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经预测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PM、NMHC</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w:t>
            </w:r>
            <w:r>
              <w:rPr>
                <w:rFonts w:hint="eastAsia" w:cs="Times New Roman" w:eastAsiaTheme="minorEastAsia"/>
                <w:color w:val="000000" w:themeColor="text1"/>
                <w:sz w:val="21"/>
                <w:szCs w:val="21"/>
                <w:lang w:val="en-US" w:eastAsia="zh-CN"/>
                <w14:textFill>
                  <w14:solidFill>
                    <w14:schemeClr w14:val="tx1"/>
                  </w14:solidFill>
                </w14:textFill>
              </w:rPr>
              <w:t>达到A级要求</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监测监控水平</w:t>
            </w:r>
          </w:p>
        </w:tc>
        <w:tc>
          <w:tcPr>
            <w:tcW w:w="2500" w:type="pct"/>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1.有组织排放口按生态环境部门要求安装烟气排放自动监控设施（CEMS），并按要求联网；</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2.有组织排放口按照排污许可证要求开展自行监测；</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3.涉气生产工序、生产装置及污染治理设施按生态环境部门要求安装用电监管设备，用电监管设备与省、市生态环境部门用电监管平台联网。</w:t>
            </w:r>
          </w:p>
        </w:tc>
        <w:tc>
          <w:tcPr>
            <w:tcW w:w="608"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企业未建设，运营期按照A级要求完善监测监控水平</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9" w:type="pct"/>
            <w:vMerge w:val="restar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环境管理水平</w:t>
            </w:r>
          </w:p>
        </w:tc>
        <w:tc>
          <w:tcPr>
            <w:tcW w:w="39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环保档案</w:t>
            </w:r>
          </w:p>
        </w:tc>
        <w:tc>
          <w:tcPr>
            <w:tcW w:w="2500" w:type="pct"/>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1.环评批复文件和竣工环保验收文件或环境现状评估备案证明；</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2.国家版排污许可证；</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3.环境管理制度（有组织、无组织排放长效管理机制，主要包括岗位责任制度、达标公示制度和定期巡查维护制度等）；</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废气治理设施运行管理规程；</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一年内废气监测报告（符合排污许可证监测项目及频次要求）。</w:t>
            </w:r>
          </w:p>
        </w:tc>
        <w:tc>
          <w:tcPr>
            <w:tcW w:w="608" w:type="pct"/>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企业按照要求建立环保档案</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9" w:type="pct"/>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39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台账记录</w:t>
            </w:r>
          </w:p>
        </w:tc>
        <w:tc>
          <w:tcPr>
            <w:tcW w:w="2500"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1.生产设施运行管理信息（生产时间、运行负荷、产品产量等）；</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2.废气污染治理设施运行管理信息；</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3.监测记录信息（主要污染排放口废气排放记录等）；</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4.主要原辅材料消耗记录；</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5.燃料消耗记录；</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6.固废、危废处理记录；</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7.运输车辆、厂内车辆、非道路移动机械电子台账（进出场时间、车辆或非道路移动机械信息、运送货物名称及运量等）。</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企业按照要求建立台账记录</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9" w:type="pct"/>
            <w:vMerge w:val="continue"/>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p>
        </w:tc>
        <w:tc>
          <w:tcPr>
            <w:tcW w:w="39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人员配置</w:t>
            </w:r>
          </w:p>
        </w:tc>
        <w:tc>
          <w:tcPr>
            <w:tcW w:w="2500"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配备专职环保人员，并具备相应的环境管理能力（学历、培训、从业经验等）。</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left"/>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企业配备专门的环保人员</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运输方式</w:t>
            </w:r>
          </w:p>
        </w:tc>
        <w:tc>
          <w:tcPr>
            <w:tcW w:w="142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1.物料、产品运输全部使用国五及以上排放标准的重型载货车辆（重型燃气车辆达到国六排放标准）或新能源车辆；</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2.厂区车辆全部达国五及以上排放标准（重型燃气车辆达到国六排放标准）或使用新能源车辆；</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3.厂内非道路移动机械达到国三及以上排放标准或使用新能源</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机械</w:t>
            </w:r>
          </w:p>
        </w:tc>
        <w:tc>
          <w:tcPr>
            <w:tcW w:w="1072"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1.公路运输使用国五及以上排放标准的重型载货车辆（重型燃气车辆达到国六排放标准）或新能源车辆比例不低于80%，其他车辆达到国四排放标准；</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2.厂内运输车辆达到国五及以上排放标准（重型燃气车辆达到国六排放标准）或使用新能源车辆比例不低于80%，其他车辆达到国四排放标准（重型燃气车辆达到国五及以上排放标准）；</w:t>
            </w:r>
          </w:p>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3.厂内非道路移动机械达到国三及以上排放标准或使用新能源机械比例不低于80%。</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企业厂区内转运采用国三以上的叉车；车辆运输采用委托第三方运输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全部使用国五及以上排放标准的重型载货车辆</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1"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运输监管要求</w:t>
            </w:r>
          </w:p>
        </w:tc>
        <w:tc>
          <w:tcPr>
            <w:tcW w:w="2500" w:type="pct"/>
            <w:gridSpan w:val="2"/>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both"/>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日均进出货物150吨（或载货车辆日进出10辆次）及以上（货物包括原料、辅料、燃料、产品和其他与生产相关物料）的企业，或纳入我省重点行业年产值1000万及以上的企业，应参照《重污染天气重点行业移动源应急管理技术指南》建立门禁视频监控系统和电子台账；其他企业建立电子台账。</w:t>
            </w:r>
          </w:p>
        </w:tc>
        <w:tc>
          <w:tcPr>
            <w:tcW w:w="608"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未达到A、B级要求</w:t>
            </w:r>
          </w:p>
        </w:tc>
        <w:tc>
          <w:tcPr>
            <w:tcW w:w="650"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企业不涉及大宗物料运输，按照要求建立电子运输台账</w:t>
            </w:r>
          </w:p>
        </w:tc>
        <w:tc>
          <w:tcPr>
            <w:tcW w:w="449" w:type="pct"/>
            <w:vAlign w:val="center"/>
          </w:tcPr>
          <w:p>
            <w:pPr>
              <w:keepNext w:val="0"/>
              <w:keepLines w:val="0"/>
              <w:pageBreakBefore w:val="0"/>
              <w:widowControl w:val="0"/>
              <w:kinsoku/>
              <w:wordWrap/>
              <w:overflowPunct/>
              <w:topLinePunct w:val="0"/>
              <w:bidi w:val="0"/>
              <w:adjustRightInd w:val="0"/>
              <w:snapToGrid w:val="0"/>
              <w:spacing w:line="360" w:lineRule="exact"/>
              <w:ind w:left="0" w:right="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A级</w:t>
            </w:r>
          </w:p>
        </w:tc>
      </w:tr>
    </w:tbl>
    <w:p>
      <w:pPr>
        <w:pStyle w:val="20"/>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eastAsia="宋体"/>
          <w:lang w:eastAsia="zh-CN"/>
        </w:rPr>
      </w:pPr>
      <w:r>
        <w:rPr>
          <w:rFonts w:hint="eastAsia"/>
          <w:u w:val="single"/>
          <w:lang w:eastAsia="zh-CN"/>
        </w:rPr>
        <w:t>本项目为废旧塑料再生利用项目，由于生产需求原材料为废旧塑料，不符合</w:t>
      </w:r>
      <w:r>
        <w:rPr>
          <w:rFonts w:hint="eastAsia"/>
          <w:u w:val="single"/>
          <w:lang w:val="en-US" w:eastAsia="zh-CN"/>
        </w:rPr>
        <w:t>A级企业“原料、能源类型”中原料全部使用非再生料（即使用原包料，非废旧塑料）</w:t>
      </w:r>
      <w:r>
        <w:rPr>
          <w:rFonts w:hint="eastAsia"/>
          <w:lang w:eastAsia="zh-CN"/>
        </w:rPr>
        <w:t>。</w:t>
      </w:r>
    </w:p>
    <w:p>
      <w:pPr>
        <w:pStyle w:val="19"/>
        <w:keepNext w:val="0"/>
        <w:keepLines w:val="0"/>
        <w:pageBreakBefore w:val="0"/>
        <w:widowControl w:val="0"/>
        <w:tabs>
          <w:tab w:val="left" w:pos="4140"/>
        </w:tabs>
        <w:kinsoku/>
        <w:wordWrap/>
        <w:overflowPunct/>
        <w:topLinePunct w:val="0"/>
        <w:autoSpaceDE w:val="0"/>
        <w:autoSpaceDN w:val="0"/>
        <w:bidi w:val="0"/>
        <w:adjustRightInd w:val="0"/>
        <w:snapToGrid w:val="0"/>
        <w:spacing w:before="0" w:beforeAutospacing="0" w:after="0" w:afterAutospacing="0" w:line="360" w:lineRule="auto"/>
        <w:ind w:firstLine="480" w:firstLineChars="200"/>
        <w:jc w:val="both"/>
        <w:textAlignment w:val="auto"/>
        <w:rPr>
          <w:rFonts w:hint="eastAsia" w:ascii="Times New Roman" w:hAnsi="Times New Roman" w:cs="Times New Roman"/>
          <w:kern w:val="2"/>
          <w:szCs w:val="24"/>
          <w:lang w:val="en-US" w:eastAsia="zh-CN" w:bidi="ar"/>
        </w:rPr>
        <w:sectPr>
          <w:pgSz w:w="16838" w:h="11906" w:orient="landscape"/>
          <w:pgMar w:top="1417" w:right="1417" w:bottom="1417" w:left="1417" w:header="680" w:footer="737"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4"/>
        <w:bidi w:val="0"/>
        <w:rPr>
          <w:rFonts w:hint="default"/>
          <w:lang w:val="en-US" w:eastAsia="zh-CN"/>
        </w:rPr>
      </w:pPr>
      <w:r>
        <w:rPr>
          <w:rFonts w:hint="eastAsia"/>
          <w:lang w:val="en-US" w:eastAsia="zh-CN"/>
        </w:rPr>
        <w:t xml:space="preserve">2.6.6 </w:t>
      </w:r>
      <w:r>
        <w:rPr>
          <w:rFonts w:hint="default"/>
          <w:lang w:val="en-US" w:eastAsia="zh-CN"/>
        </w:rPr>
        <w:t>与《河南省2020-2021年秋冬季大气污染综合治理攻坚行动方案》相符性分析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严格行业准入。全面落实生态保护红线、环境质量底线、资源利用上线和生态环境准入清单</w:t>
      </w:r>
      <w:r>
        <w:rPr>
          <w:rFonts w:hint="eastAsia" w:cs="Times New Roman"/>
          <w:bCs/>
          <w:sz w:val="24"/>
          <w:szCs w:val="24"/>
          <w:lang w:eastAsia="zh-CN"/>
        </w:rPr>
        <w:t>“</w:t>
      </w:r>
      <w:r>
        <w:rPr>
          <w:rFonts w:hint="default" w:ascii="Times New Roman" w:hAnsi="Times New Roman" w:cs="Times New Roman"/>
          <w:bCs/>
          <w:sz w:val="24"/>
          <w:szCs w:val="24"/>
        </w:rPr>
        <w:t>三线一单</w:t>
      </w:r>
      <w:r>
        <w:rPr>
          <w:rFonts w:hint="eastAsia" w:cs="Times New Roman"/>
          <w:bCs/>
          <w:sz w:val="24"/>
          <w:szCs w:val="24"/>
          <w:lang w:eastAsia="zh-CN"/>
        </w:rPr>
        <w:t>”</w:t>
      </w:r>
      <w:r>
        <w:rPr>
          <w:rFonts w:hint="default" w:ascii="Times New Roman" w:hAnsi="Times New Roman" w:cs="Times New Roman"/>
          <w:bCs/>
          <w:sz w:val="24"/>
          <w:szCs w:val="24"/>
        </w:rPr>
        <w:t>要求，对国家和我省明确要求淘汰的产业、装备和工艺，坚决避免出现边淘汰边建设的现象，巩固落后产能淘汰工作成效，推进高质量发展。</w:t>
      </w:r>
    </w:p>
    <w:p>
      <w:pPr>
        <w:keepNext w:val="0"/>
        <w:keepLines w:val="0"/>
        <w:pageBreakBefore w:val="0"/>
        <w:widowControl w:val="0"/>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cs="Times New Roman"/>
          <w:spacing w:val="4"/>
          <w:sz w:val="24"/>
          <w:szCs w:val="24"/>
        </w:rPr>
      </w:pPr>
      <w:r>
        <w:rPr>
          <w:rFonts w:hint="default" w:ascii="Times New Roman" w:hAnsi="Times New Roman" w:cs="Times New Roman"/>
          <w:spacing w:val="4"/>
          <w:sz w:val="24"/>
          <w:szCs w:val="24"/>
        </w:rPr>
        <w:t>紧紧围绕建筑施工、交通运输、矿山开采、农业耕作等关键领域，健全标准规范，强化制度执行，切实管住扬尘污染源头。加强施工扬尘控制，严格执行施工过程</w:t>
      </w:r>
      <w:r>
        <w:rPr>
          <w:rFonts w:hint="eastAsia" w:cs="Times New Roman"/>
          <w:spacing w:val="4"/>
          <w:sz w:val="24"/>
          <w:szCs w:val="24"/>
          <w:lang w:eastAsia="zh-CN"/>
        </w:rPr>
        <w:t>“</w:t>
      </w:r>
      <w:r>
        <w:rPr>
          <w:rFonts w:hint="default" w:ascii="Times New Roman" w:hAnsi="Times New Roman" w:cs="Times New Roman"/>
          <w:spacing w:val="4"/>
          <w:sz w:val="24"/>
          <w:szCs w:val="24"/>
        </w:rPr>
        <w:t>六个百分之百</w:t>
      </w:r>
      <w:r>
        <w:rPr>
          <w:rFonts w:hint="eastAsia" w:cs="Times New Roman"/>
          <w:spacing w:val="4"/>
          <w:sz w:val="24"/>
          <w:szCs w:val="24"/>
          <w:lang w:eastAsia="zh-CN"/>
        </w:rPr>
        <w:t>”</w:t>
      </w:r>
      <w:r>
        <w:rPr>
          <w:rFonts w:hint="default" w:ascii="Times New Roman" w:hAnsi="Times New Roman" w:cs="Times New Roman"/>
          <w:spacing w:val="4"/>
          <w:sz w:val="24"/>
          <w:szCs w:val="24"/>
        </w:rPr>
        <w:t>，严格落实城市建成区内</w:t>
      </w:r>
      <w:r>
        <w:rPr>
          <w:rFonts w:hint="eastAsia" w:cs="Times New Roman"/>
          <w:spacing w:val="4"/>
          <w:sz w:val="24"/>
          <w:szCs w:val="24"/>
          <w:lang w:eastAsia="zh-CN"/>
        </w:rPr>
        <w:t>“</w:t>
      </w:r>
      <w:r>
        <w:rPr>
          <w:rFonts w:hint="default" w:ascii="Times New Roman" w:hAnsi="Times New Roman" w:cs="Times New Roman"/>
          <w:spacing w:val="4"/>
          <w:sz w:val="24"/>
          <w:szCs w:val="24"/>
        </w:rPr>
        <w:t>两个禁止</w:t>
      </w:r>
      <w:r>
        <w:rPr>
          <w:rFonts w:hint="eastAsia" w:cs="Times New Roman"/>
          <w:spacing w:val="4"/>
          <w:sz w:val="24"/>
          <w:szCs w:val="24"/>
          <w:lang w:eastAsia="zh-CN"/>
        </w:rPr>
        <w:t>”</w:t>
      </w:r>
      <w:r>
        <w:rPr>
          <w:rFonts w:hint="default" w:ascii="Times New Roman" w:hAnsi="Times New Roman" w:cs="Times New Roman"/>
          <w:spacing w:val="4"/>
          <w:sz w:val="24"/>
          <w:szCs w:val="24"/>
        </w:rPr>
        <w:t>（禁止现场搅拌混凝土和禁止现场配置砂浆）要求，加快</w:t>
      </w:r>
      <w:r>
        <w:rPr>
          <w:rFonts w:hint="eastAsia" w:cs="Times New Roman"/>
          <w:spacing w:val="4"/>
          <w:sz w:val="24"/>
          <w:szCs w:val="24"/>
          <w:lang w:eastAsia="zh-CN"/>
        </w:rPr>
        <w:t>“</w:t>
      </w:r>
      <w:r>
        <w:rPr>
          <w:rFonts w:hint="default" w:ascii="Times New Roman" w:hAnsi="Times New Roman" w:cs="Times New Roman"/>
          <w:spacing w:val="4"/>
          <w:sz w:val="24"/>
          <w:szCs w:val="24"/>
        </w:rPr>
        <w:t>两个禁止</w:t>
      </w:r>
      <w:r>
        <w:rPr>
          <w:rFonts w:hint="eastAsia" w:cs="Times New Roman"/>
          <w:spacing w:val="4"/>
          <w:sz w:val="24"/>
          <w:szCs w:val="24"/>
          <w:lang w:eastAsia="zh-CN"/>
        </w:rPr>
        <w:t>”</w:t>
      </w:r>
      <w:r>
        <w:rPr>
          <w:rFonts w:hint="default" w:ascii="Times New Roman" w:hAnsi="Times New Roman" w:cs="Times New Roman"/>
          <w:spacing w:val="4"/>
          <w:sz w:val="24"/>
          <w:szCs w:val="24"/>
        </w:rPr>
        <w:t>综合信息监管平台建设工作，实现储运设备联网接入</w:t>
      </w:r>
      <w:r>
        <w:rPr>
          <w:rFonts w:hint="eastAsia" w:cs="Times New Roman"/>
          <w:spacing w:val="4"/>
          <w:sz w:val="24"/>
          <w:szCs w:val="24"/>
          <w:lang w:eastAsia="zh-CN"/>
        </w:rPr>
        <w:t>“</w:t>
      </w:r>
      <w:r>
        <w:rPr>
          <w:rFonts w:hint="default" w:ascii="Times New Roman" w:hAnsi="Times New Roman" w:cs="Times New Roman"/>
          <w:spacing w:val="4"/>
          <w:sz w:val="24"/>
          <w:szCs w:val="24"/>
        </w:rPr>
        <w:t>两个禁止</w:t>
      </w:r>
      <w:r>
        <w:rPr>
          <w:rFonts w:hint="eastAsia" w:cs="Times New Roman"/>
          <w:spacing w:val="4"/>
          <w:sz w:val="24"/>
          <w:szCs w:val="24"/>
          <w:lang w:eastAsia="zh-CN"/>
        </w:rPr>
        <w:t>”</w:t>
      </w:r>
      <w:r>
        <w:rPr>
          <w:rFonts w:hint="default" w:ascii="Times New Roman" w:hAnsi="Times New Roman" w:cs="Times New Roman"/>
          <w:spacing w:val="4"/>
          <w:sz w:val="24"/>
          <w:szCs w:val="24"/>
        </w:rPr>
        <w:t>平台，实行动态监管。发挥建筑垃圾大数据监管平台的作用，建立渣土清运车辆复核常态化机制，鼓励各地继续推动实施</w:t>
      </w:r>
      <w:r>
        <w:rPr>
          <w:rFonts w:hint="eastAsia" w:cs="Times New Roman"/>
          <w:spacing w:val="4"/>
          <w:sz w:val="24"/>
          <w:szCs w:val="24"/>
          <w:lang w:eastAsia="zh-CN"/>
        </w:rPr>
        <w:t>“</w:t>
      </w:r>
      <w:r>
        <w:rPr>
          <w:rFonts w:hint="default" w:ascii="Times New Roman" w:hAnsi="Times New Roman" w:cs="Times New Roman"/>
          <w:spacing w:val="4"/>
          <w:sz w:val="24"/>
          <w:szCs w:val="24"/>
        </w:rPr>
        <w:t>阳光施工</w:t>
      </w:r>
      <w:r>
        <w:rPr>
          <w:rFonts w:hint="eastAsia" w:cs="Times New Roman"/>
          <w:spacing w:val="4"/>
          <w:sz w:val="24"/>
          <w:szCs w:val="24"/>
          <w:lang w:eastAsia="zh-CN"/>
        </w:rPr>
        <w:t>”“</w:t>
      </w:r>
      <w:r>
        <w:rPr>
          <w:rFonts w:hint="default" w:ascii="Times New Roman" w:hAnsi="Times New Roman" w:cs="Times New Roman"/>
          <w:spacing w:val="4"/>
          <w:sz w:val="24"/>
          <w:szCs w:val="24"/>
        </w:rPr>
        <w:t>阳光运输</w:t>
      </w:r>
      <w:r>
        <w:rPr>
          <w:rFonts w:hint="eastAsia" w:cs="Times New Roman"/>
          <w:spacing w:val="4"/>
          <w:sz w:val="24"/>
          <w:szCs w:val="24"/>
          <w:lang w:eastAsia="zh-CN"/>
        </w:rPr>
        <w:t>”</w:t>
      </w:r>
      <w:r>
        <w:rPr>
          <w:rFonts w:hint="default" w:ascii="Times New Roman" w:hAnsi="Times New Roman" w:cs="Times New Roman"/>
          <w:spacing w:val="4"/>
          <w:sz w:val="24"/>
          <w:szCs w:val="24"/>
        </w:rPr>
        <w:t>，将扬尘管理工作不到位的不良信息纳入建筑市场信用管理体系，情节严重的，列入建筑市场主体</w:t>
      </w:r>
      <w:r>
        <w:rPr>
          <w:rFonts w:hint="eastAsia" w:cs="Times New Roman"/>
          <w:spacing w:val="4"/>
          <w:sz w:val="24"/>
          <w:szCs w:val="24"/>
          <w:lang w:eastAsia="zh-CN"/>
        </w:rPr>
        <w:t>“</w:t>
      </w:r>
      <w:r>
        <w:rPr>
          <w:rFonts w:hint="default" w:ascii="Times New Roman" w:hAnsi="Times New Roman" w:cs="Times New Roman"/>
          <w:spacing w:val="4"/>
          <w:sz w:val="24"/>
          <w:szCs w:val="24"/>
        </w:rPr>
        <w:t>黑名单</w:t>
      </w:r>
      <w:r>
        <w:rPr>
          <w:rFonts w:hint="eastAsia" w:cs="Times New Roman"/>
          <w:spacing w:val="4"/>
          <w:sz w:val="24"/>
          <w:szCs w:val="24"/>
          <w:lang w:eastAsia="zh-CN"/>
        </w:rPr>
        <w:t>”</w:t>
      </w:r>
      <w:r>
        <w:rPr>
          <w:rFonts w:hint="default" w:ascii="Times New Roman" w:hAnsi="Times New Roman" w:cs="Times New Roman"/>
          <w:spacing w:val="4"/>
          <w:sz w:val="24"/>
          <w:szCs w:val="24"/>
        </w:rPr>
        <w:t>。强化道路扬尘管控，提高城市道路水洗机扫作业比例，加大各类工地、物料堆场、渣土消纳场等出入口道路清扫保洁力度。加强堆场扬尘污染控制，全面推进大型煤炭和矿石码头堆场、干散货码头物料堆放场所围挡、苫盖、自动喷淋等抑尘设施，以及物料输送装置吸尘、喷淋等防尘设施建设。</w:t>
      </w:r>
    </w:p>
    <w:p>
      <w:pPr>
        <w:bidi w:val="0"/>
        <w:rPr>
          <w:rFonts w:hint="eastAsia" w:eastAsia="宋体"/>
          <w:lang w:eastAsia="zh-CN"/>
        </w:rPr>
      </w:pPr>
      <w:r>
        <w:rPr>
          <w:rFonts w:hint="eastAsia"/>
          <w:lang w:eastAsia="zh-CN"/>
        </w:rPr>
        <w:t>相符性：项目符合“</w:t>
      </w:r>
      <w:r>
        <w:rPr>
          <w:rFonts w:hint="default"/>
        </w:rPr>
        <w:t>三线一单</w:t>
      </w:r>
      <w:r>
        <w:rPr>
          <w:rFonts w:hint="eastAsia"/>
          <w:lang w:eastAsia="zh-CN"/>
        </w:rPr>
        <w:t>”</w:t>
      </w:r>
      <w:r>
        <w:rPr>
          <w:rFonts w:hint="default"/>
        </w:rPr>
        <w:t>要求</w:t>
      </w:r>
      <w:r>
        <w:rPr>
          <w:rFonts w:hint="eastAsia"/>
          <w:lang w:eastAsia="zh-CN"/>
        </w:rPr>
        <w:t>，属于《</w:t>
      </w:r>
      <w:r>
        <w:rPr>
          <w:rFonts w:hint="eastAsia"/>
          <w:lang w:val="en-US" w:eastAsia="zh-CN"/>
        </w:rPr>
        <w:t>产业结构调整指导目录》</w:t>
      </w:r>
      <w:r>
        <w:rPr>
          <w:rFonts w:hint="default"/>
          <w:lang w:val="en-US" w:eastAsia="zh-CN"/>
        </w:rPr>
        <w:t>(2019</w:t>
      </w:r>
      <w:r>
        <w:rPr>
          <w:rFonts w:hint="eastAsia"/>
          <w:lang w:val="en-US" w:eastAsia="zh-CN"/>
        </w:rPr>
        <w:t>年本</w:t>
      </w:r>
      <w:r>
        <w:rPr>
          <w:rFonts w:hint="default"/>
          <w:lang w:val="en-US" w:eastAsia="zh-CN"/>
        </w:rPr>
        <w:t>)</w:t>
      </w:r>
      <w:r>
        <w:rPr>
          <w:rFonts w:hint="eastAsia"/>
          <w:lang w:val="en-US" w:eastAsia="zh-CN"/>
        </w:rPr>
        <w:t>，本次工程属于第一类鼓励类中</w:t>
      </w:r>
      <w:r>
        <w:t>四十三、环境保护与资源节约综合利用</w:t>
      </w:r>
      <w:r>
        <w:rPr>
          <w:rFonts w:hint="eastAsia"/>
          <w:lang w:eastAsia="zh-CN"/>
        </w:rPr>
        <w:t>，</w:t>
      </w:r>
      <w:r>
        <w:t>27</w:t>
      </w:r>
      <w:r>
        <w:rPr>
          <w:rFonts w:hint="default"/>
        </w:rPr>
        <w:t>、废旧木材、废旧电器电子产品、废印刷电路板、废旧电池、废旧船舶、废旧农机、废塑料、废旧纺织品及纺织废料和边角料、废（碎）玻璃、废橡胶、废弃油脂等废旧物资等资源循环再利用技术、设备开发及应用</w:t>
      </w:r>
      <w:r>
        <w:rPr>
          <w:rFonts w:hint="eastAsia"/>
          <w:lang w:eastAsia="zh-CN"/>
        </w:rPr>
        <w:t>。厂房建设中</w:t>
      </w:r>
      <w:r>
        <w:rPr>
          <w:rFonts w:hint="default" w:ascii="Times New Roman" w:hAnsi="Times New Roman" w:cs="Times New Roman"/>
          <w:spacing w:val="4"/>
          <w:sz w:val="24"/>
          <w:szCs w:val="24"/>
        </w:rPr>
        <w:t>切实管住扬尘污染源头</w:t>
      </w:r>
      <w:r>
        <w:rPr>
          <w:rFonts w:hint="eastAsia" w:cs="Times New Roman"/>
          <w:spacing w:val="4"/>
          <w:sz w:val="24"/>
          <w:szCs w:val="24"/>
          <w:lang w:eastAsia="zh-CN"/>
        </w:rPr>
        <w:t>、</w:t>
      </w:r>
      <w:r>
        <w:rPr>
          <w:rFonts w:hint="default" w:ascii="Times New Roman" w:hAnsi="Times New Roman" w:cs="Times New Roman"/>
          <w:spacing w:val="4"/>
          <w:sz w:val="24"/>
          <w:szCs w:val="24"/>
        </w:rPr>
        <w:t>加强施工扬尘控制</w:t>
      </w:r>
      <w:r>
        <w:rPr>
          <w:rFonts w:hint="eastAsia" w:cs="Times New Roman"/>
          <w:spacing w:val="4"/>
          <w:sz w:val="24"/>
          <w:szCs w:val="24"/>
          <w:lang w:eastAsia="zh-CN"/>
        </w:rPr>
        <w:t>、</w:t>
      </w:r>
      <w:r>
        <w:rPr>
          <w:rFonts w:hint="default" w:ascii="Times New Roman" w:hAnsi="Times New Roman" w:cs="Times New Roman"/>
          <w:spacing w:val="4"/>
          <w:sz w:val="24"/>
          <w:szCs w:val="24"/>
        </w:rPr>
        <w:t>强化道路扬尘管控</w:t>
      </w:r>
      <w:r>
        <w:rPr>
          <w:rFonts w:hint="eastAsia" w:cs="Times New Roman"/>
          <w:spacing w:val="4"/>
          <w:sz w:val="24"/>
          <w:szCs w:val="24"/>
          <w:lang w:eastAsia="zh-CN"/>
        </w:rPr>
        <w:t>、</w:t>
      </w:r>
      <w:r>
        <w:rPr>
          <w:rFonts w:hint="default" w:ascii="Times New Roman" w:hAnsi="Times New Roman" w:cs="Times New Roman"/>
          <w:spacing w:val="4"/>
          <w:sz w:val="24"/>
          <w:szCs w:val="24"/>
        </w:rPr>
        <w:t>加强堆场扬尘污染控制</w:t>
      </w:r>
      <w:r>
        <w:rPr>
          <w:rFonts w:hint="eastAsia" w:cs="Times New Roman"/>
          <w:spacing w:val="4"/>
          <w:sz w:val="24"/>
          <w:szCs w:val="24"/>
          <w:lang w:eastAsia="zh-CN"/>
        </w:rPr>
        <w:t>。</w:t>
      </w:r>
    </w:p>
    <w:p>
      <w:pPr>
        <w:pStyle w:val="4"/>
        <w:bidi w:val="0"/>
        <w:rPr>
          <w:rFonts w:hint="eastAsia"/>
          <w:lang w:val="en-US" w:eastAsia="zh-CN"/>
        </w:rPr>
      </w:pPr>
      <w:r>
        <w:rPr>
          <w:rFonts w:hint="eastAsia"/>
          <w:lang w:val="en-US" w:eastAsia="zh-CN"/>
        </w:rPr>
        <w:t>2.6.7 项目建设与《十三五挥发性有机物污染防治工作方案》相符性分析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内容节选：本项目挥发性有机物（VOCs）是指非甲烷烃类（烷烃、烯烃、炔烃、芳香烃等）、含氧有机物（醛、酮、醇、醚等）、含氯有机物、含氮有机物、含硫有机物等，是形成臭氧（O</w:t>
      </w:r>
      <w:r>
        <w:rPr>
          <w:rFonts w:hint="default" w:ascii="Times New Roman" w:hAnsi="Times New Roman" w:eastAsia="宋体" w:cs="Times New Roman"/>
          <w:spacing w:val="4"/>
          <w:sz w:val="24"/>
          <w:szCs w:val="24"/>
          <w:vertAlign w:val="subscript"/>
        </w:rPr>
        <w:t>3</w:t>
      </w:r>
      <w:r>
        <w:rPr>
          <w:rFonts w:hint="default" w:ascii="Times New Roman" w:hAnsi="Times New Roman" w:eastAsia="宋体" w:cs="Times New Roman"/>
          <w:spacing w:val="4"/>
          <w:sz w:val="24"/>
          <w:szCs w:val="24"/>
        </w:rPr>
        <w:t>）和细颗粒物（PM</w:t>
      </w:r>
      <w:r>
        <w:rPr>
          <w:rFonts w:hint="default" w:ascii="Times New Roman" w:hAnsi="Times New Roman" w:eastAsia="宋体" w:cs="Times New Roman"/>
          <w:spacing w:val="4"/>
          <w:sz w:val="24"/>
          <w:szCs w:val="24"/>
          <w:vertAlign w:val="subscript"/>
        </w:rPr>
        <w:t>2.5</w:t>
      </w:r>
      <w:r>
        <w:rPr>
          <w:rFonts w:hint="default" w:ascii="Times New Roman" w:hAnsi="Times New Roman" w:eastAsia="宋体" w:cs="Times New Roman"/>
          <w:spacing w:val="4"/>
          <w:sz w:val="24"/>
          <w:szCs w:val="24"/>
        </w:rPr>
        <w:t>）污染的重要前体物。为全面加强VOCs污染防治工作，提高管理的科学性、针对性和有效性，促进环境空气质量持续改善，制定本方案。</w:t>
      </w:r>
    </w:p>
    <w:p>
      <w:pPr>
        <w:keepNext w:val="0"/>
        <w:keepLines w:val="0"/>
        <w:pageBreakBefore w:val="0"/>
        <w:widowControl w:val="0"/>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治理重点</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重点地区。京津冀及周边、长三角、珠三角、成渝、武汉及其周边、辽宁中部、陕西关中、长株潭等区域，涉及北京、天津、河北、辽宁、上海、江苏、浙江、安徽、山东、河南、广东、湖北、湖南、重庆、四川、陕西等16个省（市）。</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重点行业。重点推进石化、化工、包装印刷、工业涂装等重点行业以及机动车、油品储运销等交通源VOCs污染防治，实施一批重点工程。各地应结合自身产业结构特征、VOCs排放来源等，确定本地VOCs控制重点行业；充分考虑行业产能利用率、生产工艺特征以及污染物排放情况等，结合环境空气质量季节性变化特征，研究制定行业生产调控措施。</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主要任务</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eastAsia" w:ascii="Times New Roman" w:hAnsi="Times New Roman" w:eastAsia="宋体" w:cs="Times New Roman"/>
          <w:spacing w:val="4"/>
          <w:sz w:val="24"/>
          <w:szCs w:val="24"/>
          <w:lang w:val="en-US" w:eastAsia="zh-CN"/>
        </w:rPr>
        <w:t>1.</w:t>
      </w:r>
      <w:r>
        <w:rPr>
          <w:rFonts w:hint="default" w:ascii="Times New Roman" w:hAnsi="Times New Roman" w:eastAsia="宋体" w:cs="Times New Roman"/>
          <w:spacing w:val="4"/>
          <w:sz w:val="24"/>
          <w:szCs w:val="24"/>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2.</w:t>
      </w:r>
      <w:r>
        <w:rPr>
          <w:rFonts w:hint="default" w:ascii="Times New Roman" w:hAnsi="Times New Roman" w:eastAsia="宋体" w:cs="Times New Roman"/>
          <w:spacing w:val="4"/>
          <w:sz w:val="24"/>
          <w:szCs w:val="24"/>
        </w:rPr>
        <w:t>加快推进化工行业VOCs综合治理。加大制药、农药、煤化工（含现代煤化工、炼焦、合成氨等）、橡胶制品、涂料、油墨、胶粘剂、染料、化学助剂（塑料助剂和橡胶助剂）、日用化工等化工行业VOCs治理力度。京津冀大气污染传输通道城市2017年底前基本完成。推广使用低（无）VOCs含量、低反应活性的原辅材料和产品。农药行业要加快替代轻芳烃等溶剂，大力推广水基化类制剂；制药行业鼓励使用低（无）VOCs含量或低反应活性的溶剂；橡胶制品行业推广使用新型偶联剂、粘合剂等产品，推广使用石蜡油等全面替代普通芳烃油、煤焦油等助剂。优化生产工艺方案。农药行业加快水相法合成、生物酶法拆分等技术开发推广；制药行业加快生物酶合成法等技</w:t>
      </w:r>
      <w:r>
        <w:rPr>
          <w:rFonts w:hint="default" w:ascii="Times New Roman" w:hAnsi="Times New Roman" w:eastAsia="宋体" w:cs="Times New Roman"/>
          <w:spacing w:val="4"/>
          <w:sz w:val="24"/>
          <w:szCs w:val="24"/>
          <w:lang w:val="en-US" w:eastAsia="zh-CN"/>
        </w:rPr>
        <w:t>术开发推广；橡胶制品行业推广采用串联法混炼、常压连续脱硫工艺。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eastAsia" w:cs="Times New Roman"/>
          <w:spacing w:val="4"/>
          <w:sz w:val="24"/>
          <w:szCs w:val="24"/>
          <w:lang w:val="en-US" w:eastAsia="zh-CN"/>
        </w:rPr>
      </w:pPr>
      <w:r>
        <w:rPr>
          <w:rFonts w:hint="eastAsia" w:cs="Times New Roman"/>
          <w:spacing w:val="4"/>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5.因地制宜推进其他工业行业VOCs综合治理。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p>
      <w:pPr>
        <w:keepNext w:val="0"/>
        <w:keepLines w:val="0"/>
        <w:widowControl/>
        <w:suppressLineNumbers w:val="0"/>
        <w:jc w:val="left"/>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lang w:eastAsia="zh-CN"/>
        </w:rPr>
        <w:t>本次工程位于</w:t>
      </w:r>
      <w:r>
        <w:rPr>
          <w:rFonts w:hint="eastAsia"/>
          <w:lang w:val="en-US" w:eastAsia="zh-CN"/>
        </w:rPr>
        <w:t>平顶山市叶县廉村镇二郎庙村村北200米路东</w:t>
      </w:r>
      <w:r>
        <w:rPr>
          <w:rFonts w:hint="default" w:ascii="Times New Roman" w:hAnsi="Times New Roman" w:eastAsia="宋体" w:cs="Times New Roman"/>
          <w:spacing w:val="4"/>
          <w:sz w:val="24"/>
          <w:szCs w:val="24"/>
          <w:lang w:eastAsia="zh-CN"/>
        </w:rPr>
        <w:t>，项目属于</w:t>
      </w:r>
      <w:r>
        <w:rPr>
          <w:rFonts w:hint="eastAsia" w:ascii="Times New Roman" w:hAnsi="Times New Roman" w:eastAsia="宋体" w:cs="Times New Roman"/>
          <w:spacing w:val="4"/>
          <w:sz w:val="24"/>
          <w:szCs w:val="24"/>
          <w:lang w:val="en-US" w:eastAsia="zh-CN"/>
        </w:rPr>
        <w:t>塑料制品</w:t>
      </w:r>
      <w:r>
        <w:rPr>
          <w:rFonts w:hint="eastAsia" w:ascii="Times New Roman" w:hAnsi="Times New Roman" w:eastAsia="宋体" w:cs="Times New Roman"/>
          <w:spacing w:val="4"/>
          <w:sz w:val="24"/>
          <w:szCs w:val="24"/>
          <w:lang w:eastAsia="zh-CN"/>
        </w:rPr>
        <w:t>业</w:t>
      </w:r>
      <w:r>
        <w:rPr>
          <w:rFonts w:hint="default" w:ascii="Times New Roman" w:hAnsi="Times New Roman" w:eastAsia="宋体" w:cs="Times New Roman"/>
          <w:spacing w:val="4"/>
          <w:sz w:val="24"/>
          <w:szCs w:val="24"/>
          <w:lang w:eastAsia="zh-CN"/>
        </w:rPr>
        <w:t>，</w:t>
      </w:r>
      <w:r>
        <w:rPr>
          <w:rFonts w:hint="eastAsia" w:ascii="Times New Roman" w:hAnsi="Times New Roman" w:eastAsia="宋体" w:cs="Times New Roman"/>
          <w:spacing w:val="4"/>
          <w:sz w:val="24"/>
          <w:szCs w:val="24"/>
          <w:lang w:eastAsia="zh-CN"/>
        </w:rPr>
        <w:t>不</w:t>
      </w:r>
      <w:r>
        <w:rPr>
          <w:rFonts w:hint="default" w:ascii="Times New Roman" w:hAnsi="Times New Roman" w:eastAsia="宋体" w:cs="Times New Roman"/>
          <w:spacing w:val="4"/>
          <w:sz w:val="24"/>
          <w:szCs w:val="24"/>
        </w:rPr>
        <w:t>属于重点治理行业</w:t>
      </w:r>
      <w:r>
        <w:rPr>
          <w:rFonts w:hint="eastAsia" w:cs="Times New Roman"/>
          <w:spacing w:val="4"/>
          <w:sz w:val="24"/>
          <w:szCs w:val="24"/>
          <w:lang w:eastAsia="zh-CN"/>
        </w:rPr>
        <w:t>，因此非必须进入园区</w:t>
      </w:r>
      <w:r>
        <w:rPr>
          <w:rFonts w:hint="default" w:ascii="Times New Roman" w:hAnsi="Times New Roman" w:eastAsia="宋体" w:cs="Times New Roman"/>
          <w:spacing w:val="4"/>
          <w:sz w:val="24"/>
          <w:szCs w:val="24"/>
        </w:rPr>
        <w:t>。生产过程</w:t>
      </w:r>
      <w:r>
        <w:rPr>
          <w:rFonts w:hint="eastAsia" w:ascii="Times New Roman" w:hAnsi="Times New Roman" w:eastAsia="宋体" w:cs="Times New Roman"/>
          <w:spacing w:val="4"/>
          <w:sz w:val="24"/>
          <w:szCs w:val="24"/>
          <w:lang w:eastAsia="zh-CN"/>
        </w:rPr>
        <w:t>车间</w:t>
      </w:r>
      <w:r>
        <w:rPr>
          <w:rFonts w:hint="default" w:ascii="Times New Roman" w:hAnsi="Times New Roman" w:eastAsia="宋体" w:cs="Times New Roman"/>
          <w:spacing w:val="4"/>
          <w:sz w:val="24"/>
          <w:szCs w:val="24"/>
        </w:rPr>
        <w:t>密闭，</w:t>
      </w:r>
      <w:r>
        <w:rPr>
          <w:rFonts w:hint="eastAsia" w:ascii="Times New Roman" w:hAnsi="Times New Roman" w:eastAsia="宋体" w:cs="Times New Roman"/>
          <w:spacing w:val="4"/>
          <w:sz w:val="24"/>
          <w:szCs w:val="24"/>
          <w:lang w:eastAsia="zh-CN"/>
        </w:rPr>
        <w:t>产生粉尘经袋式除尘器处理后由</w:t>
      </w:r>
      <w:r>
        <w:rPr>
          <w:rFonts w:hint="eastAsia" w:ascii="Times New Roman" w:hAnsi="Times New Roman" w:eastAsia="宋体" w:cs="Times New Roman"/>
          <w:spacing w:val="4"/>
          <w:sz w:val="24"/>
          <w:szCs w:val="24"/>
          <w:lang w:val="en-US" w:eastAsia="zh-CN"/>
        </w:rPr>
        <w:t>15m高排气筒排放，有机废气</w:t>
      </w:r>
      <w:r>
        <w:rPr>
          <w:rFonts w:hint="eastAsia" w:cs="Times New Roman"/>
          <w:spacing w:val="4"/>
          <w:sz w:val="24"/>
          <w:szCs w:val="24"/>
          <w:lang w:val="en-US" w:eastAsia="zh-CN"/>
        </w:rPr>
        <w:t>苯乙烯和</w:t>
      </w:r>
      <w:r>
        <w:rPr>
          <w:rFonts w:hint="eastAsia" w:ascii="Times New Roman" w:hAnsi="Times New Roman" w:eastAsia="宋体" w:cs="Times New Roman"/>
          <w:spacing w:val="4"/>
          <w:sz w:val="24"/>
          <w:szCs w:val="24"/>
          <w:lang w:val="en-US" w:eastAsia="zh-CN"/>
        </w:rPr>
        <w:t>非甲烷总烃经收集后进入吸附浓缩+催化燃烧处理后经15m高排气筒排放</w:t>
      </w:r>
      <w:r>
        <w:rPr>
          <w:rFonts w:hint="eastAsia" w:cs="Times New Roman"/>
          <w:spacing w:val="4"/>
          <w:sz w:val="24"/>
          <w:szCs w:val="24"/>
          <w:lang w:val="en-US" w:eastAsia="zh-CN"/>
        </w:rPr>
        <w:t>；污水站废气硫化氢、氨经二级活性炭吸附处理后经15m排气筒排放</w:t>
      </w:r>
      <w:r>
        <w:rPr>
          <w:rFonts w:hint="default" w:ascii="Times New Roman" w:hAnsi="Times New Roman" w:eastAsia="宋体" w:cs="Times New Roman"/>
          <w:spacing w:val="4"/>
          <w:sz w:val="24"/>
          <w:szCs w:val="24"/>
        </w:rPr>
        <w:t>。因此，项目建设符合《十三五挥发性有机物污染防治工作方案》。</w:t>
      </w:r>
    </w:p>
    <w:p>
      <w:pPr>
        <w:pStyle w:val="4"/>
        <w:bidi w:val="0"/>
        <w:rPr>
          <w:rFonts w:hint="eastAsia"/>
          <w:u w:val="single"/>
          <w:lang w:eastAsia="zh-CN"/>
        </w:rPr>
      </w:pPr>
      <w:r>
        <w:rPr>
          <w:rFonts w:hint="eastAsia"/>
          <w:u w:val="single"/>
          <w:lang w:val="en-US" w:eastAsia="zh-CN"/>
        </w:rPr>
        <w:t xml:space="preserve">2.6.8 </w:t>
      </w:r>
      <w:r>
        <w:rPr>
          <w:rFonts w:hint="default"/>
          <w:u w:val="single"/>
        </w:rPr>
        <w:t>项目与《废旧塑料综合利用行业规范条件》的符合性分析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u w:val="single"/>
        </w:rPr>
      </w:pPr>
      <w:r>
        <w:rPr>
          <w:rFonts w:hint="default" w:ascii="Times New Roman" w:hAnsi="Times New Roman" w:eastAsia="宋体" w:cs="Times New Roman"/>
          <w:spacing w:val="4"/>
          <w:sz w:val="24"/>
          <w:szCs w:val="24"/>
          <w:u w:val="single"/>
        </w:rPr>
        <w:t>项目与《废旧塑料综合利用行业规范条件》（工信部公告2015年81号）的符合性分析详见下表。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zh-CN" w:eastAsia="zh-CN"/>
        </w:rPr>
      </w:pPr>
      <w:r>
        <w:rPr>
          <w:rFonts w:hint="default"/>
          <w:b/>
          <w:bCs/>
          <w:lang w:val="zh-CN" w:eastAsia="zh-CN"/>
        </w:rPr>
        <w:t>表</w:t>
      </w:r>
      <w:r>
        <w:rPr>
          <w:rFonts w:hint="default"/>
          <w:b/>
          <w:bCs/>
          <w:lang w:val="en-US" w:eastAsia="zh-CN"/>
        </w:rPr>
        <w:t>2.6-</w:t>
      </w:r>
      <w:r>
        <w:rPr>
          <w:rFonts w:hint="eastAsia"/>
          <w:b/>
          <w:bCs/>
          <w:lang w:val="en-US" w:eastAsia="zh-CN"/>
        </w:rPr>
        <w:t>5</w:t>
      </w:r>
      <w:r>
        <w:rPr>
          <w:rFonts w:hint="default"/>
          <w:b/>
          <w:bCs/>
          <w:lang w:val="en-US" w:eastAsia="zh-CN"/>
        </w:rPr>
        <w:t xml:space="preserve">  项目与《废旧塑料综合利用行业规范条件》的符合性分析表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3777"/>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vertAlign w:val="baseline"/>
              </w:rPr>
            </w:pPr>
            <w:r>
              <w:rPr>
                <w:b/>
                <w:bCs/>
                <w:sz w:val="21"/>
                <w:szCs w:val="21"/>
                <w:vertAlign w:val="baseline"/>
              </w:rPr>
              <w:t>《废旧塑料综合利用行业规范条件》</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vertAlign w:val="baseline"/>
                <w:lang w:eastAsia="zh-CN"/>
              </w:rPr>
            </w:pPr>
            <w:r>
              <w:rPr>
                <w:rFonts w:hint="eastAsia"/>
                <w:b/>
                <w:bCs/>
                <w:sz w:val="21"/>
                <w:szCs w:val="21"/>
                <w:vertAlign w:val="baseline"/>
                <w:lang w:eastAsia="zh-CN"/>
              </w:rPr>
              <w:t>项目情况</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vertAlign w:val="baseline"/>
                <w:lang w:eastAsia="zh-CN"/>
              </w:rPr>
            </w:pPr>
            <w:r>
              <w:rPr>
                <w:rFonts w:hint="eastAsia"/>
                <w:b/>
                <w:bCs/>
                <w:sz w:val="21"/>
                <w:szCs w:val="21"/>
                <w:vertAlign w:val="baseli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vertAlign w:val="baseline"/>
              </w:rPr>
            </w:pPr>
            <w:r>
              <w:rPr>
                <w:sz w:val="21"/>
                <w:szCs w:val="21"/>
                <w:vertAlign w:val="baseline"/>
              </w:rPr>
              <w:t>一、企业的设立和布局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1、新建及改造、扩建废塑料加工企业应符合国家产业政策及所在地区土地利用总体规划、城乡建设规划、环境保护、污染防治规划。企业建设应有规范化设计要求，采用节能环保技术及生产装备。</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本项目属于新建项目，位于</w:t>
            </w:r>
            <w:r>
              <w:rPr>
                <w:rFonts w:hint="eastAsia"/>
                <w:sz w:val="21"/>
                <w:szCs w:val="21"/>
                <w:vertAlign w:val="baseline"/>
                <w:lang w:val="en-US" w:eastAsia="zh-CN"/>
              </w:rPr>
              <w:t>平顶山市叶县廉村镇二郎庙村村北200米路东</w:t>
            </w:r>
            <w:r>
              <w:rPr>
                <w:sz w:val="21"/>
                <w:szCs w:val="21"/>
                <w:vertAlign w:val="baseline"/>
              </w:rPr>
              <w:t>，用地类型为</w:t>
            </w:r>
            <w:r>
              <w:rPr>
                <w:rFonts w:hint="eastAsia"/>
                <w:sz w:val="21"/>
                <w:szCs w:val="21"/>
                <w:vertAlign w:val="baseline"/>
                <w:lang w:eastAsia="zh-CN"/>
              </w:rPr>
              <w:t>建设</w:t>
            </w:r>
            <w:r>
              <w:rPr>
                <w:sz w:val="21"/>
                <w:szCs w:val="21"/>
                <w:vertAlign w:val="baseline"/>
              </w:rPr>
              <w:t>用地，符合国家产业政策，本项目供热采用电加热，采用节能环保技术及生产装备。</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2、在国家法律、法规、规章和规划确定或县级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本项目</w:t>
            </w:r>
            <w:r>
              <w:rPr>
                <w:rFonts w:hint="eastAsia"/>
                <w:sz w:val="21"/>
                <w:szCs w:val="21"/>
                <w:vertAlign w:val="baseline"/>
                <w:lang w:eastAsia="zh-CN"/>
              </w:rPr>
              <w:t>位于</w:t>
            </w:r>
            <w:r>
              <w:rPr>
                <w:rFonts w:hint="eastAsia"/>
                <w:sz w:val="21"/>
                <w:szCs w:val="21"/>
                <w:vertAlign w:val="baseline"/>
                <w:lang w:val="en-US" w:eastAsia="zh-CN"/>
              </w:rPr>
              <w:t>平顶山市叶县廉村镇二郎庙村村北200米路东</w:t>
            </w:r>
            <w:r>
              <w:rPr>
                <w:sz w:val="21"/>
                <w:szCs w:val="21"/>
                <w:vertAlign w:val="baseline"/>
              </w:rPr>
              <w:t>，不在自然保护区、风景名胜区、饮用水源保护区、基本农田保护区和其他需要特别保护的区域内。</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vertAlign w:val="baseline"/>
              </w:rPr>
            </w:pPr>
            <w:r>
              <w:rPr>
                <w:rFonts w:ascii="宋体" w:hAnsi="宋体" w:eastAsia="宋体" w:cs="宋体"/>
                <w:spacing w:val="-2"/>
                <w:sz w:val="21"/>
                <w:szCs w:val="21"/>
              </w:rPr>
              <w:t>二、生产经营模式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1、塑料再生造粒类企业：新建企业年废塑料处理能力不低于5000吨；已建企业年废塑料处理能力不低于3000吨。</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sz w:val="21"/>
                <w:szCs w:val="21"/>
                <w:vertAlign w:val="baseline"/>
              </w:rPr>
              <w:t>本项目为新建项目，</w:t>
            </w:r>
            <w:r>
              <w:rPr>
                <w:rFonts w:hint="eastAsia"/>
                <w:sz w:val="21"/>
                <w:szCs w:val="21"/>
                <w:vertAlign w:val="baseline"/>
                <w:lang w:eastAsia="zh-CN"/>
              </w:rPr>
              <w:t>年处理废旧塑料</w:t>
            </w:r>
            <w:r>
              <w:rPr>
                <w:rFonts w:hint="eastAsia"/>
                <w:sz w:val="21"/>
                <w:szCs w:val="21"/>
                <w:vertAlign w:val="baseline"/>
                <w:lang w:val="en-US" w:eastAsia="zh-CN"/>
              </w:rPr>
              <w:t>6000吨。</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ascii="Times New Roman" w:hAnsi="Times New Roman" w:eastAsia="Times New Roman" w:cs="Times New Roman"/>
                <w:spacing w:val="-3"/>
                <w:sz w:val="21"/>
                <w:szCs w:val="21"/>
              </w:rPr>
              <w:t>2</w:t>
            </w:r>
            <w:r>
              <w:rPr>
                <w:rFonts w:ascii="宋体" w:hAnsi="宋体" w:eastAsia="宋体" w:cs="宋体"/>
                <w:spacing w:val="-3"/>
                <w:sz w:val="21"/>
                <w:szCs w:val="21"/>
              </w:rPr>
              <w:t>、企业应具有生产能力相匹配的厂区作业场地</w:t>
            </w:r>
            <w:r>
              <w:rPr>
                <w:rFonts w:ascii="宋体" w:hAnsi="宋体" w:eastAsia="宋体" w:cs="宋体"/>
                <w:spacing w:val="-4"/>
                <w:sz w:val="21"/>
                <w:szCs w:val="21"/>
              </w:rPr>
              <w:t>面积。</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sz w:val="21"/>
                <w:szCs w:val="21"/>
                <w:vertAlign w:val="baseline"/>
              </w:rPr>
              <w:t>企业配备有破碎、清洗、造粒、注塑作业场地，满足生产能力</w:t>
            </w:r>
            <w:r>
              <w:rPr>
                <w:rFonts w:hint="eastAsia"/>
                <w:sz w:val="21"/>
                <w:szCs w:val="21"/>
                <w:vertAlign w:val="baseline"/>
                <w:lang w:eastAsia="zh-CN"/>
              </w:rPr>
              <w:t>。</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vertAlign w:val="baseline"/>
              </w:rPr>
            </w:pPr>
            <w:r>
              <w:rPr>
                <w:sz w:val="21"/>
                <w:szCs w:val="21"/>
                <w:vertAlign w:val="baseline"/>
              </w:rPr>
              <w:t>三、资源综合利用及能耗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1、企业应对收集的废塑料进行充分利用，提高资源回收利用效率，不得倾倒、焚烧与填埋。</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本项目对回收的废旧塑料充分利用，无倾倒、焚烧与填埋。</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vertAlign w:val="baseline"/>
              </w:rPr>
            </w:pPr>
            <w:r>
              <w:rPr>
                <w:sz w:val="21"/>
                <w:szCs w:val="21"/>
                <w:vertAlign w:val="baseline"/>
              </w:rPr>
              <w:t>四、工业与装备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1、塑料再生造粒类企业，应具有与加工利用能力相适应的与处理设备和造粒设备。其中，造粒设备应具有强制排气系统，通过集气装置实现废气的集中处理；过滤装置的废气过滤网应按照环境保护有关规定处理，禁止露天焚烧。</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企业有废塑料破碎、清洗、分选、造粒、注塑设备，挤出、造粒、注塑等</w:t>
            </w:r>
            <w:r>
              <w:rPr>
                <w:rFonts w:hint="eastAsia"/>
                <w:sz w:val="21"/>
                <w:szCs w:val="21"/>
                <w:vertAlign w:val="baseline"/>
                <w:lang w:eastAsia="zh-CN"/>
              </w:rPr>
              <w:t>有机</w:t>
            </w:r>
            <w:r>
              <w:rPr>
                <w:sz w:val="21"/>
                <w:szCs w:val="21"/>
                <w:vertAlign w:val="baseline"/>
              </w:rPr>
              <w:t>废气通过</w:t>
            </w:r>
            <w:r>
              <w:rPr>
                <w:rFonts w:hint="eastAsia"/>
                <w:sz w:val="21"/>
                <w:szCs w:val="21"/>
                <w:vertAlign w:val="baseline"/>
                <w:lang w:eastAsia="zh-CN"/>
              </w:rPr>
              <w:t>负压</w:t>
            </w:r>
            <w:r>
              <w:rPr>
                <w:sz w:val="21"/>
                <w:szCs w:val="21"/>
                <w:vertAlign w:val="baseline"/>
              </w:rPr>
              <w:t>收集，再经</w:t>
            </w:r>
            <w:r>
              <w:rPr>
                <w:rFonts w:hint="eastAsia"/>
                <w:sz w:val="21"/>
                <w:szCs w:val="21"/>
                <w:vertAlign w:val="baseline"/>
                <w:lang w:eastAsia="zh-CN"/>
              </w:rPr>
              <w:t>催化燃烧</w:t>
            </w:r>
            <w:r>
              <w:rPr>
                <w:sz w:val="21"/>
                <w:szCs w:val="21"/>
                <w:vertAlign w:val="baseline"/>
              </w:rPr>
              <w:t>处理后通过15m高排气筒排放；过滤网</w:t>
            </w:r>
            <w:r>
              <w:rPr>
                <w:rFonts w:hint="eastAsia"/>
                <w:sz w:val="21"/>
                <w:szCs w:val="21"/>
                <w:vertAlign w:val="baseline"/>
                <w:lang w:eastAsia="zh-CN"/>
              </w:rPr>
              <w:t>由厂家回收</w:t>
            </w:r>
            <w:r>
              <w:rPr>
                <w:sz w:val="21"/>
                <w:szCs w:val="21"/>
                <w:vertAlign w:val="baseline"/>
              </w:rPr>
              <w:t>、废活性炭交由危废资质单位处理，不焚烧。</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sz w:val="21"/>
                <w:szCs w:val="21"/>
                <w:vertAlign w:val="baseline"/>
              </w:rPr>
            </w:pPr>
            <w:r>
              <w:rPr>
                <w:sz w:val="21"/>
                <w:szCs w:val="21"/>
                <w:vertAlign w:val="baseline"/>
              </w:rPr>
              <w:t>五、环境保护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1、废塑料综合利用企业应严格执行《中华人民共和国环境影响评价法》，按照环境保护主管部门的相关规定报批环境影响评价文件。按照环境保护“三同时”的要求建设配套的环境保护设施；编制环境风险预案，并依法申请项目竣工环境保护验收。</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项目按照照《中华人民共和国环境影响评价法》的要求执行“三同时”制度，建设配套的环境保护设施并制定环境风险应急预案。</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2、企业加工存储场地应建有围墙，在园区内的企业可为单独厂房，地面全部硬化且无明显破损现象。</w:t>
            </w:r>
          </w:p>
        </w:tc>
        <w:tc>
          <w:tcPr>
            <w:tcW w:w="203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项目建设防雨、防风、防渗等功能的厂房，地面全部硬化防渗，厂区实行雨污分流。</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3、企业必须配备塑料分类存放场所。原料、产品、本企业不能利用废塑料及不可利用废物贮存在具有防雨、防风、防渗等功能的厂房或加盖雨棚的专门贮存场地内，无露天堆放现象。企业厂区管网建设应达到“雨污分流”要求。</w:t>
            </w:r>
          </w:p>
        </w:tc>
        <w:tc>
          <w:tcPr>
            <w:tcW w:w="203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4、企业对收集的废塑料中的金属、橡胶、纤维、渣土、油脂、添加物等夹杂物，应采取相应的处理措施。如企业不具备处理条件，应委托其他具有处理能力的企业处理，不得擅自丢弃倾倒、焚烧与填埋。</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ascii="宋体" w:hAnsi="宋体" w:eastAsia="宋体" w:cs="宋体"/>
                <w:spacing w:val="-4"/>
                <w:sz w:val="21"/>
                <w:szCs w:val="21"/>
              </w:rPr>
              <w:t>本项目原料为较清洁的原料，无</w:t>
            </w:r>
            <w:r>
              <w:rPr>
                <w:rFonts w:ascii="宋体" w:hAnsi="宋体" w:eastAsia="宋体" w:cs="宋体"/>
                <w:spacing w:val="-2"/>
                <w:sz w:val="21"/>
                <w:szCs w:val="21"/>
              </w:rPr>
              <w:t>相关杂物。</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5、企业应具有与加工利用能力相适应的废水处理设施，中水回用率必须符合环评文件的有关要求。废水处理后需要外排的废水，必须经处理后达标排放。企业应采用高效节能环保的污染处理工艺，或交由具有处理资质的废物处理机构，实现污泥无害化处理。除具有获批建设、验收合格的专业盐卤废水处理设施，禁止使用盐卤分选工艺。</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ascii="宋体" w:hAnsi="宋体" w:eastAsia="宋体" w:cs="宋体"/>
                <w:spacing w:val="12"/>
                <w:sz w:val="21"/>
                <w:szCs w:val="21"/>
              </w:rPr>
              <w:t>本项目生产废水经污水处理设</w:t>
            </w:r>
            <w:r>
              <w:rPr>
                <w:rFonts w:ascii="宋体" w:hAnsi="宋体" w:eastAsia="宋体" w:cs="宋体"/>
                <w:spacing w:val="-4"/>
                <w:sz w:val="21"/>
                <w:szCs w:val="21"/>
              </w:rPr>
              <w:t>施收集处理后回用，不外排。本项目分选采用清水分选，</w:t>
            </w:r>
            <w:r>
              <w:rPr>
                <w:rFonts w:hint="eastAsia" w:ascii="宋体" w:hAnsi="宋体" w:cs="宋体"/>
                <w:spacing w:val="-4"/>
                <w:sz w:val="21"/>
                <w:szCs w:val="21"/>
                <w:lang w:eastAsia="zh-CN"/>
              </w:rPr>
              <w:t>添加少量工业氯化钠，</w:t>
            </w:r>
            <w:r>
              <w:rPr>
                <w:rFonts w:ascii="宋体" w:hAnsi="宋体" w:eastAsia="宋体" w:cs="宋体"/>
                <w:spacing w:val="-4"/>
                <w:sz w:val="21"/>
                <w:szCs w:val="21"/>
              </w:rPr>
              <w:t>不采用</w:t>
            </w:r>
            <w:r>
              <w:rPr>
                <w:rFonts w:ascii="宋体" w:hAnsi="宋体" w:eastAsia="宋体" w:cs="宋体"/>
                <w:spacing w:val="-2"/>
                <w:sz w:val="21"/>
                <w:szCs w:val="21"/>
              </w:rPr>
              <w:t>盐卤分选工艺。</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6、再生加工过程中产生废气、粉尘的加工车间应设置废气、粉尘收集处理设施，通过净化处理，达标后排放。</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本项目</w:t>
            </w:r>
            <w:r>
              <w:rPr>
                <w:rFonts w:hint="eastAsia"/>
                <w:sz w:val="21"/>
                <w:szCs w:val="21"/>
                <w:vertAlign w:val="baseline"/>
                <w:lang w:eastAsia="zh-CN"/>
              </w:rPr>
              <w:t>有机</w:t>
            </w:r>
            <w:r>
              <w:rPr>
                <w:sz w:val="21"/>
                <w:szCs w:val="21"/>
                <w:vertAlign w:val="baseline"/>
              </w:rPr>
              <w:t>废气经</w:t>
            </w:r>
            <w:r>
              <w:rPr>
                <w:rFonts w:hint="eastAsia"/>
                <w:sz w:val="21"/>
                <w:szCs w:val="21"/>
                <w:vertAlign w:val="baseline"/>
                <w:lang w:eastAsia="zh-CN"/>
              </w:rPr>
              <w:t>催化燃烧</w:t>
            </w:r>
            <w:r>
              <w:rPr>
                <w:sz w:val="21"/>
                <w:szCs w:val="21"/>
                <w:vertAlign w:val="baseline"/>
              </w:rPr>
              <w:t>装置处理后</w:t>
            </w:r>
            <w:r>
              <w:rPr>
                <w:rFonts w:hint="eastAsia"/>
                <w:sz w:val="21"/>
                <w:szCs w:val="21"/>
                <w:vertAlign w:val="baseline"/>
                <w:lang w:eastAsia="zh-CN"/>
              </w:rPr>
              <w:t>达标</w:t>
            </w:r>
            <w:r>
              <w:rPr>
                <w:sz w:val="21"/>
                <w:szCs w:val="21"/>
                <w:vertAlign w:val="baseline"/>
              </w:rPr>
              <w:t>排放；破碎过程采取</w:t>
            </w:r>
            <w:r>
              <w:rPr>
                <w:rFonts w:hint="eastAsia"/>
                <w:sz w:val="21"/>
                <w:szCs w:val="21"/>
                <w:vertAlign w:val="baseline"/>
                <w:lang w:eastAsia="zh-CN"/>
              </w:rPr>
              <w:t>袋式除尘器处理后达标</w:t>
            </w:r>
            <w:r>
              <w:rPr>
                <w:sz w:val="21"/>
                <w:szCs w:val="21"/>
                <w:vertAlign w:val="baseline"/>
              </w:rPr>
              <w:t>排放。</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4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sz w:val="21"/>
                <w:szCs w:val="21"/>
                <w:vertAlign w:val="baseline"/>
              </w:rPr>
              <w:t>7、对于加工过程中噪音污染大的设备，必须采取降噪和隔音措施，企业噪声应达到《工业企业厂界环境噪声排放标准》</w:t>
            </w:r>
          </w:p>
        </w:tc>
        <w:tc>
          <w:tcPr>
            <w:tcW w:w="20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ascii="宋体" w:hAnsi="宋体" w:eastAsia="宋体" w:cs="宋体"/>
                <w:spacing w:val="-4"/>
                <w:sz w:val="21"/>
                <w:szCs w:val="21"/>
              </w:rPr>
              <w:t>项目破碎、清洗及造粒设备均采取选购低噪声设备、减震措施及厂房隔声，厂界满足《工业企业</w:t>
            </w:r>
            <w:r>
              <w:rPr>
                <w:rFonts w:ascii="宋体" w:hAnsi="宋体" w:eastAsia="宋体" w:cs="宋体"/>
                <w:spacing w:val="-9"/>
                <w:sz w:val="21"/>
                <w:szCs w:val="21"/>
              </w:rPr>
              <w:t>厂界环境噪声排放标</w:t>
            </w:r>
            <w:r>
              <w:rPr>
                <w:rFonts w:ascii="宋体" w:hAnsi="宋体" w:eastAsia="宋体" w:cs="宋体"/>
                <w:spacing w:val="-3"/>
                <w:sz w:val="21"/>
                <w:szCs w:val="21"/>
              </w:rPr>
              <w:t>准》（</w:t>
            </w:r>
            <w:r>
              <w:rPr>
                <w:rFonts w:ascii="宋体" w:hAnsi="宋体" w:eastAsia="宋体" w:cs="宋体"/>
                <w:spacing w:val="-58"/>
                <w:sz w:val="21"/>
                <w:szCs w:val="21"/>
              </w:rPr>
              <w:t xml:space="preserve"> </w:t>
            </w:r>
            <w:r>
              <w:rPr>
                <w:rFonts w:ascii="Times New Roman" w:hAnsi="Times New Roman" w:eastAsia="Times New Roman" w:cs="Times New Roman"/>
                <w:spacing w:val="-3"/>
                <w:sz w:val="21"/>
                <w:szCs w:val="21"/>
              </w:rPr>
              <w:t>GB12348-2008</w:t>
            </w:r>
            <w:r>
              <w:rPr>
                <w:rFonts w:ascii="宋体" w:hAnsi="宋体" w:eastAsia="宋体" w:cs="宋体"/>
                <w:spacing w:val="-3"/>
                <w:sz w:val="21"/>
                <w:szCs w:val="21"/>
              </w:rPr>
              <w:t>）</w:t>
            </w:r>
            <w:r>
              <w:rPr>
                <w:rFonts w:hint="eastAsia" w:ascii="Times New Roman" w:hAnsi="Times New Roman" w:eastAsia="宋体" w:cs="Times New Roman"/>
                <w:spacing w:val="-3"/>
                <w:sz w:val="21"/>
                <w:szCs w:val="21"/>
                <w:lang w:val="en-US" w:eastAsia="zh-CN"/>
              </w:rPr>
              <w:t>1</w:t>
            </w:r>
            <w:r>
              <w:rPr>
                <w:rFonts w:ascii="宋体" w:hAnsi="宋体" w:eastAsia="宋体" w:cs="宋体"/>
                <w:spacing w:val="-3"/>
                <w:sz w:val="21"/>
                <w:szCs w:val="21"/>
              </w:rPr>
              <w:t>类标</w:t>
            </w:r>
            <w:r>
              <w:rPr>
                <w:rFonts w:ascii="宋体" w:hAnsi="宋体" w:eastAsia="宋体" w:cs="宋体"/>
                <w:spacing w:val="-6"/>
                <w:sz w:val="21"/>
                <w:szCs w:val="21"/>
              </w:rPr>
              <w:t>准。</w:t>
            </w:r>
          </w:p>
        </w:tc>
        <w:tc>
          <w:tcPr>
            <w:tcW w:w="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符合</w:t>
            </w:r>
          </w:p>
        </w:tc>
      </w:tr>
    </w:tbl>
    <w:p>
      <w:pPr>
        <w:keepNext w:val="0"/>
        <w:keepLines w:val="0"/>
        <w:pageBreakBefore w:val="0"/>
        <w:widowControl w:val="0"/>
        <w:kinsoku/>
        <w:wordWrap/>
        <w:overflowPunct/>
        <w:topLinePunct w:val="0"/>
        <w:bidi w:val="0"/>
        <w:adjustRightInd/>
        <w:snapToGrid/>
        <w:spacing w:line="360" w:lineRule="auto"/>
        <w:textAlignment w:val="auto"/>
        <w:rPr>
          <w:rFonts w:hint="eastAsia" w:eastAsia="宋体"/>
          <w:u w:val="single"/>
          <w:lang w:eastAsia="zh-CN"/>
        </w:rPr>
      </w:pPr>
      <w:r>
        <w:rPr>
          <w:u w:val="single"/>
        </w:rPr>
        <w:t>由上表可知，项目的建设符合《废旧塑料综合利用行业规范条件》</w:t>
      </w:r>
      <w:r>
        <w:rPr>
          <w:rFonts w:hint="eastAsia"/>
          <w:u w:val="single"/>
          <w:lang w:eastAsia="zh-CN"/>
        </w:rPr>
        <w:t>。</w:t>
      </w:r>
    </w:p>
    <w:p>
      <w:pPr>
        <w:pStyle w:val="4"/>
        <w:bidi w:val="0"/>
        <w:rPr>
          <w:rFonts w:hint="eastAsia"/>
          <w:u w:val="single"/>
          <w:lang w:eastAsia="zh-CN"/>
        </w:rPr>
      </w:pPr>
      <w:r>
        <w:rPr>
          <w:rFonts w:hint="eastAsia"/>
          <w:u w:val="single"/>
          <w:lang w:val="en-US" w:eastAsia="zh-CN"/>
        </w:rPr>
        <w:t>2.6.9 与《废塑料回收与再生利用污染控制技术规范》的符合性分析</w:t>
      </w:r>
    </w:p>
    <w:p>
      <w:pPr>
        <w:keepNext w:val="0"/>
        <w:keepLines w:val="0"/>
        <w:pageBreakBefore w:val="0"/>
        <w:widowControl w:val="0"/>
        <w:kinsoku/>
        <w:wordWrap/>
        <w:overflowPunct/>
        <w:topLinePunct w:val="0"/>
        <w:bidi w:val="0"/>
        <w:adjustRightInd/>
        <w:snapToGrid/>
        <w:spacing w:line="360" w:lineRule="auto"/>
        <w:textAlignment w:val="auto"/>
        <w:rPr>
          <w:rFonts w:hint="default"/>
          <w:u w:val="single"/>
        </w:rPr>
      </w:pPr>
      <w:r>
        <w:rPr>
          <w:u w:val="single"/>
        </w:rPr>
        <w:t>项目与《废塑料回收与再生利用污染控制技术规范》（试行）（HJ/T364-2007）的符合性分析详见下表。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zh-CN" w:eastAsia="zh-CN"/>
        </w:rPr>
      </w:pPr>
      <w:r>
        <w:rPr>
          <w:rFonts w:hint="default"/>
          <w:b/>
          <w:bCs/>
          <w:lang w:val="zh-CN" w:eastAsia="zh-CN"/>
        </w:rPr>
        <w:t>表</w:t>
      </w:r>
      <w:r>
        <w:rPr>
          <w:rFonts w:hint="default"/>
          <w:b/>
          <w:bCs/>
          <w:lang w:val="en-US" w:eastAsia="zh-CN"/>
        </w:rPr>
        <w:t>2.6-</w:t>
      </w:r>
      <w:r>
        <w:rPr>
          <w:rFonts w:hint="eastAsia"/>
          <w:b/>
          <w:bCs/>
          <w:lang w:val="en-US" w:eastAsia="zh-CN"/>
        </w:rPr>
        <w:t>6</w:t>
      </w:r>
      <w:r>
        <w:rPr>
          <w:rFonts w:hint="default"/>
          <w:b/>
          <w:bCs/>
          <w:lang w:val="en-US" w:eastAsia="zh-CN"/>
        </w:rPr>
        <w:t xml:space="preserve">  项目与《废塑料回收与再生利用污染控制技术规范》的符合性分析表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591"/>
        <w:gridCol w:w="4101"/>
        <w:gridCol w:w="3532"/>
        <w:gridCol w:w="854"/>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项目</w:t>
            </w:r>
          </w:p>
        </w:tc>
        <w:tc>
          <w:tcPr>
            <w:tcW w:w="22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具体要求</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本项目情况</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回收</w:t>
            </w:r>
          </w:p>
        </w:tc>
        <w:tc>
          <w:tcPr>
            <w:tcW w:w="2258" w:type="pct"/>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废塑料的回收应按原料树脂种类进行分类，并严格区分废塑料来源和用途。不得回收和再生利用医疗废物和危险废物的废塑料；</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含卤素废塑料的回收和再生利用应与其他废塑料分开进行；</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w w:val="98"/>
                <w:sz w:val="21"/>
                <w:szCs w:val="21"/>
              </w:rPr>
              <w:t>废塑料的分类鉴别采用</w:t>
            </w:r>
            <w:r>
              <w:rPr>
                <w:rFonts w:hint="default" w:ascii="Times New Roman" w:hAnsi="Times New Roman" w:eastAsia="宋体" w:cs="Times New Roman"/>
                <w:spacing w:val="0"/>
                <w:sz w:val="21"/>
                <w:szCs w:val="21"/>
              </w:rPr>
              <w:t>GB/T19466.3(熔融和结晶温度及热焓的测定)与红外光谱相结合的方法；</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废塑料的回收中转或贮存场所(企业)必须经过当地人民政府环境保护行政主管部门的环保审批，并有相应的污染防治设施和设备；</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废塑料的回收过程中不得进行就地清洗，如需进行减容破碎处理，应使用干法破碎技术，并配备相应的防尘、防噪声设备；</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废塑料的回收过程中应避免遗洒。</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本项目废塑料的回收按原料种类进行分类，并严格区分废塑料来源和用途，禁止回收和再生利用医疗废物和危险废物的废塑料；本项目不回收含卤素废塑料；废塑料的分类鉴别采用GB/T19466.3</w:t>
            </w:r>
            <w:r>
              <w:rPr>
                <w:rFonts w:hint="default" w:ascii="Times New Roman" w:hAnsi="Times New Roman" w:eastAsia="宋体" w:cs="Times New Roman"/>
                <w:spacing w:val="0"/>
                <w:sz w:val="21"/>
                <w:szCs w:val="21"/>
                <w:lang w:eastAsia="zh-CN"/>
              </w:rPr>
              <w:t>（</w:t>
            </w:r>
            <w:r>
              <w:rPr>
                <w:rFonts w:hint="default" w:ascii="Times New Roman" w:hAnsi="Times New Roman" w:eastAsia="宋体" w:cs="Times New Roman"/>
                <w:spacing w:val="0"/>
                <w:sz w:val="21"/>
                <w:szCs w:val="21"/>
              </w:rPr>
              <w:t>熔融和结晶温度及热焓的测定</w:t>
            </w:r>
            <w:r>
              <w:rPr>
                <w:rFonts w:hint="default" w:ascii="Times New Roman" w:hAnsi="Times New Roman" w:eastAsia="宋体" w:cs="Times New Roman"/>
                <w:spacing w:val="0"/>
                <w:sz w:val="21"/>
                <w:szCs w:val="21"/>
                <w:lang w:eastAsia="zh-CN"/>
              </w:rPr>
              <w:t>）</w:t>
            </w:r>
            <w:r>
              <w:rPr>
                <w:rFonts w:hint="default" w:ascii="Times New Roman" w:hAnsi="Times New Roman" w:eastAsia="宋体" w:cs="Times New Roman"/>
                <w:spacing w:val="0"/>
                <w:sz w:val="21"/>
                <w:szCs w:val="21"/>
              </w:rPr>
              <w:t>与红外光谱相结合的方法；本项目通过当地人民政府环境保护行政主管部门的环保审批后，方可投入运营，并配备相应的污染防治设施和设备；本项目回收的废塑料已进行清洗，回收后再进行清洗，破碎车间带水作业，破碎设备设置减震垫、消声器等。</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运输</w:t>
            </w:r>
          </w:p>
        </w:tc>
        <w:tc>
          <w:tcPr>
            <w:tcW w:w="22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1、封闭运输，不得裸露运输；</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2、包装物防水、耐压、遮蔽性好，运输、装卸时无废塑料遗洒；</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3、包装物表面标明废塑料的来源、原用途和去向等信息；</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4、不得超高、超宽、超载运输废塑料。</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所用废塑料的包装应在规定的回收场所内完成，避免废塑料流失污染环境。废塑料不得裸露运输，确保在装卸运输中不破裂、泄漏；宜采用密闭集装箱或带有压缩装置的厢式货车运输，在运输过程中轻装轻卸，避免日晒雨淋，保持包装完整，避免塑料品在装载和运输过程中泄漏污染环境。废塑料包装表面应有回收标识和废塑料种类标识，标识应清晰可辨、易于识别、不易擦掉，并应标明废塑料的来源、原用途和去向等信息。运输入厂的废塑料不得露天存放，贮存场所应建造为封闭或半封闭，应有防雨、防晒、防尘和防火措施。</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贮存</w:t>
            </w:r>
          </w:p>
        </w:tc>
        <w:tc>
          <w:tcPr>
            <w:tcW w:w="22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1、废塑料贮存在通过环保审批的专门贮存场所内；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2、贮存场所封闭或半封闭，有防雨、符合防晒、防尘、防扬散、防火措施。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3、废塑料按种类、来源分开存放。</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本项目设置专门的贮存场所，具备防雨、防晒、防尘、防扬散、防火等措施；厂区内原料要求企业按种类、来源分开存放。</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10" w:hRule="atLeast"/>
          <w:jc w:val="center"/>
        </w:trPr>
        <w:tc>
          <w:tcPr>
            <w:tcW w:w="326"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预处理</w:t>
            </w:r>
          </w:p>
        </w:tc>
        <w:tc>
          <w:tcPr>
            <w:tcW w:w="2258" w:type="pct"/>
            <w:tcBorders>
              <w:bottom w:val="single" w:color="auto" w:sz="4" w:space="0"/>
            </w:tcBorders>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预处理工艺遵循先进、稳定、无二次污染的原则，采用节能、高效、低污染的技术和设备；机械化和自动化作业，减少手工操作；</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废塑料人工分选确保操作人员的健康和安全；</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根据塑料来源和污染情况选择清洗工艺，化学清洗不得使用有毒有害化学清洗剂；</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塑料破碎应配有防治粉尘和噪声污染的设备；</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人工干燥宜采用节能高效技术，自然干燥应采取防风措施。</w:t>
            </w:r>
          </w:p>
        </w:tc>
        <w:tc>
          <w:tcPr>
            <w:tcW w:w="1945"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预处理工艺采用自动化作业，仅在原料筛选时采用手工操作，人工分选时配有橡胶手套、胶鞋以及口罩等健康和安全防护措施。本项目塑料清洗采用清水清洗，不涉及有毒有害化学清洗剂。项目废旧塑料破碎过程破碎机安装减震基座等减少噪声。</w:t>
            </w:r>
          </w:p>
        </w:tc>
        <w:tc>
          <w:tcPr>
            <w:tcW w:w="470"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项目建设环境保护</w:t>
            </w:r>
          </w:p>
        </w:tc>
        <w:tc>
          <w:tcPr>
            <w:tcW w:w="2258"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1、废塑料再生利用项目必须经过县级以上地方人民政府环境保护行政主管部门的审批，严格执行环境影响评价和“三同时”制度；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2、进口塑料作为生产原料的企业应具有固体废物进口许可证；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3、新建项目选址应符合环境保护要求，不得建在城市居民区、商业区及其他环境敏感区内，若在，需限期迁址；</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w w:val="97"/>
                <w:sz w:val="21"/>
                <w:szCs w:val="21"/>
              </w:rPr>
            </w:pPr>
            <w:r>
              <w:rPr>
                <w:rFonts w:hint="default" w:ascii="Times New Roman" w:hAnsi="Times New Roman" w:eastAsia="宋体" w:cs="Times New Roman"/>
                <w:spacing w:val="0"/>
                <w:sz w:val="21"/>
                <w:szCs w:val="21"/>
              </w:rPr>
              <w:t>4、再生利用项目必须建有围墙并按功能划分厂区，各功能区应有明显的界线</w:t>
            </w:r>
            <w:r>
              <w:rPr>
                <w:rFonts w:hint="default" w:ascii="Times New Roman" w:hAnsi="Times New Roman" w:eastAsia="宋体" w:cs="Times New Roman"/>
                <w:spacing w:val="0"/>
                <w:w w:val="97"/>
                <w:sz w:val="21"/>
                <w:szCs w:val="21"/>
              </w:rPr>
              <w:t>和标志；</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val="en-US" w:eastAsia="zh-CN"/>
              </w:rPr>
              <w:t>5</w:t>
            </w:r>
            <w:r>
              <w:rPr>
                <w:rFonts w:hint="default" w:ascii="Times New Roman" w:hAnsi="Times New Roman" w:eastAsia="宋体" w:cs="Times New Roman"/>
                <w:spacing w:val="0"/>
                <w:sz w:val="21"/>
                <w:szCs w:val="21"/>
              </w:rPr>
              <w:t>、</w:t>
            </w:r>
            <w:r>
              <w:rPr>
                <w:rFonts w:hint="default" w:ascii="Times New Roman" w:hAnsi="Times New Roman" w:eastAsia="宋体" w:cs="Times New Roman"/>
                <w:spacing w:val="0"/>
                <w:w w:val="97"/>
                <w:sz w:val="21"/>
                <w:szCs w:val="21"/>
              </w:rPr>
              <w:t>功能区设施封闭或半封闭</w:t>
            </w:r>
            <w:r>
              <w:rPr>
                <w:rFonts w:hint="eastAsia" w:cs="Times New Roman"/>
                <w:spacing w:val="0"/>
                <w:w w:val="97"/>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6、废塑料的回收过程中应避免遗洒。</w:t>
            </w:r>
          </w:p>
        </w:tc>
        <w:tc>
          <w:tcPr>
            <w:tcW w:w="1945"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本项目拟经县级以上生态环境主管部门审批，严格执行环境影响评价和</w:t>
            </w:r>
            <w:r>
              <w:rPr>
                <w:rFonts w:hint="eastAsia" w:cs="Times New Roman"/>
                <w:spacing w:val="0"/>
                <w:sz w:val="21"/>
                <w:szCs w:val="21"/>
                <w:lang w:eastAsia="zh-CN"/>
              </w:rPr>
              <w:t>“</w:t>
            </w:r>
            <w:r>
              <w:rPr>
                <w:rFonts w:hint="default" w:ascii="Times New Roman" w:hAnsi="Times New Roman" w:eastAsia="宋体" w:cs="Times New Roman"/>
                <w:spacing w:val="0"/>
                <w:sz w:val="21"/>
                <w:szCs w:val="21"/>
              </w:rPr>
              <w:t>三同时</w:t>
            </w:r>
            <w:r>
              <w:rPr>
                <w:rFonts w:hint="eastAsia" w:cs="Times New Roman"/>
                <w:spacing w:val="0"/>
                <w:sz w:val="21"/>
                <w:szCs w:val="21"/>
                <w:lang w:eastAsia="zh-CN"/>
              </w:rPr>
              <w:t>”</w:t>
            </w:r>
            <w:r>
              <w:rPr>
                <w:rFonts w:hint="default" w:ascii="Times New Roman" w:hAnsi="Times New Roman" w:eastAsia="宋体" w:cs="Times New Roman"/>
                <w:spacing w:val="0"/>
                <w:sz w:val="21"/>
                <w:szCs w:val="21"/>
              </w:rPr>
              <w:t>制度。本项目不涉及进口塑料。项目不涉及环境敏感区。项目有独立的厂区，并建有围墙，并按照生产区、仓储区、办公生活区等划分了厂区，功能区有明显的界线（厂房或者厂区道路）。项目功能区设施均为封闭或半封闭，采取了防风、防雨、防渗、防火等措施，有足够的疏散通道。</w:t>
            </w:r>
          </w:p>
        </w:tc>
        <w:tc>
          <w:tcPr>
            <w:tcW w:w="470"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运输</w:t>
            </w:r>
          </w:p>
        </w:tc>
        <w:tc>
          <w:tcPr>
            <w:tcW w:w="22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1、封闭运输，不得裸露运输；</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2、包装物防水、耐压、遮蔽性好，运输、装卸时无废塑料遗洒；</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3、包装物表面标明废塑料的来源、原用途和去向等信息；</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4、不得超高、超宽、超载运输废塑料。</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所用废塑料的包装应在规定的回收场所内完成，避免废塑料流失污染环境。废塑料不得裸露运输，确保在装卸运输中不破裂、泄漏；宜采用密闭集装箱或带有压缩装置的厢式货车运输，在运输过程中轻装轻卸，避免日晒雨淋，保持包装完整，避免塑料品在装载和运输过程中泄漏污染环境。废塑料包装表面应有回收标识和废塑料种类标识，标识应清晰可辨、易于识别、不易擦掉，并应标明废塑料的来源、原用途和去向等信息。运输入厂的废塑料不得露天存放，贮存场所应建造为封闭或半封闭，应有防雨、防晒、防尘和防火措施。</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贮存</w:t>
            </w:r>
          </w:p>
        </w:tc>
        <w:tc>
          <w:tcPr>
            <w:tcW w:w="2258" w:type="pct"/>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废塑料贮存在通过环保审批的专门贮存场所内；</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贮存场所封闭或半封闭，有防雨、符合防晒、防尘、防扬散、防火措施。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3、废塑料按种类、来源分开存放。</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本项目设置专门的贮存场所，具备防雨、防晒、防尘、防扬散、防火等措施；厂区内原料要求企业按种类、来源分开存放。</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预处理</w:t>
            </w:r>
          </w:p>
        </w:tc>
        <w:tc>
          <w:tcPr>
            <w:tcW w:w="2258" w:type="pct"/>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预处理工艺遵循先进、稳定、无二次污染的原则，采用节能、高效、低污染的技术和设备；机械化和自动化作业，减少手工操作；</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废塑料人工分选确保操作人员的健康和安全；</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根据塑料来源和污染情况选择清洗工艺，化学清洗不得使用有毒有害化学清洗剂；</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塑料破碎应配有防治粉尘和噪声污染的设备；</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人工干燥宜采用节能高效技术，自然干燥应采取防风措施。</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预处理工艺采用自动化作业，仅在原料筛选时采用手工操作，人工分选时配有橡胶手套、胶鞋以及口罩等健康和安全防护措施。本项目塑料清洗采用清水清洗，不涉及有毒有害化学清洗剂。项目废旧塑料破碎过程破碎机安装减震基座等减少噪声。</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目建设环境保护</w:t>
            </w:r>
          </w:p>
        </w:tc>
        <w:tc>
          <w:tcPr>
            <w:tcW w:w="22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1、废塑料再生利用项目必须经过县级以上地方人民政府环境保护行政主管部门的审批，严格执行环境影响评价和“三同时”制度；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2、进口塑料作为生产原料的企业应具有固体废物进口许可证；</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3、新建项目选址应符合环境保护要求，不得建在城市居民区、商业区及其他环境敏感区内，若在，需限期迁址；</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w w:val="97"/>
                <w:sz w:val="21"/>
                <w:szCs w:val="21"/>
              </w:rPr>
            </w:pPr>
            <w:r>
              <w:rPr>
                <w:rFonts w:hint="default" w:ascii="Times New Roman" w:hAnsi="Times New Roman" w:eastAsia="宋体" w:cs="Times New Roman"/>
                <w:spacing w:val="0"/>
                <w:sz w:val="21"/>
                <w:szCs w:val="21"/>
              </w:rPr>
              <w:t>4、再生利用项目必须建有围墙并按功能划分厂区，各功能区应有明显的界线</w:t>
            </w:r>
            <w:r>
              <w:rPr>
                <w:rFonts w:hint="default" w:ascii="Times New Roman" w:hAnsi="Times New Roman" w:eastAsia="宋体" w:cs="Times New Roman"/>
                <w:spacing w:val="0"/>
                <w:w w:val="97"/>
                <w:sz w:val="21"/>
                <w:szCs w:val="21"/>
              </w:rPr>
              <w:t>和标志；</w:t>
            </w:r>
          </w:p>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w w:val="97"/>
                <w:sz w:val="21"/>
                <w:szCs w:val="21"/>
              </w:rPr>
              <w:t>5、功能区设施封闭或半封闭，</w:t>
            </w:r>
          </w:p>
        </w:tc>
        <w:tc>
          <w:tcPr>
            <w:tcW w:w="194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u w:val="single"/>
              </w:rPr>
              <w:t>本项目</w:t>
            </w:r>
            <w:r>
              <w:rPr>
                <w:rFonts w:hint="eastAsia" w:cs="Times New Roman"/>
                <w:spacing w:val="0"/>
                <w:sz w:val="21"/>
                <w:szCs w:val="21"/>
                <w:u w:val="single"/>
                <w:lang w:eastAsia="zh-CN"/>
              </w:rPr>
              <w:t>由平顶山市生态环境叶县分局审批</w:t>
            </w:r>
            <w:r>
              <w:rPr>
                <w:rFonts w:hint="default" w:ascii="Times New Roman" w:hAnsi="Times New Roman" w:eastAsia="宋体" w:cs="Times New Roman"/>
                <w:spacing w:val="0"/>
                <w:sz w:val="21"/>
                <w:szCs w:val="21"/>
                <w:u w:val="single"/>
              </w:rPr>
              <w:t>，严</w:t>
            </w:r>
            <w:r>
              <w:rPr>
                <w:rFonts w:hint="default" w:ascii="Times New Roman" w:hAnsi="Times New Roman" w:eastAsia="宋体" w:cs="Times New Roman"/>
                <w:spacing w:val="0"/>
                <w:sz w:val="21"/>
                <w:szCs w:val="21"/>
              </w:rPr>
              <w:t>格执行环境影响评价和“三同时”制度。本项目不涉及进口塑料。项目不涉及环境敏感区。项目有独立的厂区，并建有围墙，并按照生产区、仓储区、办公生活区等划分了厂区，功能区有明显的界线（厂房或者厂区道路）。项目功能区设施均为封闭或半封闭，采取了防风、防雨、防渗、防火等措施，有足够的疏散通道。</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bl>
    <w:p>
      <w:pPr>
        <w:keepNext w:val="0"/>
        <w:keepLines w:val="0"/>
        <w:pageBreakBefore w:val="0"/>
        <w:widowControl w:val="0"/>
        <w:kinsoku/>
        <w:wordWrap/>
        <w:overflowPunct/>
        <w:topLinePunct w:val="0"/>
        <w:bidi w:val="0"/>
        <w:adjustRightInd/>
        <w:snapToGrid/>
        <w:spacing w:line="360" w:lineRule="auto"/>
        <w:textAlignment w:val="auto"/>
        <w:rPr>
          <w:rFonts w:hint="eastAsia" w:eastAsia="宋体"/>
          <w:u w:val="single"/>
          <w:lang w:eastAsia="zh-CN"/>
        </w:rPr>
      </w:pPr>
      <w:r>
        <w:rPr>
          <w:rFonts w:hint="default"/>
          <w:u w:val="single"/>
        </w:rPr>
        <w:t>由上表可知，本项目的建设总体符合《废塑料回收与再生利用污染控制技术 规范》 （试行）（HJ/T364-2007）的要求</w:t>
      </w:r>
      <w:r>
        <w:rPr>
          <w:rFonts w:hint="eastAsia"/>
          <w:u w:val="single"/>
          <w:lang w:eastAsia="zh-CN"/>
        </w:rPr>
        <w:t>。</w:t>
      </w:r>
    </w:p>
    <w:p>
      <w:pPr>
        <w:pStyle w:val="4"/>
        <w:bidi w:val="0"/>
        <w:rPr>
          <w:rFonts w:hint="eastAsia"/>
          <w:u w:val="single"/>
          <w:lang w:eastAsia="zh-CN"/>
        </w:rPr>
      </w:pPr>
      <w:r>
        <w:rPr>
          <w:rFonts w:hint="eastAsia"/>
          <w:u w:val="single"/>
          <w:lang w:val="en-US" w:eastAsia="zh-CN"/>
        </w:rPr>
        <w:t>2.6.10 与《废塑料加工利用污染防治管理规定》的符合性分析</w:t>
      </w:r>
    </w:p>
    <w:p>
      <w:pPr>
        <w:keepNext w:val="0"/>
        <w:keepLines w:val="0"/>
        <w:pageBreakBefore w:val="0"/>
        <w:widowControl w:val="0"/>
        <w:kinsoku/>
        <w:wordWrap/>
        <w:overflowPunct/>
        <w:topLinePunct w:val="0"/>
        <w:bidi w:val="0"/>
        <w:adjustRightInd/>
        <w:snapToGrid/>
        <w:spacing w:line="360" w:lineRule="auto"/>
        <w:textAlignment w:val="auto"/>
        <w:rPr>
          <w:rFonts w:hint="default"/>
          <w:u w:val="single"/>
        </w:rPr>
      </w:pPr>
      <w:r>
        <w:rPr>
          <w:rFonts w:hint="default"/>
          <w:u w:val="single"/>
        </w:rPr>
        <w:t>项目与《废塑料加工利用污染防治管理规定》（公告2012年第55号）的符合性分析见下表。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zh-CN" w:eastAsia="zh-CN"/>
        </w:rPr>
      </w:pPr>
      <w:r>
        <w:rPr>
          <w:rFonts w:hint="default"/>
          <w:b/>
          <w:bCs/>
          <w:lang w:val="zh-CN" w:eastAsia="zh-CN"/>
        </w:rPr>
        <w:t>表</w:t>
      </w:r>
      <w:r>
        <w:rPr>
          <w:rFonts w:hint="default"/>
          <w:b/>
          <w:bCs/>
          <w:lang w:val="en-US" w:eastAsia="zh-CN"/>
        </w:rPr>
        <w:t>2.6-</w:t>
      </w:r>
      <w:r>
        <w:rPr>
          <w:rFonts w:hint="eastAsia"/>
          <w:b/>
          <w:bCs/>
          <w:lang w:val="en-US" w:eastAsia="zh-CN"/>
        </w:rPr>
        <w:t>7</w:t>
      </w:r>
      <w:r>
        <w:rPr>
          <w:rFonts w:hint="default"/>
          <w:b/>
          <w:bCs/>
          <w:lang w:val="en-US" w:eastAsia="zh-CN"/>
        </w:rPr>
        <w:t xml:space="preserve">  项目与《废塑料加工利用污染防治管理规定》的符合性分析表</w:t>
      </w:r>
    </w:p>
    <w:tbl>
      <w:tblPr>
        <w:tblStyle w:val="43"/>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3"/>
        <w:gridCol w:w="4875"/>
        <w:gridCol w:w="283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项目</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具体要求</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本项目情况</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禁止在居民区加工利用废塑料。禁止利用废塑料生产厚度小于0.025mm的超薄塑料购物袋和厚度小于0.015mm超薄塑料袋。禁止利用废塑料生产食品用塑料袋</w:t>
            </w:r>
            <w:r>
              <w:rPr>
                <w:rFonts w:hint="eastAsia" w:ascii="Times New Roman" w:hAnsi="Times New Roman" w:eastAsia="宋体" w:cs="Times New Roman"/>
                <w:spacing w:val="0"/>
                <w:sz w:val="21"/>
                <w:szCs w:val="21"/>
                <w:lang w:eastAsia="zh-CN"/>
              </w:rPr>
              <w:t>。</w:t>
            </w:r>
            <w:r>
              <w:rPr>
                <w:rFonts w:hint="default" w:ascii="Times New Roman" w:hAnsi="Times New Roman" w:eastAsia="宋体" w:cs="Times New Roman"/>
                <w:spacing w:val="0"/>
                <w:sz w:val="21"/>
                <w:szCs w:val="21"/>
              </w:rPr>
              <w:t>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本项目不在居民区；本项目利用废塑料生产塑料颗粒及生活用塑料制品，不生产塑料袋；本项目收集回收利用的废旧塑料属于一般固废</w:t>
            </w:r>
            <w:r>
              <w:rPr>
                <w:rFonts w:hint="default" w:ascii="Times New Roman" w:hAnsi="Times New Roman" w:eastAsia="宋体" w:cs="Times New Roman"/>
                <w:color w:val="000000" w:themeColor="text1"/>
                <w:spacing w:val="0"/>
                <w:sz w:val="21"/>
                <w:szCs w:val="21"/>
                <w14:textFill>
                  <w14:solidFill>
                    <w14:schemeClr w14:val="tx1"/>
                  </w14:solidFill>
                </w14:textFill>
              </w:rPr>
              <w:t>。本项目采用</w:t>
            </w:r>
            <w:r>
              <w:rPr>
                <w:rFonts w:hint="eastAsia" w:cs="Times New Roman"/>
                <w:color w:val="000000" w:themeColor="text1"/>
                <w:spacing w:val="0"/>
                <w:sz w:val="21"/>
                <w:szCs w:val="21"/>
                <w:lang w:eastAsia="zh-CN"/>
                <w14:textFill>
                  <w14:solidFill>
                    <w14:schemeClr w14:val="tx1"/>
                  </w14:solidFill>
                </w14:textFill>
              </w:rPr>
              <w:t>清水</w:t>
            </w:r>
            <w:r>
              <w:rPr>
                <w:rFonts w:hint="default" w:ascii="Times New Roman" w:hAnsi="Times New Roman" w:eastAsia="宋体" w:cs="Times New Roman"/>
                <w:color w:val="000000" w:themeColor="text1"/>
                <w:spacing w:val="0"/>
                <w:sz w:val="21"/>
                <w:szCs w:val="21"/>
                <w14:textFill>
                  <w14:solidFill>
                    <w14:schemeClr w14:val="tx1"/>
                  </w14:solidFill>
                </w14:textFill>
              </w:rPr>
              <w:t>分选，</w:t>
            </w:r>
            <w:r>
              <w:rPr>
                <w:rFonts w:hint="eastAsia" w:cs="Times New Roman"/>
                <w:color w:val="000000" w:themeColor="text1"/>
                <w:spacing w:val="0"/>
                <w:sz w:val="21"/>
                <w:szCs w:val="21"/>
                <w:lang w:eastAsia="zh-CN"/>
                <w14:textFill>
                  <w14:solidFill>
                    <w14:schemeClr w14:val="tx1"/>
                  </w14:solidFill>
                </w14:textFill>
              </w:rPr>
              <w:t>添加少量氯化钠，</w:t>
            </w:r>
            <w:r>
              <w:rPr>
                <w:rFonts w:hint="default" w:ascii="Times New Roman" w:hAnsi="Times New Roman" w:eastAsia="宋体" w:cs="Times New Roman"/>
                <w:color w:val="000000" w:themeColor="text1"/>
                <w:spacing w:val="0"/>
                <w:sz w:val="21"/>
                <w:szCs w:val="21"/>
                <w14:textFill>
                  <w14:solidFill>
                    <w14:schemeClr w14:val="tx1"/>
                  </w14:solidFill>
                </w14:textFill>
              </w:rPr>
              <w:t>不采用盐卤分拣工艺。</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禁止露天焚烧废塑料及加工利用过程产的残余垃圾、滤网。</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本项目产生的残余垃圾、滤网等交由相应符合环保要求的单位处置。</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禁止进口未经清洗的使用过的废塑料。禁止将进口的废塑料全部或者部分转让给进口许可证</w:t>
            </w:r>
            <w:r>
              <w:rPr>
                <w:rFonts w:hint="eastAsia" w:cs="Times New Roman"/>
                <w:spacing w:val="0"/>
                <w:sz w:val="21"/>
                <w:szCs w:val="21"/>
                <w:lang w:eastAsia="zh-CN"/>
              </w:rPr>
              <w:t>载明地利用</w:t>
            </w:r>
            <w:r>
              <w:rPr>
                <w:rFonts w:hint="default" w:ascii="Times New Roman" w:hAnsi="Times New Roman" w:eastAsia="宋体" w:cs="Times New Roman"/>
                <w:spacing w:val="0"/>
                <w:sz w:val="21"/>
                <w:szCs w:val="21"/>
              </w:rPr>
              <w:t>企业以外的单位或者个人，包括将进口废塑料委托给其他企业代为清洗。进口废塑料分拣或加工利用过程产生的残余废塑料应当进行无害化利用或者处置；禁止将上述残余废塑料未经清洗处理直接出售。进口废纸加工利用企业应当对进口废纸中的废塑料进行无害化利用或者处置；禁止将进口废纸中的废塑料，未经清洗处理直接出售。</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本项目不涉及进口废旧塑料。</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进口废塑料加工利用企业发现属于国家禁止进口类或者不符合环境保护控制标准的进口废塑料，应当立即向口岸海关、检验检疫部门和所在地环保部门报告并配合做好相关处理工作。</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本项目不涉及进口废旧塑料。</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w:t>
            </w:r>
          </w:p>
        </w:tc>
        <w:tc>
          <w:tcPr>
            <w:tcW w:w="266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本项目产生的残余垃圾、滤网等交由相应符合环保要求的单位处置。</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96" w:firstLineChars="200"/>
        <w:jc w:val="both"/>
        <w:textAlignment w:val="auto"/>
        <w:rPr>
          <w:rFonts w:hint="default" w:ascii="Times New Roman" w:hAnsi="Times New Roman" w:eastAsia="宋体" w:cs="Times New Roman"/>
          <w:spacing w:val="4"/>
          <w:sz w:val="24"/>
          <w:szCs w:val="24"/>
          <w:u w:val="single"/>
        </w:rPr>
      </w:pPr>
      <w:r>
        <w:rPr>
          <w:rFonts w:hint="default" w:ascii="Times New Roman" w:hAnsi="Times New Roman" w:eastAsia="宋体" w:cs="Times New Roman"/>
          <w:spacing w:val="4"/>
          <w:sz w:val="24"/>
          <w:szCs w:val="24"/>
          <w:u w:val="single"/>
        </w:rPr>
        <w:t>由上表可知，本项目的建设符合《废旧塑料加工利用污染防治管理规定》（公告2012年第55号）的要求。</w:t>
      </w:r>
    </w:p>
    <w:p>
      <w:pPr>
        <w:bidi w:val="0"/>
        <w:rPr>
          <w:rFonts w:hint="eastAsia"/>
          <w:lang w:val="en-US" w:eastAsia="zh-CN"/>
        </w:rPr>
        <w:sectPr>
          <w:headerReference r:id="rId8" w:type="default"/>
          <w:footerReference r:id="rId9" w:type="default"/>
          <w:pgSz w:w="11906" w:h="16838"/>
          <w:pgMar w:top="1417" w:right="1417" w:bottom="1417" w:left="1417" w:header="680" w:footer="794"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bidi w:val="0"/>
      </w:pPr>
      <w:bookmarkStart w:id="47" w:name="_Toc17088"/>
      <w:bookmarkStart w:id="48" w:name="_Toc26493"/>
      <w:bookmarkStart w:id="49" w:name="_Toc4010"/>
      <w:r>
        <w:rPr>
          <w:rFonts w:hint="eastAsia"/>
          <w:lang w:val="en-US" w:eastAsia="zh-CN"/>
        </w:rPr>
        <w:t>第三章</w:t>
      </w:r>
      <w:r>
        <w:rPr>
          <w:lang w:val="en-US" w:eastAsia="zh-CN"/>
        </w:rPr>
        <w:t xml:space="preserve"> </w:t>
      </w:r>
      <w:r>
        <w:rPr>
          <w:rFonts w:hint="eastAsia"/>
          <w:lang w:val="en-US" w:eastAsia="zh-CN"/>
        </w:rPr>
        <w:t>工程概况</w:t>
      </w:r>
      <w:bookmarkEnd w:id="47"/>
      <w:bookmarkEnd w:id="48"/>
      <w:bookmarkEnd w:id="49"/>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lang w:val="en-US" w:eastAsia="zh-CN"/>
        </w:rPr>
      </w:pPr>
      <w:bookmarkStart w:id="50" w:name="_Toc1956"/>
      <w:bookmarkStart w:id="51" w:name="_Toc18877"/>
      <w:bookmarkStart w:id="52" w:name="_Toc27220"/>
      <w:r>
        <w:rPr>
          <w:rFonts w:hint="eastAsia"/>
          <w:lang w:val="en-US" w:eastAsia="zh-CN"/>
        </w:rPr>
        <w:t>3</w:t>
      </w:r>
      <w:r>
        <w:rPr>
          <w:rFonts w:hint="default"/>
          <w:lang w:val="en-US" w:eastAsia="zh-CN"/>
        </w:rPr>
        <w:t>.1 项目基本情况</w:t>
      </w:r>
      <w:bookmarkEnd w:id="50"/>
      <w:bookmarkEnd w:id="51"/>
      <w:bookmarkEnd w:id="52"/>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firstLine="562" w:firstLineChars="200"/>
        <w:textAlignment w:val="auto"/>
      </w:pPr>
      <w:r>
        <w:rPr>
          <w:rFonts w:hint="eastAsia"/>
          <w:lang w:val="en-US" w:eastAsia="zh-CN"/>
        </w:rPr>
        <w:t>3</w:t>
      </w:r>
      <w:r>
        <w:rPr>
          <w:rFonts w:hint="default"/>
          <w:lang w:val="en-US" w:eastAsia="zh-CN"/>
        </w:rPr>
        <w:t xml:space="preserve">.1.1 </w:t>
      </w:r>
      <w:r>
        <w:rPr>
          <w:rFonts w:hint="eastAsia"/>
          <w:lang w:val="en-US" w:eastAsia="zh-CN"/>
        </w:rPr>
        <w:t>项目基本信息</w:t>
      </w:r>
    </w:p>
    <w:p>
      <w:pPr>
        <w:bidi w:val="0"/>
      </w:pPr>
      <w:r>
        <w:rPr>
          <w:rFonts w:hint="eastAsia"/>
          <w:lang w:val="en-US" w:eastAsia="zh-CN"/>
        </w:rPr>
        <w:t>项目名称：叶县景喻再生资源回收有限公司年处置6000吨废旧塑料再生资源综合利用项目；</w:t>
      </w:r>
    </w:p>
    <w:p>
      <w:pPr>
        <w:bidi w:val="0"/>
      </w:pPr>
      <w:r>
        <w:rPr>
          <w:rFonts w:hint="eastAsia"/>
          <w:lang w:val="en-US" w:eastAsia="zh-CN"/>
        </w:rPr>
        <w:t>建设单位：叶县景喻再生资源回收有限公司；</w:t>
      </w:r>
    </w:p>
    <w:p>
      <w:pPr>
        <w:bidi w:val="0"/>
      </w:pPr>
      <w:r>
        <w:rPr>
          <w:rFonts w:hint="eastAsia"/>
          <w:lang w:val="en-US" w:eastAsia="zh-CN"/>
        </w:rPr>
        <w:t>建设地点：平顶山市叶县廉村镇二郎庙村村北200米路东；</w:t>
      </w:r>
    </w:p>
    <w:p>
      <w:pPr>
        <w:bidi w:val="0"/>
      </w:pPr>
      <w:r>
        <w:rPr>
          <w:rFonts w:hint="eastAsia"/>
          <w:lang w:val="en-US" w:eastAsia="zh-CN"/>
        </w:rPr>
        <w:t>建设性质：新建；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行业类别：C292塑料制品业；</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用地规模：项目占地面积32000m²，</w:t>
      </w:r>
      <w:r>
        <w:rPr>
          <w:rFonts w:hint="eastAsia" w:ascii="Times New Roman" w:hAnsi="Times New Roman" w:cs="宋体"/>
          <w:color w:val="000000" w:themeColor="text1"/>
          <w:kern w:val="0"/>
          <w:sz w:val="24"/>
          <w:szCs w:val="24"/>
          <w:lang w:val="en-US" w:eastAsia="zh-CN" w:bidi="ar"/>
          <w14:textFill>
            <w14:solidFill>
              <w14:schemeClr w14:val="tx1"/>
            </w14:solidFill>
          </w14:textFill>
        </w:rPr>
        <w:t>总</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建筑面积</w:t>
      </w:r>
      <w:r>
        <w:rPr>
          <w:rFonts w:hint="eastAsia"/>
          <w:color w:val="000000" w:themeColor="text1"/>
          <w:lang w:val="en-US" w:eastAsia="zh-CN"/>
          <w14:textFill>
            <w14:solidFill>
              <w14:schemeClr w14:val="tx1"/>
            </w14:solidFill>
          </w14:textFill>
        </w:rPr>
        <w:t>20000</w:t>
      </w:r>
      <w:r>
        <w:rPr>
          <w:rFonts w:hint="eastAsia" w:ascii="Times New Roman" w:hAnsi="Times New Roman" w:cs="宋体"/>
          <w:color w:val="000000" w:themeColor="text1"/>
          <w:kern w:val="0"/>
          <w:sz w:val="24"/>
          <w:szCs w:val="24"/>
          <w:lang w:val="en-US" w:eastAsia="zh-CN" w:bidi="ar"/>
          <w14:textFill>
            <w14:solidFill>
              <w14:schemeClr w14:val="tx1"/>
            </w14:solidFill>
          </w14:textFill>
        </w:rPr>
        <w:t>平方米。</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主要建设内容为</w:t>
      </w:r>
      <w:r>
        <w:rPr>
          <w:rFonts w:hint="eastAsia" w:cs="宋体"/>
          <w:color w:val="000000" w:themeColor="text1"/>
          <w:kern w:val="0"/>
          <w:sz w:val="24"/>
          <w:szCs w:val="24"/>
          <w:lang w:val="en-US" w:eastAsia="zh-CN" w:bidi="ar"/>
          <w14:textFill>
            <w14:solidFill>
              <w14:schemeClr w14:val="tx1"/>
            </w14:solidFill>
          </w14:textFill>
        </w:rPr>
        <w:t>食堂、办公楼、员工休息室、厂房等</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总投资：项目总投资为1500万元；</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周边概况：项目东侧为农田，西侧为道路，道路西侧为农田，南侧为道路，道路南侧为农田，北侧为农田。</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bookmarkStart w:id="53" w:name="_Toc17629"/>
      <w:bookmarkStart w:id="54" w:name="_Toc23003"/>
      <w:bookmarkStart w:id="55" w:name="_Toc28164"/>
      <w:r>
        <w:rPr>
          <w:rFonts w:hint="eastAsia"/>
          <w:lang w:val="en-US" w:eastAsia="zh-CN"/>
        </w:rPr>
        <w:t>3.2 生产规模、产品方案</w:t>
      </w:r>
      <w:bookmarkEnd w:id="53"/>
      <w:bookmarkEnd w:id="54"/>
      <w:bookmarkEnd w:id="55"/>
    </w:p>
    <w:p>
      <w:pPr>
        <w:pStyle w:val="4"/>
        <w:bidi w:val="0"/>
      </w:pPr>
      <w:r>
        <w:rPr>
          <w:rFonts w:hint="eastAsia"/>
          <w:lang w:val="en-US" w:eastAsia="zh-CN"/>
        </w:rPr>
        <w:t>3.2</w:t>
      </w:r>
      <w:r>
        <w:rPr>
          <w:rFonts w:hint="default"/>
          <w:lang w:val="en-US" w:eastAsia="zh-CN"/>
        </w:rPr>
        <w:t xml:space="preserve">.1 </w:t>
      </w:r>
      <w:r>
        <w:rPr>
          <w:rFonts w:hint="eastAsia"/>
          <w:lang w:val="en-US" w:eastAsia="zh-CN"/>
        </w:rPr>
        <w:t>生产规模</w:t>
      </w:r>
    </w:p>
    <w:p>
      <w:pPr>
        <w:bidi w:val="0"/>
      </w:pPr>
      <w:r>
        <w:rPr>
          <w:rFonts w:hint="eastAsia"/>
          <w:lang w:val="en-US" w:eastAsia="zh-CN"/>
        </w:rPr>
        <w:t>年处置6000吨废旧塑料，主要生产再生塑料颗粒和注塑工件。</w:t>
      </w:r>
    </w:p>
    <w:p>
      <w:pPr>
        <w:pStyle w:val="4"/>
        <w:bidi w:val="0"/>
      </w:pPr>
      <w:r>
        <w:t>3.</w:t>
      </w:r>
      <w:r>
        <w:rPr>
          <w:rFonts w:hint="eastAsia"/>
          <w:lang w:val="en-US" w:eastAsia="zh-CN"/>
        </w:rPr>
        <w:t>2.2</w:t>
      </w:r>
      <w:r>
        <w:t xml:space="preserve"> 建设</w:t>
      </w:r>
      <w:r>
        <w:rPr>
          <w:rFonts w:hint="eastAsia"/>
          <w:lang w:eastAsia="zh-CN"/>
        </w:rPr>
        <w:t>项目</w:t>
      </w:r>
      <w:r>
        <w:t>组成与建设内容</w:t>
      </w:r>
    </w:p>
    <w:p>
      <w:pPr>
        <w:pStyle w:val="19"/>
        <w:keepNext w:val="0"/>
        <w:keepLines w:val="0"/>
        <w:widowControl/>
        <w:suppressLineNumbers w:val="0"/>
        <w:spacing w:before="0" w:beforeAutospacing="0" w:after="0" w:afterAutospacing="0"/>
        <w:ind w:left="0" w:right="0" w:firstLine="0"/>
        <w:jc w:val="both"/>
        <w:rPr>
          <w:rFonts w:hint="default"/>
          <w:u w:val="single"/>
          <w:lang w:val="en-US" w:eastAsia="zh-CN"/>
        </w:rPr>
      </w:pPr>
      <w:r>
        <w:rPr>
          <w:u w:val="single"/>
        </w:rPr>
        <w:t>本项目租</w:t>
      </w:r>
      <w:r>
        <w:rPr>
          <w:rFonts w:hint="eastAsia"/>
          <w:u w:val="single"/>
          <w:lang w:eastAsia="zh-CN"/>
        </w:rPr>
        <w:t>赁个人现有</w:t>
      </w:r>
      <w:r>
        <w:rPr>
          <w:rFonts w:hint="eastAsia"/>
          <w:u w:val="single"/>
          <w:lang w:val="en-US" w:eastAsia="zh-CN"/>
        </w:rPr>
        <w:t>场院和厂房</w:t>
      </w:r>
      <w:r>
        <w:rPr>
          <w:rFonts w:hint="eastAsia"/>
          <w:u w:val="single"/>
          <w:lang w:eastAsia="zh-CN"/>
        </w:rPr>
        <w:t>进行建设，租赁场院内现有两栋厂房，北侧一栋厂房原为村镇私人搭建的临时服装厂厂房（未办理营业执照和环保手续），该企业主要经营休闲裤的生产，其主要工艺为裁剪与缝纫，企业于</w:t>
      </w:r>
      <w:r>
        <w:rPr>
          <w:rFonts w:hint="eastAsia"/>
          <w:u w:val="single"/>
          <w:lang w:val="en-US" w:eastAsia="zh-CN"/>
        </w:rPr>
        <w:t>2017年已倒闭，厂房闲置至今。南侧厂房原为临时烧烤棚，为顾客提供餐饮场所，该厂房为半封闭，已于2020年3月清理完毕，闲置至今。经调查租赁厂房均空置，原有污染主要是固废和餐饮油烟，随着营运期的结束，环境影响也随之结束，对本项目建设基本无影响。本项目建设租赁厂院和厂房后需要加以改造和建设以适应本项目的生产需求。</w:t>
      </w:r>
    </w:p>
    <w:p>
      <w:pPr>
        <w:pStyle w:val="19"/>
        <w:keepNext w:val="0"/>
        <w:keepLines w:val="0"/>
        <w:widowControl/>
        <w:suppressLineNumbers w:val="0"/>
        <w:spacing w:before="0" w:beforeAutospacing="0" w:after="0" w:afterAutospacing="0"/>
        <w:ind w:left="0" w:right="0" w:firstLine="0"/>
      </w:pPr>
      <w:r>
        <w:rPr>
          <w:rFonts w:hint="eastAsia"/>
          <w:lang w:eastAsia="zh-CN"/>
        </w:rPr>
        <w:t>主要</w:t>
      </w:r>
      <w:r>
        <w:t>由主体工程、</w:t>
      </w:r>
      <w:r>
        <w:rPr>
          <w:rFonts w:hint="eastAsia"/>
          <w:lang w:eastAsia="zh-CN"/>
        </w:rPr>
        <w:t>辅助</w:t>
      </w:r>
      <w:r>
        <w:t>工程、储运工程、公用工程和环保工程组成，</w:t>
      </w:r>
      <w:r>
        <w:rPr>
          <w:rFonts w:hint="eastAsia"/>
          <w:lang w:eastAsia="zh-CN"/>
        </w:rPr>
        <w:t>厂区设置</w:t>
      </w:r>
      <w:r>
        <w:t>食堂</w:t>
      </w:r>
      <w:r>
        <w:rPr>
          <w:rFonts w:hint="eastAsia"/>
          <w:lang w:eastAsia="zh-CN"/>
        </w:rPr>
        <w:t>和员工临时休息室</w:t>
      </w:r>
      <w:r>
        <w:t>。具体</w:t>
      </w:r>
      <w:r>
        <w:rPr>
          <w:rFonts w:hint="eastAsia"/>
          <w:lang w:eastAsia="zh-CN"/>
        </w:rPr>
        <w:t>项目</w:t>
      </w:r>
      <w:r>
        <w:t>主要建设内容见表3</w:t>
      </w:r>
      <w:r>
        <w:rPr>
          <w:rFonts w:hint="eastAsia"/>
          <w:lang w:val="en-US" w:eastAsia="zh-CN"/>
        </w:rPr>
        <w:t>.2</w:t>
      </w:r>
      <w:r>
        <w:t>-1。</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bCs/>
          <w:lang w:val="en-US" w:eastAsia="zh-CN"/>
        </w:rPr>
      </w:pPr>
      <w:r>
        <w:rPr>
          <w:rFonts w:hint="eastAsia"/>
          <w:b/>
          <w:bCs/>
          <w:lang w:eastAsia="zh-CN"/>
        </w:rPr>
        <w:t>表</w:t>
      </w:r>
      <w:r>
        <w:rPr>
          <w:rFonts w:hint="eastAsia"/>
          <w:b/>
          <w:bCs/>
          <w:lang w:val="en-US" w:eastAsia="zh-CN"/>
        </w:rPr>
        <w:t>3.2-1  工程主要建设内容</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87"/>
        <w:gridCol w:w="1324"/>
        <w:gridCol w:w="4610"/>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类别</w:t>
            </w: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项目名称</w:t>
            </w:r>
          </w:p>
        </w:tc>
        <w:tc>
          <w:tcPr>
            <w:tcW w:w="4610"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工程建设内容</w:t>
            </w:r>
          </w:p>
        </w:tc>
        <w:tc>
          <w:tcPr>
            <w:tcW w:w="1459"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主体工程</w:t>
            </w: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造粒、注塑生产车间</w:t>
            </w:r>
          </w:p>
        </w:tc>
        <w:tc>
          <w:tcPr>
            <w:tcW w:w="4610"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钢结构，建筑面积约8200m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，内设分选、原料预处理、静电分离、造粒、注塑生产线</w:t>
            </w:r>
          </w:p>
        </w:tc>
        <w:tc>
          <w:tcPr>
            <w:tcW w:w="1459"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租赁现有厂房，根据生产需求进行密闭、防渗改造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破碎清洗脱水车间</w:t>
            </w:r>
          </w:p>
        </w:tc>
        <w:tc>
          <w:tcPr>
            <w:tcW w:w="4610" w:type="dxa"/>
            <w:vAlign w:val="center"/>
          </w:tcPr>
          <w:p>
            <w:pPr>
              <w:pStyle w:val="30"/>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钢结构，建筑面积约1800m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，内设主要为破碎清洗车间和半成品暂存区</w:t>
            </w:r>
          </w:p>
        </w:tc>
        <w:tc>
          <w:tcPr>
            <w:tcW w:w="1459" w:type="dxa"/>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租赁现有厂房，根据生产需求进行密闭、防渗改造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预留生产车间</w:t>
            </w:r>
          </w:p>
        </w:tc>
        <w:tc>
          <w:tcPr>
            <w:tcW w:w="4610" w:type="dxa"/>
            <w:vAlign w:val="center"/>
          </w:tcPr>
          <w:p>
            <w:pPr>
              <w:pStyle w:val="30"/>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钢结构，两座，建筑面积约4000m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和5500m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，主要用于预留生产线扩建使用</w:t>
            </w:r>
          </w:p>
        </w:tc>
        <w:tc>
          <w:tcPr>
            <w:tcW w:w="1459" w:type="dxa"/>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8"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辅助工程</w:t>
            </w:r>
          </w:p>
        </w:tc>
        <w:tc>
          <w:tcPr>
            <w:tcW w:w="2111" w:type="dxa"/>
            <w:gridSpan w:val="2"/>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办公楼</w:t>
            </w:r>
          </w:p>
        </w:tc>
        <w:tc>
          <w:tcPr>
            <w:tcW w:w="4610" w:type="dxa"/>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厂区东侧，建筑面积约</w:t>
            </w:r>
            <w:r>
              <w:rPr>
                <w:rFonts w:hint="eastAsia"/>
                <w:color w:val="000000" w:themeColor="text1"/>
                <w:lang w:val="en-US" w:eastAsia="zh-CN"/>
                <w14:textFill>
                  <w14:solidFill>
                    <w14:schemeClr w14:val="tx1"/>
                  </w14:solidFill>
                </w14:textFill>
              </w:rPr>
              <w:t>300m</w:t>
            </w:r>
            <w:r>
              <w:rPr>
                <w:rFonts w:hint="eastAsia"/>
                <w:color w:val="000000" w:themeColor="text1"/>
                <w:vertAlign w:val="superscript"/>
                <w:lang w:val="en-US" w:eastAsia="zh-CN"/>
                <w14:textFill>
                  <w14:solidFill>
                    <w14:schemeClr w14:val="tx1"/>
                  </w14:solidFill>
                </w14:textFill>
              </w:rPr>
              <w:t>2</w:t>
            </w:r>
          </w:p>
        </w:tc>
        <w:tc>
          <w:tcPr>
            <w:tcW w:w="1459" w:type="dxa"/>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w:t>
            </w:r>
          </w:p>
        </w:tc>
        <w:tc>
          <w:tcPr>
            <w:tcW w:w="4610"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厂区东南角，建筑面积</w:t>
            </w:r>
            <w:r>
              <w:rPr>
                <w:rFonts w:hint="eastAsia"/>
                <w:color w:val="000000" w:themeColor="text1"/>
                <w:lang w:val="en-US" w:eastAsia="zh-CN"/>
                <w14:textFill>
                  <w14:solidFill>
                    <w14:schemeClr w14:val="tx1"/>
                  </w14:solidFill>
                </w14:textFill>
              </w:rPr>
              <w:t>200m</w:t>
            </w:r>
            <w:r>
              <w:rPr>
                <w:rFonts w:hint="eastAsia"/>
                <w:color w:val="000000" w:themeColor="text1"/>
                <w:vertAlign w:val="superscript"/>
                <w:lang w:val="en-US" w:eastAsia="zh-CN"/>
                <w14:textFill>
                  <w14:solidFill>
                    <w14:schemeClr w14:val="tx1"/>
                  </w14:solidFill>
                </w14:textFill>
              </w:rPr>
              <w:t>2</w:t>
            </w:r>
          </w:p>
        </w:tc>
        <w:tc>
          <w:tcPr>
            <w:tcW w:w="1459"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门卫室</w:t>
            </w:r>
          </w:p>
        </w:tc>
        <w:tc>
          <w:tcPr>
            <w:tcW w:w="4610"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厂区南侧，建筑面积</w:t>
            </w:r>
            <w:r>
              <w:rPr>
                <w:rFonts w:hint="eastAsia"/>
                <w:color w:val="000000" w:themeColor="text1"/>
                <w:lang w:val="en-US" w:eastAsia="zh-CN"/>
                <w14:textFill>
                  <w14:solidFill>
                    <w14:schemeClr w14:val="tx1"/>
                  </w14:solidFill>
                </w14:textFill>
              </w:rPr>
              <w:t>30m</w:t>
            </w:r>
            <w:r>
              <w:rPr>
                <w:rFonts w:hint="eastAsia"/>
                <w:color w:val="000000" w:themeColor="text1"/>
                <w:vertAlign w:val="superscript"/>
                <w:lang w:val="en-US" w:eastAsia="zh-CN"/>
                <w14:textFill>
                  <w14:solidFill>
                    <w14:schemeClr w14:val="tx1"/>
                  </w14:solidFill>
                </w14:textFill>
              </w:rPr>
              <w:t>2</w:t>
            </w:r>
          </w:p>
        </w:tc>
        <w:tc>
          <w:tcPr>
            <w:tcW w:w="1459"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公用工程</w:t>
            </w: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用水</w:t>
            </w:r>
          </w:p>
        </w:tc>
        <w:tc>
          <w:tcPr>
            <w:tcW w:w="4610"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厂区自备水井，用于员工生活用水，食堂用水、原料清洗用水，循环冷却水，喷淋塔用水。</w:t>
            </w:r>
          </w:p>
        </w:tc>
        <w:tc>
          <w:tcPr>
            <w:tcW w:w="1459"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排水</w:t>
            </w:r>
          </w:p>
        </w:tc>
        <w:tc>
          <w:tcPr>
            <w:tcW w:w="4610"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u w:val="single"/>
                <w:lang w:eastAsia="zh-CN"/>
                <w14:textFill>
                  <w14:solidFill>
                    <w14:schemeClr w14:val="tx1"/>
                  </w14:solidFill>
                </w14:textFill>
              </w:rPr>
              <w:t>食堂用水经隔油池处理后，进入化粪池与生活用水一起定期清掏肥田。原料清洗废水、冷却循环废水和喷淋塔废水经污水处理设施处理后回用。</w:t>
            </w:r>
          </w:p>
        </w:tc>
        <w:tc>
          <w:tcPr>
            <w:tcW w:w="1459"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用电</w:t>
            </w:r>
          </w:p>
        </w:tc>
        <w:tc>
          <w:tcPr>
            <w:tcW w:w="4610"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当地电网引入</w:t>
            </w:r>
          </w:p>
        </w:tc>
        <w:tc>
          <w:tcPr>
            <w:tcW w:w="1459"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供热</w:t>
            </w:r>
          </w:p>
        </w:tc>
        <w:tc>
          <w:tcPr>
            <w:tcW w:w="4610"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电采暖</w:t>
            </w:r>
          </w:p>
        </w:tc>
        <w:tc>
          <w:tcPr>
            <w:tcW w:w="1459"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环保工程</w:t>
            </w:r>
          </w:p>
        </w:tc>
        <w:tc>
          <w:tcPr>
            <w:tcW w:w="787" w:type="dxa"/>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废气治理</w:t>
            </w:r>
          </w:p>
        </w:tc>
        <w:tc>
          <w:tcPr>
            <w:tcW w:w="1324" w:type="dxa"/>
            <w:vAlign w:val="center"/>
          </w:tcPr>
          <w:p>
            <w:pPr>
              <w:pStyle w:val="30"/>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破碎粉尘</w:t>
            </w:r>
          </w:p>
        </w:tc>
        <w:tc>
          <w:tcPr>
            <w:tcW w:w="4610" w:type="dxa"/>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破碎工序车间内二次密闭，上料口密闭负压集气+袋式除尘器+15m排气筒</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787" w:type="dxa"/>
            <w:vMerge w:val="continue"/>
            <w:vAlign w:val="center"/>
          </w:tcPr>
          <w:p>
            <w:pPr>
              <w:pStyle w:val="30"/>
              <w:bidi w:val="0"/>
              <w:jc w:val="center"/>
              <w:rPr>
                <w:color w:val="000000" w:themeColor="text1"/>
                <w14:textFill>
                  <w14:solidFill>
                    <w14:schemeClr w14:val="tx1"/>
                  </w14:solidFill>
                </w14:textFill>
              </w:rPr>
            </w:pPr>
          </w:p>
        </w:tc>
        <w:tc>
          <w:tcPr>
            <w:tcW w:w="1324" w:type="dxa"/>
            <w:vAlign w:val="center"/>
          </w:tcPr>
          <w:p>
            <w:pPr>
              <w:pStyle w:val="30"/>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造粒废气</w:t>
            </w:r>
          </w:p>
        </w:tc>
        <w:tc>
          <w:tcPr>
            <w:tcW w:w="4610" w:type="dxa"/>
            <w:vAlign w:val="center"/>
          </w:tcPr>
          <w:p>
            <w:pPr>
              <w:pStyle w:val="30"/>
              <w:bidi w:val="0"/>
              <w:spacing w:line="240" w:lineRule="auto"/>
              <w:jc w:val="center"/>
              <w:rPr>
                <w:rFonts w:hint="default"/>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eastAsia="zh-CN"/>
                <w14:textFill>
                  <w14:solidFill>
                    <w14:schemeClr w14:val="tx1"/>
                  </w14:solidFill>
                </w14:textFill>
              </w:rPr>
              <w:t>造粒工序车间内二次密闭，喷淋塔</w:t>
            </w:r>
            <w:r>
              <w:rPr>
                <w:rFonts w:hint="eastAsia"/>
                <w:color w:val="000000" w:themeColor="text1"/>
                <w:sz w:val="21"/>
                <w:szCs w:val="21"/>
                <w:u w:val="single"/>
                <w:lang w:val="en-US" w:eastAsia="zh-CN"/>
                <w14:textFill>
                  <w14:solidFill>
                    <w14:schemeClr w14:val="tx1"/>
                  </w14:solidFill>
                </w14:textFill>
              </w:rPr>
              <w:t>+吸附浓缩+1#催化燃烧+15m排气筒；配套在线监控设施</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87"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注塑废气</w:t>
            </w:r>
          </w:p>
        </w:tc>
        <w:tc>
          <w:tcPr>
            <w:tcW w:w="4610" w:type="dxa"/>
            <w:vAlign w:val="center"/>
          </w:tcPr>
          <w:p>
            <w:pPr>
              <w:pStyle w:val="30"/>
              <w:bidi w:val="0"/>
              <w:spacing w:line="240" w:lineRule="auto"/>
              <w:jc w:val="center"/>
              <w:rPr>
                <w:rFonts w:hint="eastAsia"/>
                <w:color w:val="000000" w:themeColor="text1"/>
                <w:u w:val="single"/>
                <w:lang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注塑工序车间内二次密闭，吸附浓缩+2#催化燃烧</w:t>
            </w:r>
            <w:r>
              <w:rPr>
                <w:rFonts w:hint="eastAsia"/>
                <w:color w:val="000000" w:themeColor="text1"/>
                <w:u w:val="single"/>
                <w:lang w:val="en-US" w:eastAsia="zh-CN"/>
                <w14:textFill>
                  <w14:solidFill>
                    <w14:schemeClr w14:val="tx1"/>
                  </w14:solidFill>
                </w14:textFill>
              </w:rPr>
              <w:t>+15m排气筒</w:t>
            </w:r>
            <w:r>
              <w:rPr>
                <w:rFonts w:hint="eastAsia"/>
                <w:color w:val="000000" w:themeColor="text1"/>
                <w:sz w:val="21"/>
                <w:szCs w:val="21"/>
                <w:u w:val="single"/>
                <w:lang w:val="en-US" w:eastAsia="zh-CN"/>
                <w14:textFill>
                  <w14:solidFill>
                    <w14:schemeClr w14:val="tx1"/>
                  </w14:solidFill>
                </w14:textFill>
              </w:rPr>
              <w:t>；配套在线监控设施</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87"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食堂油烟</w:t>
            </w:r>
          </w:p>
        </w:tc>
        <w:tc>
          <w:tcPr>
            <w:tcW w:w="4610"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安装油烟净化器，净化后经排气筒排放</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87"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污水处理站废气</w:t>
            </w:r>
          </w:p>
        </w:tc>
        <w:tc>
          <w:tcPr>
            <w:tcW w:w="4610"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rPr>
                <w:rFonts w:hint="eastAsia"/>
                <w:lang w:val="en-US" w:eastAsia="zh-CN"/>
              </w:rPr>
              <w:t>二级活性炭吸附</w:t>
            </w:r>
            <w:r>
              <w:t>、加盖</w:t>
            </w:r>
            <w:r>
              <w:rPr>
                <w:rFonts w:hint="eastAsia"/>
                <w:lang w:val="en-US" w:eastAsia="zh-CN"/>
              </w:rPr>
              <w:t>+15m高排气筒</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111" w:type="dxa"/>
            <w:gridSpan w:val="2"/>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废水</w:t>
            </w:r>
          </w:p>
        </w:tc>
        <w:tc>
          <w:tcPr>
            <w:tcW w:w="4610" w:type="dxa"/>
            <w:vAlign w:val="center"/>
          </w:tcPr>
          <w:p>
            <w:pPr>
              <w:pStyle w:val="1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设化粪池供员工使用，定期清掏做农肥，不外排；餐饮废水经隔油池处理后进入化粪池，与生活污水一起清掏肥田。</w:t>
            </w:r>
            <w:r>
              <w:rPr>
                <w:rFonts w:hint="eastAsia"/>
                <w:color w:val="000000" w:themeColor="text1"/>
                <w:sz w:val="21"/>
                <w:szCs w:val="21"/>
                <w:u w:val="single"/>
                <w:lang w:eastAsia="zh-CN"/>
                <w14:textFill>
                  <w14:solidFill>
                    <w14:schemeClr w14:val="tx1"/>
                  </w14:solidFill>
                </w14:textFill>
              </w:rPr>
              <w:t>清洗废水、喷淋塔排水、冷却循环废水经污水处理设施处理后作为原料清洗水循环使用。</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87" w:type="dxa"/>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生活垃圾</w:t>
            </w:r>
          </w:p>
        </w:tc>
        <w:tc>
          <w:tcPr>
            <w:tcW w:w="4610" w:type="dxa"/>
            <w:vAlign w:val="center"/>
          </w:tcPr>
          <w:p>
            <w:pPr>
              <w:pStyle w:val="30"/>
              <w:bidi w:val="0"/>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垃圾桶</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87"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一般固废</w:t>
            </w:r>
          </w:p>
        </w:tc>
        <w:tc>
          <w:tcPr>
            <w:tcW w:w="4610" w:type="dxa"/>
            <w:vAlign w:val="center"/>
          </w:tcPr>
          <w:p>
            <w:pPr>
              <w:pStyle w:val="30"/>
              <w:bidi w:val="0"/>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一般固废暂存间</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color w:val="000000" w:themeColor="text1"/>
                <w14:textFill>
                  <w14:solidFill>
                    <w14:schemeClr w14:val="tx1"/>
                  </w14:solidFill>
                </w14:textFill>
              </w:rPr>
            </w:pPr>
          </w:p>
        </w:tc>
        <w:tc>
          <w:tcPr>
            <w:tcW w:w="787" w:type="dxa"/>
            <w:vMerge w:val="continue"/>
            <w:vAlign w:val="center"/>
          </w:tcPr>
          <w:p>
            <w:pPr>
              <w:pStyle w:val="30"/>
              <w:bidi w:val="0"/>
              <w:jc w:val="center"/>
              <w:rPr>
                <w:color w:val="000000" w:themeColor="text1"/>
                <w14:textFill>
                  <w14:solidFill>
                    <w14:schemeClr w14:val="tx1"/>
                  </w14:solidFill>
                </w14:textFill>
              </w:rPr>
            </w:pPr>
          </w:p>
        </w:tc>
        <w:tc>
          <w:tcPr>
            <w:tcW w:w="132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危险废物</w:t>
            </w:r>
          </w:p>
        </w:tc>
        <w:tc>
          <w:tcPr>
            <w:tcW w:w="4610" w:type="dxa"/>
            <w:vAlign w:val="center"/>
          </w:tcPr>
          <w:p>
            <w:pPr>
              <w:pStyle w:val="30"/>
              <w:bidi w:val="0"/>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危废暂存间暂存后定期交有资质单位处理</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8"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111" w:type="dxa"/>
            <w:gridSpan w:val="2"/>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tc>
        <w:tc>
          <w:tcPr>
            <w:tcW w:w="4610"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设备隔声、减振</w:t>
            </w:r>
          </w:p>
        </w:tc>
        <w:tc>
          <w:tcPr>
            <w:tcW w:w="1459"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新建</w:t>
            </w:r>
          </w:p>
        </w:tc>
      </w:tr>
    </w:tbl>
    <w:p>
      <w:pPr>
        <w:pStyle w:val="4"/>
        <w:bidi w:val="0"/>
      </w:pPr>
      <w:r>
        <w:t>3.</w:t>
      </w:r>
      <w:r>
        <w:rPr>
          <w:rFonts w:hint="eastAsia"/>
          <w:lang w:val="en-US" w:eastAsia="zh-CN"/>
        </w:rPr>
        <w:t>2.3</w:t>
      </w:r>
      <w:r>
        <w:t xml:space="preserve"> 主要生产设备</w:t>
      </w:r>
    </w:p>
    <w:p>
      <w:pPr>
        <w:pStyle w:val="19"/>
        <w:keepNext w:val="0"/>
        <w:keepLines w:val="0"/>
        <w:widowControl/>
        <w:suppressLineNumbers w:val="0"/>
        <w:spacing w:before="0" w:beforeAutospacing="0" w:after="0" w:afterAutospacing="0"/>
        <w:ind w:left="0" w:right="0" w:firstLine="0"/>
        <w:rPr>
          <w:u w:val="single"/>
        </w:rPr>
      </w:pPr>
      <w:r>
        <w:rPr>
          <w:u w:val="single"/>
        </w:rPr>
        <w:t>本项目主要生产设备见下表。</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bCs/>
          <w:u w:val="single"/>
          <w:lang w:eastAsia="zh-CN"/>
        </w:rPr>
      </w:pPr>
      <w:r>
        <w:rPr>
          <w:rFonts w:hint="eastAsia"/>
          <w:b/>
          <w:bCs/>
          <w:u w:val="single"/>
          <w:lang w:eastAsia="zh-CN"/>
        </w:rPr>
        <w:t>表3</w:t>
      </w:r>
      <w:r>
        <w:rPr>
          <w:rFonts w:hint="eastAsia"/>
          <w:b/>
          <w:bCs/>
          <w:u w:val="single"/>
          <w:lang w:val="en-US" w:eastAsia="zh-CN"/>
        </w:rPr>
        <w:t>.2</w:t>
      </w:r>
      <w:r>
        <w:rPr>
          <w:rFonts w:hint="eastAsia"/>
          <w:b/>
          <w:bCs/>
          <w:u w:val="single"/>
          <w:lang w:eastAsia="zh-CN"/>
        </w:rPr>
        <w:t xml:space="preserve">-2 </w:t>
      </w:r>
      <w:r>
        <w:rPr>
          <w:rFonts w:hint="eastAsia"/>
          <w:b/>
          <w:bCs/>
          <w:u w:val="single"/>
          <w:lang w:val="en-US" w:eastAsia="zh-CN"/>
        </w:rPr>
        <w:t xml:space="preserve"> </w:t>
      </w:r>
      <w:r>
        <w:rPr>
          <w:rFonts w:hint="eastAsia"/>
          <w:b/>
          <w:bCs/>
          <w:u w:val="single"/>
          <w:lang w:eastAsia="zh-CN"/>
        </w:rPr>
        <w:t>主要设备清单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40"/>
        <w:gridCol w:w="1441"/>
        <w:gridCol w:w="770"/>
        <w:gridCol w:w="1220"/>
        <w:gridCol w:w="203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序号</w:t>
            </w:r>
          </w:p>
        </w:tc>
        <w:tc>
          <w:tcPr>
            <w:tcW w:w="66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适用工序</w:t>
            </w: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设备名称</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单位</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数量</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规格型号</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1</w:t>
            </w:r>
          </w:p>
        </w:tc>
        <w:tc>
          <w:tcPr>
            <w:tcW w:w="667"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原料预处理</w:t>
            </w: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kern w:val="0"/>
                <w:sz w:val="21"/>
                <w:szCs w:val="21"/>
                <w:u w:val="single"/>
                <w:vertAlign w:val="baseline"/>
                <w:lang w:val="en-US" w:eastAsia="zh-CN" w:bidi="ar"/>
              </w:rPr>
            </w:pPr>
            <w:r>
              <w:rPr>
                <w:rFonts w:hint="eastAsia" w:cstheme="minorBidi"/>
                <w:kern w:val="0"/>
                <w:sz w:val="21"/>
                <w:szCs w:val="21"/>
                <w:u w:val="single"/>
                <w:vertAlign w:val="baseline"/>
                <w:lang w:val="en-US" w:eastAsia="zh-CN" w:bidi="ar"/>
              </w:rPr>
              <w:t>破碎机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永益YY-QXPS</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val="en-US" w:eastAsia="zh-CN"/>
              </w:rPr>
              <w:t>浮力分选罐</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规格：5m</w:t>
            </w:r>
            <w:r>
              <w:rPr>
                <w:rFonts w:hint="eastAsia"/>
                <w:sz w:val="21"/>
                <w:szCs w:val="21"/>
                <w:u w:val="single"/>
                <w:vertAlign w:val="superscript"/>
                <w:lang w:val="en-US" w:eastAsia="zh-CN"/>
              </w:rPr>
              <w:t>3</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清洗、浮选共用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3</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离心脱水机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2</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3000r/min</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4</w:t>
            </w:r>
          </w:p>
        </w:tc>
        <w:tc>
          <w:tcPr>
            <w:tcW w:w="667"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原料筛选</w:t>
            </w: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eastAsia="zh-CN"/>
              </w:rPr>
              <w:t>空分硅胶静电分选线</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val="en-US" w:eastAsia="zh-CN"/>
              </w:rPr>
              <w:t>3</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得利DLK7.5；DLG2000；DLS2000</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材质分离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色选机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5</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2000-30000kg/h</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颜色筛选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6</w:t>
            </w:r>
          </w:p>
        </w:tc>
        <w:tc>
          <w:tcPr>
            <w:tcW w:w="667"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造粒工序</w:t>
            </w: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搅拌罐</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1</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30m</w:t>
            </w:r>
            <w:r>
              <w:rPr>
                <w:rFonts w:hint="eastAsia"/>
                <w:sz w:val="21"/>
                <w:szCs w:val="21"/>
                <w:u w:val="single"/>
                <w:vertAlign w:val="superscript"/>
                <w:lang w:val="en-US" w:eastAsia="zh-CN"/>
              </w:rPr>
              <w:t>3</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原料搅拌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val="en-US" w:eastAsia="zh-CN"/>
              </w:rPr>
            </w:pP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挤出造粒一体机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6</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100~300kg/h</w:t>
            </w:r>
          </w:p>
        </w:tc>
        <w:tc>
          <w:tcPr>
            <w:tcW w:w="995"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eastAsia="zh-CN"/>
              </w:rPr>
              <w:t>造粒生产线</w:t>
            </w:r>
            <w:r>
              <w:rPr>
                <w:rFonts w:hint="eastAsia"/>
                <w:sz w:val="21"/>
                <w:szCs w:val="21"/>
                <w:u w:val="single"/>
                <w:vertAlign w:val="baseline"/>
                <w:lang w:val="en-US" w:eastAsia="zh-CN"/>
              </w:rPr>
              <w:t>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val="en-US" w:eastAsia="zh-CN"/>
              </w:rPr>
            </w:pP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冷却水槽</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6</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2m</w:t>
            </w:r>
            <w:r>
              <w:rPr>
                <w:rFonts w:hint="eastAsia"/>
                <w:sz w:val="21"/>
                <w:szCs w:val="21"/>
                <w:u w:val="single"/>
                <w:vertAlign w:val="superscript"/>
                <w:lang w:val="en-US" w:eastAsia="zh-CN"/>
              </w:rPr>
              <w:t>3</w:t>
            </w:r>
          </w:p>
        </w:tc>
        <w:tc>
          <w:tcPr>
            <w:tcW w:w="995"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val="en-US" w:eastAsia="zh-CN"/>
              </w:rPr>
            </w:pP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切粒机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个</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6</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科好150型</w:t>
            </w:r>
          </w:p>
        </w:tc>
        <w:tc>
          <w:tcPr>
            <w:tcW w:w="995"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7</w:t>
            </w:r>
          </w:p>
        </w:tc>
        <w:tc>
          <w:tcPr>
            <w:tcW w:w="667"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注塑工序</w:t>
            </w: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eastAsia="zh-CN"/>
              </w:rPr>
              <w:t>混料机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20</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注塑料混料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8</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eastAsia="zh-CN"/>
              </w:rPr>
              <w:t>注塑机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val="en-US" w:eastAsia="zh-CN"/>
              </w:rPr>
              <w:t>20</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default"/>
                <w:sz w:val="21"/>
                <w:szCs w:val="21"/>
                <w:u w:val="single"/>
                <w:vertAlign w:val="baseline"/>
                <w:lang w:val="en-US" w:eastAsia="zh-CN"/>
              </w:rPr>
              <w:t>HYW-3600</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9</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eastAsia="zh-CN"/>
              </w:rPr>
              <w:t>空压机</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1</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10</w:t>
            </w:r>
          </w:p>
        </w:tc>
        <w:tc>
          <w:tcPr>
            <w:tcW w:w="667"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p>
        </w:tc>
        <w:tc>
          <w:tcPr>
            <w:tcW w:w="77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kern w:val="0"/>
                <w:sz w:val="21"/>
                <w:szCs w:val="21"/>
                <w:u w:val="single"/>
                <w:vertAlign w:val="baseline"/>
                <w:lang w:val="en-US" w:eastAsia="zh-CN" w:bidi="ar"/>
              </w:rPr>
            </w:pPr>
            <w:r>
              <w:rPr>
                <w:rFonts w:hint="eastAsia"/>
                <w:sz w:val="21"/>
                <w:szCs w:val="21"/>
                <w:u w:val="single"/>
                <w:vertAlign w:val="baseline"/>
                <w:lang w:eastAsia="zh-CN"/>
              </w:rPr>
              <w:t>冷却塔</w:t>
            </w:r>
          </w:p>
        </w:tc>
        <w:tc>
          <w:tcPr>
            <w:tcW w:w="41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台</w:t>
            </w:r>
          </w:p>
        </w:tc>
        <w:tc>
          <w:tcPr>
            <w:tcW w:w="656"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1</w:t>
            </w:r>
          </w:p>
        </w:tc>
        <w:tc>
          <w:tcPr>
            <w:tcW w:w="109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w:t>
            </w:r>
          </w:p>
        </w:tc>
        <w:tc>
          <w:tcPr>
            <w:tcW w:w="99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u w:val="single"/>
                <w:vertAlign w:val="baseline"/>
                <w:lang w:val="en-US" w:eastAsia="zh-CN"/>
              </w:rPr>
            </w:pPr>
            <w:r>
              <w:rPr>
                <w:rFonts w:hint="eastAsia"/>
                <w:sz w:val="21"/>
                <w:szCs w:val="21"/>
                <w:u w:val="single"/>
                <w:vertAlign w:val="baseline"/>
                <w:lang w:val="en-US" w:eastAsia="zh-CN"/>
              </w:rPr>
              <w:t>注塑机冷却</w:t>
            </w:r>
          </w:p>
        </w:tc>
      </w:tr>
    </w:tbl>
    <w:p>
      <w:pPr>
        <w:pStyle w:val="4"/>
        <w:bidi w:val="0"/>
        <w:rPr>
          <w:rFonts w:ascii="Times New Roman" w:hAnsi="Times New Roman" w:eastAsia="宋体"/>
        </w:rPr>
      </w:pPr>
      <w:r>
        <w:rPr>
          <w:rFonts w:ascii="Times New Roman" w:hAnsi="Times New Roman" w:eastAsia="宋体"/>
        </w:rPr>
        <w:t>3.2.4清洁生产水平评价</w:t>
      </w:r>
    </w:p>
    <w:p>
      <w:pPr>
        <w:ind w:firstLine="562"/>
        <w:rPr>
          <w:rFonts w:cs="Times New Roman"/>
          <w:b/>
          <w:u w:val="single"/>
        </w:rPr>
      </w:pPr>
      <w:r>
        <w:rPr>
          <w:rFonts w:cs="Times New Roman"/>
          <w:b/>
          <w:u w:val="single"/>
        </w:rPr>
        <w:t>一、工艺技术先进性及成熟度</w:t>
      </w:r>
    </w:p>
    <w:p>
      <w:pPr>
        <w:ind w:firstLine="560"/>
        <w:rPr>
          <w:rFonts w:cs="Times New Roman"/>
          <w:u w:val="single"/>
        </w:rPr>
      </w:pPr>
      <w:r>
        <w:rPr>
          <w:rFonts w:cs="Times New Roman"/>
          <w:u w:val="single"/>
        </w:rPr>
        <w:t>本次拟建项目工艺由专门设计单位进行设计提供，生产工艺成熟、稳定。</w:t>
      </w:r>
    </w:p>
    <w:p>
      <w:pPr>
        <w:ind w:firstLine="562"/>
        <w:rPr>
          <w:rFonts w:cs="Times New Roman"/>
          <w:b/>
          <w:u w:val="single"/>
        </w:rPr>
      </w:pPr>
      <w:r>
        <w:rPr>
          <w:rFonts w:cs="Times New Roman"/>
          <w:b/>
          <w:u w:val="single"/>
        </w:rPr>
        <w:t>二、生产设备先进性和可靠性</w:t>
      </w:r>
    </w:p>
    <w:p>
      <w:pPr>
        <w:ind w:firstLine="560"/>
        <w:rPr>
          <w:rFonts w:cs="Times New Roman"/>
          <w:u w:val="single"/>
        </w:rPr>
      </w:pPr>
      <w:r>
        <w:rPr>
          <w:rFonts w:cs="Times New Roman"/>
          <w:u w:val="single"/>
        </w:rPr>
        <w:t>拟建项目所使用的生产设备均为国内外先进成熟的生产设备，所涉及的高危工艺采取自动化控制系统，主要体现在以下几个方面：</w:t>
      </w:r>
    </w:p>
    <w:p>
      <w:pPr>
        <w:ind w:firstLine="560"/>
        <w:rPr>
          <w:rFonts w:cs="Times New Roman"/>
          <w:u w:val="single"/>
        </w:rPr>
      </w:pPr>
      <w:r>
        <w:rPr>
          <w:rFonts w:cs="Times New Roman"/>
          <w:u w:val="single"/>
        </w:rPr>
        <w:t>（1）控制系统：高危工艺（熔融挤出工艺）采用自动化控制系统，对不同产品生产过程中温度、压力、进料流量等工艺参数进行重点监控。实现挤出机温度和压力的报警、连锁，反应物料的比例控制和连锁，熔融挤出的稳定控制等。</w:t>
      </w:r>
    </w:p>
    <w:p>
      <w:pPr>
        <w:ind w:firstLine="560"/>
        <w:rPr>
          <w:rFonts w:cs="Times New Roman"/>
          <w:u w:val="single"/>
        </w:rPr>
      </w:pPr>
      <w:r>
        <w:rPr>
          <w:rFonts w:cs="Times New Roman"/>
          <w:u w:val="single"/>
        </w:rPr>
        <w:t>（2）输送设备：各生产车间均以立体空间结构布置，投料仓和挤出机</w:t>
      </w:r>
      <w:r>
        <w:rPr>
          <w:rFonts w:hint="eastAsia" w:cs="Times New Roman"/>
          <w:u w:val="single"/>
          <w:lang w:eastAsia="zh-CN"/>
        </w:rPr>
        <w:t>根据</w:t>
      </w:r>
      <w:r>
        <w:rPr>
          <w:rFonts w:cs="Times New Roman"/>
          <w:u w:val="single"/>
        </w:rPr>
        <w:t>工艺要求进行布置，同层的生产容器间使用物料泵输送液体物料；不同层之间的生产容器采用重力自流式输送和转移物料，即节约了能源，也降低了无组织废气的产生。</w:t>
      </w:r>
    </w:p>
    <w:p>
      <w:pPr>
        <w:ind w:firstLine="560"/>
        <w:rPr>
          <w:rFonts w:cs="Times New Roman"/>
          <w:u w:val="single"/>
        </w:rPr>
      </w:pPr>
      <w:r>
        <w:rPr>
          <w:rFonts w:cs="Times New Roman"/>
          <w:u w:val="single"/>
        </w:rPr>
        <w:t>拟建项目所使用的设备不属于《高耗能落后机电设备（产品）淘汰目录（第一</w:t>
      </w:r>
      <w:r>
        <w:rPr>
          <w:rFonts w:hint="eastAsia" w:cs="Times New Roman"/>
          <w:u w:val="single"/>
          <w:lang w:eastAsia="zh-CN"/>
        </w:rPr>
        <w:t>～</w:t>
      </w:r>
      <w:r>
        <w:rPr>
          <w:rFonts w:cs="Times New Roman"/>
          <w:u w:val="single"/>
        </w:rPr>
        <w:t>四批）》、《部分工业行业淘汰落后生产工艺装备和产品指导目录（2010年本）</w:t>
      </w:r>
      <w:r>
        <w:rPr>
          <w:rFonts w:hint="eastAsia" w:cs="Times New Roman"/>
          <w:u w:val="single"/>
          <w:lang w:eastAsia="zh-CN"/>
        </w:rPr>
        <w:t>》</w:t>
      </w:r>
      <w:r>
        <w:rPr>
          <w:rFonts w:cs="Times New Roman"/>
          <w:u w:val="single"/>
        </w:rPr>
        <w:t>、《产业结构调整指导目录（2019年本）》、《江苏省工业和信息产业结构调整指导目录（2013年修订）》中的限制类或淘汰类设备，项目生产设备具有一定先进性，符合清洁生产的要求。</w:t>
      </w:r>
    </w:p>
    <w:p>
      <w:pPr>
        <w:pStyle w:val="4"/>
        <w:bidi w:val="0"/>
      </w:pPr>
      <w:r>
        <w:t>3.</w:t>
      </w:r>
      <w:r>
        <w:rPr>
          <w:rFonts w:hint="eastAsia"/>
          <w:lang w:val="en-US" w:eastAsia="zh-CN"/>
        </w:rPr>
        <w:t>2.5</w:t>
      </w:r>
      <w:r>
        <w:t xml:space="preserve"> 主要原辅材料及理化特性</w:t>
      </w:r>
    </w:p>
    <w:p>
      <w:pPr>
        <w:pStyle w:val="19"/>
        <w:keepNext w:val="0"/>
        <w:keepLines w:val="0"/>
        <w:widowControl/>
        <w:suppressLineNumbers w:val="0"/>
        <w:spacing w:before="0" w:beforeAutospacing="0" w:after="0" w:afterAutospacing="0"/>
        <w:ind w:left="0" w:right="0" w:firstLine="0"/>
      </w:pPr>
      <w:r>
        <w:t>1、主要原辅材料</w:t>
      </w:r>
    </w:p>
    <w:p>
      <w:pPr>
        <w:pStyle w:val="19"/>
        <w:keepNext w:val="0"/>
        <w:keepLines w:val="0"/>
        <w:widowControl/>
        <w:suppressLineNumbers w:val="0"/>
        <w:spacing w:before="0" w:beforeAutospacing="0" w:after="0" w:afterAutospacing="0"/>
        <w:ind w:left="0" w:right="0" w:firstLine="0"/>
      </w:pPr>
      <w:r>
        <w:t>本项目主要原辅材料见下表。</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b/>
          <w:bCs/>
          <w:lang w:eastAsia="zh-CN"/>
        </w:rPr>
      </w:pPr>
      <w:r>
        <w:rPr>
          <w:rFonts w:hint="eastAsia"/>
          <w:b/>
          <w:bCs/>
          <w:lang w:eastAsia="zh-CN"/>
        </w:rPr>
        <w:t>表3</w:t>
      </w:r>
      <w:r>
        <w:rPr>
          <w:rFonts w:hint="eastAsia"/>
          <w:b/>
          <w:bCs/>
          <w:lang w:val="en-US" w:eastAsia="zh-CN"/>
        </w:rPr>
        <w:t>.2</w:t>
      </w:r>
      <w:r>
        <w:rPr>
          <w:rFonts w:hint="eastAsia"/>
          <w:b/>
          <w:bCs/>
          <w:lang w:eastAsia="zh-CN"/>
        </w:rPr>
        <w:t>-</w:t>
      </w:r>
      <w:r>
        <w:rPr>
          <w:rFonts w:hint="eastAsia"/>
          <w:b/>
          <w:bCs/>
          <w:lang w:val="en-US" w:eastAsia="zh-CN"/>
        </w:rPr>
        <w:t xml:space="preserve">3 </w:t>
      </w:r>
      <w:r>
        <w:rPr>
          <w:rFonts w:hint="eastAsia"/>
          <w:b/>
          <w:bCs/>
          <w:lang w:eastAsia="zh-CN"/>
        </w:rPr>
        <w:t xml:space="preserve"> 原辅材料消耗表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2033"/>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类别</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耗量</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废旧塑料</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vertAlign w:val="baseline"/>
                <w:lang w:val="en-US" w:eastAsia="zh-CN"/>
              </w:rPr>
            </w:pPr>
            <w:r>
              <w:rPr>
                <w:rFonts w:hint="eastAsia"/>
                <w:sz w:val="21"/>
                <w:szCs w:val="21"/>
                <w:u w:val="single"/>
                <w:vertAlign w:val="baseline"/>
                <w:lang w:val="en-US" w:eastAsia="zh-CN"/>
              </w:rPr>
              <w:t>6300t/a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sz w:val="21"/>
                <w:szCs w:val="21"/>
                <w:vertAlign w:val="baseline"/>
                <w:lang w:val="en-US" w:eastAsia="zh-CN"/>
              </w:rPr>
            </w:pPr>
            <w:r>
              <w:rPr>
                <w:rFonts w:hint="eastAsia"/>
                <w:sz w:val="21"/>
                <w:szCs w:val="21"/>
                <w:u w:val="single"/>
                <w:vertAlign w:val="baseline"/>
                <w:lang w:eastAsia="zh-CN"/>
              </w:rPr>
              <w:t>定向购买，来源为淮安得利塑业有限公司初加工后的废塑料，其中</w:t>
            </w:r>
            <w:r>
              <w:rPr>
                <w:rFonts w:hint="eastAsia"/>
                <w:sz w:val="21"/>
                <w:szCs w:val="21"/>
                <w:u w:val="single"/>
                <w:vertAlign w:val="baseline"/>
                <w:lang w:val="en-US" w:eastAsia="zh-CN"/>
              </w:rPr>
              <w:t>ABS塑料和PS塑料含量不得低于95%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工业氯化钠</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25t/a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eastAsia="zh-CN"/>
              </w:rPr>
              <w:t>外购，用于浮选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sz w:val="21"/>
                <w:szCs w:val="21"/>
                <w:u w:val="single"/>
                <w:vertAlign w:val="baseline"/>
                <w:lang w:eastAsia="zh-CN"/>
              </w:rPr>
            </w:pPr>
            <w:r>
              <w:rPr>
                <w:rFonts w:hint="eastAsia"/>
                <w:sz w:val="21"/>
                <w:szCs w:val="21"/>
                <w:u w:val="single"/>
                <w:vertAlign w:val="baseline"/>
                <w:lang w:eastAsia="zh-CN"/>
              </w:rPr>
              <w:t>色母粒</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2t/a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sz w:val="21"/>
                <w:szCs w:val="21"/>
                <w:u w:val="single"/>
                <w:vertAlign w:val="baseline"/>
                <w:lang w:val="en-US" w:eastAsia="zh-CN"/>
              </w:rPr>
            </w:pPr>
            <w:r>
              <w:rPr>
                <w:rFonts w:hint="eastAsia"/>
                <w:sz w:val="21"/>
                <w:szCs w:val="21"/>
                <w:u w:val="single"/>
                <w:vertAlign w:val="baseline"/>
                <w:lang w:val="en-US" w:eastAsia="zh-CN"/>
              </w:rPr>
              <w:t>黑色和灰色，根据原料分选来定色母粒用量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水</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2358m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电</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60万kW.h/a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6"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天然气</w:t>
            </w:r>
          </w:p>
        </w:tc>
        <w:tc>
          <w:tcPr>
            <w:tcW w:w="203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/a</w:t>
            </w:r>
          </w:p>
        </w:tc>
        <w:tc>
          <w:tcPr>
            <w:tcW w:w="4159"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color w:val="000000" w:themeColor="text1"/>
                <w:sz w:val="21"/>
                <w:szCs w:val="21"/>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textAlignment w:val="auto"/>
        <w:rPr>
          <w:rFonts w:hint="default" w:eastAsia="宋体"/>
          <w:b/>
          <w:bCs/>
          <w:color w:val="000000" w:themeColor="text1"/>
          <w:u w:val="single"/>
          <w:lang w:val="en-US" w:eastAsia="zh-CN"/>
          <w14:textFill>
            <w14:solidFill>
              <w14:schemeClr w14:val="tx1"/>
            </w14:solidFill>
          </w14:textFill>
        </w:rPr>
      </w:pPr>
      <w:r>
        <w:rPr>
          <w:rFonts w:hint="eastAsia"/>
          <w:color w:val="000000" w:themeColor="text1"/>
          <w:u w:val="single"/>
          <w:lang w:eastAsia="zh-CN"/>
          <w14:textFill>
            <w14:solidFill>
              <w14:schemeClr w14:val="tx1"/>
            </w14:solidFill>
          </w14:textFill>
        </w:rPr>
        <w:t>原料来源：</w:t>
      </w:r>
      <w:r>
        <w:rPr>
          <w:color w:val="000000" w:themeColor="text1"/>
          <w:u w:val="single"/>
          <w14:textFill>
            <w14:solidFill>
              <w14:schemeClr w14:val="tx1"/>
            </w14:solidFill>
          </w14:textFill>
        </w:rPr>
        <w:t>本项目使用的废塑料仅为废</w:t>
      </w:r>
      <w:r>
        <w:rPr>
          <w:rFonts w:hint="eastAsia"/>
          <w:color w:val="000000" w:themeColor="text1"/>
          <w:u w:val="single"/>
          <w:lang w:eastAsia="zh-CN"/>
          <w14:textFill>
            <w14:solidFill>
              <w14:schemeClr w14:val="tx1"/>
            </w14:solidFill>
          </w14:textFill>
        </w:rPr>
        <w:t>丙烯腈</w:t>
      </w:r>
      <w:r>
        <w:rPr>
          <w:color w:val="000000" w:themeColor="text1"/>
          <w:u w:val="single"/>
          <w14:textFill>
            <w14:solidFill>
              <w14:schemeClr w14:val="tx1"/>
            </w14:solidFill>
          </w14:textFill>
        </w:rPr>
        <w:t>(A)</w:t>
      </w:r>
      <w:r>
        <w:rPr>
          <w:rFonts w:hint="eastAsia"/>
          <w:color w:val="000000" w:themeColor="text1"/>
          <w:u w:val="single"/>
          <w:lang w:val="en-US" w:eastAsia="zh-CN"/>
          <w14:textFill>
            <w14:solidFill>
              <w14:schemeClr w14:val="tx1"/>
            </w14:solidFill>
          </w14:textFill>
        </w:rPr>
        <w:t>-</w:t>
      </w:r>
      <w:r>
        <w:rPr>
          <w:color w:val="000000" w:themeColor="text1"/>
          <w:u w:val="single"/>
          <w14:textFill>
            <w14:solidFill>
              <w14:schemeClr w14:val="tx1"/>
            </w14:solidFill>
          </w14:textFill>
        </w:rPr>
        <w:t>丁二烯(B)</w:t>
      </w:r>
      <w:r>
        <w:rPr>
          <w:rFonts w:hint="eastAsia"/>
          <w:color w:val="000000" w:themeColor="text1"/>
          <w:u w:val="single"/>
          <w:lang w:val="en-US" w:eastAsia="zh-CN"/>
          <w14:textFill>
            <w14:solidFill>
              <w14:schemeClr w14:val="tx1"/>
            </w14:solidFill>
          </w14:textFill>
        </w:rPr>
        <w:t>-</w:t>
      </w:r>
      <w:r>
        <w:rPr>
          <w:color w:val="000000" w:themeColor="text1"/>
          <w:u w:val="single"/>
          <w14:textFill>
            <w14:solidFill>
              <w14:schemeClr w14:val="tx1"/>
            </w14:solidFill>
          </w14:textFill>
        </w:rPr>
        <w:t>苯乙烯(S)（</w:t>
      </w:r>
      <w:r>
        <w:rPr>
          <w:rFonts w:hint="eastAsia"/>
          <w:color w:val="000000" w:themeColor="text1"/>
          <w:u w:val="single"/>
          <w:lang w:val="en-US" w:eastAsia="zh-CN"/>
          <w14:textFill>
            <w14:solidFill>
              <w14:schemeClr w14:val="tx1"/>
            </w14:solidFill>
          </w14:textFill>
        </w:rPr>
        <w:t>ABS</w:t>
      </w:r>
      <w:r>
        <w:rPr>
          <w:color w:val="000000" w:themeColor="text1"/>
          <w:u w:val="single"/>
          <w14:textFill>
            <w14:solidFill>
              <w14:schemeClr w14:val="tx1"/>
            </w14:solidFill>
          </w14:textFill>
        </w:rPr>
        <w:t>）和聚</w:t>
      </w:r>
      <w:r>
        <w:rPr>
          <w:rFonts w:hint="eastAsia"/>
          <w:color w:val="000000" w:themeColor="text1"/>
          <w:u w:val="single"/>
          <w:lang w:eastAsia="zh-CN"/>
          <w14:textFill>
            <w14:solidFill>
              <w14:schemeClr w14:val="tx1"/>
            </w14:solidFill>
          </w14:textFill>
        </w:rPr>
        <w:t>苯乙烯</w:t>
      </w:r>
      <w:r>
        <w:rPr>
          <w:color w:val="000000" w:themeColor="text1"/>
          <w:u w:val="single"/>
          <w14:textFill>
            <w14:solidFill>
              <w14:schemeClr w14:val="tx1"/>
            </w14:solidFill>
          </w14:textFill>
        </w:rPr>
        <w:t>塑料（P</w:t>
      </w:r>
      <w:r>
        <w:rPr>
          <w:rFonts w:hint="eastAsia"/>
          <w:color w:val="000000" w:themeColor="text1"/>
          <w:u w:val="single"/>
          <w:lang w:val="en-US" w:eastAsia="zh-CN"/>
          <w14:textFill>
            <w14:solidFill>
              <w14:schemeClr w14:val="tx1"/>
            </w14:solidFill>
          </w14:textFill>
        </w:rPr>
        <w:t>S</w:t>
      </w:r>
      <w:r>
        <w:rPr>
          <w:color w:val="000000" w:themeColor="text1"/>
          <w:u w:val="single"/>
          <w14:textFill>
            <w14:solidFill>
              <w14:schemeClr w14:val="tx1"/>
            </w14:solidFill>
          </w14:textFill>
        </w:rPr>
        <w:t>），原料</w:t>
      </w:r>
      <w:r>
        <w:rPr>
          <w:rFonts w:hint="eastAsia"/>
          <w:color w:val="000000" w:themeColor="text1"/>
          <w:u w:val="single"/>
          <w:lang w:eastAsia="zh-CN"/>
          <w14:textFill>
            <w14:solidFill>
              <w14:schemeClr w14:val="tx1"/>
            </w14:solidFill>
          </w14:textFill>
        </w:rPr>
        <w:t>全部</w:t>
      </w:r>
      <w:r>
        <w:rPr>
          <w:color w:val="000000" w:themeColor="text1"/>
          <w:u w:val="single"/>
          <w14:textFill>
            <w14:solidFill>
              <w14:schemeClr w14:val="tx1"/>
            </w14:solidFill>
          </w14:textFill>
        </w:rPr>
        <w:t>来源</w:t>
      </w:r>
      <w:r>
        <w:rPr>
          <w:rFonts w:hint="eastAsia"/>
          <w:color w:val="000000" w:themeColor="text1"/>
          <w:u w:val="single"/>
          <w:lang w:eastAsia="zh-CN"/>
          <w14:textFill>
            <w14:solidFill>
              <w14:schemeClr w14:val="tx1"/>
            </w14:solidFill>
          </w14:textFill>
        </w:rPr>
        <w:t>于淮安得利塑业有限公司初加工后的废塑料，企业与供货单位签订收购协议，明确收购废塑料的种类与品质。</w:t>
      </w:r>
      <w:r>
        <w:rPr>
          <w:rFonts w:hint="default" w:ascii="Times New Roman" w:hAnsi="Times New Roman" w:cs="Times New Roman"/>
          <w:b/>
          <w:bCs/>
          <w:color w:val="000000" w:themeColor="text1"/>
          <w:u w:val="single"/>
          <w:lang w:eastAsia="zh-CN"/>
          <w14:textFill>
            <w14:solidFill>
              <w14:schemeClr w14:val="tx1"/>
            </w14:solidFill>
          </w14:textFill>
        </w:rPr>
        <w:t>淮安得利塑业有限公司主要经营</w:t>
      </w:r>
      <w:r>
        <w:rPr>
          <w:rFonts w:hint="default" w:ascii="Times New Roman" w:hAnsi="Times New Roman" w:eastAsia="宋体" w:cs="Times New Roman"/>
          <w:b/>
          <w:bCs/>
          <w:sz w:val="24"/>
          <w:szCs w:val="24"/>
          <w:u w:val="single"/>
        </w:rPr>
        <w:t>废旧塑料回收、分选</w:t>
      </w:r>
      <w:r>
        <w:rPr>
          <w:rFonts w:hint="eastAsia" w:cs="Times New Roman"/>
          <w:b/>
          <w:bCs/>
          <w:sz w:val="24"/>
          <w:szCs w:val="24"/>
          <w:u w:val="single"/>
          <w:lang w:eastAsia="zh-CN"/>
        </w:rPr>
        <w:t>与销售，其中包含本项目需要的</w:t>
      </w:r>
      <w:r>
        <w:rPr>
          <w:rFonts w:hint="eastAsia" w:cs="Times New Roman"/>
          <w:b/>
          <w:bCs/>
          <w:sz w:val="24"/>
          <w:szCs w:val="24"/>
          <w:u w:val="single"/>
          <w:lang w:val="en-US" w:eastAsia="zh-CN"/>
        </w:rPr>
        <w:t>ABS和PS混包废塑料，此类废塑料中ABS塑料</w:t>
      </w:r>
      <w:r>
        <w:rPr>
          <w:rFonts w:hint="eastAsia" w:cs="Times New Roman"/>
          <w:b/>
          <w:bCs/>
          <w:sz w:val="24"/>
          <w:szCs w:val="24"/>
          <w:u w:val="single"/>
          <w:lang w:eastAsia="zh-CN"/>
        </w:rPr>
        <w:t>主要来源于各类洗衣机、空调外机壳，</w:t>
      </w:r>
      <w:r>
        <w:rPr>
          <w:rFonts w:hint="eastAsia" w:cs="Times New Roman"/>
          <w:b/>
          <w:bCs/>
          <w:sz w:val="24"/>
          <w:szCs w:val="24"/>
          <w:u w:val="single"/>
          <w:lang w:val="en-US" w:eastAsia="zh-CN"/>
        </w:rPr>
        <w:t>PS类塑料主要是定向收购来源于废旧文具、笔杆等教育学生用品，不收集其他工业和医疗活动产生的废旧塑料。</w:t>
      </w:r>
    </w:p>
    <w:p>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u w:val="single"/>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项目原料来源</w:t>
      </w:r>
      <w:r>
        <w:rPr>
          <w:color w:val="000000" w:themeColor="text1"/>
          <w:u w:val="single"/>
          <w14:textFill>
            <w14:solidFill>
              <w14:schemeClr w14:val="tx1"/>
            </w14:solidFill>
          </w14:textFill>
        </w:rPr>
        <w:t>符合《废塑料回收与再生利用污染控制技术规范（试行）》（HJ/T364-2007）</w:t>
      </w:r>
      <w:r>
        <w:rPr>
          <w:rFonts w:hint="eastAsia"/>
          <w:color w:val="000000" w:themeColor="text1"/>
          <w:u w:val="single"/>
          <w:lang w:eastAsia="zh-CN"/>
          <w14:textFill>
            <w14:solidFill>
              <w14:schemeClr w14:val="tx1"/>
            </w14:solidFill>
          </w14:textFill>
        </w:rPr>
        <w:t>的要求：</w:t>
      </w:r>
      <w:r>
        <w:rPr>
          <w:color w:val="000000" w:themeColor="text1"/>
          <w:u w:val="single"/>
          <w14:textFill>
            <w14:solidFill>
              <w14:schemeClr w14:val="tx1"/>
            </w14:solidFill>
          </w14:textFill>
        </w:rPr>
        <w:t>废塑料的回收按原料树脂种类进行分类，并严格区分废塑料来源和原用途，禁止回收和再生利用属于医疗废物和I危险废物的废塑料</w:t>
      </w:r>
      <w:r>
        <w:rPr>
          <w:rFonts w:hint="eastAsia"/>
          <w:color w:val="000000" w:themeColor="text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项目原料来源符合《禁止洋</w:t>
      </w:r>
      <w:r>
        <w:rPr>
          <w:rFonts w:hint="eastAsia"/>
          <w:color w:val="000000" w:themeColor="text1"/>
          <w:u w:val="single"/>
          <w:lang w:eastAsia="zh-CN"/>
          <w14:textFill>
            <w14:solidFill>
              <w14:schemeClr w14:val="tx1"/>
            </w14:solidFill>
          </w14:textFill>
        </w:rPr>
        <w:t>垃圾</w:t>
      </w:r>
      <w:r>
        <w:rPr>
          <w:color w:val="000000" w:themeColor="text1"/>
          <w:u w:val="single"/>
          <w14:textFill>
            <w14:solidFill>
              <w14:schemeClr w14:val="tx1"/>
            </w14:solidFill>
          </w14:textFill>
        </w:rPr>
        <w:t>入境推进固体废物进口管理制度改革实施方案》（国办发</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2017</w:t>
      </w:r>
      <w:r>
        <w:rPr>
          <w:rFonts w:hint="eastAsia"/>
          <w:color w:val="000000" w:themeColor="text1"/>
          <w:u w:val="single"/>
          <w14:textFill>
            <w14:solidFill>
              <w14:schemeClr w14:val="tx1"/>
            </w14:solidFill>
          </w14:textFill>
        </w:rPr>
        <w:t>〕</w:t>
      </w:r>
      <w:r>
        <w:rPr>
          <w:color w:val="000000" w:themeColor="text1"/>
          <w:u w:val="single"/>
          <w14:textFill>
            <w14:solidFill>
              <w14:schemeClr w14:val="tx1"/>
            </w14:solidFill>
          </w14:textFill>
        </w:rPr>
        <w:t>70号）</w:t>
      </w:r>
      <w:r>
        <w:rPr>
          <w:rFonts w:hint="eastAsia"/>
          <w:color w:val="000000" w:themeColor="text1"/>
          <w:u w:val="single"/>
          <w:lang w:eastAsia="zh-CN"/>
          <w14:textFill>
            <w14:solidFill>
              <w14:schemeClr w14:val="tx1"/>
            </w14:solidFill>
          </w14:textFill>
        </w:rPr>
        <w:t>的</w:t>
      </w:r>
      <w:r>
        <w:rPr>
          <w:color w:val="000000" w:themeColor="text1"/>
          <w:u w:val="single"/>
          <w14:textFill>
            <w14:solidFill>
              <w14:schemeClr w14:val="tx1"/>
            </w14:solidFill>
          </w14:textFill>
        </w:rPr>
        <w:t>规定</w:t>
      </w:r>
      <w:r>
        <w:rPr>
          <w:rFonts w:hint="eastAsia"/>
          <w:color w:val="000000" w:themeColor="text1"/>
          <w:u w:val="single"/>
          <w:lang w:eastAsia="zh-CN"/>
          <w14:textFill>
            <w14:solidFill>
              <w14:schemeClr w14:val="tx1"/>
            </w14:solidFill>
          </w14:textFill>
        </w:rPr>
        <w:t>：</w:t>
      </w:r>
      <w:r>
        <w:rPr>
          <w:color w:val="000000" w:themeColor="text1"/>
          <w:u w:val="single"/>
          <w14:textFill>
            <w14:solidFill>
              <w14:schemeClr w14:val="tx1"/>
            </w14:solidFill>
          </w14:textFill>
        </w:rPr>
        <w:t>禁止回</w:t>
      </w:r>
      <w:r>
        <w:rPr>
          <w:rFonts w:hint="eastAsia"/>
          <w:color w:val="000000" w:themeColor="text1"/>
          <w:u w:val="single"/>
          <w:lang w:eastAsia="zh-CN"/>
          <w14:textFill>
            <w14:solidFill>
              <w14:schemeClr w14:val="tx1"/>
            </w14:solidFill>
          </w14:textFill>
        </w:rPr>
        <w:t>收、</w:t>
      </w:r>
      <w:r>
        <w:rPr>
          <w:color w:val="000000" w:themeColor="text1"/>
          <w:u w:val="single"/>
          <w14:textFill>
            <w14:solidFill>
              <w14:schemeClr w14:val="tx1"/>
            </w14:solidFill>
          </w14:textFill>
        </w:rPr>
        <w:t>再</w:t>
      </w:r>
      <w:r>
        <w:rPr>
          <w:rFonts w:hint="eastAsia"/>
          <w:color w:val="000000" w:themeColor="text1"/>
          <w:u w:val="single"/>
          <w:lang w:eastAsia="zh-CN"/>
          <w14:textFill>
            <w14:solidFill>
              <w14:schemeClr w14:val="tx1"/>
            </w14:solidFill>
          </w14:textFill>
        </w:rPr>
        <w:t>生</w:t>
      </w:r>
      <w:r>
        <w:rPr>
          <w:color w:val="000000" w:themeColor="text1"/>
          <w:u w:val="single"/>
          <w14:textFill>
            <w14:solidFill>
              <w14:schemeClr w14:val="tx1"/>
            </w14:solidFill>
          </w14:textFill>
        </w:rPr>
        <w:t>利用进口废塑料。</w:t>
      </w:r>
    </w:p>
    <w:p>
      <w:pPr>
        <w:pStyle w:val="20"/>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eastAsia="宋体"/>
          <w:u w:val="single"/>
          <w:lang w:val="en-US" w:eastAsia="zh-CN"/>
        </w:rPr>
      </w:pPr>
      <w:r>
        <w:rPr>
          <w:rFonts w:hint="eastAsia"/>
          <w:color w:val="000000" w:themeColor="text1"/>
          <w:u w:val="single"/>
          <w:lang w:eastAsia="zh-CN"/>
          <w14:textFill>
            <w14:solidFill>
              <w14:schemeClr w14:val="tx1"/>
            </w14:solidFill>
          </w14:textFill>
        </w:rPr>
        <w:t>原料质量保障：企业外购原料为尼龙吨袋包装，采取分批次人工抽检制度，人工筛选甄别废塑料种类与品质，抽检量为每批次的百分之二十，质检标准</w:t>
      </w:r>
      <w:r>
        <w:rPr>
          <w:rFonts w:hint="eastAsia"/>
          <w:color w:val="000000" w:themeColor="text1"/>
          <w:u w:val="single"/>
          <w:lang w:val="en-US" w:eastAsia="zh-CN"/>
          <w14:textFill>
            <w14:solidFill>
              <w14:schemeClr w14:val="tx1"/>
            </w14:solidFill>
          </w14:textFill>
        </w:rPr>
        <w:t>ABS塑料和PS塑料含量不得低于95%，</w:t>
      </w:r>
      <w:r>
        <w:rPr>
          <w:rFonts w:hint="eastAsia"/>
          <w:color w:val="000000" w:themeColor="text1"/>
          <w:u w:val="single"/>
          <w:lang w:eastAsia="zh-CN"/>
          <w14:textFill>
            <w14:solidFill>
              <w14:schemeClr w14:val="tx1"/>
            </w14:solidFill>
          </w14:textFill>
        </w:rPr>
        <w:t>如有不合格原料则全批次退回。</w:t>
      </w:r>
    </w:p>
    <w:p>
      <w:pPr>
        <w:keepNext w:val="0"/>
        <w:keepLines w:val="0"/>
        <w:pageBreakBefore w:val="0"/>
        <w:widowControl w:val="0"/>
        <w:kinsoku/>
        <w:wordWrap/>
        <w:overflowPunct/>
        <w:topLinePunct w:val="0"/>
        <w:autoSpaceDE/>
        <w:autoSpaceDN/>
        <w:bidi w:val="0"/>
        <w:adjustRightInd/>
        <w:snapToGrid/>
        <w:textAlignment w:val="auto"/>
      </w:pPr>
      <w:r>
        <w:t>2、主要原辅材料理化特性</w:t>
      </w:r>
    </w:p>
    <w:p>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u w:val="none"/>
          <w:lang w:eastAsia="zh-CN"/>
          <w14:textFill>
            <w14:solidFill>
              <w14:schemeClr w14:val="tx1"/>
            </w14:solidFill>
          </w14:textFill>
        </w:rPr>
      </w:pPr>
      <w:r>
        <w:rPr>
          <w:rFonts w:hint="eastAsia"/>
          <w:color w:val="000000" w:themeColor="text1"/>
          <w:u w:val="none"/>
          <w:lang w:eastAsia="zh-CN"/>
          <w14:textFill>
            <w14:solidFill>
              <w14:schemeClr w14:val="tx1"/>
            </w14:solidFill>
          </w14:textFill>
        </w:rPr>
        <w:t>丙烯腈(A)-丁二烯(B)-苯乙烯(S)（ABS）：丙烯腈</w:t>
      </w:r>
      <w:r>
        <w:rPr>
          <w:color w:val="000000" w:themeColor="text1"/>
          <w:u w:val="none"/>
          <w14:textFill>
            <w14:solidFill>
              <w14:schemeClr w14:val="tx1"/>
            </w14:solidFill>
          </w14:textFill>
        </w:rPr>
        <w:t>(A)、</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"https://baike.baidu.com/item/%E4%B8%81%E4%BA%8C%E7%83%AF/593484" \t "https://baike.baidu.com/item/ABS%E5%A1%91%E6%96%99/_blank"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丁二烯</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(B)、</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"https://baike.baidu.com/item/%E8%8B%AF%E4%B9%99%E7%83%AF/2303438" \t "https://baike.baidu.com/item/ABS%E5%A1%91%E6%96%99/_blank"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苯乙烯</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(S)三种单体的三元共聚物，三种单体相对含量可任意变化，制成各种树脂。抗冲击性、耐热性、耐低温性等</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外观为不透明呈象牙色的粒料，无毒、无味、吸水率低其制品可着成各种颜色，并具有90%的高光泽度。ABS同其它材料的结合性好，易于表面印刷、涂层和镀层处理。ABS的氧指数为18.2，属易燃聚合物，火焰呈黄色，有黑烟，烧焦但不滴落，并发出特殊的肉桂味。不耐硫酸腐蚀，遇硫酸就粉碎性破裂。具有优良的综合物理和</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"https://baike.baidu.com/item/%E6%9C%BA%E6%A2%B0%E6%80%A7%E8%83%BD" \t "https://baike.baidu.com/item/ABS%E5%A1%91%E6%96%99/_blank"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机械性能</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，较好的低温抗冲击性能。尺寸稳定性。电性能、耐磨性、抗化学药品性、染色性、成品加工和机械加工较好。ABS树脂耐水、无机盐、碱和酸类，不溶于大部分醇类和烃类溶剂，而容易溶于</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"https://baike.baidu.com/item/%E9%86%9B" \t "https://baike.baidu.com/item/ABS%E5%A1%91%E6%96%99/_blank"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醛</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、酮、酯和某些氯代烃中。ABS树脂</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"https://baike.baidu.com/item/%E7%83%AD%E5%8F%98%E5%BD%A2%E6%B8%A9%E5%BA%A6" \t "https://baike.baidu.com/item/ABS%E5%A1%91%E6%96%99/_blank"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热变形温度</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低可燃，耐热性较差。熔融温度在217~237℃，热分解温度在250℃以上</w:t>
      </w:r>
      <w:r>
        <w:rPr>
          <w:rFonts w:hint="eastAsia"/>
          <w:color w:val="000000" w:themeColor="text1"/>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color w:val="000000" w:themeColor="text1"/>
          <w:u w:val="none"/>
          <w14:textFill>
            <w14:solidFill>
              <w14:schemeClr w14:val="tx1"/>
            </w14:solidFill>
          </w14:textFill>
        </w:rPr>
      </w:pPr>
      <w:r>
        <w:rPr>
          <w:color w:val="000000" w:themeColor="text1"/>
          <w:u w:val="none"/>
          <w14:textFill>
            <w14:solidFill>
              <w14:schemeClr w14:val="tx1"/>
            </w14:solidFill>
          </w14:textFill>
        </w:rPr>
        <w:t>聚</w:t>
      </w:r>
      <w:r>
        <w:rPr>
          <w:rFonts w:hint="eastAsia"/>
          <w:color w:val="000000" w:themeColor="text1"/>
          <w:u w:val="none"/>
          <w:lang w:eastAsia="zh-CN"/>
          <w14:textFill>
            <w14:solidFill>
              <w14:schemeClr w14:val="tx1"/>
            </w14:solidFill>
          </w14:textFill>
        </w:rPr>
        <w:t>苯乙烯</w:t>
      </w:r>
      <w:r>
        <w:rPr>
          <w:color w:val="000000" w:themeColor="text1"/>
          <w:u w:val="none"/>
          <w14:textFill>
            <w14:solidFill>
              <w14:schemeClr w14:val="tx1"/>
            </w14:solidFill>
          </w14:textFill>
        </w:rPr>
        <w:t>，简称</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P</w:t>
      </w:r>
      <w:r>
        <w:rPr>
          <w:rFonts w:hint="eastAsia"/>
          <w:color w:val="000000" w:themeColor="text1"/>
          <w:u w:val="none"/>
          <w:lang w:val="en-US" w:eastAsia="zh-CN"/>
          <w14:textFill>
            <w14:solidFill>
              <w14:schemeClr w14:val="tx1"/>
            </w14:solidFill>
          </w14:textFill>
        </w:rPr>
        <w:t>S</w:t>
      </w:r>
      <w:r>
        <w:rPr>
          <w:color w:val="000000" w:themeColor="text1"/>
          <w:u w:val="none"/>
          <w14:textFill>
            <w14:solidFill>
              <w14:schemeClr w14:val="tx1"/>
            </w14:solidFill>
          </w14:textFill>
        </w:rPr>
        <w:t>，分子式</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（C</w:t>
      </w:r>
      <w:r>
        <w:rPr>
          <w:rFonts w:hint="eastAsia"/>
          <w:color w:val="000000" w:themeColor="text1"/>
          <w:u w:val="none"/>
          <w:vertAlign w:val="subscript"/>
          <w:lang w:val="en-US" w:eastAsia="zh-CN"/>
          <w14:textFill>
            <w14:solidFill>
              <w14:schemeClr w14:val="tx1"/>
            </w14:solidFill>
          </w14:textFill>
        </w:rPr>
        <w:t>8</w:t>
      </w:r>
      <w:r>
        <w:rPr>
          <w:color w:val="000000" w:themeColor="text1"/>
          <w:u w:val="none"/>
          <w14:textFill>
            <w14:solidFill>
              <w14:schemeClr w14:val="tx1"/>
            </w14:solidFill>
          </w14:textFill>
        </w:rPr>
        <w:t>H</w:t>
      </w:r>
      <w:r>
        <w:rPr>
          <w:rFonts w:hint="eastAsia"/>
          <w:color w:val="000000" w:themeColor="text1"/>
          <w:u w:val="none"/>
          <w:vertAlign w:val="subscript"/>
          <w:lang w:val="en-US" w:eastAsia="zh-CN"/>
          <w14:textFill>
            <w14:solidFill>
              <w14:schemeClr w14:val="tx1"/>
            </w14:solidFill>
          </w14:textFill>
        </w:rPr>
        <w:t>8</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n</w:t>
      </w:r>
      <w:r>
        <w:rPr>
          <w:color w:val="000000" w:themeColor="text1"/>
          <w:u w:val="none"/>
          <w14:textFill>
            <w14:solidFill>
              <w14:schemeClr w14:val="tx1"/>
            </w14:solidFill>
          </w14:textFill>
        </w:rPr>
        <w:t>，是由</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"https://baike.baidu.com/item/%E8%8B%AF%E4%B9%99%E7%83%AF/2303438"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苯乙烯</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单体经自由基</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"https://baike.baidu.com/item/%E5%8A%A0%E8%81%9A%E5%8F%8D%E5%BA%94/9609649"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加聚反应</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合成的</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"https://baike.baidu.com/item/%E8%81%9A%E5%90%88%E7%89%A9/6252844"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聚合物</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。是一种无色透明的</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"https://baike.baidu.com/item/%E7%83%AD%E5%A1%91%E6%80%A7%E5%A1%91%E6%96%99/1656083"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热塑性塑料</w:t>
      </w:r>
      <w:r>
        <w:rPr>
          <w:color w:val="000000" w:themeColor="text1"/>
          <w:u w:val="none"/>
          <w14:textFill>
            <w14:solidFill>
              <w14:schemeClr w14:val="tx1"/>
            </w14:solidFill>
          </w14:textFill>
        </w:rPr>
        <w:fldChar w:fldCharType="end"/>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密度：1.05g/cm</w:t>
      </w:r>
      <w:r>
        <w:rPr>
          <w:color w:val="000000" w:themeColor="text1"/>
          <w:u w:val="none"/>
          <w:vertAlign w:val="superscript"/>
          <w14:textFill>
            <w14:solidFill>
              <w14:schemeClr w14:val="tx1"/>
            </w14:solidFill>
          </w14:textFill>
        </w:rPr>
        <w:t>3</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脆化温度-30℃左右</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玻璃化温度80～105℃，非晶态密度1.04～1.06g/cm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，晶体密度1.11～1.12g/cm</w:t>
      </w:r>
      <w:r>
        <w:rPr>
          <w:color w:val="000000" w:themeColor="text1"/>
          <w:u w:val="none"/>
          <w:vertAlign w:val="superscript"/>
          <w14:textFill>
            <w14:solidFill>
              <w14:schemeClr w14:val="tx1"/>
            </w14:solidFill>
          </w14:textFill>
        </w:rPr>
        <w:t>3</w:t>
      </w:r>
      <w:r>
        <w:rPr>
          <w:color w:val="000000" w:themeColor="text1"/>
          <w:u w:val="none"/>
          <w14:textFill>
            <w14:solidFill>
              <w14:schemeClr w14:val="tx1"/>
            </w14:solidFill>
          </w14:textFill>
        </w:rPr>
        <w:t>，熔融温度240℃，分解温度300℃以上</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电阻率为1020～1022Ω·cm。导热率低，为0.04～0.15W/(m·K)</w:t>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t>导热系数30℃时0.116瓦/(米·开)，几乎不受温度而变化，因而具有良好的隔热性。具有优良的光学性能，透光率达88%～92%、折射率为1.59～1.60，可以透过所有波长的可见光，透明性材料在塑料中仅次于有机玻璃等丙烯酸类聚合物。通常的聚苯乙烯为非晶态无规聚合物，具有优良的绝热、绝缘和透明性，长期使用温度0～70℃，但脆，低温易开裂。此外还有全同和间同以及无规立构聚苯乙烯。全同聚合物有高度结晶性，间同聚合物有部分结晶性。能自由着色，相对密度仅次于PP、PE，具有优异的电性能，特别是高频特性好，次于F-4、PPO。另外，在</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"https://baike.baidu.com/item/%E5%85%89%E7%A8%B3%E5%AE%9A%E6%80%A7"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光稳定性</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方面仅次于甲基丙烯酸树脂，但抗放射线能力是所有塑料中最强的。最重要的特点是熔融时的热稳定性和流动性非常好，所以易成型加工，特别是注射成型容易，适合大量生产。成型收缩率小，成型品尺寸稳定性也好。聚苯乙烯分子及其聚集态结构决定其为刚硬的脆性材料，在应力作用下表现为脆性断裂。由于聚苯乙烯的力学性能随温度的升高明显下降、耐热性较差，因而连续使用温度为60℃左右，最高不宜超过80℃。聚苯乙烯具有良好的电性能，体积电阻率和表面电阻率分别高达1016～1018Ω·cm和1015～1018Ω。介电损耗角正切值极低，并且不受频率和环境温度、湿度变化的影响，是优异</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"https://baike.baidu.com/item/%E7%BB%9D%E7%BC%98%E6%9D%90%E6%96%99/1221405" \t "https://baike.baidu.com/item/%E8%81%9A%E8%8B%AF%E4%B9%99%E7%83%AF/_blank" </w:instrText>
      </w:r>
      <w:r>
        <w:rPr>
          <w:color w:val="000000" w:themeColor="text1"/>
          <w:u w:val="none"/>
          <w14:textFill>
            <w14:solidFill>
              <w14:schemeClr w14:val="tx1"/>
            </w14:solidFill>
          </w14:textFill>
        </w:rPr>
        <w:fldChar w:fldCharType="separate"/>
      </w:r>
      <w:r>
        <w:rPr>
          <w:rStyle w:val="24"/>
          <w:rFonts w:ascii="宋体" w:hAnsi="宋体" w:eastAsia="宋体" w:cs="宋体"/>
          <w:color w:val="000000" w:themeColor="text1"/>
          <w:szCs w:val="24"/>
          <w:u w:val="none"/>
          <w14:textFill>
            <w14:solidFill>
              <w14:schemeClr w14:val="tx1"/>
            </w14:solidFill>
          </w14:textFill>
        </w:rPr>
        <w:t>绝缘材料</w:t>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t>。耐候性较差，长期使用或存放时受阳光、灰尘作用，会出现浑浊、发黄等现象，因而用聚苯乙烯制作光学部件等高透明制品时需考虑加入适当品种和用量的防老剂。耐腐蚀较好，耐溶剂性、耐氧化较差。</w:t>
      </w:r>
      <w:r>
        <w:rPr>
          <w:color w:val="000000" w:themeColor="text1"/>
          <w:u w:val="none"/>
          <w:lang w:val="en-US" w:eastAsia="zh-CN"/>
          <w14:textFill>
            <w14:solidFill>
              <w14:schemeClr w14:val="tx1"/>
            </w14:solidFill>
          </w14:textFill>
        </w:rPr>
        <w:t>易加工成型，并具有透明、廉价、刚性、绝缘、印刷性好等优点。可广泛用于轻工市场，日用</w:t>
      </w:r>
      <w:r>
        <w:rPr>
          <w:rFonts w:hint="eastAsia"/>
          <w:color w:val="000000" w:themeColor="text1"/>
          <w:u w:val="none"/>
          <w:lang w:val="en-US" w:eastAsia="zh-CN"/>
          <w14:textFill>
            <w14:solidFill>
              <w14:schemeClr w14:val="tx1"/>
            </w14:solidFill>
          </w14:textFill>
        </w:rPr>
        <w:t>装潢</w:t>
      </w:r>
      <w:r>
        <w:rPr>
          <w:color w:val="000000" w:themeColor="text1"/>
          <w:u w:val="none"/>
          <w:lang w:val="en-US" w:eastAsia="zh-CN"/>
          <w14:textFill>
            <w14:solidFill>
              <w14:schemeClr w14:val="tx1"/>
            </w14:solidFill>
          </w14:textFill>
        </w:rPr>
        <w:t>，照明指示和包装等方面。在电气方面更是良好的绝缘材料和隔热保温材料，可以制作各种仪表外壳、灯罩、光学化学仪器零件、透明薄膜、电容器介质层等。可用于粉类和乳液类化妆品。用于粉饼有很好的压缩性</w:t>
      </w:r>
      <w:r>
        <w:rPr>
          <w:rFonts w:hint="eastAsia"/>
          <w:color w:val="000000" w:themeColor="text1"/>
          <w:u w:val="none"/>
          <w:lang w:val="en-US" w:eastAsia="zh-CN"/>
          <w14:textFill>
            <w14:solidFill>
              <w14:schemeClr w14:val="tx1"/>
            </w14:solidFill>
          </w14:textFill>
        </w:rPr>
        <w:t>，</w:t>
      </w:r>
      <w:r>
        <w:rPr>
          <w:color w:val="000000" w:themeColor="text1"/>
          <w:u w:val="none"/>
          <w:lang w:val="en-US" w:eastAsia="zh-CN"/>
          <w14:textFill>
            <w14:solidFill>
              <w14:schemeClr w14:val="tx1"/>
            </w14:solidFill>
          </w14:textFill>
        </w:rPr>
        <w:t>可改善粉的黏附性能。赋予皮肤光泽和润滑感</w:t>
      </w:r>
      <w:r>
        <w:rPr>
          <w:rFonts w:hint="eastAsia"/>
          <w:color w:val="000000" w:themeColor="text1"/>
          <w:u w:val="none"/>
          <w:lang w:val="en-US" w:eastAsia="zh-CN"/>
          <w14:textFill>
            <w14:solidFill>
              <w14:schemeClr w14:val="tx1"/>
            </w14:solidFill>
          </w14:textFill>
        </w:rPr>
        <w:t>，</w:t>
      </w:r>
      <w:r>
        <w:rPr>
          <w:color w:val="000000" w:themeColor="text1"/>
          <w:u w:val="none"/>
          <w:lang w:val="en-US" w:eastAsia="zh-CN"/>
          <w14:textFill>
            <w14:solidFill>
              <w14:schemeClr w14:val="tx1"/>
            </w14:solidFill>
          </w14:textFill>
        </w:rPr>
        <w:t>是代替滑石粉和二氧化硅的高级填充剂。</w:t>
      </w:r>
    </w:p>
    <w:p>
      <w:pPr>
        <w:pStyle w:val="4"/>
        <w:bidi w:val="0"/>
      </w:pPr>
      <w:r>
        <w:t>3.</w:t>
      </w:r>
      <w:r>
        <w:rPr>
          <w:rFonts w:hint="eastAsia"/>
          <w:lang w:val="en-US" w:eastAsia="zh-CN"/>
        </w:rPr>
        <w:t>2.6</w:t>
      </w:r>
      <w:r>
        <w:t xml:space="preserve"> 产品方案</w:t>
      </w:r>
    </w:p>
    <w:p>
      <w:pPr>
        <w:pStyle w:val="19"/>
        <w:keepNext w:val="0"/>
        <w:keepLines w:val="0"/>
        <w:widowControl/>
        <w:suppressLineNumbers w:val="0"/>
        <w:spacing w:before="0" w:beforeAutospacing="0" w:after="0" w:afterAutospacing="0"/>
        <w:ind w:left="0" w:right="0" w:firstLine="0"/>
      </w:pPr>
      <w:r>
        <w:t>本项目产品方案见下表。</w:t>
      </w:r>
    </w:p>
    <w:p>
      <w:pPr>
        <w:pStyle w:val="19"/>
        <w:keepNext w:val="0"/>
        <w:keepLines w:val="0"/>
        <w:widowControl/>
        <w:suppressLineNumbers w:val="0"/>
        <w:spacing w:before="0" w:beforeAutospacing="0" w:after="0" w:afterAutospacing="0"/>
        <w:ind w:left="0" w:right="0" w:firstLine="0"/>
        <w:jc w:val="center"/>
        <w:rPr>
          <w:b/>
          <w:bCs/>
        </w:rPr>
      </w:pPr>
      <w:r>
        <w:rPr>
          <w:b/>
          <w:bCs/>
        </w:rPr>
        <w:t>表3</w:t>
      </w:r>
      <w:r>
        <w:rPr>
          <w:rFonts w:hint="eastAsia"/>
          <w:b/>
          <w:bCs/>
          <w:lang w:val="en-US" w:eastAsia="zh-CN"/>
        </w:rPr>
        <w:t xml:space="preserve">.2-4 </w:t>
      </w:r>
      <w:r>
        <w:rPr>
          <w:b/>
          <w:bCs/>
        </w:rPr>
        <w:t xml:space="preserve"> 产品方案表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2085"/>
        <w:gridCol w:w="1515"/>
        <w:gridCol w:w="160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shd w:val="clear" w:color="auto" w:fill="auto"/>
                <w:vertAlign w:val="baseline"/>
                <w:lang w:eastAsia="zh-CN"/>
                <w14:textFill>
                  <w14:solidFill>
                    <w14:schemeClr w14:val="tx1"/>
                  </w14:solidFill>
                </w14:textFill>
              </w:rPr>
            </w:pPr>
            <w:r>
              <w:rPr>
                <w:rFonts w:hint="eastAsia"/>
                <w:color w:val="000000" w:themeColor="text1"/>
                <w:sz w:val="21"/>
                <w:szCs w:val="21"/>
                <w:shd w:val="clear" w:color="auto" w:fill="auto"/>
                <w:vertAlign w:val="baseline"/>
                <w:lang w:eastAsia="zh-CN"/>
                <w14:textFill>
                  <w14:solidFill>
                    <w14:schemeClr w14:val="tx1"/>
                  </w14:solidFill>
                </w14:textFill>
              </w:rPr>
              <w:t>序号</w:t>
            </w:r>
          </w:p>
        </w:tc>
        <w:tc>
          <w:tcPr>
            <w:tcW w:w="112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shd w:val="clear" w:color="auto" w:fill="auto"/>
                <w:vertAlign w:val="baseline"/>
                <w:lang w:eastAsia="zh-CN"/>
                <w14:textFill>
                  <w14:solidFill>
                    <w14:schemeClr w14:val="tx1"/>
                  </w14:solidFill>
                </w14:textFill>
              </w:rPr>
            </w:pPr>
            <w:r>
              <w:rPr>
                <w:rFonts w:hint="eastAsia"/>
                <w:color w:val="000000" w:themeColor="text1"/>
                <w:sz w:val="21"/>
                <w:szCs w:val="21"/>
                <w:shd w:val="clear" w:color="auto" w:fill="auto"/>
                <w:vertAlign w:val="baseline"/>
                <w:lang w:eastAsia="zh-CN"/>
                <w14:textFill>
                  <w14:solidFill>
                    <w14:schemeClr w14:val="tx1"/>
                  </w14:solidFill>
                </w14:textFill>
              </w:rPr>
              <w:t>产品名称</w:t>
            </w:r>
          </w:p>
        </w:tc>
        <w:tc>
          <w:tcPr>
            <w:tcW w:w="81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shd w:val="clear" w:color="auto" w:fill="auto"/>
                <w:vertAlign w:val="baseline"/>
                <w:lang w:eastAsia="zh-CN"/>
                <w14:textFill>
                  <w14:solidFill>
                    <w14:schemeClr w14:val="tx1"/>
                  </w14:solidFill>
                </w14:textFill>
              </w:rPr>
            </w:pPr>
            <w:r>
              <w:rPr>
                <w:rFonts w:hint="eastAsia"/>
                <w:color w:val="000000" w:themeColor="text1"/>
                <w:sz w:val="21"/>
                <w:szCs w:val="21"/>
                <w:shd w:val="clear" w:color="auto" w:fill="auto"/>
                <w:vertAlign w:val="baseline"/>
                <w:lang w:eastAsia="zh-CN"/>
                <w14:textFill>
                  <w14:solidFill>
                    <w14:schemeClr w14:val="tx1"/>
                  </w14:solidFill>
                </w14:textFill>
              </w:rPr>
              <w:t>单位</w:t>
            </w:r>
          </w:p>
        </w:tc>
        <w:tc>
          <w:tcPr>
            <w:tcW w:w="86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shd w:val="clear" w:color="auto" w:fill="auto"/>
                <w:vertAlign w:val="baseline"/>
                <w:lang w:eastAsia="zh-CN"/>
                <w14:textFill>
                  <w14:solidFill>
                    <w14:schemeClr w14:val="tx1"/>
                  </w14:solidFill>
                </w14:textFill>
              </w:rPr>
            </w:pPr>
            <w:r>
              <w:rPr>
                <w:rFonts w:hint="eastAsia"/>
                <w:color w:val="000000" w:themeColor="text1"/>
                <w:sz w:val="21"/>
                <w:szCs w:val="21"/>
                <w:shd w:val="clear" w:color="auto" w:fill="auto"/>
                <w:vertAlign w:val="baseline"/>
                <w:lang w:eastAsia="zh-CN"/>
                <w14:textFill>
                  <w14:solidFill>
                    <w14:schemeClr w14:val="tx1"/>
                  </w14:solidFill>
                </w14:textFill>
              </w:rPr>
              <w:t>数量</w:t>
            </w:r>
          </w:p>
        </w:tc>
        <w:tc>
          <w:tcPr>
            <w:tcW w:w="176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shd w:val="clear" w:color="auto" w:fill="auto"/>
                <w:vertAlign w:val="baseline"/>
                <w:lang w:eastAsia="zh-CN"/>
                <w14:textFill>
                  <w14:solidFill>
                    <w14:schemeClr w14:val="tx1"/>
                  </w14:solidFill>
                </w14:textFill>
              </w:rPr>
            </w:pPr>
            <w:r>
              <w:rPr>
                <w:rFonts w:hint="eastAsia"/>
                <w:color w:val="000000" w:themeColor="text1"/>
                <w:sz w:val="21"/>
                <w:szCs w:val="21"/>
                <w:shd w:val="clear" w:color="auto" w:fill="auto"/>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1</w:t>
            </w:r>
          </w:p>
        </w:tc>
        <w:tc>
          <w:tcPr>
            <w:tcW w:w="112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color w:val="000000" w:themeColor="text1"/>
                <w:sz w:val="21"/>
                <w:szCs w:val="21"/>
                <w:u w:val="single"/>
                <w:shd w:val="clear" w:color="auto" w:fill="auto"/>
                <w:vertAlign w:val="baseline"/>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ABS再生颗粒</w:t>
            </w:r>
          </w:p>
        </w:tc>
        <w:tc>
          <w:tcPr>
            <w:tcW w:w="81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t/a</w:t>
            </w:r>
          </w:p>
        </w:tc>
        <w:tc>
          <w:tcPr>
            <w:tcW w:w="86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3000t/a</w:t>
            </w:r>
          </w:p>
        </w:tc>
        <w:tc>
          <w:tcPr>
            <w:tcW w:w="176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eastAsia="zh-CN"/>
                <w14:textFill>
                  <w14:solidFill>
                    <w14:schemeClr w14:val="tx1"/>
                  </w14:solidFill>
                </w14:textFill>
              </w:rPr>
              <w:t>其中</w:t>
            </w:r>
            <w:r>
              <w:rPr>
                <w:rFonts w:hint="eastAsia"/>
                <w:color w:val="000000" w:themeColor="text1"/>
                <w:sz w:val="21"/>
                <w:szCs w:val="21"/>
                <w:u w:val="single"/>
                <w:shd w:val="clear" w:color="auto" w:fill="auto"/>
                <w:vertAlign w:val="baseline"/>
                <w:lang w:val="en-US" w:eastAsia="zh-CN"/>
                <w14:textFill>
                  <w14:solidFill>
                    <w14:schemeClr w14:val="tx1"/>
                  </w14:solidFill>
                </w14:textFill>
              </w:rPr>
              <w:t>1000t/a作为注塑原料、2000t/a作为产品外售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2</w:t>
            </w:r>
          </w:p>
        </w:tc>
        <w:tc>
          <w:tcPr>
            <w:tcW w:w="112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color w:val="000000" w:themeColor="text1"/>
                <w:sz w:val="21"/>
                <w:szCs w:val="21"/>
                <w:u w:val="single"/>
                <w:shd w:val="clear" w:color="auto" w:fill="auto"/>
                <w:vertAlign w:val="baseline"/>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PS筛选废料</w:t>
            </w:r>
          </w:p>
        </w:tc>
        <w:tc>
          <w:tcPr>
            <w:tcW w:w="81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t/a</w:t>
            </w:r>
          </w:p>
        </w:tc>
        <w:tc>
          <w:tcPr>
            <w:tcW w:w="86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3000t/a</w:t>
            </w:r>
          </w:p>
        </w:tc>
        <w:tc>
          <w:tcPr>
            <w:tcW w:w="176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eastAsia="宋体"/>
                <w:color w:val="000000" w:themeColor="text1"/>
                <w:sz w:val="21"/>
                <w:szCs w:val="21"/>
                <w:u w:val="single"/>
                <w:shd w:val="clear" w:color="auto" w:fill="auto"/>
                <w:vertAlign w:val="baseline"/>
                <w:lang w:eastAsia="zh-CN"/>
                <w14:textFill>
                  <w14:solidFill>
                    <w14:schemeClr w14:val="tx1"/>
                  </w14:solidFill>
                </w14:textFill>
              </w:rPr>
            </w:pPr>
            <w:r>
              <w:rPr>
                <w:rFonts w:hint="eastAsia"/>
                <w:color w:val="000000" w:themeColor="text1"/>
                <w:sz w:val="21"/>
                <w:szCs w:val="21"/>
                <w:u w:val="single"/>
                <w:shd w:val="clear" w:color="auto" w:fill="auto"/>
                <w:vertAlign w:val="baseli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3</w:t>
            </w:r>
          </w:p>
        </w:tc>
        <w:tc>
          <w:tcPr>
            <w:tcW w:w="1122"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eastAsia="宋体"/>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注塑产品</w:t>
            </w:r>
          </w:p>
        </w:tc>
        <w:tc>
          <w:tcPr>
            <w:tcW w:w="815"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t/a</w:t>
            </w:r>
          </w:p>
        </w:tc>
        <w:tc>
          <w:tcPr>
            <w:tcW w:w="864"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1000t/a</w:t>
            </w:r>
          </w:p>
        </w:tc>
        <w:tc>
          <w:tcPr>
            <w:tcW w:w="1767" w:type="pct"/>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default"/>
                <w:color w:val="000000" w:themeColor="text1"/>
                <w:sz w:val="21"/>
                <w:szCs w:val="21"/>
                <w:u w:val="single"/>
                <w:shd w:val="clear" w:color="auto" w:fill="auto"/>
                <w:vertAlign w:val="baseline"/>
                <w:lang w:val="en-US" w:eastAsia="zh-CN"/>
                <w14:textFill>
                  <w14:solidFill>
                    <w14:schemeClr w14:val="tx1"/>
                  </w14:solidFill>
                </w14:textFill>
              </w:rPr>
            </w:pPr>
            <w:r>
              <w:rPr>
                <w:rFonts w:hint="eastAsia"/>
                <w:color w:val="000000" w:themeColor="text1"/>
                <w:sz w:val="21"/>
                <w:szCs w:val="21"/>
                <w:u w:val="single"/>
                <w:shd w:val="clear" w:color="auto" w:fill="auto"/>
                <w:vertAlign w:val="baseline"/>
                <w:lang w:val="en-US" w:eastAsia="zh-CN"/>
                <w14:textFill>
                  <w14:solidFill>
                    <w14:schemeClr w14:val="tx1"/>
                  </w14:solidFill>
                </w14:textFill>
              </w:rPr>
              <w:t>汽车塑料外壳、小家电外壳</w:t>
            </w:r>
          </w:p>
        </w:tc>
      </w:tr>
    </w:tbl>
    <w:p>
      <w:pPr>
        <w:pStyle w:val="4"/>
        <w:bidi w:val="0"/>
      </w:pPr>
      <w:r>
        <w:t>3.</w:t>
      </w:r>
      <w:r>
        <w:rPr>
          <w:rFonts w:hint="eastAsia"/>
          <w:lang w:val="en-US" w:eastAsia="zh-CN"/>
        </w:rPr>
        <w:t>2.7</w:t>
      </w:r>
      <w:r>
        <w:t xml:space="preserve"> 公用工程</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1、供热</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本项目生产过程中</w:t>
      </w:r>
      <w:r>
        <w:rPr>
          <w:rFonts w:hint="eastAsia"/>
          <w:sz w:val="24"/>
          <w:szCs w:val="24"/>
          <w:lang w:eastAsia="zh-CN"/>
        </w:rPr>
        <w:t>造粒</w:t>
      </w:r>
      <w:r>
        <w:rPr>
          <w:sz w:val="24"/>
          <w:szCs w:val="24"/>
        </w:rPr>
        <w:t>采用电加热，冬季采暖采用电取暖方式，可以满足用热需求。</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2、给水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本项目设</w:t>
      </w:r>
      <w:r>
        <w:rPr>
          <w:rFonts w:hint="eastAsia"/>
          <w:sz w:val="24"/>
          <w:szCs w:val="24"/>
          <w:lang w:eastAsia="zh-CN"/>
        </w:rPr>
        <w:t>化粪池</w:t>
      </w:r>
      <w:r>
        <w:rPr>
          <w:sz w:val="24"/>
          <w:szCs w:val="24"/>
        </w:rPr>
        <w:t>供员工使用，项目用水主要为</w:t>
      </w:r>
      <w:r>
        <w:rPr>
          <w:rFonts w:hint="eastAsia"/>
          <w:sz w:val="24"/>
          <w:szCs w:val="24"/>
          <w:lang w:eastAsia="zh-CN"/>
        </w:rPr>
        <w:t>员工生活用水、餐饮用水、</w:t>
      </w:r>
      <w:r>
        <w:rPr>
          <w:sz w:val="24"/>
          <w:szCs w:val="24"/>
        </w:rPr>
        <w:t>生产用水，</w:t>
      </w:r>
      <w:r>
        <w:rPr>
          <w:rFonts w:hint="eastAsia"/>
          <w:sz w:val="24"/>
          <w:szCs w:val="24"/>
          <w:lang w:eastAsia="zh-CN"/>
        </w:rPr>
        <w:t>其中生产用水</w:t>
      </w:r>
      <w:r>
        <w:rPr>
          <w:sz w:val="24"/>
          <w:szCs w:val="24"/>
        </w:rPr>
        <w:t>包括原料破碎清洗用水、物料冷却用水，由自备水井提供。</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（1）原料破碎清洗用水</w:t>
      </w:r>
    </w:p>
    <w:p>
      <w:pPr>
        <w:keepNext w:val="0"/>
        <w:keepLines w:val="0"/>
        <w:pageBreakBefore w:val="0"/>
        <w:widowControl/>
        <w:suppressLineNumbers w:val="0"/>
        <w:kinsoku/>
        <w:wordWrap/>
        <w:overflowPunct/>
        <w:topLinePunct w:val="0"/>
        <w:autoSpaceDE/>
        <w:autoSpaceDN/>
        <w:bidi w:val="0"/>
        <w:adjustRightInd/>
        <w:snapToGrid/>
        <w:ind w:lef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参考《工业污染源产排污系数手册》</w:t>
      </w:r>
      <w:r>
        <w:rPr>
          <w:rFonts w:hint="eastAsia" w:cstheme="minorBidi"/>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heme="minorBidi"/>
          <w:color w:val="000000" w:themeColor="text1"/>
          <w:kern w:val="0"/>
          <w:sz w:val="24"/>
          <w:szCs w:val="24"/>
          <w:lang w:val="en-US" w:eastAsia="zh-CN" w:bidi="ar"/>
          <w14:textFill>
            <w14:solidFill>
              <w14:schemeClr w14:val="tx1"/>
            </w14:solidFill>
          </w14:textFill>
        </w:rPr>
        <w:t xml:space="preserve">4220 </w:t>
      </w:r>
      <w:r>
        <w:rPr>
          <w:rFonts w:ascii="Times New Roman" w:hAnsi="Times New Roman" w:eastAsia="宋体" w:cstheme="minorBidi"/>
          <w:color w:val="000000" w:themeColor="text1"/>
          <w:kern w:val="0"/>
          <w:sz w:val="24"/>
          <w:szCs w:val="24"/>
          <w:lang w:val="en-US" w:eastAsia="zh-CN" w:bidi="ar"/>
          <w14:textFill>
            <w14:solidFill>
              <w14:schemeClr w14:val="tx1"/>
            </w14:solidFill>
          </w14:textFill>
        </w:rPr>
        <w:t>非金属废料和碎屑加工处理行业</w:t>
      </w:r>
      <w:r>
        <w:rPr>
          <w:rFonts w:hint="eastAsia" w:cstheme="minorBidi"/>
          <w:color w:val="000000" w:themeColor="text1"/>
          <w:kern w:val="0"/>
          <w:sz w:val="24"/>
          <w:szCs w:val="24"/>
          <w:lang w:val="en-US" w:eastAsia="zh-CN" w:bidi="ar"/>
          <w14:textFill>
            <w14:solidFill>
              <w14:schemeClr w14:val="tx1"/>
            </w14:solidFill>
          </w14:textFill>
        </w:rPr>
        <w:t>”</w:t>
      </w:r>
      <w:r>
        <w:rPr>
          <w:color w:val="000000" w:themeColor="text1"/>
          <w:sz w:val="24"/>
          <w:szCs w:val="24"/>
          <w14:textFill>
            <w14:solidFill>
              <w14:schemeClr w14:val="tx1"/>
            </w14:solidFill>
          </w14:textFill>
        </w:rPr>
        <w:t>中生产废水量（</w:t>
      </w:r>
      <w:r>
        <w:rPr>
          <w:rFonts w:hint="eastAsia"/>
          <w:color w:val="000000" w:themeColor="text1"/>
          <w:sz w:val="24"/>
          <w:szCs w:val="24"/>
          <w:lang w:val="en-US" w:eastAsia="zh-CN"/>
          <w14:textFill>
            <w14:solidFill>
              <w14:schemeClr w14:val="tx1"/>
            </w14:solidFill>
          </w14:textFill>
        </w:rPr>
        <w:t>PS/ABS：1.0</w:t>
      </w:r>
      <w:r>
        <w:rPr>
          <w:color w:val="000000" w:themeColor="text1"/>
          <w:sz w:val="24"/>
          <w:szCs w:val="24"/>
          <w14:textFill>
            <w14:solidFill>
              <w14:schemeClr w14:val="tx1"/>
            </w14:solidFill>
          </w14:textFill>
        </w:rPr>
        <w:t>t/t-原料），核算原料破碎清洗用水量为</w:t>
      </w:r>
      <w:r>
        <w:rPr>
          <w:rFonts w:hint="eastAsia"/>
          <w:color w:val="000000" w:themeColor="text1"/>
          <w:sz w:val="24"/>
          <w:szCs w:val="24"/>
          <w:lang w:val="en-US" w:eastAsia="zh-CN"/>
          <w14:textFill>
            <w14:solidFill>
              <w14:schemeClr w14:val="tx1"/>
            </w14:solidFill>
          </w14:textFill>
        </w:rPr>
        <w:t>6000</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20</w:t>
      </w:r>
      <w:r>
        <w:rPr>
          <w:color w:val="000000" w:themeColor="text1"/>
          <w:sz w:val="24"/>
          <w:szCs w:val="24"/>
          <w14:textFill>
            <w14:solidFill>
              <w14:schemeClr w14:val="tx1"/>
            </w14:solidFill>
          </w14:textFill>
        </w:rPr>
        <w:t>t/d）。</w:t>
      </w:r>
      <w:r>
        <w:rPr>
          <w:rFonts w:hint="eastAsia"/>
          <w:color w:val="000000" w:themeColor="text1"/>
          <w:sz w:val="24"/>
          <w:szCs w:val="24"/>
          <w:lang w:eastAsia="zh-CN"/>
          <w14:textFill>
            <w14:solidFill>
              <w14:schemeClr w14:val="tx1"/>
            </w14:solidFill>
          </w14:textFill>
        </w:rPr>
        <w:t>废水产生系数按</w:t>
      </w:r>
      <w:r>
        <w:rPr>
          <w:rFonts w:hint="eastAsia"/>
          <w:color w:val="000000" w:themeColor="text1"/>
          <w:sz w:val="24"/>
          <w:szCs w:val="24"/>
          <w:lang w:val="en-US" w:eastAsia="zh-CN"/>
          <w14:textFill>
            <w14:solidFill>
              <w14:schemeClr w14:val="tx1"/>
            </w14:solidFill>
          </w14:textFill>
        </w:rPr>
        <w:t>0.8计算，则清洗废水产生量为4800</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16</w:t>
      </w:r>
      <w:r>
        <w:rPr>
          <w:color w:val="000000" w:themeColor="text1"/>
          <w:sz w:val="24"/>
          <w:szCs w:val="24"/>
          <w14:textFill>
            <w14:solidFill>
              <w14:schemeClr w14:val="tx1"/>
            </w14:solidFill>
          </w14:textFill>
        </w:rPr>
        <w:t>t/d）</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破碎清洗用水由污水处理设施处理后的清水（</w:t>
      </w:r>
      <w:r>
        <w:rPr>
          <w:rFonts w:hint="eastAsia"/>
          <w:color w:val="000000" w:themeColor="text1"/>
          <w:sz w:val="24"/>
          <w:szCs w:val="24"/>
          <w:lang w:val="en-US" w:eastAsia="zh-CN"/>
          <w14:textFill>
            <w14:solidFill>
              <w14:schemeClr w14:val="tx1"/>
            </w14:solidFill>
          </w14:textFill>
        </w:rPr>
        <w:t>16</w:t>
      </w:r>
      <w:r>
        <w:rPr>
          <w:color w:val="000000" w:themeColor="text1"/>
          <w:sz w:val="24"/>
          <w:szCs w:val="24"/>
          <w14:textFill>
            <w14:solidFill>
              <w14:schemeClr w14:val="tx1"/>
            </w14:solidFill>
          </w14:textFill>
        </w:rPr>
        <w:t>t/d）、物料冷却水排水（</w:t>
      </w:r>
      <w:r>
        <w:rPr>
          <w:rFonts w:hint="eastAsia"/>
          <w:color w:val="000000" w:themeColor="text1"/>
          <w:sz w:val="24"/>
          <w:szCs w:val="24"/>
          <w:lang w:val="en-US" w:eastAsia="zh-CN"/>
          <w14:textFill>
            <w14:solidFill>
              <w14:schemeClr w14:val="tx1"/>
            </w14:solidFill>
          </w14:textFill>
        </w:rPr>
        <w:t>0.52</w:t>
      </w:r>
      <w:r>
        <w:rPr>
          <w:color w:val="000000" w:themeColor="text1"/>
          <w:sz w:val="24"/>
          <w:szCs w:val="24"/>
          <w14:textFill>
            <w14:solidFill>
              <w14:schemeClr w14:val="tx1"/>
            </w14:solidFill>
          </w14:textFill>
        </w:rPr>
        <w:t>t/d）、新鲜水（</w:t>
      </w:r>
      <w:r>
        <w:rPr>
          <w:rFonts w:hint="eastAsia"/>
          <w:color w:val="000000" w:themeColor="text1"/>
          <w:sz w:val="24"/>
          <w:szCs w:val="24"/>
          <w:lang w:val="en-US" w:eastAsia="zh-CN"/>
          <w14:textFill>
            <w14:solidFill>
              <w14:schemeClr w14:val="tx1"/>
            </w14:solidFill>
          </w14:textFill>
        </w:rPr>
        <w:t>3.48</w:t>
      </w:r>
      <w:r>
        <w:rPr>
          <w:color w:val="000000" w:themeColor="text1"/>
          <w:sz w:val="24"/>
          <w:szCs w:val="24"/>
          <w14:textFill>
            <w14:solidFill>
              <w14:schemeClr w14:val="tx1"/>
            </w14:solidFill>
          </w14:textFill>
        </w:rPr>
        <w:t>t/d）提供，新鲜水年用量</w:t>
      </w:r>
      <w:r>
        <w:rPr>
          <w:rFonts w:hint="eastAsia"/>
          <w:color w:val="000000" w:themeColor="text1"/>
          <w:sz w:val="24"/>
          <w:szCs w:val="24"/>
          <w:lang w:val="en-US" w:eastAsia="zh-CN"/>
          <w14:textFill>
            <w14:solidFill>
              <w14:schemeClr w14:val="tx1"/>
            </w14:solidFill>
          </w14:textFill>
        </w:rPr>
        <w:t>1044</w:t>
      </w:r>
      <w:r>
        <w:rPr>
          <w:color w:val="000000" w:themeColor="text1"/>
          <w:sz w:val="24"/>
          <w:szCs w:val="24"/>
          <w14:textFill>
            <w14:solidFill>
              <w14:schemeClr w14:val="tx1"/>
            </w14:solidFill>
          </w14:textFill>
        </w:rPr>
        <w:t>t/a。</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w:t>
      </w:r>
      <w:r>
        <w:rPr>
          <w:rFonts w:hint="eastAsia"/>
          <w:sz w:val="24"/>
          <w:szCs w:val="24"/>
          <w:lang w:val="en-US" w:eastAsia="zh-CN"/>
        </w:rPr>
        <w:t>2</w:t>
      </w:r>
      <w:r>
        <w:rPr>
          <w:sz w:val="24"/>
          <w:szCs w:val="24"/>
        </w:rPr>
        <w:t>）物料冷却用水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rFonts w:hint="eastAsia"/>
          <w:sz w:val="24"/>
          <w:szCs w:val="24"/>
          <w:lang w:eastAsia="zh-CN"/>
        </w:rPr>
        <w:t>造粒</w:t>
      </w:r>
      <w:r>
        <w:rPr>
          <w:sz w:val="24"/>
          <w:szCs w:val="24"/>
        </w:rPr>
        <w:t>冷却系统冷却水循环使用，循环水量为</w:t>
      </w:r>
      <w:r>
        <w:rPr>
          <w:rFonts w:hint="eastAsia"/>
          <w:sz w:val="24"/>
          <w:szCs w:val="24"/>
          <w:lang w:val="en-US" w:eastAsia="zh-CN"/>
        </w:rPr>
        <w:t>1</w:t>
      </w:r>
      <w:r>
        <w:rPr>
          <w:sz w:val="24"/>
          <w:szCs w:val="24"/>
        </w:rPr>
        <w:t>00m</w:t>
      </w:r>
      <w:r>
        <w:rPr>
          <w:rFonts w:hint="eastAsia"/>
          <w:sz w:val="24"/>
          <w:szCs w:val="24"/>
          <w:vertAlign w:val="superscript"/>
          <w:lang w:val="en-US" w:eastAsia="zh-CN"/>
        </w:rPr>
        <w:t>3</w:t>
      </w:r>
      <w:r>
        <w:rPr>
          <w:sz w:val="24"/>
          <w:szCs w:val="24"/>
        </w:rPr>
        <w:t>/d，冷却水蒸发后定期补充，补充水量为</w:t>
      </w:r>
      <w:r>
        <w:rPr>
          <w:rFonts w:hint="eastAsia"/>
          <w:sz w:val="24"/>
          <w:szCs w:val="24"/>
          <w:lang w:val="en-US" w:eastAsia="zh-CN"/>
        </w:rPr>
        <w:t>1</w:t>
      </w:r>
      <w:r>
        <w:rPr>
          <w:sz w:val="24"/>
          <w:szCs w:val="24"/>
        </w:rPr>
        <w:t>m</w:t>
      </w:r>
      <w:r>
        <w:rPr>
          <w:rFonts w:hint="eastAsia"/>
          <w:sz w:val="24"/>
          <w:szCs w:val="24"/>
          <w:vertAlign w:val="superscript"/>
          <w:lang w:val="en-US" w:eastAsia="zh-CN"/>
        </w:rPr>
        <w:t>3</w:t>
      </w:r>
      <w:r>
        <w:rPr>
          <w:sz w:val="24"/>
          <w:szCs w:val="24"/>
        </w:rPr>
        <w:t>/d（</w:t>
      </w:r>
      <w:r>
        <w:rPr>
          <w:rFonts w:hint="eastAsia"/>
          <w:sz w:val="24"/>
          <w:szCs w:val="24"/>
          <w:lang w:val="en-US" w:eastAsia="zh-CN"/>
        </w:rPr>
        <w:t>300</w:t>
      </w:r>
      <w:r>
        <w:rPr>
          <w:sz w:val="24"/>
          <w:szCs w:val="24"/>
        </w:rPr>
        <w:t>m</w:t>
      </w:r>
      <w:r>
        <w:rPr>
          <w:rFonts w:hint="eastAsia"/>
          <w:sz w:val="24"/>
          <w:szCs w:val="24"/>
          <w:vertAlign w:val="superscript"/>
          <w:lang w:val="en-US" w:eastAsia="zh-CN"/>
        </w:rPr>
        <w:t>3</w:t>
      </w:r>
      <w:r>
        <w:rPr>
          <w:sz w:val="24"/>
          <w:szCs w:val="24"/>
        </w:rPr>
        <w:t>/a），冷却水每月排放一次用于清洗，补充量为</w:t>
      </w:r>
      <w:r>
        <w:rPr>
          <w:rFonts w:hint="eastAsia"/>
          <w:sz w:val="24"/>
          <w:szCs w:val="24"/>
          <w:lang w:val="en-US" w:eastAsia="zh-CN"/>
        </w:rPr>
        <w:t>5</w:t>
      </w:r>
      <w:r>
        <w:rPr>
          <w:sz w:val="24"/>
          <w:szCs w:val="24"/>
        </w:rPr>
        <w:t>m</w:t>
      </w:r>
      <w:r>
        <w:rPr>
          <w:rFonts w:hint="eastAsia"/>
          <w:sz w:val="24"/>
          <w:szCs w:val="24"/>
          <w:vertAlign w:val="superscript"/>
          <w:lang w:val="en-US" w:eastAsia="zh-CN"/>
        </w:rPr>
        <w:t>3</w:t>
      </w:r>
      <w:r>
        <w:rPr>
          <w:sz w:val="24"/>
          <w:szCs w:val="24"/>
        </w:rPr>
        <w:t>/月，则年补充水量为</w:t>
      </w:r>
      <w:r>
        <w:rPr>
          <w:rFonts w:hint="eastAsia"/>
          <w:sz w:val="24"/>
          <w:szCs w:val="24"/>
          <w:lang w:val="en-US" w:eastAsia="zh-CN"/>
        </w:rPr>
        <w:t>60</w:t>
      </w:r>
      <w:r>
        <w:rPr>
          <w:sz w:val="24"/>
          <w:szCs w:val="24"/>
        </w:rPr>
        <w:t>m</w:t>
      </w:r>
      <w:r>
        <w:rPr>
          <w:rFonts w:hint="eastAsia"/>
          <w:sz w:val="24"/>
          <w:szCs w:val="24"/>
          <w:vertAlign w:val="superscript"/>
          <w:lang w:val="en-US" w:eastAsia="zh-CN"/>
        </w:rPr>
        <w:t>3</w:t>
      </w:r>
      <w:r>
        <w:rPr>
          <w:sz w:val="24"/>
          <w:szCs w:val="24"/>
        </w:rPr>
        <w:t>，则冷却补充水为</w:t>
      </w:r>
      <w:r>
        <w:rPr>
          <w:rFonts w:hint="eastAsia"/>
          <w:sz w:val="24"/>
          <w:szCs w:val="24"/>
          <w:lang w:val="en-US" w:eastAsia="zh-CN"/>
        </w:rPr>
        <w:t>360</w:t>
      </w:r>
      <w:r>
        <w:rPr>
          <w:sz w:val="24"/>
          <w:szCs w:val="24"/>
        </w:rPr>
        <w:t>m</w:t>
      </w:r>
      <w:r>
        <w:rPr>
          <w:rFonts w:hint="eastAsia"/>
          <w:sz w:val="24"/>
          <w:szCs w:val="24"/>
          <w:vertAlign w:val="superscript"/>
          <w:lang w:val="en-US" w:eastAsia="zh-CN"/>
        </w:rPr>
        <w:t>3</w:t>
      </w:r>
      <w:r>
        <w:rPr>
          <w:sz w:val="24"/>
          <w:szCs w:val="24"/>
        </w:rPr>
        <w:t>/a。</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冷却塔用水用于注塑机冷却，冷却塔循环水量为</w:t>
      </w:r>
      <w:r>
        <w:rPr>
          <w:rFonts w:hint="eastAsia"/>
          <w:sz w:val="24"/>
          <w:szCs w:val="24"/>
          <w:lang w:val="en-US" w:eastAsia="zh-CN"/>
        </w:rPr>
        <w:t>40</w:t>
      </w:r>
      <w:r>
        <w:rPr>
          <w:sz w:val="24"/>
          <w:szCs w:val="24"/>
        </w:rPr>
        <w:t>m</w:t>
      </w:r>
      <w:r>
        <w:rPr>
          <w:rFonts w:hint="eastAsia"/>
          <w:sz w:val="24"/>
          <w:szCs w:val="24"/>
          <w:vertAlign w:val="superscript"/>
          <w:lang w:val="en-US" w:eastAsia="zh-CN"/>
        </w:rPr>
        <w:t>3</w:t>
      </w:r>
      <w:r>
        <w:rPr>
          <w:sz w:val="24"/>
          <w:szCs w:val="24"/>
        </w:rPr>
        <w:t>/h，冷却水系统补水按循环量的0.5%估算，</w:t>
      </w:r>
      <w:r>
        <w:rPr>
          <w:rFonts w:hint="eastAsia"/>
          <w:sz w:val="24"/>
          <w:szCs w:val="24"/>
          <w:lang w:eastAsia="zh-CN"/>
        </w:rPr>
        <w:t>每天</w:t>
      </w:r>
      <w:r>
        <w:rPr>
          <w:sz w:val="24"/>
          <w:szCs w:val="24"/>
        </w:rPr>
        <w:t>工作</w:t>
      </w:r>
      <w:r>
        <w:rPr>
          <w:rFonts w:hint="eastAsia"/>
          <w:sz w:val="24"/>
          <w:szCs w:val="24"/>
          <w:lang w:val="en-US" w:eastAsia="zh-CN"/>
        </w:rPr>
        <w:t>8</w:t>
      </w:r>
      <w:r>
        <w:rPr>
          <w:sz w:val="24"/>
          <w:szCs w:val="24"/>
        </w:rPr>
        <w:t>小时，冷却塔补充水量为</w:t>
      </w:r>
      <w:r>
        <w:rPr>
          <w:rFonts w:hint="eastAsia"/>
          <w:sz w:val="24"/>
          <w:szCs w:val="24"/>
          <w:lang w:val="en-US" w:eastAsia="zh-CN"/>
        </w:rPr>
        <w:t>1.6</w:t>
      </w:r>
      <w:r>
        <w:rPr>
          <w:sz w:val="24"/>
          <w:szCs w:val="24"/>
        </w:rPr>
        <w:t>t/d（</w:t>
      </w:r>
      <w:r>
        <w:rPr>
          <w:rFonts w:hint="eastAsia"/>
          <w:sz w:val="24"/>
          <w:szCs w:val="24"/>
          <w:lang w:val="en-US" w:eastAsia="zh-CN"/>
        </w:rPr>
        <w:t>480</w:t>
      </w:r>
      <w:r>
        <w:rPr>
          <w:sz w:val="24"/>
          <w:szCs w:val="24"/>
        </w:rPr>
        <w:t>t/a），循环冷却水排污量按循环水量的0.1%估算，约</w:t>
      </w:r>
      <w:r>
        <w:rPr>
          <w:rFonts w:hint="eastAsia"/>
          <w:sz w:val="24"/>
          <w:szCs w:val="24"/>
          <w:lang w:val="en-US" w:eastAsia="zh-CN"/>
        </w:rPr>
        <w:t>96</w:t>
      </w:r>
      <w:r>
        <w:rPr>
          <w:sz w:val="24"/>
          <w:szCs w:val="24"/>
        </w:rPr>
        <w:t>m</w:t>
      </w:r>
      <w:r>
        <w:rPr>
          <w:rFonts w:hint="eastAsia"/>
          <w:sz w:val="24"/>
          <w:szCs w:val="24"/>
          <w:vertAlign w:val="superscript"/>
          <w:lang w:val="en-US" w:eastAsia="zh-CN"/>
        </w:rPr>
        <w:t>3</w:t>
      </w:r>
      <w:r>
        <w:rPr>
          <w:sz w:val="24"/>
          <w:szCs w:val="24"/>
        </w:rPr>
        <w:t>/a。</w:t>
      </w:r>
    </w:p>
    <w:p>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eastAsia"/>
          <w:sz w:val="24"/>
          <w:szCs w:val="24"/>
          <w:u w:val="single"/>
          <w:lang w:val="en-US" w:eastAsia="zh-CN"/>
        </w:rPr>
      </w:pPr>
      <w:r>
        <w:rPr>
          <w:rFonts w:hint="eastAsia"/>
          <w:sz w:val="24"/>
          <w:szCs w:val="24"/>
          <w:u w:val="single"/>
          <w:lang w:val="en-US" w:eastAsia="zh-CN"/>
        </w:rPr>
        <w:t>喷淋塔用水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u w:val="single"/>
        </w:rPr>
      </w:pPr>
      <w:r>
        <w:rPr>
          <w:sz w:val="24"/>
          <w:szCs w:val="24"/>
          <w:u w:val="single"/>
        </w:rPr>
        <w:t>项目</w:t>
      </w:r>
      <w:r>
        <w:rPr>
          <w:rFonts w:hint="eastAsia"/>
          <w:sz w:val="24"/>
          <w:szCs w:val="24"/>
          <w:u w:val="single"/>
          <w:lang w:eastAsia="zh-CN"/>
        </w:rPr>
        <w:t>熔融挤出</w:t>
      </w:r>
      <w:r>
        <w:rPr>
          <w:sz w:val="24"/>
          <w:szCs w:val="24"/>
          <w:u w:val="single"/>
        </w:rPr>
        <w:t>环节产生的</w:t>
      </w:r>
      <w:r>
        <w:rPr>
          <w:rFonts w:hint="eastAsia"/>
          <w:sz w:val="24"/>
          <w:szCs w:val="24"/>
          <w:u w:val="single"/>
          <w:lang w:eastAsia="zh-CN"/>
        </w:rPr>
        <w:t>油性颗粒物需要用喷淋塔进行</w:t>
      </w:r>
      <w:r>
        <w:rPr>
          <w:sz w:val="24"/>
          <w:szCs w:val="24"/>
          <w:u w:val="single"/>
        </w:rPr>
        <w:t>处理，喷淋塔的水箱中的</w:t>
      </w:r>
      <w:r>
        <w:rPr>
          <w:rFonts w:hint="eastAsia"/>
          <w:sz w:val="24"/>
          <w:szCs w:val="24"/>
          <w:u w:val="single"/>
          <w:lang w:eastAsia="zh-CN"/>
        </w:rPr>
        <w:t>有效容积</w:t>
      </w:r>
      <w:r>
        <w:rPr>
          <w:sz w:val="24"/>
          <w:szCs w:val="24"/>
          <w:u w:val="single"/>
        </w:rPr>
        <w:t>为</w:t>
      </w:r>
      <w:r>
        <w:rPr>
          <w:rFonts w:hint="eastAsia"/>
          <w:sz w:val="24"/>
          <w:szCs w:val="24"/>
          <w:u w:val="single"/>
          <w:lang w:val="en-US" w:eastAsia="zh-CN"/>
        </w:rPr>
        <w:t>1.6</w:t>
      </w:r>
      <w:r>
        <w:rPr>
          <w:sz w:val="24"/>
          <w:szCs w:val="24"/>
          <w:u w:val="single"/>
        </w:rPr>
        <w:t>m</w:t>
      </w:r>
      <w:r>
        <w:rPr>
          <w:sz w:val="24"/>
          <w:szCs w:val="24"/>
          <w:u w:val="single"/>
          <w:vertAlign w:val="superscript"/>
        </w:rPr>
        <w:t>3</w:t>
      </w:r>
      <w:r>
        <w:rPr>
          <w:sz w:val="24"/>
          <w:szCs w:val="24"/>
          <w:u w:val="single"/>
        </w:rPr>
        <w:t>，循环使用</w:t>
      </w:r>
      <w:r>
        <w:rPr>
          <w:rFonts w:hint="eastAsia"/>
          <w:sz w:val="24"/>
          <w:szCs w:val="24"/>
          <w:u w:val="single"/>
          <w:lang w:eastAsia="zh-CN"/>
        </w:rPr>
        <w:t>定期排放至厂区污水处理站处理，排放周期为</w:t>
      </w:r>
      <w:r>
        <w:rPr>
          <w:rFonts w:hint="eastAsia"/>
          <w:sz w:val="24"/>
          <w:szCs w:val="24"/>
          <w:u w:val="single"/>
          <w:lang w:val="en-US" w:eastAsia="zh-CN"/>
        </w:rPr>
        <w:t>5天，则补充水量为96m</w:t>
      </w:r>
      <w:r>
        <w:rPr>
          <w:rFonts w:hint="eastAsia"/>
          <w:sz w:val="24"/>
          <w:szCs w:val="24"/>
          <w:u w:val="single"/>
          <w:vertAlign w:val="superscript"/>
          <w:lang w:val="en-US" w:eastAsia="zh-CN"/>
        </w:rPr>
        <w:t>3</w:t>
      </w:r>
      <w:r>
        <w:rPr>
          <w:rFonts w:hint="eastAsia"/>
          <w:sz w:val="24"/>
          <w:szCs w:val="24"/>
          <w:u w:val="single"/>
          <w:lang w:val="en-US" w:eastAsia="zh-CN"/>
        </w:rPr>
        <w:t>/a</w:t>
      </w:r>
      <w:r>
        <w:rPr>
          <w:sz w:val="24"/>
          <w:szCs w:val="24"/>
          <w:u w:val="single"/>
        </w:rPr>
        <w:t>；由于在循环的过程中有少量水损耗，因此需要每天补充0.2m</w:t>
      </w:r>
      <w:r>
        <w:rPr>
          <w:sz w:val="24"/>
          <w:szCs w:val="24"/>
          <w:u w:val="single"/>
          <w:vertAlign w:val="superscript"/>
        </w:rPr>
        <w:t>3</w:t>
      </w:r>
      <w:r>
        <w:rPr>
          <w:sz w:val="24"/>
          <w:szCs w:val="24"/>
          <w:u w:val="single"/>
        </w:rPr>
        <w:t>的水，</w:t>
      </w:r>
      <w:r>
        <w:rPr>
          <w:rFonts w:hint="eastAsia"/>
          <w:sz w:val="24"/>
          <w:szCs w:val="24"/>
          <w:u w:val="single"/>
          <w:lang w:eastAsia="zh-CN"/>
        </w:rPr>
        <w:t>则</w:t>
      </w:r>
      <w:r>
        <w:rPr>
          <w:sz w:val="24"/>
          <w:szCs w:val="24"/>
          <w:u w:val="single"/>
        </w:rPr>
        <w:t>补充</w:t>
      </w:r>
      <w:r>
        <w:rPr>
          <w:rFonts w:hint="eastAsia"/>
          <w:sz w:val="24"/>
          <w:szCs w:val="24"/>
          <w:u w:val="single"/>
          <w:lang w:eastAsia="zh-CN"/>
        </w:rPr>
        <w:t>损耗</w:t>
      </w:r>
      <w:r>
        <w:rPr>
          <w:sz w:val="24"/>
          <w:szCs w:val="24"/>
          <w:u w:val="single"/>
        </w:rPr>
        <w:t>水量为60m</w:t>
      </w:r>
      <w:r>
        <w:rPr>
          <w:sz w:val="24"/>
          <w:szCs w:val="24"/>
          <w:u w:val="single"/>
          <w:vertAlign w:val="superscript"/>
        </w:rPr>
        <w:t>3</w:t>
      </w:r>
      <w:r>
        <w:rPr>
          <w:rFonts w:hint="eastAsia"/>
          <w:sz w:val="24"/>
          <w:szCs w:val="24"/>
          <w:u w:val="single"/>
          <w:vertAlign w:val="baseline"/>
          <w:lang w:val="en-US" w:eastAsia="zh-CN"/>
        </w:rPr>
        <w:t>/a</w:t>
      </w:r>
      <w:r>
        <w:rPr>
          <w:sz w:val="24"/>
          <w:szCs w:val="24"/>
          <w:u w:val="single"/>
        </w:rPr>
        <w:t>。</w:t>
      </w:r>
    </w:p>
    <w:p>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eastAsia"/>
          <w:sz w:val="24"/>
          <w:szCs w:val="24"/>
          <w:lang w:val="en-US" w:eastAsia="zh-CN"/>
        </w:rPr>
      </w:pPr>
      <w:r>
        <w:rPr>
          <w:rFonts w:hint="eastAsia"/>
          <w:sz w:val="24"/>
          <w:szCs w:val="24"/>
          <w:lang w:val="en-US" w:eastAsia="zh-CN"/>
        </w:rPr>
        <w:t>员工生活用水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000000"/>
          <w:sz w:val="24"/>
          <w:szCs w:val="24"/>
          <w:vertAlign w:val="baseline"/>
          <w:lang w:val="en-US" w:eastAsia="zh-CN" w:bidi="zh-CN"/>
        </w:rPr>
      </w:pPr>
      <w:r>
        <w:rPr>
          <w:rFonts w:hint="default" w:ascii="Times New Roman" w:hAnsi="Times New Roman" w:eastAsia="宋体" w:cs="Times New Roman"/>
          <w:b w:val="0"/>
          <w:bCs w:val="0"/>
          <w:color w:val="000000"/>
          <w:sz w:val="24"/>
          <w:szCs w:val="24"/>
          <w:vertAlign w:val="baseline"/>
          <w:lang w:val="en-US" w:eastAsia="zh-CN" w:bidi="zh-CN"/>
        </w:rPr>
        <w:t>全厂职工</w:t>
      </w:r>
      <w:r>
        <w:rPr>
          <w:rFonts w:hint="eastAsia" w:ascii="Times New Roman" w:hAnsi="Times New Roman" w:cs="Times New Roman"/>
          <w:b w:val="0"/>
          <w:bCs w:val="0"/>
          <w:color w:val="000000"/>
          <w:sz w:val="24"/>
          <w:szCs w:val="24"/>
          <w:vertAlign w:val="baseline"/>
          <w:lang w:val="en-US" w:eastAsia="zh-CN" w:bidi="zh-CN"/>
        </w:rPr>
        <w:t>20</w:t>
      </w:r>
      <w:r>
        <w:rPr>
          <w:rFonts w:hint="default" w:ascii="Times New Roman" w:hAnsi="Times New Roman" w:eastAsia="宋体" w:cs="Times New Roman"/>
          <w:b w:val="0"/>
          <w:bCs w:val="0"/>
          <w:color w:val="000000"/>
          <w:sz w:val="24"/>
          <w:szCs w:val="24"/>
          <w:vertAlign w:val="baseline"/>
          <w:lang w:val="en-US" w:eastAsia="zh-CN" w:bidi="zh-CN"/>
        </w:rPr>
        <w:t>人，年工作日300天。根据《建筑给水排水设计规范》（GB50015-2009）中3.1.12工业企业建筑时，管理人员的生活用水定额可取30L/人·班-50L/人·班；车间工人的生活用水定额应根据车间性质确定，宜采用30L/人·次-50L/人·班；用水时间宜取8h，小时变化系数宜取2.5-1.5。工业企业建筑淋浴用水定额，应根据现行国家标准《工业企业设计卫生标准》中车间的卫生特征分级确定，可采用40-60L/人·次，延续供水时间宜取1h。由于本项目不设置宿舍，因此本项目管理人员和车间工人的用水定额均取40L/天•人，结合职工在厂的工作生活时间，将生活用水确定如下：40L×</w:t>
      </w:r>
      <w:r>
        <w:rPr>
          <w:rFonts w:hint="eastAsia" w:ascii="Times New Roman" w:hAnsi="Times New Roman" w:cs="Times New Roman"/>
          <w:b w:val="0"/>
          <w:bCs w:val="0"/>
          <w:color w:val="000000"/>
          <w:sz w:val="24"/>
          <w:szCs w:val="24"/>
          <w:vertAlign w:val="baseline"/>
          <w:lang w:val="en-US" w:eastAsia="zh-CN" w:bidi="zh-CN"/>
        </w:rPr>
        <w:t>20</w:t>
      </w:r>
      <w:r>
        <w:rPr>
          <w:rFonts w:hint="default" w:ascii="Times New Roman" w:hAnsi="Times New Roman" w:eastAsia="宋体" w:cs="Times New Roman"/>
          <w:b w:val="0"/>
          <w:bCs w:val="0"/>
          <w:color w:val="000000"/>
          <w:sz w:val="24"/>
          <w:szCs w:val="24"/>
          <w:vertAlign w:val="baseline"/>
          <w:lang w:val="en-US" w:eastAsia="zh-CN" w:bidi="zh-CN"/>
        </w:rPr>
        <w:t>人×300天＝</w:t>
      </w:r>
      <w:r>
        <w:rPr>
          <w:rFonts w:hint="eastAsia" w:ascii="Times New Roman" w:hAnsi="Times New Roman" w:cs="Times New Roman"/>
          <w:b w:val="0"/>
          <w:bCs w:val="0"/>
          <w:color w:val="000000"/>
          <w:sz w:val="24"/>
          <w:szCs w:val="24"/>
          <w:vertAlign w:val="baseline"/>
          <w:lang w:val="en-US" w:eastAsia="zh-CN" w:bidi="zh-CN"/>
        </w:rPr>
        <w:t>240</w:t>
      </w:r>
      <w:r>
        <w:rPr>
          <w:rFonts w:hint="default" w:ascii="Times New Roman" w:hAnsi="Times New Roman" w:eastAsia="宋体" w:cs="Times New Roman"/>
          <w:b w:val="0"/>
          <w:bCs w:val="0"/>
          <w:color w:val="000000"/>
          <w:sz w:val="24"/>
          <w:szCs w:val="24"/>
          <w:vertAlign w:val="baseline"/>
          <w:lang w:val="en-US" w:eastAsia="zh-CN" w:bidi="zh-CN"/>
        </w:rPr>
        <w:t>m</w:t>
      </w:r>
      <w:r>
        <w:rPr>
          <w:rFonts w:hint="default" w:ascii="Times New Roman" w:hAnsi="Times New Roman" w:eastAsia="宋体" w:cs="Times New Roman"/>
          <w:b w:val="0"/>
          <w:bCs w:val="0"/>
          <w:color w:val="000000"/>
          <w:sz w:val="24"/>
          <w:szCs w:val="24"/>
          <w:vertAlign w:val="superscript"/>
          <w:lang w:val="en-US" w:eastAsia="zh-CN" w:bidi="zh-CN"/>
        </w:rPr>
        <w:t>3</w:t>
      </w:r>
      <w:r>
        <w:rPr>
          <w:rFonts w:hint="default" w:ascii="Times New Roman" w:hAnsi="Times New Roman" w:eastAsia="宋体" w:cs="Times New Roman"/>
          <w:b w:val="0"/>
          <w:bCs w:val="0"/>
          <w:color w:val="000000"/>
          <w:sz w:val="24"/>
          <w:szCs w:val="24"/>
          <w:vertAlign w:val="baseline"/>
          <w:lang w:val="en-US" w:eastAsia="zh-CN" w:bidi="zh-CN"/>
        </w:rPr>
        <w:t>/a。</w:t>
      </w:r>
    </w:p>
    <w:p>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both"/>
        <w:textAlignment w:val="auto"/>
        <w:rPr>
          <w:rFonts w:hint="eastAsia"/>
          <w:sz w:val="24"/>
          <w:szCs w:val="24"/>
          <w:lang w:val="en-US" w:eastAsia="zh-CN"/>
        </w:rPr>
      </w:pPr>
      <w:r>
        <w:rPr>
          <w:rFonts w:hint="eastAsia"/>
          <w:sz w:val="24"/>
          <w:szCs w:val="24"/>
          <w:lang w:val="en-US" w:eastAsia="zh-CN"/>
        </w:rPr>
        <w:t>食堂用水</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Cs/>
          <w:color w:val="auto"/>
          <w:sz w:val="24"/>
          <w:szCs w:val="24"/>
          <w:u w:val="none"/>
          <w:lang w:val="en-US" w:eastAsia="zh-CN"/>
        </w:rPr>
      </w:pPr>
      <w:r>
        <w:rPr>
          <w:rFonts w:hint="eastAsia" w:ascii="Times New Roman" w:hAnsi="Times New Roman" w:eastAsia="宋体" w:cs="Times New Roman"/>
          <w:bCs/>
          <w:color w:val="auto"/>
          <w:sz w:val="24"/>
          <w:szCs w:val="24"/>
          <w:u w:val="single"/>
        </w:rPr>
        <w:t>根据</w:t>
      </w:r>
      <w:r>
        <w:rPr>
          <w:rFonts w:ascii="Times New Roman" w:hAnsi="Times New Roman" w:eastAsia="宋体" w:cs="Times New Roman"/>
          <w:bCs/>
          <w:color w:val="auto"/>
          <w:sz w:val="24"/>
          <w:szCs w:val="24"/>
          <w:u w:val="single"/>
        </w:rPr>
        <w:t>《河南省地方标准</w:t>
      </w:r>
      <w:r>
        <w:rPr>
          <w:rFonts w:hint="eastAsia" w:ascii="Times New Roman" w:hAnsi="Times New Roman" w:eastAsia="宋体" w:cs="Times New Roman"/>
          <w:bCs/>
          <w:color w:val="auto"/>
          <w:sz w:val="24"/>
          <w:szCs w:val="24"/>
          <w:u w:val="single"/>
        </w:rPr>
        <w:t>-工业与城镇生活用水定额</w:t>
      </w:r>
      <w:r>
        <w:rPr>
          <w:rFonts w:ascii="Times New Roman" w:hAnsi="Times New Roman" w:eastAsia="宋体" w:cs="Times New Roman"/>
          <w:bCs/>
          <w:color w:val="auto"/>
          <w:sz w:val="24"/>
          <w:szCs w:val="24"/>
          <w:u w:val="single"/>
        </w:rPr>
        <w:t>(DB41/T385-20</w:t>
      </w:r>
      <w:r>
        <w:rPr>
          <w:rFonts w:hint="eastAsia" w:cs="Times New Roman"/>
          <w:bCs/>
          <w:color w:val="auto"/>
          <w:sz w:val="24"/>
          <w:szCs w:val="24"/>
          <w:u w:val="single"/>
          <w:lang w:val="en-US" w:eastAsia="zh-CN"/>
        </w:rPr>
        <w:t>20</w:t>
      </w:r>
      <w:r>
        <w:rPr>
          <w:rFonts w:ascii="Times New Roman" w:hAnsi="Times New Roman" w:eastAsia="宋体" w:cs="Times New Roman"/>
          <w:bCs/>
          <w:color w:val="auto"/>
          <w:sz w:val="24"/>
          <w:szCs w:val="24"/>
          <w:u w:val="single"/>
        </w:rPr>
        <w:t>)》</w:t>
      </w:r>
      <w:r>
        <w:rPr>
          <w:rFonts w:hint="eastAsia" w:ascii="Times New Roman" w:hAnsi="Times New Roman" w:eastAsia="宋体" w:cs="Times New Roman"/>
          <w:bCs/>
          <w:color w:val="auto"/>
          <w:sz w:val="24"/>
          <w:szCs w:val="24"/>
          <w:u w:val="none"/>
        </w:rPr>
        <w:t>，</w:t>
      </w:r>
      <w:r>
        <w:rPr>
          <w:rFonts w:hint="eastAsia" w:cs="Times New Roman"/>
          <w:bCs/>
          <w:color w:val="auto"/>
          <w:sz w:val="24"/>
          <w:szCs w:val="24"/>
          <w:u w:val="none"/>
          <w:lang w:eastAsia="zh-CN"/>
        </w:rPr>
        <w:t>项目食堂仅提供中餐一餐，</w:t>
      </w:r>
      <w:r>
        <w:rPr>
          <w:rFonts w:hint="eastAsia" w:ascii="Times New Roman" w:hAnsi="Times New Roman" w:eastAsia="宋体" w:cs="Times New Roman"/>
          <w:bCs/>
          <w:color w:val="auto"/>
          <w:sz w:val="24"/>
          <w:szCs w:val="24"/>
          <w:u w:val="none"/>
        </w:rPr>
        <w:t>食堂用水定额</w:t>
      </w:r>
      <w:r>
        <w:rPr>
          <w:rFonts w:hint="eastAsia" w:cs="Times New Roman"/>
          <w:bCs/>
          <w:color w:val="auto"/>
          <w:sz w:val="24"/>
          <w:szCs w:val="24"/>
          <w:u w:val="none"/>
          <w:lang w:eastAsia="zh-CN"/>
        </w:rPr>
        <w:t>参考公共管理有食堂用水量</w:t>
      </w:r>
      <w:r>
        <w:rPr>
          <w:rFonts w:hint="eastAsia" w:ascii="Times New Roman" w:hAnsi="Times New Roman" w:eastAsia="宋体" w:cs="Times New Roman"/>
          <w:bCs/>
          <w:color w:val="auto"/>
          <w:sz w:val="24"/>
          <w:szCs w:val="24"/>
          <w:u w:val="none"/>
        </w:rPr>
        <w:t>13L/人·次计，本项目就餐人数按</w:t>
      </w:r>
      <w:r>
        <w:rPr>
          <w:rFonts w:hint="eastAsia" w:ascii="Times New Roman" w:hAnsi="Times New Roman" w:eastAsia="宋体" w:cs="Times New Roman"/>
          <w:bCs/>
          <w:color w:val="auto"/>
          <w:sz w:val="24"/>
          <w:szCs w:val="24"/>
          <w:u w:val="none"/>
          <w:lang w:val="en-US" w:eastAsia="zh-CN"/>
        </w:rPr>
        <w:t>20</w:t>
      </w:r>
      <w:r>
        <w:rPr>
          <w:rFonts w:hint="eastAsia" w:ascii="Times New Roman" w:hAnsi="Times New Roman" w:eastAsia="宋体" w:cs="Times New Roman"/>
          <w:bCs/>
          <w:color w:val="auto"/>
          <w:sz w:val="24"/>
          <w:szCs w:val="24"/>
          <w:u w:val="none"/>
        </w:rPr>
        <w:t>人次/天计算，则餐饮用水量为</w:t>
      </w:r>
      <w:r>
        <w:rPr>
          <w:rFonts w:hint="eastAsia" w:ascii="Times New Roman" w:hAnsi="Times New Roman" w:eastAsia="宋体" w:cs="Times New Roman"/>
          <w:bCs/>
          <w:color w:val="auto"/>
          <w:sz w:val="24"/>
          <w:szCs w:val="24"/>
          <w:u w:val="none"/>
          <w:lang w:val="en-US" w:eastAsia="zh-CN"/>
        </w:rPr>
        <w:t>0.78</w:t>
      </w:r>
      <w:r>
        <w:rPr>
          <w:rFonts w:hint="eastAsia" w:ascii="Times New Roman" w:hAnsi="Times New Roman" w:eastAsia="宋体" w:cs="Times New Roman"/>
          <w:bCs/>
          <w:color w:val="auto"/>
          <w:sz w:val="24"/>
          <w:szCs w:val="24"/>
          <w:u w:val="none"/>
        </w:rPr>
        <w:t>t/d（</w:t>
      </w:r>
      <w:r>
        <w:rPr>
          <w:rFonts w:hint="eastAsia" w:ascii="Times New Roman" w:hAnsi="Times New Roman" w:eastAsia="宋体" w:cs="Times New Roman"/>
          <w:bCs/>
          <w:color w:val="auto"/>
          <w:sz w:val="24"/>
          <w:szCs w:val="24"/>
          <w:u w:val="none"/>
          <w:lang w:val="en-US" w:eastAsia="zh-CN"/>
        </w:rPr>
        <w:t>234</w:t>
      </w:r>
      <w:r>
        <w:rPr>
          <w:rFonts w:hint="eastAsia" w:ascii="Times New Roman" w:hAnsi="Times New Roman" w:eastAsia="宋体" w:cs="Times New Roman"/>
          <w:bCs/>
          <w:color w:val="auto"/>
          <w:sz w:val="24"/>
          <w:szCs w:val="24"/>
          <w:u w:val="none"/>
        </w:rPr>
        <w:t>t/a）。</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3、排水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本项口采用雨污分流制，雨水顺地势排入低洼处。</w:t>
      </w:r>
      <w:r>
        <w:rPr>
          <w:rFonts w:hint="eastAsia"/>
          <w:sz w:val="24"/>
          <w:szCs w:val="24"/>
          <w:lang w:eastAsia="zh-CN"/>
        </w:rPr>
        <w:t>项目</w:t>
      </w:r>
      <w:r>
        <w:rPr>
          <w:sz w:val="24"/>
          <w:szCs w:val="24"/>
        </w:rPr>
        <w:t>设</w:t>
      </w:r>
      <w:r>
        <w:rPr>
          <w:rFonts w:hint="eastAsia"/>
          <w:sz w:val="24"/>
          <w:szCs w:val="24"/>
          <w:lang w:eastAsia="zh-CN"/>
        </w:rPr>
        <w:t>化粪池</w:t>
      </w:r>
      <w:r>
        <w:rPr>
          <w:sz w:val="24"/>
          <w:szCs w:val="24"/>
        </w:rPr>
        <w:t>供员工使用，定期由农户清掏做农肥</w:t>
      </w:r>
      <w:r>
        <w:rPr>
          <w:rFonts w:hint="eastAsia"/>
          <w:sz w:val="24"/>
          <w:szCs w:val="24"/>
          <w:lang w:eastAsia="zh-CN"/>
        </w:rPr>
        <w:t>；餐饮废水经隔油池处理后排入化粪池，定期清掏肥田。</w:t>
      </w:r>
      <w:r>
        <w:rPr>
          <w:sz w:val="24"/>
          <w:szCs w:val="24"/>
        </w:rPr>
        <w:t>生产期间</w:t>
      </w:r>
      <w:r>
        <w:rPr>
          <w:rFonts w:hint="eastAsia"/>
          <w:sz w:val="24"/>
          <w:szCs w:val="24"/>
          <w:lang w:eastAsia="zh-CN"/>
        </w:rPr>
        <w:t>清洗废水</w:t>
      </w:r>
      <w:r>
        <w:rPr>
          <w:sz w:val="24"/>
          <w:szCs w:val="24"/>
        </w:rPr>
        <w:t>经污水处理设施处理后作为原料清洗水循环使用</w:t>
      </w:r>
      <w:r>
        <w:rPr>
          <w:rFonts w:hint="eastAsia"/>
          <w:sz w:val="24"/>
          <w:szCs w:val="24"/>
          <w:lang w:eastAsia="zh-CN"/>
        </w:rPr>
        <w:t>，循环冷却水排水直接作为清洗用水使用</w:t>
      </w:r>
      <w:r>
        <w:rPr>
          <w:sz w:val="24"/>
          <w:szCs w:val="24"/>
        </w:rPr>
        <w:t>。</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eastAsia="宋体"/>
          <w:sz w:val="24"/>
          <w:szCs w:val="24"/>
          <w:lang w:val="en-US" w:eastAsia="zh-CN"/>
        </w:rPr>
      </w:pPr>
      <w:r>
        <w:rPr>
          <w:rFonts w:hint="eastAsia"/>
          <w:sz w:val="24"/>
          <w:szCs w:val="24"/>
          <w:lang w:eastAsia="zh-CN"/>
        </w:rPr>
        <w:t>（</w:t>
      </w:r>
      <w:r>
        <w:rPr>
          <w:rFonts w:hint="eastAsia"/>
          <w:sz w:val="24"/>
          <w:szCs w:val="24"/>
          <w:lang w:val="en-US" w:eastAsia="zh-CN"/>
        </w:rPr>
        <w:t>1）</w:t>
      </w:r>
      <w:r>
        <w:rPr>
          <w:color w:val="000000" w:themeColor="text1"/>
          <w:sz w:val="24"/>
          <w:szCs w:val="24"/>
          <w14:textFill>
            <w14:solidFill>
              <w14:schemeClr w14:val="tx1"/>
            </w14:solidFill>
          </w14:textFill>
        </w:rPr>
        <w:t>原料破碎清洗</w:t>
      </w:r>
      <w:r>
        <w:rPr>
          <w:rFonts w:hint="eastAsia"/>
          <w:color w:val="000000" w:themeColor="text1"/>
          <w:sz w:val="24"/>
          <w:szCs w:val="24"/>
          <w:lang w:eastAsia="zh-CN"/>
          <w14:textFill>
            <w14:solidFill>
              <w14:schemeClr w14:val="tx1"/>
            </w14:solidFill>
          </w14:textFill>
        </w:rPr>
        <w:t>废水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原料破碎清洗用水量为</w:t>
      </w:r>
      <w:r>
        <w:rPr>
          <w:rFonts w:hint="eastAsia"/>
          <w:color w:val="000000" w:themeColor="text1"/>
          <w:sz w:val="24"/>
          <w:szCs w:val="24"/>
          <w:lang w:val="en-US" w:eastAsia="zh-CN"/>
          <w14:textFill>
            <w14:solidFill>
              <w14:schemeClr w14:val="tx1"/>
            </w14:solidFill>
          </w14:textFill>
        </w:rPr>
        <w:t>6000</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20</w:t>
      </w:r>
      <w:r>
        <w:rPr>
          <w:color w:val="000000" w:themeColor="text1"/>
          <w:sz w:val="24"/>
          <w:szCs w:val="24"/>
          <w14:textFill>
            <w14:solidFill>
              <w14:schemeClr w14:val="tx1"/>
            </w14:solidFill>
          </w14:textFill>
        </w:rPr>
        <w:t>t/d）。</w:t>
      </w:r>
      <w:r>
        <w:rPr>
          <w:rFonts w:hint="eastAsia"/>
          <w:color w:val="000000" w:themeColor="text1"/>
          <w:sz w:val="24"/>
          <w:szCs w:val="24"/>
          <w:lang w:eastAsia="zh-CN"/>
          <w14:textFill>
            <w14:solidFill>
              <w14:schemeClr w14:val="tx1"/>
            </w14:solidFill>
          </w14:textFill>
        </w:rPr>
        <w:t>废水产生系数按</w:t>
      </w:r>
      <w:r>
        <w:rPr>
          <w:rFonts w:hint="eastAsia"/>
          <w:color w:val="000000" w:themeColor="text1"/>
          <w:sz w:val="24"/>
          <w:szCs w:val="24"/>
          <w:lang w:val="en-US" w:eastAsia="zh-CN"/>
          <w14:textFill>
            <w14:solidFill>
              <w14:schemeClr w14:val="tx1"/>
            </w14:solidFill>
          </w14:textFill>
        </w:rPr>
        <w:t>0.8计算，则清洗废水产生量为4800</w:t>
      </w:r>
      <w:r>
        <w:rPr>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16</w:t>
      </w:r>
      <w:r>
        <w:rPr>
          <w:color w:val="000000" w:themeColor="text1"/>
          <w:sz w:val="24"/>
          <w:szCs w:val="24"/>
          <w14:textFill>
            <w14:solidFill>
              <w14:schemeClr w14:val="tx1"/>
            </w14:solidFill>
          </w14:textFill>
        </w:rPr>
        <w:t>t/d）</w:t>
      </w:r>
      <w:r>
        <w:rPr>
          <w:rFonts w:hint="eastAsia"/>
          <w:color w:val="000000" w:themeColor="text1"/>
          <w:sz w:val="24"/>
          <w:szCs w:val="24"/>
          <w:lang w:eastAsia="zh-CN"/>
          <w14:textFill>
            <w14:solidFill>
              <w14:schemeClr w14:val="tx1"/>
            </w14:solidFill>
          </w14:textFill>
        </w:rPr>
        <w:t>。经污水处理站处理后循环用于原料清洗。</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2）冷却循环水</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rFonts w:hint="eastAsia"/>
          <w:sz w:val="24"/>
          <w:szCs w:val="24"/>
          <w:lang w:eastAsia="zh-CN"/>
        </w:rPr>
        <w:t>造粒</w:t>
      </w:r>
      <w:r>
        <w:rPr>
          <w:sz w:val="24"/>
          <w:szCs w:val="24"/>
        </w:rPr>
        <w:t>冷却系统冷却水循环使用，循环水量为</w:t>
      </w:r>
      <w:r>
        <w:rPr>
          <w:rFonts w:hint="eastAsia"/>
          <w:sz w:val="24"/>
          <w:szCs w:val="24"/>
          <w:lang w:val="en-US" w:eastAsia="zh-CN"/>
        </w:rPr>
        <w:t>1</w:t>
      </w:r>
      <w:r>
        <w:rPr>
          <w:sz w:val="24"/>
          <w:szCs w:val="24"/>
        </w:rPr>
        <w:t>00m</w:t>
      </w:r>
      <w:r>
        <w:rPr>
          <w:rFonts w:hint="eastAsia"/>
          <w:sz w:val="24"/>
          <w:szCs w:val="24"/>
          <w:vertAlign w:val="superscript"/>
          <w:lang w:val="en-US" w:eastAsia="zh-CN"/>
        </w:rPr>
        <w:t>3</w:t>
      </w:r>
      <w:r>
        <w:rPr>
          <w:sz w:val="24"/>
          <w:szCs w:val="24"/>
        </w:rPr>
        <w:t>/d，冷却水蒸发后定期补充，补充水量为</w:t>
      </w:r>
      <w:r>
        <w:rPr>
          <w:rFonts w:hint="eastAsia"/>
          <w:sz w:val="24"/>
          <w:szCs w:val="24"/>
          <w:lang w:val="en-US" w:eastAsia="zh-CN"/>
        </w:rPr>
        <w:t>1</w:t>
      </w:r>
      <w:r>
        <w:rPr>
          <w:sz w:val="24"/>
          <w:szCs w:val="24"/>
        </w:rPr>
        <w:t>m</w:t>
      </w:r>
      <w:r>
        <w:rPr>
          <w:rFonts w:hint="eastAsia"/>
          <w:sz w:val="24"/>
          <w:szCs w:val="24"/>
          <w:vertAlign w:val="superscript"/>
          <w:lang w:val="en-US" w:eastAsia="zh-CN"/>
        </w:rPr>
        <w:t>3</w:t>
      </w:r>
      <w:r>
        <w:rPr>
          <w:sz w:val="24"/>
          <w:szCs w:val="24"/>
        </w:rPr>
        <w:t>/d（</w:t>
      </w:r>
      <w:r>
        <w:rPr>
          <w:rFonts w:hint="eastAsia"/>
          <w:sz w:val="24"/>
          <w:szCs w:val="24"/>
          <w:lang w:val="en-US" w:eastAsia="zh-CN"/>
        </w:rPr>
        <w:t>300</w:t>
      </w:r>
      <w:r>
        <w:rPr>
          <w:sz w:val="24"/>
          <w:szCs w:val="24"/>
        </w:rPr>
        <w:t>m</w:t>
      </w:r>
      <w:r>
        <w:rPr>
          <w:rFonts w:hint="eastAsia"/>
          <w:sz w:val="24"/>
          <w:szCs w:val="24"/>
          <w:vertAlign w:val="superscript"/>
          <w:lang w:val="en-US" w:eastAsia="zh-CN"/>
        </w:rPr>
        <w:t>3</w:t>
      </w:r>
      <w:r>
        <w:rPr>
          <w:sz w:val="24"/>
          <w:szCs w:val="24"/>
        </w:rPr>
        <w:t>/a），冷却水每月排放一次用于清洗，补充量为</w:t>
      </w:r>
      <w:r>
        <w:rPr>
          <w:rFonts w:hint="eastAsia"/>
          <w:sz w:val="24"/>
          <w:szCs w:val="24"/>
          <w:lang w:val="en-US" w:eastAsia="zh-CN"/>
        </w:rPr>
        <w:t>5</w:t>
      </w:r>
      <w:r>
        <w:rPr>
          <w:sz w:val="24"/>
          <w:szCs w:val="24"/>
        </w:rPr>
        <w:t>m</w:t>
      </w:r>
      <w:r>
        <w:rPr>
          <w:rFonts w:hint="eastAsia"/>
          <w:sz w:val="24"/>
          <w:szCs w:val="24"/>
          <w:vertAlign w:val="superscript"/>
          <w:lang w:val="en-US" w:eastAsia="zh-CN"/>
        </w:rPr>
        <w:t>3</w:t>
      </w:r>
      <w:r>
        <w:rPr>
          <w:sz w:val="24"/>
          <w:szCs w:val="24"/>
        </w:rPr>
        <w:t>/月，则年补充水量为</w:t>
      </w:r>
      <w:r>
        <w:rPr>
          <w:rFonts w:hint="eastAsia"/>
          <w:sz w:val="24"/>
          <w:szCs w:val="24"/>
          <w:lang w:val="en-US" w:eastAsia="zh-CN"/>
        </w:rPr>
        <w:t>60</w:t>
      </w:r>
      <w:r>
        <w:rPr>
          <w:sz w:val="24"/>
          <w:szCs w:val="24"/>
        </w:rPr>
        <w:t>m</w:t>
      </w:r>
      <w:r>
        <w:rPr>
          <w:rFonts w:hint="eastAsia"/>
          <w:sz w:val="24"/>
          <w:szCs w:val="24"/>
          <w:vertAlign w:val="superscript"/>
          <w:lang w:val="en-US" w:eastAsia="zh-CN"/>
        </w:rPr>
        <w:t>3</w:t>
      </w:r>
      <w:r>
        <w:rPr>
          <w:sz w:val="24"/>
          <w:szCs w:val="24"/>
        </w:rPr>
        <w:t>，则冷却补充水为</w:t>
      </w:r>
      <w:r>
        <w:rPr>
          <w:rFonts w:hint="eastAsia"/>
          <w:sz w:val="24"/>
          <w:szCs w:val="24"/>
          <w:lang w:val="en-US" w:eastAsia="zh-CN"/>
        </w:rPr>
        <w:t>360</w:t>
      </w:r>
      <w:r>
        <w:rPr>
          <w:sz w:val="24"/>
          <w:szCs w:val="24"/>
        </w:rPr>
        <w:t>m</w:t>
      </w:r>
      <w:r>
        <w:rPr>
          <w:rFonts w:hint="eastAsia"/>
          <w:sz w:val="24"/>
          <w:szCs w:val="24"/>
          <w:vertAlign w:val="superscript"/>
          <w:lang w:val="en-US" w:eastAsia="zh-CN"/>
        </w:rPr>
        <w:t>3</w:t>
      </w:r>
      <w:r>
        <w:rPr>
          <w:sz w:val="24"/>
          <w:szCs w:val="24"/>
        </w:rPr>
        <w:t>/a。</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sz w:val="24"/>
          <w:szCs w:val="24"/>
        </w:rPr>
      </w:pPr>
      <w:r>
        <w:rPr>
          <w:sz w:val="24"/>
          <w:szCs w:val="24"/>
        </w:rPr>
        <w:t>冷却塔用水用于注塑机冷却，冷却塔循环水量为</w:t>
      </w:r>
      <w:r>
        <w:rPr>
          <w:rFonts w:hint="eastAsia"/>
          <w:sz w:val="24"/>
          <w:szCs w:val="24"/>
          <w:lang w:val="en-US" w:eastAsia="zh-CN"/>
        </w:rPr>
        <w:t>40</w:t>
      </w:r>
      <w:r>
        <w:rPr>
          <w:sz w:val="24"/>
          <w:szCs w:val="24"/>
        </w:rPr>
        <w:t>m</w:t>
      </w:r>
      <w:r>
        <w:rPr>
          <w:rFonts w:hint="eastAsia"/>
          <w:sz w:val="24"/>
          <w:szCs w:val="24"/>
          <w:vertAlign w:val="superscript"/>
          <w:lang w:val="en-US" w:eastAsia="zh-CN"/>
        </w:rPr>
        <w:t>3</w:t>
      </w:r>
      <w:r>
        <w:rPr>
          <w:sz w:val="24"/>
          <w:szCs w:val="24"/>
        </w:rPr>
        <w:t>/h，冷却水系统补水按循环量的0.5%估算，工作</w:t>
      </w:r>
      <w:r>
        <w:rPr>
          <w:rFonts w:hint="eastAsia"/>
          <w:sz w:val="24"/>
          <w:szCs w:val="24"/>
          <w:lang w:val="en-US" w:eastAsia="zh-CN"/>
        </w:rPr>
        <w:t>8</w:t>
      </w:r>
      <w:r>
        <w:rPr>
          <w:sz w:val="24"/>
          <w:szCs w:val="24"/>
        </w:rPr>
        <w:t>小时，冷却塔补充水量为</w:t>
      </w:r>
      <w:r>
        <w:rPr>
          <w:rFonts w:hint="eastAsia"/>
          <w:sz w:val="24"/>
          <w:szCs w:val="24"/>
          <w:lang w:val="en-US" w:eastAsia="zh-CN"/>
        </w:rPr>
        <w:t>1.6</w:t>
      </w:r>
      <w:r>
        <w:rPr>
          <w:sz w:val="24"/>
          <w:szCs w:val="24"/>
        </w:rPr>
        <w:t>t/d（</w:t>
      </w:r>
      <w:r>
        <w:rPr>
          <w:rFonts w:hint="eastAsia"/>
          <w:sz w:val="24"/>
          <w:szCs w:val="24"/>
          <w:lang w:val="en-US" w:eastAsia="zh-CN"/>
        </w:rPr>
        <w:t>480</w:t>
      </w:r>
      <w:r>
        <w:rPr>
          <w:sz w:val="24"/>
          <w:szCs w:val="24"/>
        </w:rPr>
        <w:t>t/a），循环冷却水排污量按循环水量的0.1%估算，约</w:t>
      </w:r>
      <w:r>
        <w:rPr>
          <w:rFonts w:hint="eastAsia"/>
          <w:sz w:val="24"/>
          <w:szCs w:val="24"/>
          <w:lang w:val="en-US" w:eastAsia="zh-CN"/>
        </w:rPr>
        <w:t>96</w:t>
      </w:r>
      <w:r>
        <w:rPr>
          <w:sz w:val="24"/>
          <w:szCs w:val="24"/>
        </w:rPr>
        <w:t>m</w:t>
      </w:r>
      <w:r>
        <w:rPr>
          <w:rFonts w:hint="eastAsia"/>
          <w:sz w:val="24"/>
          <w:szCs w:val="24"/>
          <w:vertAlign w:val="superscript"/>
          <w:lang w:val="en-US" w:eastAsia="zh-CN"/>
        </w:rPr>
        <w:t>3</w:t>
      </w:r>
      <w:r>
        <w:rPr>
          <w:sz w:val="24"/>
          <w:szCs w:val="24"/>
        </w:rPr>
        <w:t>/a。</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eastAsia="宋体"/>
          <w:sz w:val="24"/>
          <w:szCs w:val="24"/>
          <w:vertAlign w:val="baseline"/>
          <w:lang w:val="en-US" w:eastAsia="zh-CN"/>
        </w:rPr>
      </w:pPr>
      <w:r>
        <w:rPr>
          <w:rFonts w:hint="eastAsia"/>
          <w:sz w:val="24"/>
          <w:szCs w:val="24"/>
          <w:lang w:val="en-US" w:eastAsia="zh-CN"/>
        </w:rPr>
        <w:t>则可知</w:t>
      </w:r>
      <w:r>
        <w:rPr>
          <w:rFonts w:hint="eastAsia"/>
          <w:sz w:val="24"/>
          <w:szCs w:val="24"/>
          <w:lang w:eastAsia="zh-CN"/>
        </w:rPr>
        <w:t>造粒</w:t>
      </w:r>
      <w:r>
        <w:rPr>
          <w:sz w:val="24"/>
          <w:szCs w:val="24"/>
        </w:rPr>
        <w:t>冷却系统冷却水</w:t>
      </w:r>
      <w:r>
        <w:rPr>
          <w:rFonts w:hint="eastAsia"/>
          <w:sz w:val="24"/>
          <w:szCs w:val="24"/>
          <w:lang w:eastAsia="zh-CN"/>
        </w:rPr>
        <w:t>排放量为</w:t>
      </w:r>
      <w:r>
        <w:rPr>
          <w:rFonts w:hint="eastAsia"/>
          <w:sz w:val="24"/>
          <w:szCs w:val="24"/>
          <w:lang w:val="en-US" w:eastAsia="zh-CN"/>
        </w:rPr>
        <w:t>60</w:t>
      </w:r>
      <w:r>
        <w:rPr>
          <w:sz w:val="24"/>
          <w:szCs w:val="24"/>
        </w:rPr>
        <w:t>m</w:t>
      </w:r>
      <w:r>
        <w:rPr>
          <w:rFonts w:hint="eastAsia"/>
          <w:sz w:val="24"/>
          <w:szCs w:val="24"/>
          <w:vertAlign w:val="superscript"/>
          <w:lang w:val="en-US" w:eastAsia="zh-CN"/>
        </w:rPr>
        <w:t>3</w:t>
      </w:r>
      <w:r>
        <w:rPr>
          <w:rFonts w:hint="eastAsia"/>
          <w:sz w:val="24"/>
          <w:szCs w:val="24"/>
          <w:vertAlign w:val="baseline"/>
          <w:lang w:val="en-US" w:eastAsia="zh-CN"/>
        </w:rPr>
        <w:t>/a，注塑机冷却塔排放冷却水为</w:t>
      </w:r>
      <w:r>
        <w:rPr>
          <w:rFonts w:hint="eastAsia"/>
          <w:sz w:val="24"/>
          <w:szCs w:val="24"/>
          <w:lang w:val="en-US" w:eastAsia="zh-CN"/>
        </w:rPr>
        <w:t>96</w:t>
      </w:r>
      <w:r>
        <w:rPr>
          <w:sz w:val="24"/>
          <w:szCs w:val="24"/>
        </w:rPr>
        <w:t>m</w:t>
      </w:r>
      <w:r>
        <w:rPr>
          <w:rFonts w:hint="eastAsia"/>
          <w:sz w:val="24"/>
          <w:szCs w:val="24"/>
          <w:vertAlign w:val="superscript"/>
          <w:lang w:val="en-US" w:eastAsia="zh-CN"/>
        </w:rPr>
        <w:t>3</w:t>
      </w:r>
      <w:r>
        <w:rPr>
          <w:sz w:val="24"/>
          <w:szCs w:val="24"/>
        </w:rPr>
        <w:t>/a</w:t>
      </w:r>
      <w:r>
        <w:rPr>
          <w:rFonts w:hint="eastAsia"/>
          <w:sz w:val="24"/>
          <w:szCs w:val="24"/>
          <w:lang w:eastAsia="zh-CN"/>
        </w:rPr>
        <w:t>。共</w:t>
      </w:r>
      <w:r>
        <w:rPr>
          <w:rFonts w:hint="eastAsia"/>
          <w:sz w:val="24"/>
          <w:szCs w:val="24"/>
          <w:lang w:val="en-US" w:eastAsia="zh-CN"/>
        </w:rPr>
        <w:t>156</w:t>
      </w:r>
      <w:r>
        <w:rPr>
          <w:sz w:val="24"/>
          <w:szCs w:val="24"/>
        </w:rPr>
        <w:t>m</w:t>
      </w:r>
      <w:r>
        <w:rPr>
          <w:rFonts w:hint="eastAsia"/>
          <w:sz w:val="24"/>
          <w:szCs w:val="24"/>
          <w:vertAlign w:val="superscript"/>
          <w:lang w:val="en-US" w:eastAsia="zh-CN"/>
        </w:rPr>
        <w:t>3</w:t>
      </w:r>
      <w:r>
        <w:rPr>
          <w:sz w:val="24"/>
          <w:szCs w:val="24"/>
        </w:rPr>
        <w:t>/a</w:t>
      </w:r>
      <w:r>
        <w:rPr>
          <w:rFonts w:hint="eastAsia"/>
          <w:sz w:val="24"/>
          <w:szCs w:val="24"/>
          <w:lang w:eastAsia="zh-CN"/>
        </w:rPr>
        <w:t>，经污水处理站处理后用于原料清洗。</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sz w:val="24"/>
          <w:szCs w:val="24"/>
          <w:u w:val="single"/>
          <w:lang w:val="en-US" w:eastAsia="zh-CN"/>
        </w:rPr>
      </w:pPr>
      <w:r>
        <w:rPr>
          <w:rFonts w:hint="eastAsia"/>
          <w:sz w:val="24"/>
          <w:szCs w:val="24"/>
          <w:u w:val="single"/>
          <w:lang w:val="en-US" w:eastAsia="zh-CN"/>
        </w:rPr>
        <w:t>（3）喷淋塔排水</w:t>
      </w:r>
    </w:p>
    <w:p>
      <w:pPr>
        <w:rPr>
          <w:rFonts w:hint="default"/>
          <w:u w:val="single"/>
          <w:lang w:val="en-US" w:eastAsia="zh-CN"/>
        </w:rPr>
      </w:pPr>
      <w:r>
        <w:rPr>
          <w:rFonts w:hint="eastAsia"/>
          <w:u w:val="single"/>
          <w:lang w:val="en-US" w:eastAsia="zh-CN"/>
        </w:rPr>
        <w:t>项目熔融废气处理过程中喷淋塔水箱会富集油性颗粒物，长时间会导致COD和SS浓度增加，因此每5日排放一次，每次排放量为1.6m</w:t>
      </w:r>
      <w:r>
        <w:rPr>
          <w:rFonts w:hint="eastAsia"/>
          <w:u w:val="single"/>
          <w:vertAlign w:val="superscript"/>
          <w:lang w:val="en-US" w:eastAsia="zh-CN"/>
        </w:rPr>
        <w:t>3</w:t>
      </w:r>
      <w:r>
        <w:rPr>
          <w:rFonts w:hint="eastAsia"/>
          <w:u w:val="single"/>
          <w:lang w:val="en-US" w:eastAsia="zh-CN"/>
        </w:rPr>
        <w:t>，则喷淋塔废水排放量为96m</w:t>
      </w:r>
      <w:r>
        <w:rPr>
          <w:rFonts w:hint="eastAsia"/>
          <w:u w:val="single"/>
          <w:vertAlign w:val="superscript"/>
          <w:lang w:val="en-US" w:eastAsia="zh-CN"/>
        </w:rPr>
        <w:t>3</w:t>
      </w:r>
      <w:r>
        <w:rPr>
          <w:rFonts w:hint="eastAsia"/>
          <w:u w:val="single"/>
          <w:vertAlign w:val="baseline"/>
          <w:lang w:val="en-US" w:eastAsia="zh-CN"/>
        </w:rPr>
        <w:t>/a</w:t>
      </w:r>
      <w:r>
        <w:rPr>
          <w:rFonts w:hint="eastAsia"/>
          <w:u w:val="single"/>
          <w:lang w:val="en-US" w:eastAsia="zh-CN"/>
        </w:rPr>
        <w:t>。此部分废水经厂区污水处理站处理后回用于清洗工序。</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sz w:val="24"/>
          <w:szCs w:val="24"/>
          <w:lang w:val="en-US" w:eastAsia="zh-CN"/>
        </w:rPr>
      </w:pPr>
      <w:r>
        <w:rPr>
          <w:rFonts w:hint="eastAsia"/>
          <w:sz w:val="24"/>
          <w:szCs w:val="24"/>
          <w:lang w:val="en-US" w:eastAsia="zh-CN"/>
        </w:rPr>
        <w:t>（4）生活污水和餐饮废水</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sz w:val="24"/>
          <w:szCs w:val="24"/>
          <w:lang w:val="en-US" w:eastAsia="zh-CN"/>
        </w:rPr>
      </w:pPr>
      <w:r>
        <w:rPr>
          <w:rFonts w:hint="eastAsia" w:ascii="Times New Roman" w:hAnsi="Times New Roman" w:eastAsia="宋体" w:cs="Times New Roman"/>
          <w:bCs/>
          <w:color w:val="auto"/>
          <w:sz w:val="24"/>
          <w:szCs w:val="24"/>
          <w:u w:val="none"/>
          <w:lang w:eastAsia="zh-CN"/>
        </w:rPr>
        <w:t>生活</w:t>
      </w:r>
      <w:r>
        <w:rPr>
          <w:rFonts w:ascii="Times New Roman" w:hAnsi="Times New Roman" w:eastAsia="宋体" w:cs="Times New Roman"/>
          <w:bCs/>
          <w:color w:val="auto"/>
          <w:sz w:val="24"/>
          <w:szCs w:val="24"/>
          <w:u w:val="none"/>
        </w:rPr>
        <w:t>污水排放系数为0.8，则污水排放量为</w:t>
      </w:r>
      <w:r>
        <w:rPr>
          <w:rFonts w:hint="eastAsia" w:ascii="Times New Roman" w:hAnsi="Times New Roman" w:eastAsia="宋体" w:cs="Times New Roman"/>
          <w:bCs/>
          <w:color w:val="auto"/>
          <w:sz w:val="24"/>
          <w:szCs w:val="24"/>
          <w:u w:val="none"/>
          <w:lang w:val="en-US" w:eastAsia="zh-CN"/>
        </w:rPr>
        <w:t>0.64</w:t>
      </w:r>
      <w:r>
        <w:rPr>
          <w:rFonts w:hint="eastAsia" w:ascii="Times New Roman" w:hAnsi="Times New Roman" w:eastAsia="宋体" w:cs="Times New Roman"/>
          <w:bCs/>
          <w:color w:val="auto"/>
          <w:sz w:val="24"/>
          <w:szCs w:val="24"/>
          <w:u w:val="none"/>
        </w:rPr>
        <w:t>t</w:t>
      </w:r>
      <w:r>
        <w:rPr>
          <w:rFonts w:ascii="Times New Roman" w:hAnsi="Times New Roman" w:eastAsia="宋体" w:cs="Times New Roman"/>
          <w:bCs/>
          <w:color w:val="auto"/>
          <w:sz w:val="24"/>
          <w:szCs w:val="24"/>
          <w:u w:val="none"/>
        </w:rPr>
        <w:t>/d，即</w:t>
      </w:r>
      <w:r>
        <w:rPr>
          <w:rFonts w:hint="eastAsia" w:ascii="Times New Roman" w:hAnsi="Times New Roman" w:eastAsia="宋体" w:cs="Times New Roman"/>
          <w:bCs/>
          <w:color w:val="auto"/>
          <w:sz w:val="24"/>
          <w:szCs w:val="24"/>
          <w:u w:val="none"/>
          <w:lang w:val="en-US" w:eastAsia="zh-CN"/>
        </w:rPr>
        <w:t>192</w:t>
      </w:r>
      <w:r>
        <w:rPr>
          <w:rFonts w:hint="eastAsia" w:ascii="Times New Roman" w:hAnsi="Times New Roman" w:eastAsia="宋体" w:cs="Times New Roman"/>
          <w:bCs/>
          <w:color w:val="auto"/>
          <w:sz w:val="24"/>
          <w:szCs w:val="24"/>
          <w:u w:val="none"/>
        </w:rPr>
        <w:t>t</w:t>
      </w:r>
      <w:r>
        <w:rPr>
          <w:rFonts w:ascii="Times New Roman" w:hAnsi="Times New Roman" w:eastAsia="宋体" w:cs="Times New Roman"/>
          <w:bCs/>
          <w:color w:val="auto"/>
          <w:sz w:val="24"/>
          <w:szCs w:val="24"/>
          <w:u w:val="none"/>
        </w:rPr>
        <w:t>/a</w:t>
      </w:r>
      <w:r>
        <w:rPr>
          <w:rFonts w:hint="eastAsia" w:ascii="Times New Roman" w:hAnsi="Times New Roman" w:eastAsia="宋体" w:cs="Times New Roman"/>
          <w:bCs/>
          <w:color w:val="auto"/>
          <w:sz w:val="24"/>
          <w:szCs w:val="24"/>
          <w:u w:val="none"/>
          <w:lang w:eastAsia="zh-CN"/>
        </w:rPr>
        <w:t>；食堂废水排污系数按0.8，则餐饮废水量约为</w:t>
      </w:r>
      <w:r>
        <w:rPr>
          <w:rFonts w:hint="eastAsia" w:ascii="Times New Roman" w:hAnsi="Times New Roman" w:eastAsia="宋体" w:cs="Times New Roman"/>
          <w:bCs/>
          <w:color w:val="auto"/>
          <w:sz w:val="24"/>
          <w:szCs w:val="24"/>
          <w:u w:val="none"/>
          <w:lang w:val="en-US" w:eastAsia="zh-CN"/>
        </w:rPr>
        <w:t>0.624</w:t>
      </w:r>
      <w:r>
        <w:rPr>
          <w:rFonts w:hint="eastAsia" w:ascii="Times New Roman" w:hAnsi="Times New Roman" w:eastAsia="宋体" w:cs="Times New Roman"/>
          <w:bCs/>
          <w:color w:val="auto"/>
          <w:sz w:val="24"/>
          <w:szCs w:val="24"/>
          <w:u w:val="none"/>
          <w:lang w:eastAsia="zh-CN"/>
        </w:rPr>
        <w:t>t/d（</w:t>
      </w:r>
      <w:r>
        <w:rPr>
          <w:rFonts w:hint="eastAsia" w:ascii="Times New Roman" w:hAnsi="Times New Roman" w:eastAsia="宋体" w:cs="Times New Roman"/>
          <w:bCs/>
          <w:color w:val="auto"/>
          <w:sz w:val="24"/>
          <w:szCs w:val="24"/>
          <w:u w:val="none"/>
          <w:lang w:val="en-US" w:eastAsia="zh-CN"/>
        </w:rPr>
        <w:t>187.2</w:t>
      </w:r>
      <w:r>
        <w:rPr>
          <w:rFonts w:hint="eastAsia" w:ascii="Times New Roman" w:hAnsi="Times New Roman" w:eastAsia="宋体" w:cs="Times New Roman"/>
          <w:bCs/>
          <w:color w:val="auto"/>
          <w:sz w:val="24"/>
          <w:szCs w:val="24"/>
          <w:u w:val="none"/>
          <w:lang w:eastAsia="zh-CN"/>
        </w:rPr>
        <w:t>t/a）。餐饮废水经隔油池处理后排入化粪池。生活污水和餐饮废水定期清掏肥田。</w:t>
      </w:r>
    </w:p>
    <w:p>
      <w:pPr>
        <w:pStyle w:val="20"/>
        <w:rPr>
          <w:rFonts w:hint="eastAsia"/>
          <w:lang w:val="en-US" w:eastAsia="zh-CN"/>
        </w:rPr>
      </w:pPr>
      <w:r>
        <w:rPr>
          <w:rFonts w:hint="eastAsia"/>
          <w:lang w:val="en-US" w:eastAsia="zh-CN"/>
        </w:rPr>
        <w:t>本项目生产期间水平衡间图3.2-1。</w:t>
      </w:r>
    </w:p>
    <w:p>
      <w:pPr>
        <w:pStyle w:val="2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lang w:val="en-US" w:eastAsia="zh-CN"/>
        </w:rPr>
      </w:pPr>
      <w:r>
        <w:drawing>
          <wp:inline distT="0" distB="0" distL="114300" distR="114300">
            <wp:extent cx="4367530" cy="5039995"/>
            <wp:effectExtent l="0" t="0" r="139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4367530" cy="5039995"/>
                    </a:xfrm>
                    <a:prstGeom prst="rect">
                      <a:avLst/>
                    </a:prstGeom>
                    <a:noFill/>
                    <a:ln>
                      <a:noFill/>
                    </a:ln>
                  </pic:spPr>
                </pic:pic>
              </a:graphicData>
            </a:graphic>
          </wp:inline>
        </w:drawing>
      </w:r>
    </w:p>
    <w:p>
      <w:pPr>
        <w:pStyle w:val="19"/>
        <w:keepNext w:val="0"/>
        <w:keepLines w:val="0"/>
        <w:widowControl/>
        <w:suppressLineNumbers w:val="0"/>
        <w:spacing w:before="0" w:beforeAutospacing="0" w:after="0" w:afterAutospacing="0"/>
        <w:ind w:left="0" w:right="0" w:firstLine="0"/>
        <w:jc w:val="center"/>
        <w:rPr>
          <w:b/>
          <w:bCs/>
        </w:rPr>
      </w:pPr>
      <w:r>
        <w:rPr>
          <w:b/>
          <w:bCs/>
        </w:rPr>
        <w:t>图3</w:t>
      </w:r>
      <w:r>
        <w:rPr>
          <w:rFonts w:hint="eastAsia"/>
          <w:b/>
          <w:bCs/>
          <w:lang w:val="en-US" w:eastAsia="zh-CN"/>
        </w:rPr>
        <w:t xml:space="preserve">.2-1 </w:t>
      </w:r>
      <w:r>
        <w:rPr>
          <w:b/>
          <w:bCs/>
        </w:rPr>
        <w:t xml:space="preserve"> 项目水平衡图（单位</w:t>
      </w:r>
      <w:r>
        <w:rPr>
          <w:rFonts w:hint="eastAsia"/>
          <w:b/>
          <w:bCs/>
          <w:lang w:eastAsia="zh-CN"/>
        </w:rPr>
        <w:t>：</w:t>
      </w:r>
      <w:r>
        <w:rPr>
          <w:b/>
          <w:bCs/>
        </w:rPr>
        <w:t>t/d）</w:t>
      </w:r>
    </w:p>
    <w:p>
      <w:pPr>
        <w:pStyle w:val="19"/>
        <w:keepNext w:val="0"/>
        <w:keepLines w:val="0"/>
        <w:widowControl/>
        <w:suppressLineNumbers w:val="0"/>
        <w:spacing w:before="0" w:beforeAutospacing="0" w:after="0" w:afterAutospacing="0"/>
        <w:ind w:left="0" w:right="0" w:firstLine="0"/>
      </w:pPr>
      <w:r>
        <w:t>4、供电</w:t>
      </w:r>
    </w:p>
    <w:p>
      <w:pPr>
        <w:pStyle w:val="19"/>
        <w:keepNext w:val="0"/>
        <w:keepLines w:val="0"/>
        <w:widowControl/>
        <w:suppressLineNumbers w:val="0"/>
        <w:spacing w:before="0" w:beforeAutospacing="0" w:after="0" w:afterAutospacing="0"/>
        <w:ind w:left="0" w:right="0" w:firstLine="0"/>
      </w:pPr>
      <w:r>
        <w:t>本项目用电由当地电网接入，电源稳定、可靠，满足项目建设需求。</w:t>
      </w:r>
    </w:p>
    <w:p>
      <w:pPr>
        <w:pStyle w:val="19"/>
        <w:keepNext w:val="0"/>
        <w:keepLines w:val="0"/>
        <w:widowControl/>
        <w:suppressLineNumbers w:val="0"/>
        <w:spacing w:before="0" w:beforeAutospacing="0" w:after="0" w:afterAutospacing="0"/>
        <w:ind w:left="0" w:right="0" w:firstLine="0"/>
      </w:pPr>
      <w:r>
        <w:t>5、消防</w:t>
      </w:r>
    </w:p>
    <w:p>
      <w:pPr>
        <w:pStyle w:val="19"/>
        <w:keepNext w:val="0"/>
        <w:keepLines w:val="0"/>
        <w:widowControl/>
        <w:suppressLineNumbers w:val="0"/>
        <w:spacing w:before="0" w:beforeAutospacing="0" w:after="0" w:afterAutospacing="0"/>
        <w:ind w:left="0" w:right="0" w:firstLine="0"/>
      </w:pPr>
      <w:r>
        <w:t>各生产及办公场所按规定配置消防器材，厂内建筑物防火间距符合防火规范要求，建筑物均有道路可达，可供消防使用。</w:t>
      </w:r>
    </w:p>
    <w:p>
      <w:pPr>
        <w:pStyle w:val="4"/>
        <w:bidi w:val="0"/>
      </w:pPr>
      <w:r>
        <w:rPr>
          <w:rFonts w:hint="eastAsia"/>
          <w:lang w:val="en-US" w:eastAsia="zh-CN"/>
        </w:rPr>
        <w:t>3.2.8</w:t>
      </w:r>
      <w:r>
        <w:t xml:space="preserve"> 劳动定员及工作制度</w:t>
      </w:r>
    </w:p>
    <w:p>
      <w:pPr>
        <w:pStyle w:val="19"/>
        <w:keepNext w:val="0"/>
        <w:keepLines w:val="0"/>
        <w:widowControl/>
        <w:suppressLineNumbers w:val="0"/>
        <w:spacing w:before="0" w:beforeAutospacing="0" w:after="0" w:afterAutospacing="0"/>
        <w:ind w:left="0" w:right="0" w:firstLine="0"/>
      </w:pPr>
      <w:r>
        <w:t>本项目劳动定员</w:t>
      </w:r>
      <w:r>
        <w:rPr>
          <w:rFonts w:hint="eastAsia"/>
          <w:lang w:val="en-US" w:eastAsia="zh-CN"/>
        </w:rPr>
        <w:t>20</w:t>
      </w:r>
      <w:r>
        <w:t>人，每</w:t>
      </w:r>
      <w:r>
        <w:rPr>
          <w:rFonts w:hint="eastAsia"/>
          <w:lang w:eastAsia="zh-CN"/>
        </w:rPr>
        <w:t>天</w:t>
      </w:r>
      <w:r>
        <w:t>工作8小时，年生产</w:t>
      </w:r>
      <w:r>
        <w:rPr>
          <w:rFonts w:hint="eastAsia"/>
          <w:lang w:val="en-US" w:eastAsia="zh-CN"/>
        </w:rPr>
        <w:t>300</w:t>
      </w:r>
      <w:r>
        <w:t>天。</w:t>
      </w:r>
    </w:p>
    <w:p>
      <w:pPr>
        <w:pStyle w:val="4"/>
        <w:bidi w:val="0"/>
      </w:pPr>
      <w:r>
        <w:rPr>
          <w:rFonts w:hint="eastAsia"/>
          <w:lang w:val="en-US" w:eastAsia="zh-CN"/>
        </w:rPr>
        <w:t>3.2.9</w:t>
      </w:r>
      <w:r>
        <w:t xml:space="preserve"> 项目实施进度</w:t>
      </w:r>
    </w:p>
    <w:p>
      <w:pPr>
        <w:pStyle w:val="19"/>
        <w:keepNext w:val="0"/>
        <w:keepLines w:val="0"/>
        <w:widowControl/>
        <w:suppressLineNumbers w:val="0"/>
        <w:spacing w:before="0" w:beforeAutospacing="0" w:after="0" w:afterAutospacing="0"/>
        <w:ind w:left="0" w:right="0" w:firstLine="0"/>
        <w:rPr>
          <w:u w:val="single"/>
        </w:rPr>
      </w:pPr>
      <w:r>
        <w:rPr>
          <w:u w:val="single"/>
        </w:rPr>
        <w:t>本项目总投资</w:t>
      </w:r>
      <w:r>
        <w:rPr>
          <w:rFonts w:hint="eastAsia"/>
          <w:u w:val="single"/>
          <w:lang w:val="en-US" w:eastAsia="zh-CN"/>
        </w:rPr>
        <w:t>1500</w:t>
      </w:r>
      <w:r>
        <w:rPr>
          <w:u w:val="single"/>
        </w:rPr>
        <w:t>万元，其中环</w:t>
      </w:r>
      <w:r>
        <w:rPr>
          <w:color w:val="000000" w:themeColor="text1"/>
          <w:u w:val="single"/>
          <w14:textFill>
            <w14:solidFill>
              <w14:schemeClr w14:val="tx1"/>
            </w14:solidFill>
          </w14:textFill>
        </w:rPr>
        <w:t>保投资</w:t>
      </w:r>
      <w:r>
        <w:rPr>
          <w:rFonts w:hint="eastAsia"/>
          <w:color w:val="000000" w:themeColor="text1"/>
          <w:u w:val="single"/>
          <w:lang w:val="en-US" w:eastAsia="zh-CN"/>
          <w14:textFill>
            <w14:solidFill>
              <w14:schemeClr w14:val="tx1"/>
            </w14:solidFill>
          </w14:textFill>
        </w:rPr>
        <w:t>131</w:t>
      </w:r>
      <w:r>
        <w:rPr>
          <w:color w:val="000000" w:themeColor="text1"/>
          <w:u w:val="single"/>
          <w14:textFill>
            <w14:solidFill>
              <w14:schemeClr w14:val="tx1"/>
            </w14:solidFill>
          </w14:textFill>
        </w:rPr>
        <w:t>万元，预计建</w:t>
      </w:r>
      <w:r>
        <w:rPr>
          <w:u w:val="single"/>
        </w:rPr>
        <w:t>设周期为</w:t>
      </w:r>
      <w:r>
        <w:rPr>
          <w:rFonts w:hint="eastAsia"/>
          <w:u w:val="single"/>
          <w:lang w:val="en-US" w:eastAsia="zh-CN"/>
        </w:rPr>
        <w:t>3个月</w:t>
      </w:r>
      <w:r>
        <w:rPr>
          <w:u w:val="single"/>
        </w:rPr>
        <w:t>，计划</w:t>
      </w:r>
      <w:r>
        <w:rPr>
          <w:rFonts w:hint="eastAsia"/>
          <w:u w:val="single"/>
          <w:lang w:val="en-US" w:eastAsia="zh-CN"/>
        </w:rPr>
        <w:t>2022</w:t>
      </w:r>
      <w:r>
        <w:rPr>
          <w:u w:val="single"/>
        </w:rPr>
        <w:t>年</w:t>
      </w:r>
      <w:r>
        <w:rPr>
          <w:rFonts w:hint="eastAsia"/>
          <w:u w:val="single"/>
          <w:lang w:val="en-US" w:eastAsia="zh-CN"/>
        </w:rPr>
        <w:t>01</w:t>
      </w:r>
      <w:r>
        <w:rPr>
          <w:u w:val="single"/>
        </w:rPr>
        <w:t>月开工建设，</w:t>
      </w:r>
      <w:r>
        <w:rPr>
          <w:rFonts w:hint="eastAsia"/>
          <w:u w:val="single"/>
          <w:lang w:val="en-US" w:eastAsia="zh-CN"/>
        </w:rPr>
        <w:t>2022</w:t>
      </w:r>
      <w:r>
        <w:rPr>
          <w:u w:val="single"/>
        </w:rPr>
        <w:t>年</w:t>
      </w:r>
      <w:r>
        <w:rPr>
          <w:rFonts w:hint="eastAsia"/>
          <w:u w:val="single"/>
          <w:lang w:val="en-US" w:eastAsia="zh-CN"/>
        </w:rPr>
        <w:t>4</w:t>
      </w:r>
      <w:r>
        <w:rPr>
          <w:u w:val="single"/>
        </w:rPr>
        <w:t>月投入使用。</w:t>
      </w:r>
    </w:p>
    <w:p>
      <w:pPr>
        <w:pStyle w:val="4"/>
        <w:bidi w:val="0"/>
      </w:pPr>
      <w:r>
        <w:rPr>
          <w:rFonts w:hint="eastAsia"/>
          <w:lang w:val="en-US" w:eastAsia="zh-CN"/>
        </w:rPr>
        <w:t>3.2.10</w:t>
      </w:r>
      <w:r>
        <w:t xml:space="preserve"> 总平面布置</w:t>
      </w:r>
    </w:p>
    <w:p>
      <w:pPr>
        <w:pStyle w:val="19"/>
        <w:keepNext w:val="0"/>
        <w:keepLines w:val="0"/>
        <w:widowControl/>
        <w:suppressLineNumbers w:val="0"/>
        <w:spacing w:before="0" w:beforeAutospacing="0" w:after="0" w:afterAutospacing="0"/>
        <w:ind w:left="0" w:right="0" w:firstLine="0"/>
      </w:pPr>
      <w:r>
        <w:t>项目区呈矩形，厂区内分为生产区（生产车间）、产品贮存区（产品库）、原料</w:t>
      </w:r>
      <w:r>
        <w:rPr>
          <w:rFonts w:hint="eastAsia"/>
          <w:lang w:eastAsia="zh-CN"/>
        </w:rPr>
        <w:t>处理</w:t>
      </w:r>
      <w:r>
        <w:t>区（原料</w:t>
      </w:r>
      <w:r>
        <w:rPr>
          <w:rFonts w:hint="eastAsia"/>
          <w:lang w:eastAsia="zh-CN"/>
        </w:rPr>
        <w:t>破碎清洗车间</w:t>
      </w:r>
      <w:r>
        <w:t>）、污水处理区、管理区（办公室），总图布局符合《废塑料同收与再生利用污染控制技术规范》HJ/T364-2007中相关要求，详见</w:t>
      </w:r>
      <w:r>
        <w:rPr>
          <w:rFonts w:hint="eastAsia"/>
          <w:lang w:eastAsia="zh-CN"/>
        </w:rPr>
        <w:t>附图</w:t>
      </w:r>
      <w:r>
        <w:rPr>
          <w:rFonts w:hint="eastAsia"/>
          <w:lang w:val="en-US" w:eastAsia="zh-CN"/>
        </w:rPr>
        <w:t>3</w:t>
      </w:r>
      <w:r>
        <w:t>。</w:t>
      </w:r>
    </w:p>
    <w:p>
      <w:pPr>
        <w:pStyle w:val="19"/>
        <w:keepNext w:val="0"/>
        <w:keepLines w:val="0"/>
        <w:widowControl/>
        <w:suppressLineNumbers w:val="0"/>
        <w:spacing w:before="0" w:beforeAutospacing="0" w:after="0" w:afterAutospacing="0"/>
        <w:ind w:left="0" w:right="0" w:firstLine="0"/>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ind w:left="480" w:leftChars="200" w:firstLine="0" w:firstLineChars="0"/>
        <w:rPr>
          <w:lang w:val="en-US"/>
        </w:rPr>
      </w:pPr>
      <w:bookmarkStart w:id="56" w:name="_Toc26165"/>
      <w:bookmarkStart w:id="57" w:name="_Toc27227"/>
      <w:bookmarkStart w:id="58" w:name="_Toc3221"/>
      <w:bookmarkStart w:id="59" w:name="_Toc25080"/>
      <w:r>
        <w:rPr>
          <w:rFonts w:hint="eastAsia"/>
        </w:rPr>
        <w:t>四</w:t>
      </w:r>
      <w:r>
        <w:rPr>
          <w:rFonts w:hint="eastAsia"/>
          <w:lang w:val="en-US"/>
        </w:rPr>
        <w:t xml:space="preserve">  </w:t>
      </w:r>
      <w:r>
        <w:rPr>
          <w:rFonts w:hint="eastAsia"/>
        </w:rPr>
        <w:t>工程分析</w:t>
      </w:r>
      <w:bookmarkEnd w:id="56"/>
      <w:bookmarkEnd w:id="57"/>
      <w:bookmarkEnd w:id="58"/>
      <w:bookmarkEnd w:id="59"/>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lang w:val="en-US"/>
        </w:rPr>
      </w:pPr>
      <w:bookmarkStart w:id="60" w:name="_Toc468"/>
      <w:bookmarkStart w:id="61" w:name="_Toc22483"/>
      <w:bookmarkStart w:id="62" w:name="_Toc29718"/>
      <w:bookmarkStart w:id="63" w:name="_Toc25348"/>
      <w:r>
        <w:rPr>
          <w:rFonts w:hint="eastAsia"/>
          <w:lang w:val="en-US"/>
        </w:rPr>
        <w:t>4.1 施工期污染源分析</w:t>
      </w:r>
      <w:bookmarkEnd w:id="60"/>
      <w:bookmarkEnd w:id="61"/>
      <w:bookmarkEnd w:id="62"/>
      <w:bookmarkEnd w:id="63"/>
    </w:p>
    <w:p>
      <w:pPr>
        <w:pStyle w:val="4"/>
        <w:ind w:firstLine="602"/>
        <w:rPr>
          <w:lang w:val="en-US"/>
        </w:rPr>
      </w:pPr>
      <w:bookmarkStart w:id="64" w:name="_Toc633"/>
      <w:r>
        <w:rPr>
          <w:rFonts w:hint="eastAsia"/>
          <w:lang w:val="en-US"/>
        </w:rPr>
        <w:t>4.1.1施工期工艺流程及产污节点</w:t>
      </w:r>
      <w:bookmarkEnd w:id="64"/>
    </w:p>
    <w:p>
      <w:pPr>
        <w:ind w:firstLine="480"/>
      </w:pPr>
      <w:r>
        <w:t>本项目</w:t>
      </w:r>
      <w:r>
        <w:rPr>
          <w:rFonts w:hint="eastAsia"/>
          <w:lang w:eastAsia="zh-CN"/>
        </w:rPr>
        <w:t>需要新建厂房和辅助用房，</w:t>
      </w:r>
      <w:r>
        <w:t>施工期整个过程分为场地平整阶段、基础工程阶段、主体结构工程阶段、装修工程阶段及扫尾工程阶段等五个阶段，具体施工流程及产污流程图见图4-1。</w:t>
      </w:r>
    </w:p>
    <w:p>
      <w:pPr>
        <w:pStyle w:val="29"/>
        <w:jc w:val="center"/>
      </w:pPr>
      <w:r>
        <w:drawing>
          <wp:inline distT="0" distB="0" distL="114300" distR="114300">
            <wp:extent cx="3729990" cy="4319905"/>
            <wp:effectExtent l="0" t="0" r="381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3729990" cy="4319905"/>
                    </a:xfrm>
                    <a:prstGeom prst="rect">
                      <a:avLst/>
                    </a:prstGeom>
                    <a:noFill/>
                    <a:ln>
                      <a:noFill/>
                    </a:ln>
                  </pic:spPr>
                </pic:pic>
              </a:graphicData>
            </a:graphic>
          </wp:inline>
        </w:drawing>
      </w:r>
    </w:p>
    <w:p>
      <w:pPr>
        <w:pStyle w:val="19"/>
        <w:widowControl/>
        <w:spacing w:beforeAutospacing="0" w:afterAutospacing="0"/>
        <w:ind w:firstLine="482"/>
        <w:jc w:val="center"/>
        <w:rPr>
          <w:b/>
          <w:bCs/>
        </w:rPr>
      </w:pPr>
      <w:r>
        <w:rPr>
          <w:rFonts w:hint="eastAsia"/>
          <w:b/>
          <w:bCs/>
        </w:rPr>
        <w:t>图</w:t>
      </w:r>
      <w:r>
        <w:rPr>
          <w:b/>
          <w:bCs/>
        </w:rPr>
        <w:t>4.1-1</w:t>
      </w:r>
      <w:r>
        <w:rPr>
          <w:rFonts w:hint="eastAsia"/>
          <w:b/>
          <w:bCs/>
        </w:rPr>
        <w:t xml:space="preserve">  施工期工艺流程及产污情况图</w:t>
      </w:r>
    </w:p>
    <w:p>
      <w:pPr>
        <w:ind w:firstLine="480"/>
      </w:pPr>
      <w:r>
        <w:t>项目施工采用</w:t>
      </w:r>
      <w:r>
        <w:rPr>
          <w:rFonts w:hint="eastAsia"/>
        </w:rPr>
        <w:t>机械</w:t>
      </w:r>
      <w:r>
        <w:t>与人工结合的施工方法，施工机械主要有挖掘机、装载机、振捣机、切割机、混凝土运送车、电锯、施工升降机、物料提升机、电焊机等。主要施工工艺有</w:t>
      </w:r>
      <w:r>
        <w:rPr>
          <w:rFonts w:hint="eastAsia"/>
        </w:rPr>
        <w:t>：</w:t>
      </w:r>
    </w:p>
    <w:p>
      <w:pPr>
        <w:ind w:firstLine="480"/>
      </w:pPr>
      <w:r>
        <w:t>场地平整及土方开挖过程中先用推土机剥离表层，存放于场地周边</w:t>
      </w:r>
      <w:r>
        <w:rPr>
          <w:rFonts w:hint="eastAsia"/>
        </w:rPr>
        <w:t>；</w:t>
      </w:r>
      <w:r>
        <w:t>再用挖掘机进行基坑开挖，并辅以人工开挖，土石方就近堆放于基坑两侧，待基础施工后用于回填并压实，以防雨水冲刷造成水土流失</w:t>
      </w:r>
      <w:r>
        <w:rPr>
          <w:rFonts w:hint="eastAsia"/>
        </w:rPr>
        <w:t>；</w:t>
      </w:r>
      <w:r>
        <w:t>本阶段污染物以施工扬尘、噪声为主，雨天时可能会有水土流失。</w:t>
      </w:r>
    </w:p>
    <w:p>
      <w:pPr>
        <w:ind w:firstLine="480"/>
      </w:pPr>
      <w:r>
        <w:t>厂区建设施工主要施工机械有砂轮切割机、塔吊、施工升降机、物料提升机、电焊机等，污染物以建筑垃圾、施工噪声、施工扬尘为主。</w:t>
      </w:r>
    </w:p>
    <w:p>
      <w:pPr>
        <w:ind w:firstLine="480"/>
      </w:pPr>
      <w:r>
        <w:t>辅助设施建设主要有厂区道路等施工建设，施工过程产生施工扬尘、焊接烟气、油漆废气等。</w:t>
      </w:r>
    </w:p>
    <w:p>
      <w:pPr>
        <w:ind w:firstLine="480"/>
      </w:pPr>
      <w:r>
        <w:t>项目用地范围内设施工营地，不占用临时用地，产生的主要污染物为施工人员生活产生的生活污水及生活垃圾。</w:t>
      </w:r>
    </w:p>
    <w:p>
      <w:pPr>
        <w:pStyle w:val="4"/>
        <w:ind w:firstLine="602"/>
      </w:pPr>
      <w:bookmarkStart w:id="65" w:name="_Toc22321"/>
      <w:r>
        <w:t>4.1.2 施工期污染源分析</w:t>
      </w:r>
      <w:bookmarkEnd w:id="65"/>
    </w:p>
    <w:p>
      <w:pPr>
        <w:ind w:firstLine="480"/>
      </w:pPr>
      <w:r>
        <w:t>本项目为新建项目，在其建设过程中产生的污染源如下</w:t>
      </w:r>
      <w:r>
        <w:rPr>
          <w:rFonts w:hint="eastAsia"/>
        </w:rPr>
        <w:t>：</w:t>
      </w:r>
    </w:p>
    <w:p>
      <w:pPr>
        <w:pStyle w:val="19"/>
        <w:widowControl/>
        <w:spacing w:beforeAutospacing="0" w:afterAutospacing="0"/>
        <w:ind w:firstLine="482"/>
        <w:jc w:val="both"/>
        <w:rPr>
          <w:b/>
          <w:bCs/>
        </w:rPr>
      </w:pPr>
      <w:r>
        <w:rPr>
          <w:b/>
          <w:bCs/>
        </w:rPr>
        <w:t>4.1.2.1 废水污染源分析</w:t>
      </w:r>
    </w:p>
    <w:p>
      <w:pPr>
        <w:ind w:firstLine="480"/>
      </w:pPr>
      <w:r>
        <w:t>项目场地设施工营地，施工人员约</w:t>
      </w:r>
      <w:r>
        <w:rPr>
          <w:rFonts w:hint="eastAsia"/>
          <w:lang w:val="en-US" w:eastAsia="zh-CN"/>
        </w:rPr>
        <w:t>20</w:t>
      </w:r>
      <w:r>
        <w:t>人，则主要污染为建筑施工污水和施工人员生活污水。</w:t>
      </w:r>
    </w:p>
    <w:p>
      <w:pPr>
        <w:ind w:firstLine="480"/>
      </w:pPr>
      <w:r>
        <w:t>（1）生活污水</w:t>
      </w:r>
    </w:p>
    <w:p>
      <w:pPr>
        <w:ind w:firstLine="480"/>
      </w:pPr>
      <w:r>
        <w:t>施工高峰期施工人员按</w:t>
      </w:r>
      <w:r>
        <w:rPr>
          <w:rFonts w:hint="eastAsia"/>
          <w:lang w:val="en-US" w:eastAsia="zh-CN"/>
        </w:rPr>
        <w:t>20</w:t>
      </w:r>
      <w:r>
        <w:t>人计，项目施工建设期为</w:t>
      </w:r>
      <w:r>
        <w:rPr>
          <w:rFonts w:hint="eastAsia"/>
          <w:lang w:val="en-US" w:eastAsia="zh-CN"/>
        </w:rPr>
        <w:t>3个月</w:t>
      </w:r>
      <w:r>
        <w:t>，施工期生活用水量按</w:t>
      </w:r>
      <w:r>
        <w:rPr>
          <w:rFonts w:hint="eastAsia"/>
          <w:lang w:val="en-US" w:eastAsia="zh-CN"/>
        </w:rPr>
        <w:t>50</w:t>
      </w:r>
      <w:r>
        <w:t>L人·日计，污水产生量按日用水量的80%计，则生活污水产生量为</w:t>
      </w:r>
      <w:r>
        <w:rPr>
          <w:rFonts w:hint="eastAsia"/>
          <w:lang w:val="en-US" w:eastAsia="zh-CN"/>
        </w:rPr>
        <w:t>0.8</w:t>
      </w:r>
      <w:r>
        <w:t>m³d。生活污水经化粪池预处理后，</w:t>
      </w:r>
      <w:r>
        <w:rPr>
          <w:rFonts w:hint="eastAsia"/>
          <w:lang w:eastAsia="zh-CN"/>
        </w:rPr>
        <w:t>定期清掏肥田</w:t>
      </w:r>
      <w:r>
        <w:t>。根据类比调查，施工生活污水污染物成分及浓度见表4.1-</w:t>
      </w:r>
      <w:r>
        <w:rPr>
          <w:rFonts w:hint="eastAsia"/>
          <w:lang w:val="en-US"/>
        </w:rPr>
        <w:t>1</w:t>
      </w:r>
      <w:r>
        <w:t>。</w:t>
      </w:r>
    </w:p>
    <w:p>
      <w:pPr>
        <w:pStyle w:val="19"/>
        <w:widowControl/>
        <w:spacing w:beforeAutospacing="0" w:afterAutospacing="0"/>
        <w:ind w:firstLine="482"/>
        <w:jc w:val="center"/>
        <w:rPr>
          <w:b/>
          <w:bCs/>
        </w:rPr>
      </w:pPr>
      <w:r>
        <w:rPr>
          <w:b/>
          <w:bCs/>
        </w:rPr>
        <w:t>表4.1-</w:t>
      </w:r>
      <w:r>
        <w:rPr>
          <w:rFonts w:hint="eastAsia"/>
          <w:b/>
          <w:bCs/>
        </w:rPr>
        <w:t>1</w:t>
      </w:r>
      <w:r>
        <w:rPr>
          <w:b/>
          <w:bCs/>
        </w:rPr>
        <w:t xml:space="preserve"> </w:t>
      </w:r>
      <w:r>
        <w:rPr>
          <w:rFonts w:hint="eastAsia"/>
          <w:b/>
          <w:bCs/>
        </w:rPr>
        <w:t xml:space="preserve"> </w:t>
      </w:r>
      <w:r>
        <w:rPr>
          <w:b/>
          <w:bCs/>
        </w:rPr>
        <w:t>施工期生活污水污染物成分及浓度</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860"/>
        <w:gridCol w:w="1862"/>
        <w:gridCol w:w="185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Align w:val="center"/>
          </w:tcPr>
          <w:p>
            <w:pPr>
              <w:pStyle w:val="30"/>
              <w:rPr>
                <w:rFonts w:hint="default"/>
              </w:rPr>
            </w:pPr>
            <w:r>
              <w:t>污染物</w:t>
            </w:r>
          </w:p>
        </w:tc>
        <w:tc>
          <w:tcPr>
            <w:tcW w:w="1860" w:type="dxa"/>
            <w:vAlign w:val="center"/>
          </w:tcPr>
          <w:p>
            <w:pPr>
              <w:pStyle w:val="30"/>
              <w:rPr>
                <w:rFonts w:hint="default"/>
              </w:rPr>
            </w:pPr>
            <w:r>
              <w:t>COD</w:t>
            </w:r>
          </w:p>
        </w:tc>
        <w:tc>
          <w:tcPr>
            <w:tcW w:w="1862" w:type="dxa"/>
            <w:vAlign w:val="center"/>
          </w:tcPr>
          <w:p>
            <w:pPr>
              <w:pStyle w:val="30"/>
              <w:rPr>
                <w:rFonts w:hint="default"/>
              </w:rPr>
            </w:pPr>
            <w:r>
              <w:t>BOD</w:t>
            </w:r>
            <w:r>
              <w:rPr>
                <w:vertAlign w:val="subscript"/>
              </w:rPr>
              <w:t>5</w:t>
            </w:r>
          </w:p>
        </w:tc>
        <w:tc>
          <w:tcPr>
            <w:tcW w:w="1857" w:type="dxa"/>
            <w:vAlign w:val="center"/>
          </w:tcPr>
          <w:p>
            <w:pPr>
              <w:pStyle w:val="30"/>
              <w:rPr>
                <w:rFonts w:hint="default"/>
              </w:rPr>
            </w:pPr>
            <w:r>
              <w:t>氨氮</w:t>
            </w:r>
          </w:p>
        </w:tc>
        <w:tc>
          <w:tcPr>
            <w:tcW w:w="1857" w:type="dxa"/>
            <w:vAlign w:val="center"/>
          </w:tcPr>
          <w:p>
            <w:pPr>
              <w:pStyle w:val="30"/>
              <w:rPr>
                <w:rFonts w:hint="default"/>
              </w:rPr>
            </w:pPr>
            <w: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Align w:val="center"/>
          </w:tcPr>
          <w:p>
            <w:pPr>
              <w:pStyle w:val="30"/>
              <w:rPr>
                <w:rFonts w:hint="default"/>
              </w:rPr>
            </w:pPr>
            <w:r>
              <w:t>浓度</w:t>
            </w:r>
          </w:p>
        </w:tc>
        <w:tc>
          <w:tcPr>
            <w:tcW w:w="1860" w:type="dxa"/>
            <w:vAlign w:val="center"/>
          </w:tcPr>
          <w:p>
            <w:pPr>
              <w:pStyle w:val="30"/>
              <w:rPr>
                <w:rFonts w:hint="default"/>
              </w:rPr>
            </w:pPr>
            <w:r>
              <w:t>250</w:t>
            </w:r>
          </w:p>
        </w:tc>
        <w:tc>
          <w:tcPr>
            <w:tcW w:w="1862" w:type="dxa"/>
            <w:vAlign w:val="center"/>
          </w:tcPr>
          <w:p>
            <w:pPr>
              <w:pStyle w:val="30"/>
              <w:rPr>
                <w:rFonts w:hint="default"/>
              </w:rPr>
            </w:pPr>
            <w:r>
              <w:t>150</w:t>
            </w:r>
          </w:p>
        </w:tc>
        <w:tc>
          <w:tcPr>
            <w:tcW w:w="1857" w:type="dxa"/>
            <w:vAlign w:val="center"/>
          </w:tcPr>
          <w:p>
            <w:pPr>
              <w:pStyle w:val="30"/>
              <w:rPr>
                <w:rFonts w:hint="default"/>
              </w:rPr>
            </w:pPr>
            <w:r>
              <w:t>30</w:t>
            </w:r>
          </w:p>
        </w:tc>
        <w:tc>
          <w:tcPr>
            <w:tcW w:w="1857" w:type="dxa"/>
            <w:vAlign w:val="center"/>
          </w:tcPr>
          <w:p>
            <w:pPr>
              <w:pStyle w:val="30"/>
              <w:rPr>
                <w:rFonts w:hint="default"/>
              </w:rPr>
            </w:pPr>
            <w:r>
              <w:t>250</w:t>
            </w:r>
          </w:p>
        </w:tc>
      </w:tr>
    </w:tbl>
    <w:p>
      <w:pPr>
        <w:ind w:firstLine="480"/>
      </w:pPr>
      <w:r>
        <w:t>（2）施工污水</w:t>
      </w:r>
    </w:p>
    <w:p>
      <w:pPr>
        <w:ind w:firstLine="480"/>
        <w:rPr>
          <w:rFonts w:hint="eastAsia" w:eastAsia="宋体"/>
          <w:lang w:eastAsia="zh-CN"/>
        </w:rPr>
      </w:pPr>
      <w:r>
        <w:t>施工污水包括施工机械洗涤废水、施工现场清洗废水、混凝土浇筑、养护、冲洗废水等，这部分污水主要污染物为SS、石油类，悬浮物浓度较大，但不含其它可溶性的有害物质。</w:t>
      </w:r>
      <w:r>
        <w:rPr>
          <w:rFonts w:hint="eastAsia"/>
          <w:lang w:eastAsia="zh-CN"/>
        </w:rPr>
        <w:t>经沉淀处理后用于厂区洒水抑尘。</w:t>
      </w:r>
    </w:p>
    <w:p>
      <w:pPr>
        <w:ind w:firstLine="482"/>
        <w:rPr>
          <w:b/>
          <w:bCs/>
        </w:rPr>
      </w:pPr>
      <w:r>
        <w:rPr>
          <w:b/>
          <w:bCs/>
        </w:rPr>
        <w:t>4.1.2.2 废气污染源</w:t>
      </w:r>
    </w:p>
    <w:p>
      <w:pPr>
        <w:ind w:firstLine="480"/>
      </w:pPr>
      <w:r>
        <w:t>施工过程中产生的大气污染物主要是各类施工作业及砂石料、水泥、石灰的装卸和投料过程以及运输过程中产生的扬尘、装修产生的废气、焊接废气、施工机械及建筑材料运输时产生的汽车尾气等。</w:t>
      </w:r>
    </w:p>
    <w:p>
      <w:pPr>
        <w:ind w:firstLine="480"/>
      </w:pPr>
      <w:r>
        <w:t>（1）扬尘</w:t>
      </w:r>
    </w:p>
    <w:p>
      <w:pPr>
        <w:ind w:firstLine="480"/>
      </w:pPr>
      <w:r>
        <w:t>项目施工期采用商品混凝土，</w:t>
      </w:r>
      <w:r>
        <w:rPr>
          <w:rFonts w:hint="eastAsia"/>
          <w:lang w:eastAsia="zh-CN"/>
        </w:rPr>
        <w:t>厂区内</w:t>
      </w:r>
      <w:r>
        <w:t>不设混凝土拌合站，因此施工期产生的扬尘主要来自于土方开挖、建筑材料堆放及装卸过程、运输过程等，主要特征污染物为TSP。施工扬尘排放数量与施工面积、施工水平、施工强度和土壤类型、气候条件等有关。影响施工粉尘发生量的因素较多，较难进行定量，呈无组织形式排放。</w:t>
      </w:r>
    </w:p>
    <w:p>
      <w:pPr>
        <w:ind w:firstLine="480"/>
      </w:pPr>
      <w:r>
        <w:t>（2）装修废气</w:t>
      </w:r>
    </w:p>
    <w:p>
      <w:pPr>
        <w:ind w:firstLine="480"/>
      </w:pPr>
      <w:r>
        <w:t>室内建筑装修、设备防腐等施工过程会使用少量的油漆，施工过程会产生少量的有机废气，呈无组织排放。</w:t>
      </w:r>
    </w:p>
    <w:p>
      <w:pPr>
        <w:ind w:firstLine="480"/>
      </w:pPr>
      <w:r>
        <w:t>（3）焊接废气</w:t>
      </w:r>
    </w:p>
    <w:p>
      <w:pPr>
        <w:ind w:firstLine="480"/>
      </w:pPr>
      <w:r>
        <w:t>建筑施工过程中部分建筑构件需要用电焊机等设备进行构件焊接组装，使用常见电焊机等设备，焊接过程中产生少量的焊接烟尘。</w:t>
      </w:r>
    </w:p>
    <w:p>
      <w:pPr>
        <w:ind w:firstLine="480"/>
      </w:pPr>
      <w:r>
        <w:t>（4）机械及汽车尾气</w:t>
      </w:r>
    </w:p>
    <w:p>
      <w:pPr>
        <w:ind w:firstLine="480"/>
      </w:pPr>
      <w:r>
        <w:t>项目建设施工中施工机械运行产生的废气、运输车辆运输产生的尾气均由柴油和汽油燃烧后所产生，为影响大气环境的主要污染物之一，其主要污染</w:t>
      </w:r>
      <w:r>
        <w:rPr>
          <w:rFonts w:hint="eastAsia"/>
          <w:lang w:eastAsia="zh-CN"/>
        </w:rPr>
        <w:t>成分</w:t>
      </w:r>
      <w:r>
        <w:t>是THC、CO和NOx，属无组织排放源。</w:t>
      </w:r>
    </w:p>
    <w:p>
      <w:pPr>
        <w:ind w:firstLine="482"/>
        <w:rPr>
          <w:b/>
          <w:bCs/>
        </w:rPr>
      </w:pPr>
      <w:r>
        <w:rPr>
          <w:b/>
          <w:bCs/>
        </w:rPr>
        <w:t>4.1.2.3 噪声污染源分析</w:t>
      </w:r>
    </w:p>
    <w:p>
      <w:pPr>
        <w:ind w:firstLine="480"/>
      </w:pPr>
      <w:r>
        <w:t>施工期噪声主要源自各种施工机械设备运行产生的噪声和运输车辆行驶时产生的噪声，主要施工机械及其噪声源强见表4.1-</w:t>
      </w:r>
      <w:r>
        <w:rPr>
          <w:rFonts w:hint="eastAsia"/>
          <w:lang w:val="en-US"/>
        </w:rPr>
        <w:t>2</w:t>
      </w:r>
      <w:r>
        <w:t>。</w:t>
      </w:r>
    </w:p>
    <w:p>
      <w:pPr>
        <w:pStyle w:val="19"/>
        <w:widowControl/>
        <w:spacing w:beforeAutospacing="0" w:afterAutospacing="0"/>
        <w:ind w:firstLine="482"/>
        <w:jc w:val="center"/>
        <w:rPr>
          <w:b/>
          <w:bCs/>
        </w:rPr>
      </w:pPr>
      <w:r>
        <w:rPr>
          <w:b/>
          <w:bCs/>
        </w:rPr>
        <w:t>表4.1-</w:t>
      </w:r>
      <w:r>
        <w:rPr>
          <w:rFonts w:hint="eastAsia"/>
          <w:b/>
          <w:bCs/>
        </w:rPr>
        <w:t>2</w:t>
      </w:r>
      <w:r>
        <w:rPr>
          <w:b/>
          <w:bCs/>
        </w:rPr>
        <w:t xml:space="preserve"> </w:t>
      </w:r>
      <w:r>
        <w:rPr>
          <w:rFonts w:hint="eastAsia"/>
          <w:b/>
          <w:bCs/>
        </w:rPr>
        <w:t xml:space="preserve"> </w:t>
      </w:r>
      <w:r>
        <w:rPr>
          <w:b/>
          <w:bCs/>
        </w:rPr>
        <w:t>本项目主要施工机械及其噪声源强</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2317"/>
        <w:gridCol w:w="2319"/>
        <w:gridCol w:w="2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pStyle w:val="30"/>
              <w:rPr>
                <w:rFonts w:hint="default"/>
              </w:rPr>
            </w:pPr>
            <w:r>
              <w:t>施工阶段</w:t>
            </w:r>
          </w:p>
        </w:tc>
        <w:tc>
          <w:tcPr>
            <w:tcW w:w="2376" w:type="dxa"/>
            <w:vAlign w:val="center"/>
          </w:tcPr>
          <w:p>
            <w:pPr>
              <w:pStyle w:val="30"/>
              <w:rPr>
                <w:rFonts w:hint="default"/>
              </w:rPr>
            </w:pPr>
            <w:r>
              <w:t>生源</w:t>
            </w:r>
          </w:p>
        </w:tc>
        <w:tc>
          <w:tcPr>
            <w:tcW w:w="2377" w:type="dxa"/>
            <w:vAlign w:val="center"/>
          </w:tcPr>
          <w:p>
            <w:pPr>
              <w:pStyle w:val="30"/>
              <w:rPr>
                <w:rFonts w:hint="default"/>
              </w:rPr>
            </w:pPr>
            <w:r>
              <w:t>测点距施工机械距离</w:t>
            </w:r>
          </w:p>
        </w:tc>
        <w:tc>
          <w:tcPr>
            <w:tcW w:w="2377" w:type="dxa"/>
            <w:vAlign w:val="center"/>
          </w:tcPr>
          <w:p>
            <w:pPr>
              <w:pStyle w:val="30"/>
              <w:rPr>
                <w:rFonts w:hint="default"/>
              </w:rPr>
            </w:pPr>
            <w:r>
              <w:t>最大声级dB（A）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vAlign w:val="center"/>
          </w:tcPr>
          <w:p>
            <w:pPr>
              <w:pStyle w:val="30"/>
              <w:rPr>
                <w:rFonts w:hint="default"/>
              </w:rPr>
            </w:pPr>
            <w:r>
              <w:t>土石方阶段</w:t>
            </w:r>
          </w:p>
        </w:tc>
        <w:tc>
          <w:tcPr>
            <w:tcW w:w="2376" w:type="dxa"/>
            <w:vAlign w:val="center"/>
          </w:tcPr>
          <w:p>
            <w:pPr>
              <w:pStyle w:val="30"/>
              <w:rPr>
                <w:rFonts w:hint="default"/>
              </w:rPr>
            </w:pPr>
            <w:r>
              <w:t>挖掘机</w:t>
            </w:r>
          </w:p>
        </w:tc>
        <w:tc>
          <w:tcPr>
            <w:tcW w:w="2377" w:type="dxa"/>
            <w:vAlign w:val="center"/>
          </w:tcPr>
          <w:p>
            <w:pPr>
              <w:pStyle w:val="30"/>
              <w:rPr>
                <w:rFonts w:hint="default"/>
              </w:rPr>
            </w:pPr>
            <w:r>
              <w:t>5m</w:t>
            </w:r>
          </w:p>
        </w:tc>
        <w:tc>
          <w:tcPr>
            <w:tcW w:w="2377" w:type="dxa"/>
            <w:vAlign w:val="center"/>
          </w:tcPr>
          <w:p>
            <w:pPr>
              <w:pStyle w:val="30"/>
              <w:rPr>
                <w:rFonts w:hint="default"/>
              </w:rPr>
            </w:pPr>
            <w: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破碎机</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空压机</w:t>
            </w:r>
          </w:p>
        </w:tc>
        <w:tc>
          <w:tcPr>
            <w:tcW w:w="2377" w:type="dxa"/>
            <w:vAlign w:val="center"/>
          </w:tcPr>
          <w:p>
            <w:pPr>
              <w:pStyle w:val="30"/>
              <w:rPr>
                <w:rFonts w:hint="default"/>
              </w:rPr>
            </w:pPr>
            <w:r>
              <w:t>5m</w:t>
            </w:r>
          </w:p>
        </w:tc>
        <w:tc>
          <w:tcPr>
            <w:tcW w:w="2377" w:type="dxa"/>
            <w:vAlign w:val="center"/>
          </w:tcPr>
          <w:p>
            <w:pPr>
              <w:pStyle w:val="30"/>
              <w:rPr>
                <w:rFonts w:hint="default"/>
              </w:rP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渣土车</w:t>
            </w:r>
          </w:p>
        </w:tc>
        <w:tc>
          <w:tcPr>
            <w:tcW w:w="2377" w:type="dxa"/>
            <w:vAlign w:val="center"/>
          </w:tcPr>
          <w:p>
            <w:pPr>
              <w:pStyle w:val="30"/>
              <w:rPr>
                <w:rFonts w:hint="default"/>
              </w:rPr>
            </w:pPr>
            <w:r>
              <w:t>5m</w:t>
            </w:r>
          </w:p>
        </w:tc>
        <w:tc>
          <w:tcPr>
            <w:tcW w:w="2377" w:type="dxa"/>
            <w:vAlign w:val="center"/>
          </w:tcPr>
          <w:p>
            <w:pPr>
              <w:pStyle w:val="30"/>
              <w:rPr>
                <w:rFonts w:hint="default"/>
              </w:rP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6" w:type="dxa"/>
            <w:vMerge w:val="restart"/>
            <w:vAlign w:val="center"/>
          </w:tcPr>
          <w:p>
            <w:pPr>
              <w:pStyle w:val="30"/>
              <w:rPr>
                <w:rFonts w:hint="default"/>
              </w:rPr>
            </w:pPr>
            <w:r>
              <w:t>结构阶段</w:t>
            </w:r>
          </w:p>
        </w:tc>
        <w:tc>
          <w:tcPr>
            <w:tcW w:w="2376" w:type="dxa"/>
            <w:vAlign w:val="center"/>
          </w:tcPr>
          <w:p>
            <w:pPr>
              <w:pStyle w:val="30"/>
              <w:rPr>
                <w:rFonts w:hint="default"/>
              </w:rPr>
            </w:pPr>
            <w:r>
              <w:t>混凝土输送泵</w:t>
            </w:r>
          </w:p>
        </w:tc>
        <w:tc>
          <w:tcPr>
            <w:tcW w:w="2377" w:type="dxa"/>
            <w:vAlign w:val="center"/>
          </w:tcPr>
          <w:p>
            <w:pPr>
              <w:pStyle w:val="30"/>
              <w:rPr>
                <w:rFonts w:hint="default"/>
              </w:rPr>
            </w:pPr>
            <w:r>
              <w:t>5m</w:t>
            </w:r>
          </w:p>
        </w:tc>
        <w:tc>
          <w:tcPr>
            <w:tcW w:w="2377" w:type="dxa"/>
            <w:vAlign w:val="center"/>
          </w:tcPr>
          <w:p>
            <w:pPr>
              <w:pStyle w:val="30"/>
              <w:rPr>
                <w:rFonts w:hint="default"/>
              </w:rP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振捣机</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电锯</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升降机</w:t>
            </w:r>
          </w:p>
        </w:tc>
        <w:tc>
          <w:tcPr>
            <w:tcW w:w="2377" w:type="dxa"/>
            <w:vAlign w:val="center"/>
          </w:tcPr>
          <w:p>
            <w:pPr>
              <w:pStyle w:val="30"/>
              <w:rPr>
                <w:rFonts w:hint="default"/>
              </w:rPr>
            </w:pPr>
            <w:r>
              <w:t>5m</w:t>
            </w:r>
          </w:p>
        </w:tc>
        <w:tc>
          <w:tcPr>
            <w:tcW w:w="2377" w:type="dxa"/>
            <w:vAlign w:val="center"/>
          </w:tcPr>
          <w:p>
            <w:pPr>
              <w:pStyle w:val="30"/>
              <w:rPr>
                <w:rFonts w:hint="default"/>
              </w:rPr>
            </w:pPr>
            <w: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混凝土运输车</w:t>
            </w:r>
          </w:p>
        </w:tc>
        <w:tc>
          <w:tcPr>
            <w:tcW w:w="2377" w:type="dxa"/>
            <w:vAlign w:val="center"/>
          </w:tcPr>
          <w:p>
            <w:pPr>
              <w:pStyle w:val="30"/>
              <w:rPr>
                <w:rFonts w:hint="default"/>
              </w:rPr>
            </w:pPr>
            <w:r>
              <w:t>5m</w:t>
            </w:r>
          </w:p>
        </w:tc>
        <w:tc>
          <w:tcPr>
            <w:tcW w:w="2377" w:type="dxa"/>
            <w:vAlign w:val="center"/>
          </w:tcPr>
          <w:p>
            <w:pPr>
              <w:pStyle w:val="30"/>
              <w:rPr>
                <w:rFonts w:hint="default"/>
              </w:rP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restart"/>
            <w:vAlign w:val="center"/>
          </w:tcPr>
          <w:p>
            <w:pPr>
              <w:pStyle w:val="30"/>
              <w:rPr>
                <w:rFonts w:hint="default"/>
              </w:rPr>
            </w:pPr>
            <w:r>
              <w:t>装修、安装阶段</w:t>
            </w:r>
          </w:p>
        </w:tc>
        <w:tc>
          <w:tcPr>
            <w:tcW w:w="2376" w:type="dxa"/>
            <w:vAlign w:val="center"/>
          </w:tcPr>
          <w:p>
            <w:pPr>
              <w:pStyle w:val="30"/>
              <w:rPr>
                <w:rFonts w:hint="default"/>
              </w:rPr>
            </w:pPr>
            <w:r>
              <w:t>电钻</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电锤</w:t>
            </w:r>
          </w:p>
        </w:tc>
        <w:tc>
          <w:tcPr>
            <w:tcW w:w="2377" w:type="dxa"/>
            <w:vAlign w:val="center"/>
          </w:tcPr>
          <w:p>
            <w:pPr>
              <w:pStyle w:val="30"/>
              <w:rPr>
                <w:rFonts w:hint="default"/>
              </w:rPr>
            </w:pPr>
            <w:r>
              <w:t>5m</w:t>
            </w:r>
          </w:p>
        </w:tc>
        <w:tc>
          <w:tcPr>
            <w:tcW w:w="2377" w:type="dxa"/>
            <w:vAlign w:val="center"/>
          </w:tcPr>
          <w:p>
            <w:pPr>
              <w:pStyle w:val="30"/>
              <w:rPr>
                <w:rFonts w:hint="default"/>
              </w:rPr>
            </w:pPr>
            <w: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电焊</w:t>
            </w:r>
          </w:p>
        </w:tc>
        <w:tc>
          <w:tcPr>
            <w:tcW w:w="2377" w:type="dxa"/>
            <w:vAlign w:val="center"/>
          </w:tcPr>
          <w:p>
            <w:pPr>
              <w:pStyle w:val="30"/>
              <w:rPr>
                <w:rFonts w:hint="default"/>
              </w:rPr>
            </w:pPr>
            <w:r>
              <w:t>5m</w:t>
            </w:r>
          </w:p>
        </w:tc>
        <w:tc>
          <w:tcPr>
            <w:tcW w:w="2377" w:type="dxa"/>
            <w:vAlign w:val="center"/>
          </w:tcPr>
          <w:p>
            <w:pPr>
              <w:pStyle w:val="30"/>
              <w:rPr>
                <w:rFonts w:hint="default"/>
              </w:rP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吊管机</w:t>
            </w:r>
          </w:p>
        </w:tc>
        <w:tc>
          <w:tcPr>
            <w:tcW w:w="2377" w:type="dxa"/>
            <w:vAlign w:val="center"/>
          </w:tcPr>
          <w:p>
            <w:pPr>
              <w:pStyle w:val="30"/>
              <w:rPr>
                <w:rFonts w:hint="default"/>
              </w:rPr>
            </w:pPr>
            <w:r>
              <w:t>5m</w:t>
            </w:r>
          </w:p>
        </w:tc>
        <w:tc>
          <w:tcPr>
            <w:tcW w:w="2377" w:type="dxa"/>
            <w:vAlign w:val="center"/>
          </w:tcPr>
          <w:p>
            <w:pPr>
              <w:pStyle w:val="30"/>
              <w:rPr>
                <w:rFonts w:hint="default"/>
              </w:rP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多功能木工刨</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Merge w:val="continue"/>
            <w:vAlign w:val="center"/>
          </w:tcPr>
          <w:p>
            <w:pPr>
              <w:pStyle w:val="30"/>
              <w:rPr>
                <w:rFonts w:hint="default"/>
              </w:rPr>
            </w:pPr>
          </w:p>
        </w:tc>
        <w:tc>
          <w:tcPr>
            <w:tcW w:w="2376" w:type="dxa"/>
            <w:vAlign w:val="center"/>
          </w:tcPr>
          <w:p>
            <w:pPr>
              <w:pStyle w:val="30"/>
              <w:rPr>
                <w:rFonts w:hint="default"/>
              </w:rPr>
            </w:pPr>
            <w:r>
              <w:t>角向磨光机</w:t>
            </w:r>
          </w:p>
        </w:tc>
        <w:tc>
          <w:tcPr>
            <w:tcW w:w="2377" w:type="dxa"/>
            <w:vAlign w:val="center"/>
          </w:tcPr>
          <w:p>
            <w:pPr>
              <w:pStyle w:val="30"/>
              <w:rPr>
                <w:rFonts w:hint="default"/>
              </w:rPr>
            </w:pPr>
            <w:r>
              <w:t>5m</w:t>
            </w:r>
          </w:p>
        </w:tc>
        <w:tc>
          <w:tcPr>
            <w:tcW w:w="2377" w:type="dxa"/>
            <w:vAlign w:val="center"/>
          </w:tcPr>
          <w:p>
            <w:pPr>
              <w:pStyle w:val="30"/>
              <w:rPr>
                <w:rFonts w:hint="default"/>
              </w:rPr>
            </w:pPr>
            <w:r>
              <w:t>90</w:t>
            </w:r>
          </w:p>
        </w:tc>
      </w:tr>
    </w:tbl>
    <w:p>
      <w:pPr>
        <w:pStyle w:val="19"/>
        <w:widowControl/>
        <w:spacing w:beforeAutospacing="0" w:afterAutospacing="0"/>
        <w:ind w:firstLine="482"/>
        <w:jc w:val="both"/>
        <w:rPr>
          <w:b/>
          <w:bCs/>
        </w:rPr>
      </w:pPr>
      <w:r>
        <w:rPr>
          <w:b/>
          <w:bCs/>
        </w:rPr>
        <w:t>4.1.2.4 固体废物污染源分析</w:t>
      </w:r>
    </w:p>
    <w:p>
      <w:pPr>
        <w:ind w:firstLine="480"/>
      </w:pPr>
      <w:r>
        <w:t>施工过程中产生的固体废物主要为开挖弃方、建筑垃圾和施工人员生活垃圾。</w:t>
      </w:r>
    </w:p>
    <w:p>
      <w:pPr>
        <w:ind w:firstLine="480"/>
      </w:pPr>
      <w:r>
        <w:t>（1）弃方</w:t>
      </w:r>
    </w:p>
    <w:p>
      <w:pPr>
        <w:ind w:firstLine="480"/>
      </w:pPr>
      <w:r>
        <w:t>项目挖方量</w:t>
      </w:r>
      <w:r>
        <w:rPr>
          <w:rFonts w:hint="eastAsia"/>
          <w:lang w:val="en-US" w:eastAsia="zh-CN"/>
        </w:rPr>
        <w:t>40</w:t>
      </w:r>
      <w:r>
        <w:t>000m</w:t>
      </w:r>
      <w:r>
        <w:rPr>
          <w:rFonts w:hint="eastAsia"/>
          <w:vertAlign w:val="superscript"/>
          <w:lang w:val="en-US"/>
        </w:rPr>
        <w:t>3</w:t>
      </w:r>
      <w:r>
        <w:t>，填方量</w:t>
      </w:r>
      <w:r>
        <w:rPr>
          <w:rFonts w:hint="eastAsia"/>
          <w:lang w:val="en-US" w:eastAsia="zh-CN"/>
        </w:rPr>
        <w:t>240</w:t>
      </w:r>
      <w:r>
        <w:t>00m</w:t>
      </w:r>
      <w:r>
        <w:rPr>
          <w:rFonts w:hint="eastAsia"/>
          <w:vertAlign w:val="superscript"/>
          <w:lang w:val="en-US"/>
        </w:rPr>
        <w:t>3</w:t>
      </w:r>
      <w:r>
        <w:t>，弃方量为</w:t>
      </w:r>
      <w:r>
        <w:rPr>
          <w:rFonts w:hint="eastAsia"/>
          <w:lang w:val="en-US" w:eastAsia="zh-CN"/>
        </w:rPr>
        <w:t>16000</w:t>
      </w:r>
      <w:r>
        <w:t>m</w:t>
      </w:r>
      <w:r>
        <w:rPr>
          <w:rFonts w:hint="eastAsia"/>
          <w:vertAlign w:val="superscript"/>
          <w:lang w:val="en-US"/>
        </w:rPr>
        <w:t>3</w:t>
      </w:r>
      <w:r>
        <w:t>，产生的弃方交由</w:t>
      </w:r>
      <w:r>
        <w:rPr>
          <w:rFonts w:hint="eastAsia"/>
          <w:lang w:eastAsia="zh-CN"/>
        </w:rPr>
        <w:t>叶县</w:t>
      </w:r>
      <w:r>
        <w:t>渣土办统一运输、处理。</w:t>
      </w:r>
    </w:p>
    <w:p>
      <w:pPr>
        <w:ind w:firstLine="480"/>
      </w:pPr>
      <w:r>
        <w:t>（2）建筑垃圾</w:t>
      </w:r>
    </w:p>
    <w:p>
      <w:pPr>
        <w:ind w:firstLine="480"/>
      </w:pPr>
      <w:r>
        <w:t>建筑垃圾包括一部分建筑模块、建筑材料下脚料、断残钢筋头、破钢管、包装袋等，建筑工程施工过程产生的建筑垃圾按0.05t</w:t>
      </w:r>
      <w:r>
        <w:rPr>
          <w:rFonts w:hint="eastAsia"/>
          <w:lang w:val="en-US"/>
        </w:rPr>
        <w:t>/</w:t>
      </w:r>
      <w:r>
        <w:t>m</w:t>
      </w:r>
      <w:r>
        <w:rPr>
          <w:rFonts w:hint="eastAsia"/>
          <w:vertAlign w:val="superscript"/>
          <w:lang w:val="en-US"/>
        </w:rPr>
        <w:t>2</w:t>
      </w:r>
      <w:r>
        <w:t>计，项目</w:t>
      </w:r>
      <w:r>
        <w:rPr>
          <w:rFonts w:hint="eastAsia"/>
          <w:lang w:eastAsia="zh-CN"/>
        </w:rPr>
        <w:t>新建及改造现有厂房</w:t>
      </w:r>
      <w:r>
        <w:t>建筑面积为</w:t>
      </w:r>
      <w:r>
        <w:rPr>
          <w:rFonts w:hint="eastAsia"/>
          <w:lang w:val="en-US" w:eastAsia="zh-CN"/>
        </w:rPr>
        <w:t>20000</w:t>
      </w:r>
      <w:r>
        <w:t>m</w:t>
      </w:r>
      <w:r>
        <w:rPr>
          <w:rFonts w:hint="eastAsia"/>
          <w:vertAlign w:val="superscript"/>
          <w:lang w:val="en-US"/>
        </w:rPr>
        <w:t>2</w:t>
      </w:r>
      <w:r>
        <w:t>，则将产生建筑垃圾约</w:t>
      </w:r>
      <w:r>
        <w:rPr>
          <w:rFonts w:hint="eastAsia"/>
          <w:lang w:val="en-US" w:eastAsia="zh-CN"/>
        </w:rPr>
        <w:t>1000</w:t>
      </w:r>
      <w:r>
        <w:t>t，可再生利用部分回收利用，余下部分按城市建设主管部门的规定，运到指定地点妥善处置。</w:t>
      </w:r>
    </w:p>
    <w:p>
      <w:pPr>
        <w:ind w:firstLine="480"/>
      </w:pPr>
      <w:r>
        <w:t>（3）生活垃圾</w:t>
      </w:r>
    </w:p>
    <w:p>
      <w:pPr>
        <w:ind w:firstLine="480"/>
      </w:pPr>
      <w:r>
        <w:t>现场施工人员约</w:t>
      </w:r>
      <w:r>
        <w:rPr>
          <w:rFonts w:hint="eastAsia"/>
          <w:lang w:val="en-US" w:eastAsia="zh-CN"/>
        </w:rPr>
        <w:t>20</w:t>
      </w:r>
      <w:r>
        <w:t>，按每人产生垃圾量0.5kg/d计算，施工人员产生的生活垃圾约为</w:t>
      </w:r>
      <w:r>
        <w:rPr>
          <w:rFonts w:hint="eastAsia"/>
          <w:lang w:val="en-US" w:eastAsia="zh-CN"/>
        </w:rPr>
        <w:t>10</w:t>
      </w:r>
      <w:r>
        <w:t>kg/d，生活垃圾统一收集后，委托环卫部门统一清运处置。</w:t>
      </w:r>
    </w:p>
    <w:p>
      <w:pPr>
        <w:ind w:firstLine="482"/>
        <w:rPr>
          <w:b/>
          <w:bCs/>
        </w:rPr>
      </w:pPr>
      <w:r>
        <w:rPr>
          <w:b/>
          <w:bCs/>
        </w:rPr>
        <w:t>4.1.2.5 生态环境</w:t>
      </w:r>
    </w:p>
    <w:p>
      <w:pPr>
        <w:ind w:firstLine="480"/>
      </w:pPr>
      <w:r>
        <w:t>施工期主要生态影响为占地影响、植被损失、动物惊扰和水土流失。</w:t>
      </w:r>
    </w:p>
    <w:p>
      <w:pPr>
        <w:ind w:firstLine="480"/>
      </w:pPr>
      <w:r>
        <w:t>（1）占地</w:t>
      </w:r>
      <w:r>
        <w:rPr>
          <w:rFonts w:hint="eastAsia"/>
        </w:rPr>
        <w:t>：</w:t>
      </w:r>
      <w:r>
        <w:t>项目占地导致土壤养分损失及生物量损失。</w:t>
      </w:r>
    </w:p>
    <w:p>
      <w:pPr>
        <w:ind w:firstLine="480"/>
      </w:pPr>
      <w:r>
        <w:t>（2）植物</w:t>
      </w:r>
      <w:r>
        <w:rPr>
          <w:rFonts w:hint="eastAsia"/>
        </w:rPr>
        <w:t>：</w:t>
      </w:r>
      <w:r>
        <w:t>施工期间对原有地表植被的扰动，造成一定的破坏，破坏的植被主要为香樟，竹子等，无珍稀保护植物。施工期产生的各项污染物影响周边植物生长</w:t>
      </w:r>
      <w:r>
        <w:rPr>
          <w:rFonts w:hint="eastAsia"/>
        </w:rPr>
        <w:t>；</w:t>
      </w:r>
      <w:r>
        <w:t>同时施工人员人为活动对周边植被造成破坏。</w:t>
      </w:r>
    </w:p>
    <w:p>
      <w:pPr>
        <w:ind w:firstLine="480"/>
      </w:pPr>
      <w:r>
        <w:t>（3）动物</w:t>
      </w:r>
      <w:r>
        <w:rPr>
          <w:rFonts w:hint="eastAsia"/>
        </w:rPr>
        <w:t>：</w:t>
      </w:r>
      <w:r>
        <w:t>受施工噪声的影响，惊扰了动物的生境。</w:t>
      </w:r>
    </w:p>
    <w:p>
      <w:pPr>
        <w:ind w:firstLine="480"/>
      </w:pPr>
      <w:r>
        <w:t>（4）景观</w:t>
      </w:r>
      <w:r>
        <w:rPr>
          <w:rFonts w:hint="eastAsia"/>
        </w:rPr>
        <w:t>：</w:t>
      </w:r>
      <w:r>
        <w:t>施工过程土石堆置、施工机械、护栏围布等，对景观有一定的影响。</w:t>
      </w:r>
    </w:p>
    <w:p>
      <w:pPr>
        <w:ind w:firstLine="480"/>
      </w:pPr>
      <w:r>
        <w:t>（5）水土流失</w:t>
      </w:r>
    </w:p>
    <w:p>
      <w:pPr>
        <w:ind w:firstLine="480"/>
      </w:pPr>
      <w:r>
        <w:t>项目土地平整过程将清理地表植被，使表土裸露，土壤抗蚀能力降低。裸露的土壤极易被降雨径流冲刷而产生水土流失，特别是暴雨时冲刷更为严重。</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lang w:val="en-US"/>
        </w:rPr>
      </w:pPr>
      <w:bookmarkStart w:id="66" w:name="_Toc948"/>
      <w:bookmarkStart w:id="67" w:name="_Toc4791"/>
      <w:bookmarkStart w:id="68" w:name="_Toc15843"/>
      <w:bookmarkStart w:id="69" w:name="_Toc8576"/>
      <w:r>
        <w:rPr>
          <w:rFonts w:hint="eastAsia" w:ascii="Times New Roman" w:hAnsi="Times New Roman"/>
          <w:lang w:val="en-US"/>
        </w:rPr>
        <w:t>4.2 项目运营期产污环节</w:t>
      </w:r>
      <w:bookmarkEnd w:id="66"/>
      <w:bookmarkEnd w:id="67"/>
      <w:bookmarkEnd w:id="68"/>
      <w:bookmarkEnd w:id="69"/>
    </w:p>
    <w:p>
      <w:pPr>
        <w:pStyle w:val="19"/>
        <w:keepNext w:val="0"/>
        <w:keepLines w:val="0"/>
        <w:widowControl/>
        <w:suppressLineNumbers w:val="0"/>
        <w:spacing w:before="0" w:beforeAutospacing="0" w:after="0" w:afterAutospacing="0"/>
        <w:ind w:left="0" w:right="0" w:firstLine="0"/>
      </w:pPr>
      <w:r>
        <w:t>本项目</w:t>
      </w:r>
      <w:r>
        <w:rPr>
          <w:rFonts w:hint="eastAsia"/>
          <w:lang w:eastAsia="zh-CN"/>
        </w:rPr>
        <w:t>处置废旧塑料</w:t>
      </w:r>
      <w:r>
        <w:t>6000t/a。本项目工艺流程较为简单，主要包括破碎、清洗、造粒和</w:t>
      </w:r>
      <w:r>
        <w:rPr>
          <w:rFonts w:hint="eastAsia"/>
          <w:lang w:eastAsia="zh-CN"/>
        </w:rPr>
        <w:t>注塑</w:t>
      </w:r>
      <w:r>
        <w:t>。运营期工步流程及产排污环节图见图</w:t>
      </w:r>
      <w:r>
        <w:rPr>
          <w:rFonts w:hint="eastAsia"/>
          <w:lang w:val="en-US" w:eastAsia="zh-CN"/>
        </w:rPr>
        <w:t>4.2</w:t>
      </w:r>
      <w:r>
        <w:t>-1。</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lang w:eastAsia="zh-CN"/>
        </w:rPr>
      </w:pPr>
      <w:r>
        <w:drawing>
          <wp:inline distT="0" distB="0" distL="114300" distR="114300">
            <wp:extent cx="5700395" cy="3472180"/>
            <wp:effectExtent l="0" t="0" r="14605" b="13970"/>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31"/>
                    <a:stretch>
                      <a:fillRect/>
                    </a:stretch>
                  </pic:blipFill>
                  <pic:spPr>
                    <a:xfrm>
                      <a:off x="0" y="0"/>
                      <a:ext cx="5700395" cy="3472180"/>
                    </a:xfrm>
                    <a:prstGeom prst="rect">
                      <a:avLst/>
                    </a:prstGeom>
                    <a:noFill/>
                    <a:ln>
                      <a:noFill/>
                    </a:ln>
                  </pic:spPr>
                </pic:pic>
              </a:graphicData>
            </a:graphic>
          </wp:inline>
        </w:drawing>
      </w:r>
    </w:p>
    <w:p>
      <w:pPr>
        <w:pStyle w:val="19"/>
        <w:widowControl/>
        <w:spacing w:beforeAutospacing="0" w:afterAutospacing="0"/>
        <w:ind w:firstLine="482"/>
        <w:jc w:val="center"/>
        <w:rPr>
          <w:b/>
          <w:bCs/>
        </w:rPr>
      </w:pPr>
      <w:r>
        <w:rPr>
          <w:rFonts w:hint="eastAsia"/>
          <w:b/>
          <w:bCs/>
        </w:rPr>
        <w:t>图4.2-1  项目</w:t>
      </w:r>
      <w:r>
        <w:rPr>
          <w:rFonts w:hint="eastAsia"/>
          <w:b/>
          <w:bCs/>
          <w:lang w:eastAsia="zh-CN"/>
        </w:rPr>
        <w:t>工艺流程</w:t>
      </w:r>
      <w:r>
        <w:rPr>
          <w:rFonts w:hint="eastAsia"/>
          <w:b/>
          <w:bCs/>
        </w:rPr>
        <w:t>及产污环节图</w:t>
      </w:r>
    </w:p>
    <w:p>
      <w:pPr>
        <w:pStyle w:val="19"/>
        <w:keepNext w:val="0"/>
        <w:keepLines w:val="0"/>
        <w:widowControl/>
        <w:suppressLineNumbers w:val="0"/>
        <w:spacing w:before="0" w:beforeAutospacing="0" w:after="0" w:afterAutospacing="0"/>
        <w:ind w:left="0" w:right="0" w:firstLine="0"/>
      </w:pPr>
      <w:r>
        <w:rPr>
          <w:rFonts w:hint="eastAsia"/>
          <w:lang w:eastAsia="zh-CN"/>
        </w:rPr>
        <w:t>（</w:t>
      </w:r>
      <w:r>
        <w:rPr>
          <w:rFonts w:hint="eastAsia"/>
          <w:lang w:val="en-US" w:eastAsia="zh-CN"/>
        </w:rPr>
        <w:t>1）人工分拣</w:t>
      </w:r>
      <w:r>
        <w:rPr>
          <w:rFonts w:hint="eastAsia"/>
          <w:lang w:eastAsia="zh-CN"/>
        </w:rPr>
        <w:t>：</w:t>
      </w:r>
      <w:r>
        <w:t>项目使用的原料主要是废旧塑料，购进的原料已经经过初步的分拣，但由于原料在运输过程中</w:t>
      </w:r>
      <w:r>
        <w:rPr>
          <w:rFonts w:hint="eastAsia"/>
          <w:lang w:eastAsia="zh-CN"/>
        </w:rPr>
        <w:t>不可避免地会</w:t>
      </w:r>
      <w:r>
        <w:t>出现包装破损等现象，掺杂少量的碎石、碎包装布等，因此购进的原料在使用前再次经过</w:t>
      </w:r>
      <w:r>
        <w:rPr>
          <w:rFonts w:hint="eastAsia"/>
          <w:lang w:eastAsia="zh-CN"/>
        </w:rPr>
        <w:t>人工</w:t>
      </w:r>
      <w:r>
        <w:t>，将其中掺杂的少量的碎石、碎包装布等杂物</w:t>
      </w:r>
      <w:r>
        <w:rPr>
          <w:rFonts w:hint="eastAsia"/>
          <w:lang w:eastAsia="zh-CN"/>
        </w:rPr>
        <w:t>筛分</w:t>
      </w:r>
      <w:r>
        <w:t>出来，这个过程产生固体废物S1。杂质的产生量约为原料量的0.5%，主要成分为石块、纸张、其他种类塑料等，属于一般废物。收集后作为废物出售。同时原料拆包产生的废包装袋S2，属于一般工业固体废物，收集作为废物出售。</w:t>
      </w:r>
    </w:p>
    <w:p>
      <w:pPr>
        <w:pStyle w:val="19"/>
        <w:keepNext w:val="0"/>
        <w:keepLines w:val="0"/>
        <w:widowControl/>
        <w:suppressLineNumbers w:val="0"/>
        <w:spacing w:before="0" w:beforeAutospacing="0" w:after="0" w:afterAutospacing="0"/>
        <w:ind w:left="0" w:right="0" w:firstLine="0"/>
        <w:jc w:val="both"/>
        <w:rPr>
          <w:rFonts w:hint="eastAsia"/>
          <w:lang w:eastAsia="zh-CN"/>
        </w:rPr>
      </w:pPr>
      <w:r>
        <w:rPr>
          <w:rFonts w:hint="eastAsia"/>
          <w:lang w:val="en-US" w:eastAsia="zh-CN"/>
        </w:rPr>
        <w:t>（2）破碎：</w:t>
      </w:r>
      <w:r>
        <w:t>经过分拣之后的原料送入粉碎机中进行粉碎，将废旧塑料粉碎成料片，在这个过程中产生含尘废气</w:t>
      </w:r>
      <w:r>
        <w:rPr>
          <w:rFonts w:hint="eastAsia"/>
          <w:lang w:eastAsia="zh-CN"/>
        </w:rPr>
        <w:t>和噪声</w:t>
      </w:r>
      <w:r>
        <w:t>。项目在粉碎</w:t>
      </w:r>
      <w:r>
        <w:rPr>
          <w:rFonts w:hint="eastAsia"/>
          <w:lang w:eastAsia="zh-CN"/>
        </w:rPr>
        <w:t>车间设置微负压收集系统</w:t>
      </w:r>
      <w:r>
        <w:t>，收集的废气经过布袋除尘器收集处理后经过15米排气筒高空排放，未经收集的废气以无组织排放的形式逸散到周围的空气中，产生无组织排放废气</w:t>
      </w:r>
      <w:r>
        <w:rPr>
          <w:rFonts w:hint="eastAsia"/>
          <w:lang w:eastAsia="zh-CN"/>
        </w:rPr>
        <w:t>。</w:t>
      </w:r>
    </w:p>
    <w:p>
      <w:pPr>
        <w:pStyle w:val="19"/>
        <w:keepNext w:val="0"/>
        <w:keepLines w:val="0"/>
        <w:widowControl/>
        <w:suppressLineNumbers w:val="0"/>
        <w:spacing w:before="0" w:beforeAutospacing="0" w:after="0" w:afterAutospacing="0"/>
        <w:ind w:left="0" w:right="0" w:firstLine="0"/>
      </w:pPr>
      <w:r>
        <w:rPr>
          <w:rFonts w:hint="eastAsia"/>
          <w:lang w:eastAsia="zh-CN"/>
        </w:rPr>
        <w:t>（</w:t>
      </w:r>
      <w:r>
        <w:rPr>
          <w:rFonts w:hint="eastAsia"/>
          <w:lang w:val="en-US" w:eastAsia="zh-CN"/>
        </w:rPr>
        <w:t>3）清洗、浮选：</w:t>
      </w:r>
      <w:r>
        <w:t>原料在清洗</w:t>
      </w:r>
      <w:r>
        <w:rPr>
          <w:rFonts w:hint="eastAsia"/>
          <w:lang w:eastAsia="zh-CN"/>
        </w:rPr>
        <w:t>罐</w:t>
      </w:r>
      <w:r>
        <w:t>内经拨料器拨动前行并不断进行洁洗，</w:t>
      </w:r>
      <w:r>
        <w:rPr>
          <w:rFonts w:hint="eastAsia"/>
          <w:lang w:eastAsia="zh-CN"/>
        </w:rPr>
        <w:t>由于</w:t>
      </w:r>
      <w:r>
        <w:rPr>
          <w:rFonts w:hint="eastAsia"/>
          <w:lang w:val="en-US" w:eastAsia="zh-CN"/>
        </w:rPr>
        <w:t>ABS塑料密度在1.04~1.06g/cm</w:t>
      </w:r>
      <w:r>
        <w:rPr>
          <w:rFonts w:hint="eastAsia"/>
          <w:vertAlign w:val="superscript"/>
          <w:lang w:val="en-US" w:eastAsia="zh-CN"/>
        </w:rPr>
        <w:t>3</w:t>
      </w:r>
      <w:r>
        <w:rPr>
          <w:rFonts w:hint="eastAsia"/>
          <w:lang w:val="en-US" w:eastAsia="zh-CN"/>
        </w:rPr>
        <w:t>，PS塑料密度约为1.05g/cm</w:t>
      </w:r>
      <w:r>
        <w:rPr>
          <w:rFonts w:hint="eastAsia"/>
          <w:vertAlign w:val="superscript"/>
          <w:lang w:val="en-US" w:eastAsia="zh-CN"/>
        </w:rPr>
        <w:t>3</w:t>
      </w:r>
      <w:r>
        <w:rPr>
          <w:rFonts w:hint="eastAsia"/>
          <w:vertAlign w:val="baseline"/>
          <w:lang w:val="en-US" w:eastAsia="zh-CN"/>
        </w:rPr>
        <w:t>，</w:t>
      </w:r>
      <w:r>
        <w:rPr>
          <w:rFonts w:hint="eastAsia"/>
          <w:lang w:eastAsia="zh-CN"/>
        </w:rPr>
        <w:t>清洗罐内添加工业氯化钠控制清洗水密度，以此浮选出</w:t>
      </w:r>
      <w:r>
        <w:rPr>
          <w:rFonts w:hint="eastAsia"/>
          <w:lang w:val="en-US" w:eastAsia="zh-CN"/>
        </w:rPr>
        <w:t>PS和ABS废料，</w:t>
      </w:r>
      <w:r>
        <w:t>清洗后的原料经过</w:t>
      </w:r>
      <w:r>
        <w:rPr>
          <w:rFonts w:hint="eastAsia"/>
          <w:lang w:eastAsia="zh-CN"/>
        </w:rPr>
        <w:t>脱水机进行脱水</w:t>
      </w:r>
      <w:r>
        <w:t>。废水中主要污染物为悬浮物，此过程中产生废水</w:t>
      </w:r>
      <w:r>
        <w:rPr>
          <w:rFonts w:hint="eastAsia"/>
          <w:lang w:eastAsia="zh-CN"/>
        </w:rPr>
        <w:t>，</w:t>
      </w:r>
      <w:r>
        <w:t>经项目</w:t>
      </w:r>
      <w:r>
        <w:rPr>
          <w:rFonts w:hint="eastAsia"/>
          <w:lang w:eastAsia="zh-CN"/>
        </w:rPr>
        <w:t>自建</w:t>
      </w:r>
      <w:r>
        <w:t>污水处理设施处理后</w:t>
      </w:r>
      <w:r>
        <w:rPr>
          <w:rFonts w:hint="eastAsia"/>
          <w:lang w:eastAsia="zh-CN"/>
        </w:rPr>
        <w:t>循环</w:t>
      </w:r>
      <w:r>
        <w:t>使用。清洗废水损耗后定期补充，损耗水主要包括物料带走、蒸发损耗以及随污水处理</w:t>
      </w:r>
      <w:r>
        <w:rPr>
          <w:rFonts w:hint="eastAsia"/>
          <w:lang w:eastAsia="zh-CN"/>
        </w:rPr>
        <w:t>设施</w:t>
      </w:r>
      <w:r>
        <w:t>产生的污泥</w:t>
      </w:r>
      <w:r>
        <w:rPr>
          <w:rFonts w:hint="eastAsia"/>
          <w:lang w:eastAsia="zh-CN"/>
        </w:rPr>
        <w:t>带走</w:t>
      </w:r>
      <w:r>
        <w:t>。</w:t>
      </w:r>
      <w:r>
        <w:rPr>
          <w:rFonts w:hint="eastAsia"/>
          <w:lang w:eastAsia="zh-CN"/>
        </w:rPr>
        <w:t>其中</w:t>
      </w:r>
      <w:r>
        <w:t>随物料带走部分在后续造粒定过程中蒸发损托，随污泥带走部分随生活垃圾一同处理。这个过程产生废物。这部分废物主要成分为气浮产生的污泥，为一般工业固体废物。收集后卫生填埋处理。</w:t>
      </w:r>
    </w:p>
    <w:p>
      <w:pPr>
        <w:pStyle w:val="19"/>
        <w:keepNext w:val="0"/>
        <w:keepLines w:val="0"/>
        <w:widowControl/>
        <w:suppressLineNumbers w:val="0"/>
        <w:spacing w:before="0" w:beforeAutospacing="0" w:after="0" w:afterAutospacing="0"/>
        <w:ind w:left="0" w:right="0" w:firstLine="0"/>
        <w:rPr>
          <w:rFonts w:hint="eastAsia" w:eastAsia="宋体"/>
          <w:lang w:eastAsia="zh-CN"/>
        </w:rPr>
      </w:pPr>
      <w:r>
        <w:rPr>
          <w:rFonts w:hint="eastAsia"/>
          <w:lang w:eastAsia="zh-CN"/>
        </w:rPr>
        <w:t>（</w:t>
      </w:r>
      <w:r>
        <w:rPr>
          <w:rFonts w:hint="eastAsia"/>
          <w:lang w:val="en-US" w:eastAsia="zh-CN"/>
        </w:rPr>
        <w:t>4</w:t>
      </w:r>
      <w:r>
        <w:rPr>
          <w:rFonts w:hint="eastAsia"/>
          <w:lang w:eastAsia="zh-CN"/>
        </w:rPr>
        <w:t>）脱水、晾干：此过程是将浮选后的原料利用脱水机进行脱水，脱水完成后经短暂晾晒即可作为备用料进入下一步生产。此过程产生废水</w:t>
      </w:r>
      <w:r>
        <w:rPr>
          <w:rFonts w:hint="eastAsia"/>
          <w:lang w:val="en-US" w:eastAsia="zh-CN"/>
        </w:rPr>
        <w:t>W1</w:t>
      </w:r>
      <w:r>
        <w:rPr>
          <w:rFonts w:hint="eastAsia"/>
          <w:lang w:eastAsia="zh-CN"/>
        </w:rPr>
        <w:t>。</w:t>
      </w:r>
    </w:p>
    <w:p>
      <w:pPr>
        <w:pStyle w:val="19"/>
        <w:keepNext w:val="0"/>
        <w:keepLines w:val="0"/>
        <w:widowControl/>
        <w:suppressLineNumbers w:val="0"/>
        <w:spacing w:before="0" w:beforeAutospacing="0" w:after="0" w:afterAutospacing="0"/>
        <w:ind w:left="0" w:right="0" w:firstLine="0"/>
        <w:jc w:val="both"/>
        <w:rPr>
          <w:rFonts w:hint="eastAsia"/>
          <w:u w:val="single"/>
          <w:lang w:val="en-US" w:eastAsia="zh-CN"/>
        </w:rPr>
      </w:pPr>
      <w:r>
        <w:rPr>
          <w:rFonts w:hint="eastAsia"/>
          <w:u w:val="single"/>
          <w:lang w:val="en-US" w:eastAsia="zh-CN"/>
        </w:rPr>
        <w:t>（4）静电分离：将ABS和PS的废塑料使用静电分离机进行筛选。其原理就是利用不同塑料材质的导电性能差异进行分选，</w:t>
      </w:r>
      <w:r>
        <w:rPr>
          <w:rFonts w:ascii="宋体" w:hAnsi="宋体" w:eastAsia="宋体" w:cs="宋体"/>
          <w:sz w:val="24"/>
          <w:szCs w:val="24"/>
          <w:u w:val="single"/>
        </w:rPr>
        <w:t>非导体材料受电后，由于其导电性能差，吸附在旋转辊筒表面，随着辊筒转到后面被毛刷扫下落到非导体接料斗中。其中一部分导体和非导体物料由于辊筒转速、设备挡板调节远近、物料颗粒大小及受电多少等不同原因掉入中料接料斗中，进入上料机再次进入下料装置中进行分选。</w:t>
      </w:r>
      <w:r>
        <w:rPr>
          <w:rFonts w:hint="eastAsia"/>
          <w:u w:val="single"/>
          <w:lang w:val="en-US" w:eastAsia="zh-CN"/>
        </w:rPr>
        <w:t>此过程产生噪声。</w:t>
      </w:r>
    </w:p>
    <w:p>
      <w:pPr>
        <w:pStyle w:val="19"/>
        <w:keepNext w:val="0"/>
        <w:keepLines w:val="0"/>
        <w:widowControl/>
        <w:suppressLineNumbers w:val="0"/>
        <w:spacing w:before="0" w:beforeAutospacing="0" w:after="0" w:afterAutospacing="0"/>
        <w:ind w:left="0" w:right="0" w:firstLine="0"/>
        <w:jc w:val="both"/>
        <w:rPr>
          <w:rFonts w:hint="eastAsia"/>
          <w:u w:val="single"/>
          <w:lang w:val="en-US" w:eastAsia="zh-CN"/>
        </w:rPr>
      </w:pPr>
      <w:r>
        <w:rPr>
          <w:rFonts w:hint="eastAsia"/>
          <w:u w:val="single"/>
          <w:lang w:val="en-US" w:eastAsia="zh-CN"/>
        </w:rPr>
        <w:t>（5）色选：烘干后物料进入分选机进行分色，其原理是在光源的作用下，根据光的强弱及颜色变化，使系统产生输出信号驱动电磁阀工作吹出异色颗粒吹至接料斗的废料腔内，而好的被选物料继续下落至接料斗成品腔内，从而达到选别的目的。</w:t>
      </w:r>
    </w:p>
    <w:p>
      <w:pPr>
        <w:pStyle w:val="19"/>
        <w:keepNext w:val="0"/>
        <w:keepLines w:val="0"/>
        <w:widowControl/>
        <w:suppressLineNumbers w:val="0"/>
        <w:spacing w:before="0" w:beforeAutospacing="0" w:after="0" w:afterAutospacing="0"/>
        <w:ind w:left="0" w:right="0" w:firstLine="0"/>
      </w:pPr>
      <w:r>
        <w:rPr>
          <w:rFonts w:hint="eastAsia"/>
          <w:lang w:val="en-US" w:eastAsia="zh-CN"/>
        </w:rPr>
        <w:t>（5）搅拌、熔融：</w:t>
      </w:r>
      <w:r>
        <w:rPr>
          <w:rFonts w:hint="eastAsia"/>
          <w:lang w:eastAsia="zh-CN"/>
        </w:rPr>
        <w:t>搅拌罐内加入色母粒和分选好的废料进行自动搅拌</w:t>
      </w:r>
      <w:r>
        <w:t>，</w:t>
      </w:r>
      <w:r>
        <w:rPr>
          <w:rFonts w:hint="eastAsia"/>
          <w:lang w:eastAsia="zh-CN"/>
        </w:rPr>
        <w:t>搅拌好的料</w:t>
      </w:r>
      <w:r>
        <w:t>通过进料输送螺杆稳定</w:t>
      </w:r>
      <w:r>
        <w:rPr>
          <w:rFonts w:hint="eastAsia"/>
          <w:lang w:eastAsia="zh-CN"/>
        </w:rPr>
        <w:t>地</w:t>
      </w:r>
      <w:r>
        <w:t>进入双螺杆机，双螺杆机根据不同产品的特性调整各个区段的温度和螺杆的速度，使得原料在熔融状态下经过螺纹块的剪切混炼充分的混合。此过程主要是物料的物理混合，</w:t>
      </w:r>
      <w:r>
        <w:rPr>
          <w:u w:val="single"/>
        </w:rPr>
        <w:t>通过电加热方式将造粒温度控制在</w:t>
      </w:r>
      <w:r>
        <w:rPr>
          <w:rFonts w:hint="eastAsia"/>
          <w:u w:val="single"/>
          <w:lang w:val="en-US" w:eastAsia="zh-CN"/>
        </w:rPr>
        <w:t>210</w:t>
      </w:r>
      <w:r>
        <w:rPr>
          <w:u w:val="single"/>
        </w:rPr>
        <w:t>-2</w:t>
      </w:r>
      <w:r>
        <w:rPr>
          <w:rFonts w:hint="eastAsia"/>
          <w:u w:val="single"/>
          <w:lang w:val="en-US" w:eastAsia="zh-CN"/>
        </w:rPr>
        <w:t>50</w:t>
      </w:r>
      <w:r>
        <w:rPr>
          <w:u w:val="single"/>
        </w:rPr>
        <w:t>℃左右从而使得塑料碎粒成为熔融状态</w:t>
      </w:r>
      <w:r>
        <w:t>，并经过挤出工序挤出成条状，在此控制温度下，</w:t>
      </w:r>
      <w:r>
        <w:rPr>
          <w:rFonts w:hint="eastAsia"/>
          <w:lang w:val="en-US" w:eastAsia="zh-CN"/>
        </w:rPr>
        <w:t>ABS塑料</w:t>
      </w:r>
      <w:r>
        <w:t>少量分解。在造粒机</w:t>
      </w:r>
      <w:r>
        <w:rPr>
          <w:rFonts w:hint="eastAsia"/>
          <w:lang w:eastAsia="zh-CN"/>
        </w:rPr>
        <w:t>车间设置微负压收集系统，</w:t>
      </w:r>
      <w:r>
        <w:t>收集挤出过程中产生的废气，废气收集后经</w:t>
      </w:r>
      <w:r>
        <w:rPr>
          <w:rFonts w:hint="eastAsia"/>
          <w:lang w:eastAsia="zh-CN"/>
        </w:rPr>
        <w:t>催化燃烧装置</w:t>
      </w:r>
      <w:r>
        <w:t>处理后统一由高15m、内径0.3m的排气筒排入大气中，主要成分为</w:t>
      </w:r>
      <w:r>
        <w:rPr>
          <w:rFonts w:hint="eastAsia"/>
          <w:lang w:eastAsia="zh-CN"/>
        </w:rPr>
        <w:t>苯乙烯和</w:t>
      </w:r>
      <w:r>
        <w:t>非甲烷总烃。未经收集的废气以无组织排放的形式逸散到周围的空气中。同时造粒机模头定期清理会产生废渣及废滤网。</w:t>
      </w:r>
    </w:p>
    <w:p>
      <w:pPr>
        <w:pStyle w:val="19"/>
        <w:keepNext w:val="0"/>
        <w:keepLines w:val="0"/>
        <w:widowControl/>
        <w:suppressLineNumbers w:val="0"/>
        <w:spacing w:before="0" w:beforeAutospacing="0" w:after="0" w:afterAutospacing="0"/>
        <w:ind w:left="0" w:right="0" w:firstLine="0"/>
      </w:pPr>
      <w:r>
        <w:rPr>
          <w:rFonts w:hint="eastAsia"/>
          <w:lang w:eastAsia="zh-CN"/>
        </w:rPr>
        <w:t>（</w:t>
      </w:r>
      <w:r>
        <w:rPr>
          <w:rFonts w:hint="eastAsia"/>
          <w:lang w:val="en-US" w:eastAsia="zh-CN"/>
        </w:rPr>
        <w:t>6）</w:t>
      </w:r>
      <w:r>
        <w:t>冷却成型切粒</w:t>
      </w:r>
      <w:r>
        <w:rPr>
          <w:rFonts w:hint="eastAsia"/>
          <w:lang w:eastAsia="zh-CN"/>
        </w:rPr>
        <w:t>：</w:t>
      </w:r>
      <w:r>
        <w:t>原料在双螺杆挤出机经过模头（滤网）挤出成条状，再经过冷却槽水冷却，然后经过</w:t>
      </w:r>
      <w:r>
        <w:rPr>
          <w:rFonts w:hint="eastAsia"/>
          <w:lang w:eastAsia="zh-CN"/>
        </w:rPr>
        <w:t>风机</w:t>
      </w:r>
      <w:r>
        <w:t>吹干，最后进入切粒机切成圆柱状颗粒。再生塑料颗粒的粒径在0.7-1.5mm范围内，塑料颗粒由于粒径较大，因此不会蓬散到空气中。项目冷却水循环使用，定期补充。冷却水每月排放一次，产生废水。该部分冷却水用于原料清洗，不外排。产品作为成品出售。</w:t>
      </w:r>
    </w:p>
    <w:p>
      <w:pPr>
        <w:pStyle w:val="19"/>
        <w:keepNext w:val="0"/>
        <w:keepLines w:val="0"/>
        <w:widowControl/>
        <w:suppressLineNumbers w:val="0"/>
        <w:spacing w:before="0" w:beforeAutospacing="0" w:after="0" w:afterAutospacing="0"/>
        <w:ind w:left="0" w:right="0" w:firstLine="0"/>
      </w:pPr>
      <w:r>
        <w:rPr>
          <w:rFonts w:hint="eastAsia"/>
          <w:lang w:eastAsia="zh-CN"/>
        </w:rPr>
        <w:t>（</w:t>
      </w:r>
      <w:r>
        <w:rPr>
          <w:rFonts w:hint="eastAsia"/>
          <w:lang w:val="en-US" w:eastAsia="zh-CN"/>
        </w:rPr>
        <w:t>7）注塑：</w:t>
      </w:r>
      <w:r>
        <w:rPr>
          <w:u w:val="single"/>
        </w:rPr>
        <w:t>在注塑机中对塑料粒子进行加热至200℃左右使其熔融，熔融后的塑料粒子在压缩空气的作用下在模具中形成相应的形状。</w:t>
      </w:r>
      <w:r>
        <w:t>在此过程中，塑料粒子受热会产生少量的有机废气</w:t>
      </w:r>
      <w:r>
        <w:rPr>
          <w:rFonts w:hint="eastAsia"/>
          <w:lang w:eastAsia="zh-CN"/>
        </w:rPr>
        <w:t>，</w:t>
      </w:r>
      <w:r>
        <w:t>废气经</w:t>
      </w:r>
      <w:r>
        <w:rPr>
          <w:rFonts w:hint="eastAsia"/>
          <w:lang w:eastAsia="zh-CN"/>
        </w:rPr>
        <w:t>车间微负压</w:t>
      </w:r>
      <w:r>
        <w:t>收集后经</w:t>
      </w:r>
      <w:r>
        <w:rPr>
          <w:rFonts w:hint="eastAsia"/>
          <w:lang w:eastAsia="zh-CN"/>
        </w:rPr>
        <w:t>催化燃烧装置</w:t>
      </w:r>
      <w:r>
        <w:t>处理后统一由高15m、内径0.3m的排气筒排入大气中，主要成分为</w:t>
      </w:r>
      <w:r>
        <w:rPr>
          <w:rFonts w:hint="eastAsia"/>
          <w:lang w:eastAsia="zh-CN"/>
        </w:rPr>
        <w:t>苯乙烯和</w:t>
      </w:r>
      <w:r>
        <w:t>非甲烷总烃。未经收集的废气以无组织排放的形式逸散到周围的空气中。</w:t>
      </w:r>
    </w:p>
    <w:p>
      <w:pPr>
        <w:pStyle w:val="19"/>
        <w:keepNext w:val="0"/>
        <w:keepLines w:val="0"/>
        <w:widowControl/>
        <w:suppressLineNumbers w:val="0"/>
        <w:spacing w:before="0" w:beforeAutospacing="0" w:after="0" w:afterAutospacing="0"/>
        <w:ind w:left="0" w:right="0" w:firstLine="0"/>
        <w:rPr>
          <w:rFonts w:hint="eastAsia"/>
          <w:lang w:eastAsia="zh-CN"/>
        </w:rPr>
      </w:pPr>
      <w:r>
        <w:rPr>
          <w:rFonts w:hint="eastAsia"/>
          <w:lang w:eastAsia="zh-CN"/>
        </w:rPr>
        <w:t>（</w:t>
      </w:r>
      <w:r>
        <w:rPr>
          <w:rFonts w:hint="eastAsia"/>
          <w:lang w:val="en-US" w:eastAsia="zh-CN"/>
        </w:rPr>
        <w:t>8</w:t>
      </w:r>
      <w:r>
        <w:rPr>
          <w:rFonts w:hint="eastAsia"/>
          <w:lang w:eastAsia="zh-CN"/>
        </w:rPr>
        <w:t>）冷却、检验入库：</w:t>
      </w:r>
      <w:r>
        <w:t>注塑机利用封闭式冷却塔进行水冷却，</w:t>
      </w:r>
      <w:r>
        <w:rPr>
          <w:rFonts w:hint="eastAsia"/>
          <w:lang w:eastAsia="zh-CN"/>
        </w:rPr>
        <w:t>冷却后产品进行检验，合格后入库，</w:t>
      </w:r>
      <w:r>
        <w:t>冷却水循环用于原料清洗，不排放。</w:t>
      </w:r>
      <w:r>
        <w:rPr>
          <w:rFonts w:hint="eastAsia"/>
          <w:lang w:eastAsia="zh-CN"/>
        </w:rPr>
        <w:t>同时注塑过程会产生不合格产品及噪声。</w:t>
      </w:r>
    </w:p>
    <w:p>
      <w:pPr>
        <w:pStyle w:val="4"/>
        <w:ind w:firstLine="602"/>
        <w:rPr>
          <w:lang w:val="en-US"/>
        </w:rPr>
      </w:pPr>
      <w:r>
        <w:rPr>
          <w:rFonts w:hint="eastAsia"/>
          <w:lang w:val="en-US"/>
        </w:rPr>
        <w:t>4.2</w:t>
      </w:r>
      <w:r>
        <w:rPr>
          <w:lang w:val="en-US"/>
        </w:rPr>
        <w:t xml:space="preserve">.1 </w:t>
      </w:r>
      <w:r>
        <w:rPr>
          <w:rFonts w:hint="eastAsia"/>
          <w:lang w:val="en-US"/>
        </w:rPr>
        <w:t>污染物源强分析</w:t>
      </w:r>
    </w:p>
    <w:p>
      <w:pPr>
        <w:pStyle w:val="19"/>
        <w:keepNext w:val="0"/>
        <w:keepLines w:val="0"/>
        <w:widowControl/>
        <w:suppressLineNumbers w:val="0"/>
        <w:spacing w:before="0" w:beforeAutospacing="0" w:after="0" w:afterAutospacing="0"/>
        <w:ind w:left="0" w:right="0" w:firstLine="0"/>
        <w:rPr>
          <w:rFonts w:hint="eastAsia"/>
          <w:lang w:val="en-US" w:eastAsia="zh-CN"/>
        </w:rPr>
      </w:pPr>
      <w:r>
        <w:rPr>
          <w:rFonts w:hint="eastAsia"/>
          <w:lang w:eastAsia="zh-CN"/>
        </w:rPr>
        <w:t>根据项目工程分析，本项目污染物产生情况汇总后见表</w:t>
      </w:r>
      <w:r>
        <w:rPr>
          <w:rFonts w:hint="eastAsia"/>
          <w:lang w:val="en-US" w:eastAsia="zh-CN"/>
        </w:rPr>
        <w:t>4.2-1。</w:t>
      </w:r>
    </w:p>
    <w:p>
      <w:pPr>
        <w:widowControl/>
        <w:ind w:firstLine="482"/>
        <w:jc w:val="center"/>
        <w:rPr>
          <w:rFonts w:hint="eastAsia" w:eastAsia="宋体"/>
          <w:b/>
          <w:bCs/>
          <w:color w:val="000000"/>
          <w:szCs w:val="24"/>
          <w:lang w:val="en-US" w:eastAsia="zh-CN" w:bidi="ar"/>
        </w:rPr>
      </w:pPr>
      <w:r>
        <w:rPr>
          <w:rFonts w:hint="eastAsia"/>
          <w:b/>
          <w:bCs/>
          <w:color w:val="000000"/>
          <w:szCs w:val="24"/>
          <w:lang w:val="en-US" w:bidi="ar"/>
        </w:rPr>
        <w:t>表4.2-1  本</w:t>
      </w:r>
      <w:r>
        <w:rPr>
          <w:rFonts w:hint="eastAsia"/>
          <w:b/>
          <w:bCs/>
          <w:color w:val="000000"/>
          <w:szCs w:val="24"/>
          <w:lang w:val="en-US" w:eastAsia="zh-CN" w:bidi="ar"/>
        </w:rPr>
        <w:t>产污环节汇总表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256"/>
        <w:gridCol w:w="3132"/>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类别</w:t>
            </w: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产污环节</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主要污染物</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color w:val="000000" w:themeColor="text1"/>
                <w:sz w:val="21"/>
                <w:szCs w:val="21"/>
                <w:u w:val="none"/>
                <w:lang w:val="en-US" w:eastAsia="zh-CN"/>
                <w14:textFill>
                  <w14:solidFill>
                    <w14:schemeClr w14:val="tx1"/>
                  </w14:solidFill>
                </w14:textFill>
              </w:rPr>
              <w:t>排放</w:t>
            </w:r>
            <w:r>
              <w:rPr>
                <w:rFonts w:hint="eastAsia" w:ascii="Times New Roman" w:hAnsi="Times New Roman"/>
                <w:b w:val="0"/>
                <w:bCs w:val="0"/>
                <w:color w:val="000000" w:themeColor="text1"/>
                <w:sz w:val="21"/>
                <w:szCs w:val="21"/>
                <w:u w:val="none"/>
                <w:lang w:val="en-US" w:eastAsia="zh-CN"/>
                <w14:textFill>
                  <w14:solidFill>
                    <w14:schemeClr w14:val="tx1"/>
                  </w14:solidFill>
                </w14:textFill>
              </w:rPr>
              <w:t>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废水</w:t>
            </w: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b w:val="0"/>
                <w:bCs w:val="0"/>
                <w:sz w:val="21"/>
                <w:szCs w:val="21"/>
                <w:u w:val="none"/>
                <w:lang w:val="en-US" w:eastAsia="zh-CN"/>
              </w:rPr>
              <w:t>清洗废水</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b w:val="0"/>
                <w:bCs w:val="0"/>
                <w:sz w:val="21"/>
                <w:szCs w:val="21"/>
                <w:u w:val="none"/>
                <w:lang w:val="en-US" w:eastAsia="zh-CN"/>
              </w:rPr>
            </w:pPr>
            <w:r>
              <w:rPr>
                <w:rFonts w:cs="Times New Roman"/>
                <w:b w:val="0"/>
                <w:bCs w:val="0"/>
                <w:sz w:val="21"/>
                <w:szCs w:val="21"/>
                <w:u w:val="none"/>
                <w:lang w:val="en-US"/>
              </w:rPr>
              <w:t>COD</w:t>
            </w:r>
            <w:r>
              <w:rPr>
                <w:rFonts w:hint="eastAsia" w:cs="Times New Roman"/>
                <w:b w:val="0"/>
                <w:bCs w:val="0"/>
                <w:sz w:val="21"/>
                <w:szCs w:val="21"/>
                <w:u w:val="none"/>
                <w:lang w:val="en-US"/>
              </w:rPr>
              <w:t>、</w:t>
            </w:r>
            <w:r>
              <w:rPr>
                <w:rFonts w:cs="Times New Roman"/>
                <w:b w:val="0"/>
                <w:bCs w:val="0"/>
                <w:sz w:val="21"/>
                <w:szCs w:val="21"/>
                <w:u w:val="none"/>
                <w:lang w:val="en-US"/>
              </w:rPr>
              <w:t>SS</w:t>
            </w:r>
            <w:r>
              <w:rPr>
                <w:rFonts w:hint="eastAsia" w:cs="Times New Roman"/>
                <w:b w:val="0"/>
                <w:bCs w:val="0"/>
                <w:sz w:val="21"/>
                <w:szCs w:val="21"/>
                <w:u w:val="none"/>
                <w:lang w:val="en-US"/>
              </w:rPr>
              <w:t>、</w:t>
            </w:r>
            <w:r>
              <w:rPr>
                <w:rFonts w:cs="Times New Roman"/>
                <w:b w:val="0"/>
                <w:bCs w:val="0"/>
                <w:sz w:val="21"/>
                <w:szCs w:val="21"/>
                <w:u w:val="none"/>
                <w:lang w:val="en-US"/>
              </w:rPr>
              <w:t>NH</w:t>
            </w:r>
            <w:r>
              <w:rPr>
                <w:rFonts w:cs="Times New Roman"/>
                <w:b w:val="0"/>
                <w:bCs w:val="0"/>
                <w:sz w:val="21"/>
                <w:szCs w:val="21"/>
                <w:u w:val="none"/>
                <w:vertAlign w:val="subscript"/>
                <w:lang w:val="en-US"/>
              </w:rPr>
              <w:t>3</w:t>
            </w:r>
            <w:r>
              <w:rPr>
                <w:rFonts w:cs="Times New Roman"/>
                <w:b w:val="0"/>
                <w:bCs w:val="0"/>
                <w:sz w:val="21"/>
                <w:szCs w:val="21"/>
                <w:u w:val="none"/>
                <w:lang w:val="en-US"/>
              </w:rPr>
              <w:t>-N</w:t>
            </w:r>
            <w:r>
              <w:rPr>
                <w:rFonts w:hint="eastAsia" w:cs="Times New Roman"/>
                <w:b w:val="0"/>
                <w:bCs w:val="0"/>
                <w:sz w:val="21"/>
                <w:szCs w:val="21"/>
                <w:u w:val="none"/>
                <w:lang w:val="en-US"/>
              </w:rPr>
              <w:t>、总磷</w:t>
            </w:r>
            <w:r>
              <w:rPr>
                <w:rFonts w:hint="eastAsia" w:cs="Times New Roman"/>
                <w:b w:val="0"/>
                <w:bCs w:val="0"/>
                <w:sz w:val="21"/>
                <w:szCs w:val="21"/>
                <w:u w:val="none"/>
                <w:lang w:val="en-US" w:eastAsia="zh-CN"/>
              </w:rPr>
              <w:t>、总氮</w:t>
            </w:r>
          </w:p>
        </w:tc>
        <w:tc>
          <w:tcPr>
            <w:tcW w:w="15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b w:val="0"/>
                <w:bCs w:val="0"/>
                <w:sz w:val="21"/>
                <w:szCs w:val="21"/>
                <w:u w:val="single"/>
              </w:rPr>
              <w:t>餐饮废水经隔油池预处理后与生活污水</w:t>
            </w:r>
            <w:r>
              <w:rPr>
                <w:rFonts w:hint="eastAsia"/>
                <w:b w:val="0"/>
                <w:bCs w:val="0"/>
                <w:sz w:val="21"/>
                <w:szCs w:val="21"/>
                <w:u w:val="single"/>
                <w:lang w:eastAsia="zh-CN"/>
              </w:rPr>
              <w:t>一起进入化粪池处理后用于周边农田施肥；清洗废水、</w:t>
            </w:r>
            <w:r>
              <w:rPr>
                <w:rFonts w:hint="eastAsia"/>
                <w:b w:val="0"/>
                <w:bCs w:val="0"/>
                <w:sz w:val="21"/>
                <w:szCs w:val="21"/>
                <w:u w:val="single"/>
                <w:lang w:val="en-US" w:eastAsia="zh-CN"/>
              </w:rPr>
              <w:t>喷淋塔废水</w:t>
            </w:r>
            <w:r>
              <w:rPr>
                <w:rFonts w:hint="eastAsia"/>
                <w:b w:val="0"/>
                <w:bCs w:val="0"/>
                <w:sz w:val="21"/>
                <w:szCs w:val="21"/>
                <w:u w:val="single"/>
                <w:lang w:eastAsia="zh-CN"/>
              </w:rPr>
              <w:t>和冷却循环水</w:t>
            </w:r>
            <w:r>
              <w:rPr>
                <w:b w:val="0"/>
                <w:bCs w:val="0"/>
                <w:sz w:val="21"/>
                <w:szCs w:val="21"/>
                <w:u w:val="single"/>
              </w:rPr>
              <w:t>进入新建污水站进行处理</w:t>
            </w:r>
            <w:r>
              <w:rPr>
                <w:rFonts w:hint="eastAsia"/>
                <w:b w:val="0"/>
                <w:bCs w:val="0"/>
                <w:sz w:val="21"/>
                <w:szCs w:val="21"/>
                <w:u w:val="single"/>
                <w:lang w:eastAsia="zh-CN"/>
              </w:rPr>
              <w:t>，处理后循环利用不外排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冷却循环水</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b w:val="0"/>
                <w:bCs w:val="0"/>
                <w:sz w:val="21"/>
                <w:szCs w:val="21"/>
                <w:u w:val="none"/>
                <w:lang w:val="en-US" w:eastAsia="zh-CN"/>
              </w:rPr>
            </w:pPr>
            <w:r>
              <w:rPr>
                <w:rFonts w:cs="Times New Roman"/>
                <w:b w:val="0"/>
                <w:bCs w:val="0"/>
                <w:sz w:val="21"/>
                <w:szCs w:val="21"/>
                <w:u w:val="none"/>
                <w:lang w:val="en-US"/>
              </w:rPr>
              <w:t>COD</w:t>
            </w:r>
            <w:r>
              <w:rPr>
                <w:rFonts w:hint="eastAsia" w:cs="Times New Roman"/>
                <w:b w:val="0"/>
                <w:bCs w:val="0"/>
                <w:sz w:val="21"/>
                <w:szCs w:val="21"/>
                <w:u w:val="none"/>
                <w:lang w:val="en-US"/>
              </w:rPr>
              <w:t>、</w:t>
            </w:r>
            <w:r>
              <w:rPr>
                <w:rFonts w:cs="Times New Roman"/>
                <w:b w:val="0"/>
                <w:bCs w:val="0"/>
                <w:sz w:val="21"/>
                <w:szCs w:val="21"/>
                <w:u w:val="none"/>
                <w:lang w:val="en-US"/>
              </w:rPr>
              <w:t>SS</w:t>
            </w:r>
            <w:r>
              <w:rPr>
                <w:rFonts w:hint="eastAsia" w:cs="Times New Roman"/>
                <w:b w:val="0"/>
                <w:bCs w:val="0"/>
                <w:sz w:val="21"/>
                <w:szCs w:val="21"/>
                <w:u w:val="none"/>
                <w:lang w:val="en-US"/>
              </w:rPr>
              <w:t>、</w:t>
            </w:r>
            <w:r>
              <w:rPr>
                <w:rFonts w:cs="Times New Roman"/>
                <w:b w:val="0"/>
                <w:bCs w:val="0"/>
                <w:sz w:val="21"/>
                <w:szCs w:val="21"/>
                <w:u w:val="none"/>
                <w:lang w:val="en-US"/>
              </w:rPr>
              <w:t>NH</w:t>
            </w:r>
            <w:r>
              <w:rPr>
                <w:rFonts w:cs="Times New Roman"/>
                <w:b w:val="0"/>
                <w:bCs w:val="0"/>
                <w:sz w:val="21"/>
                <w:szCs w:val="21"/>
                <w:u w:val="none"/>
                <w:vertAlign w:val="subscript"/>
                <w:lang w:val="en-US"/>
              </w:rPr>
              <w:t>3</w:t>
            </w:r>
            <w:r>
              <w:rPr>
                <w:rFonts w:cs="Times New Roman"/>
                <w:b w:val="0"/>
                <w:bCs w:val="0"/>
                <w:sz w:val="21"/>
                <w:szCs w:val="21"/>
                <w:u w:val="none"/>
                <w:lang w:val="en-US"/>
              </w:rPr>
              <w:t>-N</w:t>
            </w:r>
            <w:r>
              <w:rPr>
                <w:rFonts w:hint="eastAsia" w:cs="Times New Roman"/>
                <w:b w:val="0"/>
                <w:bCs w:val="0"/>
                <w:sz w:val="21"/>
                <w:szCs w:val="21"/>
                <w:u w:val="none"/>
                <w:lang w:val="en-US"/>
              </w:rPr>
              <w:t>、总磷</w:t>
            </w:r>
            <w:r>
              <w:rPr>
                <w:rFonts w:hint="eastAsia" w:cs="Times New Roman"/>
                <w:b w:val="0"/>
                <w:bCs w:val="0"/>
                <w:sz w:val="21"/>
                <w:szCs w:val="21"/>
                <w:u w:val="none"/>
                <w:lang w:val="en-US" w:eastAsia="zh-CN"/>
              </w:rPr>
              <w:t>、总氮、苯乙烯</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b w:val="0"/>
                <w:bCs w:val="0"/>
                <w:sz w:val="21"/>
                <w:szCs w:val="21"/>
                <w:u w:val="single"/>
                <w:lang w:val="en-US" w:eastAsia="zh-CN"/>
              </w:rPr>
            </w:pPr>
            <w:r>
              <w:rPr>
                <w:rFonts w:hint="eastAsia"/>
                <w:b w:val="0"/>
                <w:bCs w:val="0"/>
                <w:sz w:val="21"/>
                <w:szCs w:val="21"/>
                <w:u w:val="single"/>
                <w:lang w:val="en-US" w:eastAsia="zh-CN"/>
              </w:rPr>
              <w:t>喷淋塔废水</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Times New Roman"/>
                <w:b w:val="0"/>
                <w:bCs w:val="0"/>
                <w:sz w:val="21"/>
                <w:szCs w:val="21"/>
                <w:u w:val="single"/>
                <w:lang w:val="en-US"/>
              </w:rPr>
            </w:pPr>
            <w:r>
              <w:rPr>
                <w:rFonts w:cs="Times New Roman"/>
                <w:b w:val="0"/>
                <w:bCs w:val="0"/>
                <w:sz w:val="21"/>
                <w:szCs w:val="21"/>
                <w:u w:val="single"/>
                <w:lang w:val="en-US"/>
              </w:rPr>
              <w:t>COD</w:t>
            </w:r>
            <w:r>
              <w:rPr>
                <w:rFonts w:hint="eastAsia" w:cs="Times New Roman"/>
                <w:b w:val="0"/>
                <w:bCs w:val="0"/>
                <w:sz w:val="21"/>
                <w:szCs w:val="21"/>
                <w:u w:val="single"/>
                <w:lang w:val="en-US"/>
              </w:rPr>
              <w:t>、</w:t>
            </w:r>
            <w:r>
              <w:rPr>
                <w:rFonts w:cs="Times New Roman"/>
                <w:b w:val="0"/>
                <w:bCs w:val="0"/>
                <w:sz w:val="21"/>
                <w:szCs w:val="21"/>
                <w:u w:val="single"/>
                <w:lang w:val="en-US"/>
              </w:rPr>
              <w:t>SS</w:t>
            </w:r>
            <w:r>
              <w:rPr>
                <w:rFonts w:hint="eastAsia" w:cs="Times New Roman"/>
                <w:b w:val="0"/>
                <w:bCs w:val="0"/>
                <w:sz w:val="21"/>
                <w:szCs w:val="21"/>
                <w:u w:val="single"/>
                <w:lang w:val="en-US"/>
              </w:rPr>
              <w:t>、</w:t>
            </w:r>
            <w:r>
              <w:rPr>
                <w:rFonts w:cs="Times New Roman"/>
                <w:b w:val="0"/>
                <w:bCs w:val="0"/>
                <w:sz w:val="21"/>
                <w:szCs w:val="21"/>
                <w:u w:val="single"/>
                <w:lang w:val="en-US"/>
              </w:rPr>
              <w:t>NH</w:t>
            </w:r>
            <w:r>
              <w:rPr>
                <w:rFonts w:cs="Times New Roman"/>
                <w:b w:val="0"/>
                <w:bCs w:val="0"/>
                <w:sz w:val="21"/>
                <w:szCs w:val="21"/>
                <w:u w:val="single"/>
                <w:vertAlign w:val="subscript"/>
                <w:lang w:val="en-US"/>
              </w:rPr>
              <w:t>3</w:t>
            </w:r>
            <w:r>
              <w:rPr>
                <w:rFonts w:cs="Times New Roman"/>
                <w:b w:val="0"/>
                <w:bCs w:val="0"/>
                <w:sz w:val="21"/>
                <w:szCs w:val="21"/>
                <w:u w:val="single"/>
                <w:lang w:val="en-US"/>
              </w:rPr>
              <w:t>-N</w:t>
            </w:r>
            <w:r>
              <w:rPr>
                <w:rFonts w:hint="eastAsia" w:cs="Times New Roman"/>
                <w:b w:val="0"/>
                <w:bCs w:val="0"/>
                <w:sz w:val="21"/>
                <w:szCs w:val="21"/>
                <w:u w:val="single"/>
                <w:lang w:val="en-US"/>
              </w:rPr>
              <w:t>、总磷</w:t>
            </w:r>
            <w:r>
              <w:rPr>
                <w:rFonts w:hint="eastAsia" w:cs="Times New Roman"/>
                <w:b w:val="0"/>
                <w:bCs w:val="0"/>
                <w:sz w:val="21"/>
                <w:szCs w:val="21"/>
                <w:u w:val="single"/>
                <w:lang w:val="en-US" w:eastAsia="zh-CN"/>
              </w:rPr>
              <w:t>、总氮、苯乙烯</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生活废水</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b w:val="0"/>
                <w:bCs w:val="0"/>
                <w:sz w:val="21"/>
                <w:szCs w:val="21"/>
                <w:u w:val="none"/>
                <w:lang w:val="en-US" w:eastAsia="zh-CN"/>
              </w:rPr>
            </w:pPr>
            <w:r>
              <w:rPr>
                <w:rFonts w:cs="Times New Roman"/>
                <w:b w:val="0"/>
                <w:bCs w:val="0"/>
                <w:sz w:val="21"/>
                <w:szCs w:val="21"/>
                <w:u w:val="none"/>
                <w:lang w:val="en-US"/>
              </w:rPr>
              <w:t>COD</w:t>
            </w:r>
            <w:r>
              <w:rPr>
                <w:rFonts w:hint="eastAsia" w:cs="Times New Roman"/>
                <w:b w:val="0"/>
                <w:bCs w:val="0"/>
                <w:sz w:val="21"/>
                <w:szCs w:val="21"/>
                <w:u w:val="none"/>
                <w:lang w:val="en-US"/>
              </w:rPr>
              <w:t>、</w:t>
            </w:r>
            <w:r>
              <w:rPr>
                <w:rFonts w:cs="Times New Roman"/>
                <w:b w:val="0"/>
                <w:bCs w:val="0"/>
                <w:sz w:val="21"/>
                <w:szCs w:val="21"/>
                <w:u w:val="none"/>
                <w:lang w:val="en-US"/>
              </w:rPr>
              <w:t>BOD</w:t>
            </w:r>
            <w:r>
              <w:rPr>
                <w:rFonts w:cs="Times New Roman"/>
                <w:b w:val="0"/>
                <w:bCs w:val="0"/>
                <w:sz w:val="21"/>
                <w:szCs w:val="21"/>
                <w:u w:val="none"/>
                <w:vertAlign w:val="subscript"/>
                <w:lang w:val="en-US"/>
              </w:rPr>
              <w:t>5</w:t>
            </w:r>
            <w:r>
              <w:rPr>
                <w:rFonts w:hint="eastAsia" w:cs="Times New Roman"/>
                <w:b w:val="0"/>
                <w:bCs w:val="0"/>
                <w:sz w:val="21"/>
                <w:szCs w:val="21"/>
                <w:u w:val="none"/>
                <w:lang w:val="en-US"/>
              </w:rPr>
              <w:t>、</w:t>
            </w:r>
            <w:r>
              <w:rPr>
                <w:rFonts w:cs="Times New Roman"/>
                <w:b w:val="0"/>
                <w:bCs w:val="0"/>
                <w:sz w:val="21"/>
                <w:szCs w:val="21"/>
                <w:u w:val="none"/>
                <w:lang w:val="en-US"/>
              </w:rPr>
              <w:t>SS</w:t>
            </w:r>
            <w:r>
              <w:rPr>
                <w:rFonts w:hint="eastAsia" w:cs="Times New Roman"/>
                <w:b w:val="0"/>
                <w:bCs w:val="0"/>
                <w:sz w:val="21"/>
                <w:szCs w:val="21"/>
                <w:u w:val="none"/>
                <w:lang w:val="en-US"/>
              </w:rPr>
              <w:t>、</w:t>
            </w:r>
            <w:r>
              <w:rPr>
                <w:rFonts w:cs="Times New Roman"/>
                <w:b w:val="0"/>
                <w:bCs w:val="0"/>
                <w:sz w:val="21"/>
                <w:szCs w:val="21"/>
                <w:u w:val="none"/>
                <w:lang w:val="en-US"/>
              </w:rPr>
              <w:t>NH</w:t>
            </w:r>
            <w:r>
              <w:rPr>
                <w:rFonts w:cs="Times New Roman"/>
                <w:b w:val="0"/>
                <w:bCs w:val="0"/>
                <w:sz w:val="21"/>
                <w:szCs w:val="21"/>
                <w:u w:val="none"/>
                <w:vertAlign w:val="subscript"/>
                <w:lang w:val="en-US"/>
              </w:rPr>
              <w:t>3</w:t>
            </w:r>
            <w:r>
              <w:rPr>
                <w:rFonts w:cs="Times New Roman"/>
                <w:b w:val="0"/>
                <w:bCs w:val="0"/>
                <w:sz w:val="21"/>
                <w:szCs w:val="21"/>
                <w:u w:val="none"/>
                <w:lang w:val="en-US"/>
              </w:rPr>
              <w:t>-N</w:t>
            </w:r>
            <w:r>
              <w:rPr>
                <w:rFonts w:hint="eastAsia" w:cs="Times New Roman"/>
                <w:b w:val="0"/>
                <w:bCs w:val="0"/>
                <w:sz w:val="21"/>
                <w:szCs w:val="21"/>
                <w:u w:val="none"/>
                <w:lang w:val="en-US"/>
              </w:rPr>
              <w:t>、总磷</w:t>
            </w:r>
            <w:r>
              <w:rPr>
                <w:rFonts w:hint="eastAsia" w:cs="Times New Roman"/>
                <w:b w:val="0"/>
                <w:bCs w:val="0"/>
                <w:sz w:val="21"/>
                <w:szCs w:val="21"/>
                <w:u w:val="none"/>
                <w:lang w:val="en-US" w:eastAsia="zh-CN"/>
              </w:rPr>
              <w:t>、总氮</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食堂废水</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b w:val="0"/>
                <w:bCs w:val="0"/>
                <w:sz w:val="21"/>
                <w:szCs w:val="21"/>
                <w:u w:val="none"/>
                <w:lang w:val="en-US" w:eastAsia="zh-CN"/>
              </w:rPr>
            </w:pPr>
            <w:r>
              <w:rPr>
                <w:rFonts w:cs="Times New Roman"/>
                <w:b w:val="0"/>
                <w:bCs w:val="0"/>
                <w:sz w:val="21"/>
                <w:szCs w:val="21"/>
                <w:u w:val="none"/>
                <w:lang w:val="en-US"/>
              </w:rPr>
              <w:t>COD</w:t>
            </w:r>
            <w:r>
              <w:rPr>
                <w:rFonts w:hint="eastAsia" w:cs="Times New Roman"/>
                <w:b w:val="0"/>
                <w:bCs w:val="0"/>
                <w:sz w:val="21"/>
                <w:szCs w:val="21"/>
                <w:u w:val="none"/>
                <w:lang w:val="en-US"/>
              </w:rPr>
              <w:t>、</w:t>
            </w:r>
            <w:r>
              <w:rPr>
                <w:rFonts w:cs="Times New Roman"/>
                <w:b w:val="0"/>
                <w:bCs w:val="0"/>
                <w:sz w:val="21"/>
                <w:szCs w:val="21"/>
                <w:u w:val="none"/>
                <w:lang w:val="en-US"/>
              </w:rPr>
              <w:t>BOD</w:t>
            </w:r>
            <w:r>
              <w:rPr>
                <w:rFonts w:cs="Times New Roman"/>
                <w:b w:val="0"/>
                <w:bCs w:val="0"/>
                <w:sz w:val="21"/>
                <w:szCs w:val="21"/>
                <w:u w:val="none"/>
                <w:vertAlign w:val="subscript"/>
                <w:lang w:val="en-US"/>
              </w:rPr>
              <w:t>5</w:t>
            </w:r>
            <w:r>
              <w:rPr>
                <w:rFonts w:hint="eastAsia" w:cs="Times New Roman"/>
                <w:b w:val="0"/>
                <w:bCs w:val="0"/>
                <w:sz w:val="21"/>
                <w:szCs w:val="21"/>
                <w:u w:val="none"/>
                <w:lang w:val="en-US"/>
              </w:rPr>
              <w:t>、</w:t>
            </w:r>
            <w:r>
              <w:rPr>
                <w:rFonts w:cs="Times New Roman"/>
                <w:b w:val="0"/>
                <w:bCs w:val="0"/>
                <w:sz w:val="21"/>
                <w:szCs w:val="21"/>
                <w:u w:val="none"/>
                <w:lang w:val="en-US"/>
              </w:rPr>
              <w:t>SS</w:t>
            </w:r>
            <w:r>
              <w:rPr>
                <w:rFonts w:hint="eastAsia" w:cs="Times New Roman"/>
                <w:b w:val="0"/>
                <w:bCs w:val="0"/>
                <w:sz w:val="21"/>
                <w:szCs w:val="21"/>
                <w:u w:val="none"/>
                <w:lang w:val="en-US"/>
              </w:rPr>
              <w:t>、</w:t>
            </w:r>
            <w:r>
              <w:rPr>
                <w:rFonts w:cs="Times New Roman"/>
                <w:b w:val="0"/>
                <w:bCs w:val="0"/>
                <w:sz w:val="21"/>
                <w:szCs w:val="21"/>
                <w:u w:val="none"/>
                <w:lang w:val="en-US"/>
              </w:rPr>
              <w:t>NH</w:t>
            </w:r>
            <w:r>
              <w:rPr>
                <w:rFonts w:cs="Times New Roman"/>
                <w:b w:val="0"/>
                <w:bCs w:val="0"/>
                <w:sz w:val="21"/>
                <w:szCs w:val="21"/>
                <w:u w:val="none"/>
                <w:vertAlign w:val="subscript"/>
                <w:lang w:val="en-US"/>
              </w:rPr>
              <w:t>3</w:t>
            </w:r>
            <w:r>
              <w:rPr>
                <w:rFonts w:cs="Times New Roman"/>
                <w:b w:val="0"/>
                <w:bCs w:val="0"/>
                <w:sz w:val="21"/>
                <w:szCs w:val="21"/>
                <w:u w:val="none"/>
                <w:lang w:val="en-US"/>
              </w:rPr>
              <w:t>-N</w:t>
            </w:r>
            <w:r>
              <w:rPr>
                <w:rFonts w:hint="eastAsia" w:cs="Times New Roman"/>
                <w:b w:val="0"/>
                <w:bCs w:val="0"/>
                <w:sz w:val="21"/>
                <w:szCs w:val="21"/>
                <w:u w:val="none"/>
                <w:lang w:val="en-US"/>
              </w:rPr>
              <w:t>、总磷</w:t>
            </w:r>
            <w:r>
              <w:rPr>
                <w:rFonts w:hint="eastAsia" w:cs="Times New Roman"/>
                <w:b w:val="0"/>
                <w:bCs w:val="0"/>
                <w:sz w:val="21"/>
                <w:szCs w:val="21"/>
                <w:u w:val="none"/>
                <w:lang w:val="en-US" w:eastAsia="zh-CN"/>
              </w:rPr>
              <w:t>、动植物油</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废气</w:t>
            </w: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b w:val="0"/>
                <w:bCs w:val="0"/>
                <w:sz w:val="21"/>
                <w:szCs w:val="21"/>
                <w:u w:val="none"/>
                <w:lang w:val="en-US" w:eastAsia="zh-CN"/>
              </w:rPr>
              <w:t>污水处理站</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single"/>
                <w:lang w:val="en-US" w:eastAsia="zh-CN"/>
              </w:rPr>
              <w:t>非甲烷总烃、氨、硫化氢</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连续性排放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破碎</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颗粒物</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半连续性排放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熔融造粒</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single"/>
                <w:lang w:val="en-US" w:eastAsia="zh-CN"/>
              </w:rPr>
              <w:t>非甲烷总烃、苯乙烯、颗粒物</w:t>
            </w:r>
          </w:p>
        </w:tc>
        <w:tc>
          <w:tcPr>
            <w:tcW w:w="1567" w:type="pct"/>
            <w:noWrap w:val="0"/>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b w:val="0"/>
                <w:bCs w:val="0"/>
                <w:sz w:val="21"/>
                <w:szCs w:val="21"/>
                <w:u w:val="none"/>
                <w:lang w:val="en-US" w:eastAsia="zh-CN"/>
              </w:rPr>
            </w:pPr>
            <w:r>
              <w:rPr>
                <w:rFonts w:hint="eastAsia"/>
                <w:b w:val="0"/>
                <w:bCs w:val="0"/>
                <w:sz w:val="21"/>
                <w:szCs w:val="21"/>
                <w:u w:val="none"/>
                <w:lang w:val="en-US" w:eastAsia="zh-CN"/>
              </w:rPr>
              <w:t>半连续性排放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ascii="Times New Roman" w:hAnsi="Times New Roman"/>
                <w:b w:val="0"/>
                <w:bCs w:val="0"/>
                <w:sz w:val="21"/>
                <w:szCs w:val="21"/>
                <w:u w:val="none"/>
                <w:lang w:val="en-US" w:eastAsia="zh-CN"/>
              </w:rPr>
              <w:t>注塑</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single"/>
                <w:lang w:val="en-US" w:eastAsia="zh-CN"/>
              </w:rPr>
              <w:t>非甲烷总烃、苯乙烯</w:t>
            </w:r>
          </w:p>
        </w:tc>
        <w:tc>
          <w:tcPr>
            <w:tcW w:w="1567" w:type="pct"/>
            <w:noWrap w:val="0"/>
            <w:vAlign w:val="center"/>
          </w:tcPr>
          <w:p>
            <w:pPr>
              <w:pStyle w:val="19"/>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b w:val="0"/>
                <w:bCs w:val="0"/>
                <w:sz w:val="21"/>
                <w:szCs w:val="21"/>
                <w:u w:val="none"/>
                <w:lang w:val="en-US" w:eastAsia="zh-CN"/>
              </w:rPr>
            </w:pPr>
            <w:r>
              <w:rPr>
                <w:rFonts w:hint="eastAsia"/>
                <w:b w:val="0"/>
                <w:bCs w:val="0"/>
                <w:sz w:val="21"/>
                <w:szCs w:val="21"/>
                <w:u w:val="none"/>
                <w:lang w:val="en-US" w:eastAsia="zh-CN"/>
              </w:rPr>
              <w:t>半连续性排放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r>
              <w:rPr>
                <w:rFonts w:hint="eastAsia"/>
                <w:b w:val="0"/>
                <w:bCs w:val="0"/>
                <w:sz w:val="21"/>
                <w:szCs w:val="21"/>
                <w:u w:val="none"/>
                <w:lang w:val="en-US" w:eastAsia="zh-CN"/>
              </w:rPr>
              <w:t>食堂油烟</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b w:val="0"/>
                <w:bCs w:val="0"/>
                <w:sz w:val="21"/>
                <w:szCs w:val="21"/>
                <w:u w:val="none"/>
                <w:lang w:val="en-US" w:eastAsia="zh-CN"/>
              </w:rPr>
            </w:pPr>
            <w:r>
              <w:rPr>
                <w:rFonts w:hint="eastAsia" w:ascii="Times New Roman" w:hAnsi="Times New Roman"/>
                <w:b w:val="0"/>
                <w:bCs w:val="0"/>
                <w:sz w:val="21"/>
                <w:szCs w:val="21"/>
                <w:u w:val="none"/>
                <w:lang w:val="en-US" w:eastAsia="zh-CN"/>
              </w:rPr>
              <w:t>油烟</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b w:val="0"/>
                <w:bCs w:val="0"/>
                <w:sz w:val="21"/>
                <w:szCs w:val="21"/>
                <w:u w:val="none"/>
                <w:lang w:val="en-US" w:eastAsia="zh-CN"/>
              </w:rPr>
            </w:pPr>
            <w:r>
              <w:rPr>
                <w:rFonts w:hint="eastAsia"/>
                <w:b w:val="0"/>
                <w:bCs w:val="0"/>
                <w:sz w:val="21"/>
                <w:szCs w:val="21"/>
                <w:u w:val="none"/>
                <w:lang w:val="en-US" w:eastAsia="zh-CN"/>
              </w:rPr>
              <w:t>半连续性排放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噪声</w:t>
            </w: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生产</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b w:val="0"/>
                <w:bCs w:val="0"/>
                <w:sz w:val="21"/>
                <w:szCs w:val="21"/>
                <w:u w:val="none"/>
                <w:lang w:val="en-US" w:eastAsia="zh-CN"/>
              </w:rPr>
              <w:t>高噪设备</w:t>
            </w:r>
            <w:r>
              <w:rPr>
                <w:rFonts w:hint="eastAsia" w:ascii="Times New Roman" w:hAnsi="Times New Roman" w:eastAsia="宋体"/>
                <w:b w:val="0"/>
                <w:bCs w:val="0"/>
                <w:sz w:val="21"/>
                <w:szCs w:val="21"/>
                <w:u w:val="none"/>
                <w:lang w:val="en-US" w:eastAsia="zh-CN"/>
              </w:rPr>
              <w:t>运行</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固体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ascii="Times New Roman" w:hAnsi="Times New Roman" w:eastAsia="宋体"/>
                <w:b w:val="0"/>
                <w:bCs w:val="0"/>
                <w:sz w:val="21"/>
                <w:szCs w:val="21"/>
                <w:u w:val="none"/>
                <w:lang w:val="en-US" w:eastAsia="zh-CN"/>
              </w:rPr>
              <w:t>废物</w:t>
            </w: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cs="Times New Roman"/>
                <w:b w:val="0"/>
                <w:bCs w:val="0"/>
                <w:sz w:val="21"/>
                <w:szCs w:val="21"/>
                <w:u w:val="single"/>
                <w:lang w:val="en-US" w:eastAsia="zh-CN"/>
              </w:rPr>
              <w:t>职工</w:t>
            </w:r>
            <w:r>
              <w:rPr>
                <w:rFonts w:hint="eastAsia" w:cs="Times New Roman"/>
                <w:b w:val="0"/>
                <w:bCs w:val="0"/>
                <w:sz w:val="21"/>
                <w:szCs w:val="21"/>
                <w:u w:val="single"/>
                <w:lang w:val="en-US"/>
              </w:rPr>
              <w:t>生活、</w:t>
            </w:r>
            <w:r>
              <w:rPr>
                <w:rFonts w:hint="eastAsia" w:cs="Times New Roman"/>
                <w:b w:val="0"/>
                <w:bCs w:val="0"/>
                <w:sz w:val="21"/>
                <w:szCs w:val="21"/>
                <w:u w:val="single"/>
                <w:lang w:val="en-US" w:eastAsia="zh-CN"/>
              </w:rPr>
              <w:t>食堂</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cs="Times New Roman"/>
                <w:b w:val="0"/>
                <w:bCs w:val="0"/>
                <w:sz w:val="21"/>
                <w:szCs w:val="21"/>
                <w:u w:val="single"/>
                <w:lang w:val="en-US"/>
              </w:rPr>
              <w:t>生活、餐厨垃圾</w:t>
            </w:r>
          </w:p>
        </w:tc>
        <w:tc>
          <w:tcPr>
            <w:tcW w:w="1567" w:type="pct"/>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b w:val="0"/>
                <w:bCs w:val="0"/>
                <w:color w:val="C00000"/>
                <w:sz w:val="21"/>
                <w:szCs w:val="21"/>
                <w:u w:val="none"/>
                <w:lang w:val="en-US" w:eastAsia="zh-CN"/>
              </w:rPr>
            </w:pPr>
            <w:r>
              <w:rPr>
                <w:rFonts w:hint="eastAsia" w:cs="Times New Roman"/>
                <w:b w:val="0"/>
                <w:bCs w:val="0"/>
                <w:sz w:val="21"/>
                <w:szCs w:val="21"/>
                <w:u w:val="none"/>
                <w:lang w:val="en-US"/>
              </w:rPr>
              <w:t>定期</w:t>
            </w:r>
            <w:r>
              <w:rPr>
                <w:rFonts w:hint="eastAsia" w:cs="Times New Roman"/>
                <w:b w:val="0"/>
                <w:bCs w:val="0"/>
                <w:color w:val="000000" w:themeColor="text1"/>
                <w:sz w:val="21"/>
                <w:szCs w:val="21"/>
                <w:u w:val="none"/>
                <w:lang w:val="en-US"/>
                <w14:textFill>
                  <w14:solidFill>
                    <w14:schemeClr w14:val="tx1"/>
                  </w14:solidFill>
                </w14:textFill>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val="0"/>
                <w:sz w:val="21"/>
                <w:szCs w:val="21"/>
                <w:u w:val="single"/>
                <w:lang w:val="en-US" w:eastAsia="zh-CN"/>
              </w:rPr>
            </w:pPr>
            <w:r>
              <w:rPr>
                <w:rFonts w:hint="eastAsia" w:cs="Times New Roman"/>
                <w:b w:val="0"/>
                <w:bCs w:val="0"/>
                <w:sz w:val="21"/>
                <w:szCs w:val="21"/>
                <w:u w:val="single"/>
                <w:lang w:val="en-US" w:eastAsia="zh-CN"/>
              </w:rPr>
              <w:t>原料预处理</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s="Times New Roman"/>
                <w:b w:val="0"/>
                <w:bCs w:val="0"/>
                <w:sz w:val="21"/>
                <w:szCs w:val="21"/>
                <w:u w:val="single"/>
                <w:lang w:val="en-US" w:eastAsia="zh-CN"/>
              </w:rPr>
            </w:pPr>
            <w:r>
              <w:rPr>
                <w:rFonts w:hint="eastAsia" w:cs="Times New Roman"/>
                <w:b w:val="0"/>
                <w:bCs w:val="0"/>
                <w:sz w:val="21"/>
                <w:szCs w:val="21"/>
                <w:u w:val="single"/>
                <w:lang w:val="en-US" w:eastAsia="zh-CN"/>
              </w:rPr>
              <w:t>分拣杂质</w:t>
            </w:r>
          </w:p>
        </w:tc>
        <w:tc>
          <w:tcPr>
            <w:tcW w:w="1567" w:type="pct"/>
            <w:noWrap w:val="0"/>
            <w:vAlign w:val="center"/>
          </w:tcPr>
          <w:p>
            <w:pPr>
              <w:keepNext w:val="0"/>
              <w:keepLines w:val="0"/>
              <w:pageBreakBefore w:val="0"/>
              <w:widowControl/>
              <w:kinsoku/>
              <w:wordWrap/>
              <w:overflowPunct/>
              <w:topLinePunct w:val="0"/>
              <w:bidi w:val="0"/>
              <w:adjustRightInd/>
              <w:snapToGrid/>
              <w:spacing w:line="240" w:lineRule="auto"/>
              <w:ind w:left="0" w:leftChars="0" w:firstLine="0" w:firstLineChars="0"/>
              <w:jc w:val="center"/>
              <w:textAlignment w:val="auto"/>
              <w:rPr>
                <w:rFonts w:hint="eastAsia" w:eastAsia="宋体" w:cs="Times New Roman"/>
                <w:b w:val="0"/>
                <w:bCs w:val="0"/>
                <w:sz w:val="21"/>
                <w:szCs w:val="21"/>
                <w:u w:val="none"/>
                <w:lang w:val="en-US" w:eastAsia="zh-CN"/>
              </w:rPr>
            </w:pPr>
            <w:r>
              <w:rPr>
                <w:rFonts w:hint="eastAsia" w:cs="Times New Roman"/>
                <w:b w:val="0"/>
                <w:bCs w:val="0"/>
                <w:sz w:val="21"/>
                <w:szCs w:val="21"/>
                <w:u w:val="none"/>
                <w:lang w:val="en-US"/>
              </w:rPr>
              <w:t>定期</w:t>
            </w:r>
            <w:r>
              <w:rPr>
                <w:rFonts w:hint="eastAsia" w:cs="Times New Roman"/>
                <w:b w:val="0"/>
                <w:bCs w:val="0"/>
                <w:color w:val="000000" w:themeColor="text1"/>
                <w:sz w:val="21"/>
                <w:szCs w:val="21"/>
                <w:u w:val="none"/>
                <w:lang w:val="en-US"/>
                <w14:textFill>
                  <w14:solidFill>
                    <w14:schemeClr w14:val="tx1"/>
                  </w14:solidFill>
                </w14:textFill>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cs="Times New Roman"/>
                <w:b w:val="0"/>
                <w:bCs w:val="0"/>
                <w:sz w:val="21"/>
                <w:szCs w:val="21"/>
                <w:u w:val="single"/>
                <w:lang w:val="en-US" w:eastAsia="zh-CN"/>
              </w:rPr>
              <w:t>原料预处理</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ascii="Times New Roman" w:hAnsi="Times New Roman"/>
                <w:b w:val="0"/>
                <w:bCs w:val="0"/>
                <w:sz w:val="21"/>
                <w:szCs w:val="21"/>
                <w:u w:val="single"/>
                <w:lang w:val="en-US" w:eastAsia="zh-CN"/>
              </w:rPr>
              <w:t>废原料包装</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color w:val="000000" w:themeColor="text1"/>
                <w:sz w:val="21"/>
                <w:szCs w:val="21"/>
                <w:u w:val="none"/>
                <w:lang w:val="en-US" w:eastAsia="zh-CN"/>
                <w14:textFill>
                  <w14:solidFill>
                    <w14:schemeClr w14:val="tx1"/>
                  </w14:solidFill>
                </w14:textFill>
              </w:rPr>
            </w:pPr>
            <w:r>
              <w:rPr>
                <w:rFonts w:hint="eastAsia" w:ascii="Times New Roman" w:hAnsi="Times New Roman"/>
                <w:b w:val="0"/>
                <w:bCs w:val="0"/>
                <w:color w:val="000000" w:themeColor="text1"/>
                <w:sz w:val="21"/>
                <w:szCs w:val="21"/>
                <w:u w:val="none"/>
                <w:lang w:val="en-US" w:eastAsia="zh-CN"/>
                <w14:textFill>
                  <w14:solidFill>
                    <w14:schemeClr w14:val="tx1"/>
                  </w14:solidFill>
                </w14:textFill>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b w:val="0"/>
                <w:bCs w:val="0"/>
                <w:sz w:val="21"/>
                <w:szCs w:val="21"/>
                <w:u w:val="single"/>
                <w:lang w:val="en-US" w:eastAsia="zh-CN"/>
              </w:rPr>
            </w:pPr>
            <w:r>
              <w:rPr>
                <w:rFonts w:hint="eastAsia" w:ascii="Times New Roman" w:hAnsi="Times New Roman"/>
                <w:b w:val="0"/>
                <w:bCs w:val="0"/>
                <w:sz w:val="21"/>
                <w:szCs w:val="21"/>
                <w:u w:val="single"/>
                <w:lang w:val="en-US" w:eastAsia="zh-CN"/>
              </w:rPr>
              <w:t>造粒</w:t>
            </w:r>
          </w:p>
        </w:tc>
        <w:tc>
          <w:tcPr>
            <w:tcW w:w="1686" w:type="pct"/>
            <w:noWrap w:val="0"/>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b w:val="0"/>
                <w:bCs w:val="0"/>
                <w:sz w:val="21"/>
                <w:szCs w:val="21"/>
                <w:u w:val="single"/>
                <w:lang w:val="en-US" w:eastAsia="zh-CN"/>
              </w:rPr>
            </w:pPr>
            <w:r>
              <w:rPr>
                <w:rFonts w:hint="eastAsia" w:ascii="Times New Roman" w:hAnsi="Times New Roman" w:eastAsia="宋体"/>
                <w:b w:val="0"/>
                <w:bCs w:val="0"/>
                <w:sz w:val="21"/>
                <w:szCs w:val="21"/>
                <w:u w:val="single"/>
                <w:lang w:val="en-US" w:eastAsia="zh-CN"/>
              </w:rPr>
              <w:t>废滤网</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color w:val="000000" w:themeColor="text1"/>
                <w:sz w:val="21"/>
                <w:szCs w:val="21"/>
                <w:u w:val="none"/>
                <w:lang w:val="en-US" w:eastAsia="zh-CN"/>
                <w14:textFill>
                  <w14:solidFill>
                    <w14:schemeClr w14:val="tx1"/>
                  </w14:solidFill>
                </w14:textFill>
              </w:rPr>
            </w:pPr>
            <w:r>
              <w:rPr>
                <w:rFonts w:hint="eastAsia" w:ascii="Times New Roman" w:hAnsi="Times New Roman"/>
                <w:b w:val="0"/>
                <w:bCs w:val="0"/>
                <w:color w:val="000000" w:themeColor="text1"/>
                <w:sz w:val="21"/>
                <w:szCs w:val="21"/>
                <w:u w:val="none"/>
                <w:lang w:val="en-US" w:eastAsia="zh-CN"/>
                <w14:textFill>
                  <w14:solidFill>
                    <w14:schemeClr w14:val="tx1"/>
                  </w14:solidFill>
                </w14:textFill>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ascii="Times New Roman" w:hAnsi="Times New Roman"/>
                <w:b w:val="0"/>
                <w:bCs w:val="0"/>
                <w:sz w:val="21"/>
                <w:szCs w:val="21"/>
                <w:u w:val="single"/>
                <w:lang w:val="en-US" w:eastAsia="zh-CN"/>
              </w:rPr>
              <w:t>废气处理</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ascii="Times New Roman" w:hAnsi="Times New Roman"/>
                <w:b w:val="0"/>
                <w:bCs w:val="0"/>
                <w:sz w:val="21"/>
                <w:szCs w:val="21"/>
                <w:u w:val="single"/>
                <w:lang w:val="en-US" w:eastAsia="zh-CN"/>
              </w:rPr>
              <w:t>除尘器卸灰</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color w:val="C00000"/>
                <w:sz w:val="21"/>
                <w:szCs w:val="21"/>
                <w:u w:val="none"/>
                <w:lang w:val="en-US" w:eastAsia="zh-CN"/>
              </w:rPr>
            </w:pPr>
            <w:r>
              <w:rPr>
                <w:rFonts w:hint="eastAsia" w:cs="Times New Roman"/>
                <w:b w:val="0"/>
                <w:bCs w:val="0"/>
                <w:sz w:val="21"/>
                <w:szCs w:val="21"/>
                <w:u w:val="none"/>
                <w:lang w:val="en-US"/>
              </w:rPr>
              <w:t>定期</w:t>
            </w:r>
            <w:r>
              <w:rPr>
                <w:rFonts w:hint="eastAsia" w:cs="Times New Roman"/>
                <w:b w:val="0"/>
                <w:bCs w:val="0"/>
                <w:color w:val="000000" w:themeColor="text1"/>
                <w:sz w:val="21"/>
                <w:szCs w:val="21"/>
                <w:u w:val="none"/>
                <w:lang w:val="en-US"/>
                <w14:textFill>
                  <w14:solidFill>
                    <w14:schemeClr w14:val="tx1"/>
                  </w14:solidFill>
                </w14:textFill>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ascii="Times New Roman" w:hAnsi="Times New Roman"/>
                <w:b w:val="0"/>
                <w:bCs w:val="0"/>
                <w:sz w:val="21"/>
                <w:szCs w:val="21"/>
                <w:u w:val="single"/>
                <w:lang w:val="en-US" w:eastAsia="zh-CN"/>
              </w:rPr>
              <w:t>污水处理清污</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b w:val="0"/>
                <w:bCs w:val="0"/>
                <w:sz w:val="21"/>
                <w:szCs w:val="21"/>
                <w:u w:val="single"/>
                <w:lang w:val="en-US" w:eastAsia="zh-CN"/>
              </w:rPr>
            </w:pPr>
            <w:r>
              <w:rPr>
                <w:rFonts w:hint="eastAsia" w:ascii="Times New Roman" w:hAnsi="Times New Roman"/>
                <w:b w:val="0"/>
                <w:bCs w:val="0"/>
                <w:sz w:val="21"/>
                <w:szCs w:val="21"/>
                <w:u w:val="single"/>
                <w:lang w:val="en-US" w:eastAsia="zh-CN"/>
              </w:rPr>
              <w:t>清洗污泥废渣</w:t>
            </w:r>
          </w:p>
        </w:tc>
        <w:tc>
          <w:tcPr>
            <w:tcW w:w="15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color w:val="C00000"/>
                <w:sz w:val="21"/>
                <w:szCs w:val="21"/>
                <w:u w:val="none"/>
                <w:lang w:val="en-US" w:eastAsia="zh-CN"/>
              </w:rPr>
            </w:pPr>
            <w:r>
              <w:rPr>
                <w:rFonts w:hint="eastAsia" w:cs="Times New Roman"/>
                <w:b w:val="0"/>
                <w:bCs w:val="0"/>
                <w:sz w:val="21"/>
                <w:szCs w:val="21"/>
                <w:u w:val="none"/>
                <w:lang w:val="en-US"/>
              </w:rPr>
              <w:t>定期</w:t>
            </w:r>
            <w:r>
              <w:rPr>
                <w:rFonts w:hint="eastAsia" w:cs="Times New Roman"/>
                <w:b w:val="0"/>
                <w:bCs w:val="0"/>
                <w:color w:val="000000" w:themeColor="text1"/>
                <w:sz w:val="21"/>
                <w:szCs w:val="21"/>
                <w:u w:val="none"/>
                <w:lang w:val="en-US"/>
                <w14:textFill>
                  <w14:solidFill>
                    <w14:schemeClr w14:val="tx1"/>
                  </w14:solidFill>
                </w14:textFill>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b w:val="0"/>
                <w:bCs w:val="0"/>
                <w:sz w:val="21"/>
                <w:szCs w:val="21"/>
                <w:u w:val="single"/>
                <w:lang w:val="en-US" w:eastAsia="zh-CN"/>
              </w:rPr>
              <w:t>废气处理</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single"/>
                <w:lang w:val="en-US" w:eastAsia="zh-CN"/>
              </w:rPr>
            </w:pPr>
            <w:r>
              <w:rPr>
                <w:rFonts w:hint="eastAsia"/>
                <w:b w:val="0"/>
                <w:bCs w:val="0"/>
                <w:sz w:val="21"/>
                <w:szCs w:val="21"/>
                <w:u w:val="single"/>
                <w:lang w:val="en-US" w:eastAsia="zh-CN"/>
              </w:rPr>
              <w:t>废活性炭</w:t>
            </w:r>
          </w:p>
        </w:tc>
        <w:tc>
          <w:tcPr>
            <w:tcW w:w="15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r>
              <w:rPr>
                <w:rFonts w:hint="eastAsia"/>
                <w:b w:val="0"/>
                <w:bCs w:val="0"/>
                <w:sz w:val="21"/>
                <w:szCs w:val="21"/>
                <w:u w:val="none"/>
                <w:lang w:val="en-US" w:eastAsia="zh-CN"/>
              </w:rPr>
              <w:t>危废暂存间暂存后交由有危废处理资质单位处理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single"/>
                <w:lang w:val="en-US" w:eastAsia="zh-CN"/>
              </w:rPr>
            </w:pP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single"/>
                <w:lang w:val="en-US" w:eastAsia="zh-CN"/>
              </w:rPr>
            </w:pPr>
            <w:r>
              <w:rPr>
                <w:rFonts w:hint="eastAsia"/>
                <w:b w:val="0"/>
                <w:bCs w:val="0"/>
                <w:sz w:val="21"/>
                <w:szCs w:val="21"/>
                <w:u w:val="single"/>
                <w:lang w:val="en-US" w:eastAsia="zh-CN"/>
              </w:rPr>
              <w:t>废催化剂</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single"/>
                <w:lang w:val="en-US" w:eastAsia="zh-CN"/>
              </w:rPr>
            </w:pP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single"/>
                <w:lang w:val="en-US" w:eastAsia="zh-CN"/>
              </w:rPr>
            </w:pPr>
            <w:r>
              <w:rPr>
                <w:rFonts w:hint="eastAsia"/>
                <w:b w:val="0"/>
                <w:bCs w:val="0"/>
                <w:sz w:val="21"/>
                <w:szCs w:val="21"/>
                <w:u w:val="single"/>
                <w:lang w:val="en-US" w:eastAsia="zh-CN"/>
              </w:rPr>
              <w:t>喷淋塔浮油、沉渣</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val="0"/>
                <w:bCs w:val="0"/>
                <w:sz w:val="21"/>
                <w:szCs w:val="21"/>
                <w:u w:val="none"/>
                <w:lang w:val="en-US" w:eastAsia="zh-CN"/>
              </w:rPr>
            </w:pPr>
          </w:p>
        </w:tc>
        <w:tc>
          <w:tcPr>
            <w:tcW w:w="12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b w:val="0"/>
                <w:bCs w:val="0"/>
                <w:sz w:val="21"/>
                <w:szCs w:val="21"/>
                <w:u w:val="single"/>
                <w:lang w:val="en-US" w:eastAsia="zh-CN"/>
              </w:rPr>
            </w:pPr>
            <w:r>
              <w:rPr>
                <w:rFonts w:hint="eastAsia"/>
                <w:b w:val="0"/>
                <w:bCs w:val="0"/>
                <w:sz w:val="21"/>
                <w:szCs w:val="21"/>
                <w:u w:val="single"/>
                <w:lang w:val="en-US" w:eastAsia="zh-CN"/>
              </w:rPr>
              <w:t>机械设备维修</w:t>
            </w:r>
          </w:p>
        </w:tc>
        <w:tc>
          <w:tcPr>
            <w:tcW w:w="16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single"/>
                <w:lang w:val="en-US" w:eastAsia="zh-CN"/>
              </w:rPr>
            </w:pPr>
            <w:r>
              <w:rPr>
                <w:rFonts w:hint="eastAsia"/>
                <w:b w:val="0"/>
                <w:bCs w:val="0"/>
                <w:sz w:val="21"/>
                <w:szCs w:val="21"/>
                <w:u w:val="single"/>
                <w:lang w:val="en-US" w:eastAsia="zh-CN"/>
              </w:rPr>
              <w:t>废机油</w:t>
            </w:r>
          </w:p>
        </w:tc>
        <w:tc>
          <w:tcPr>
            <w:tcW w:w="15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sz w:val="21"/>
                <w:szCs w:val="21"/>
                <w:u w:val="none"/>
                <w:lang w:val="en-US" w:eastAsia="zh-CN"/>
              </w:rPr>
            </w:pPr>
          </w:p>
        </w:tc>
      </w:tr>
    </w:tbl>
    <w:p>
      <w:pPr>
        <w:pStyle w:val="4"/>
        <w:ind w:firstLine="602"/>
        <w:rPr>
          <w:lang w:val="en-US"/>
        </w:rPr>
      </w:pPr>
      <w:bookmarkStart w:id="70" w:name="_Toc17374"/>
      <w:r>
        <w:rPr>
          <w:rFonts w:hint="eastAsia"/>
          <w:lang w:val="en-US"/>
        </w:rPr>
        <w:t>4.2</w:t>
      </w:r>
      <w:r>
        <w:rPr>
          <w:lang w:val="en-US"/>
        </w:rPr>
        <w:t>.</w:t>
      </w:r>
      <w:r>
        <w:rPr>
          <w:rFonts w:hint="eastAsia"/>
          <w:lang w:val="en-US" w:eastAsia="zh-CN"/>
        </w:rPr>
        <w:t>2</w:t>
      </w:r>
      <w:r>
        <w:rPr>
          <w:lang w:val="en-US"/>
        </w:rPr>
        <w:t xml:space="preserve"> </w:t>
      </w:r>
      <w:r>
        <w:rPr>
          <w:rFonts w:hint="eastAsia"/>
          <w:lang w:val="en-US"/>
        </w:rPr>
        <w:t>污染物源强分析</w:t>
      </w:r>
      <w:bookmarkEnd w:id="70"/>
    </w:p>
    <w:p>
      <w:pPr>
        <w:widowControl/>
        <w:ind w:firstLine="482"/>
        <w:jc w:val="left"/>
        <w:rPr>
          <w:b/>
          <w:bCs/>
          <w:color w:val="000000"/>
          <w:szCs w:val="24"/>
          <w:lang w:val="en-US" w:bidi="ar"/>
        </w:rPr>
      </w:pPr>
      <w:r>
        <w:rPr>
          <w:rFonts w:hint="eastAsia"/>
          <w:b/>
          <w:bCs/>
          <w:color w:val="000000"/>
          <w:szCs w:val="24"/>
          <w:lang w:val="en-US" w:bidi="ar"/>
        </w:rPr>
        <w:t>4.2</w:t>
      </w:r>
      <w:r>
        <w:rPr>
          <w:b/>
          <w:bCs/>
          <w:color w:val="000000"/>
          <w:szCs w:val="24"/>
          <w:lang w:val="en-US" w:bidi="ar"/>
        </w:rPr>
        <w:t>.</w:t>
      </w:r>
      <w:r>
        <w:rPr>
          <w:rFonts w:hint="eastAsia"/>
          <w:b/>
          <w:bCs/>
          <w:color w:val="000000"/>
          <w:szCs w:val="24"/>
          <w:lang w:val="en-US" w:eastAsia="zh-CN" w:bidi="ar"/>
        </w:rPr>
        <w:t>2</w:t>
      </w:r>
      <w:r>
        <w:rPr>
          <w:b/>
          <w:bCs/>
          <w:color w:val="000000"/>
          <w:szCs w:val="24"/>
          <w:lang w:val="en-US" w:bidi="ar"/>
        </w:rPr>
        <w:t xml:space="preserve">.1 </w:t>
      </w:r>
      <w:r>
        <w:rPr>
          <w:rFonts w:hint="eastAsia"/>
          <w:b/>
          <w:bCs/>
          <w:color w:val="000000"/>
          <w:szCs w:val="24"/>
          <w:lang w:val="en-US" w:bidi="ar"/>
        </w:rPr>
        <w:t>废气</w:t>
      </w:r>
    </w:p>
    <w:p>
      <w:pPr>
        <w:widowControl/>
        <w:ind w:firstLine="480"/>
        <w:jc w:val="left"/>
        <w:rPr>
          <w:color w:val="000000"/>
          <w:szCs w:val="24"/>
          <w:lang w:val="en-US" w:bidi="ar"/>
        </w:rPr>
      </w:pPr>
      <w:r>
        <w:rPr>
          <w:rFonts w:hint="eastAsia"/>
          <w:color w:val="000000"/>
          <w:szCs w:val="24"/>
          <w:lang w:val="en-US" w:bidi="ar"/>
        </w:rPr>
        <w:t>本项目运营期废气主要</w:t>
      </w:r>
      <w:r>
        <w:rPr>
          <w:rFonts w:hint="eastAsia"/>
          <w:color w:val="000000"/>
          <w:szCs w:val="24"/>
          <w:lang w:val="en-US" w:eastAsia="zh-CN" w:bidi="ar"/>
        </w:rPr>
        <w:t>破碎粉尘</w:t>
      </w:r>
      <w:r>
        <w:rPr>
          <w:rFonts w:hint="eastAsia"/>
          <w:color w:val="000000"/>
          <w:szCs w:val="24"/>
          <w:lang w:val="en-US" w:bidi="ar"/>
        </w:rPr>
        <w:t>、</w:t>
      </w:r>
      <w:r>
        <w:rPr>
          <w:rFonts w:hint="eastAsia"/>
          <w:color w:val="000000"/>
          <w:szCs w:val="24"/>
          <w:lang w:val="en-US" w:eastAsia="zh-CN" w:bidi="ar"/>
        </w:rPr>
        <w:t>造粒有机废气和臭气浓度</w:t>
      </w:r>
      <w:r>
        <w:rPr>
          <w:rFonts w:hint="eastAsia"/>
          <w:color w:val="000000"/>
          <w:szCs w:val="24"/>
          <w:lang w:val="en-US" w:bidi="ar"/>
        </w:rPr>
        <w:t>、</w:t>
      </w:r>
      <w:r>
        <w:rPr>
          <w:rFonts w:hint="eastAsia"/>
          <w:color w:val="000000"/>
          <w:szCs w:val="24"/>
          <w:lang w:val="en-US" w:eastAsia="zh-CN" w:bidi="ar"/>
        </w:rPr>
        <w:t>注塑有机废气、</w:t>
      </w:r>
      <w:r>
        <w:rPr>
          <w:rFonts w:hint="eastAsia"/>
          <w:color w:val="000000"/>
          <w:szCs w:val="24"/>
          <w:lang w:val="en-US" w:bidi="ar"/>
        </w:rPr>
        <w:t>餐饮油烟等，各个废气产生及处理情况见表4.2</w:t>
      </w:r>
      <w:r>
        <w:rPr>
          <w:color w:val="000000"/>
          <w:szCs w:val="24"/>
          <w:lang w:val="en-US" w:bidi="ar"/>
        </w:rPr>
        <w:t>-</w:t>
      </w:r>
      <w:r>
        <w:rPr>
          <w:rFonts w:hint="eastAsia"/>
          <w:color w:val="000000"/>
          <w:szCs w:val="24"/>
          <w:lang w:val="en-US" w:eastAsia="zh-CN" w:bidi="ar"/>
        </w:rPr>
        <w:t>2</w:t>
      </w:r>
      <w:r>
        <w:rPr>
          <w:rFonts w:hint="eastAsia"/>
          <w:color w:val="000000"/>
          <w:szCs w:val="24"/>
          <w:lang w:val="en-US" w:bidi="ar"/>
        </w:rPr>
        <w:t>。</w:t>
      </w:r>
    </w:p>
    <w:p>
      <w:pPr>
        <w:widowControl/>
        <w:ind w:firstLine="482"/>
        <w:jc w:val="center"/>
        <w:rPr>
          <w:b/>
          <w:bCs/>
          <w:color w:val="000000"/>
          <w:szCs w:val="24"/>
          <w:lang w:val="en-US" w:bidi="ar"/>
        </w:rPr>
      </w:pPr>
      <w:r>
        <w:rPr>
          <w:rFonts w:hint="eastAsia"/>
          <w:b/>
          <w:bCs/>
          <w:color w:val="000000"/>
          <w:szCs w:val="24"/>
          <w:lang w:val="en-US" w:bidi="ar"/>
        </w:rPr>
        <w:t>表4.2-</w:t>
      </w:r>
      <w:r>
        <w:rPr>
          <w:rFonts w:hint="eastAsia"/>
          <w:b/>
          <w:bCs/>
          <w:color w:val="000000"/>
          <w:szCs w:val="24"/>
          <w:lang w:val="en-US" w:eastAsia="zh-CN" w:bidi="ar"/>
        </w:rPr>
        <w:t>2</w:t>
      </w:r>
      <w:r>
        <w:rPr>
          <w:rFonts w:hint="eastAsia"/>
          <w:b/>
          <w:bCs/>
          <w:color w:val="000000"/>
          <w:szCs w:val="24"/>
          <w:lang w:val="en-US" w:bidi="ar"/>
        </w:rPr>
        <w:t xml:space="preserve">  本项目废气产生及排放情况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873"/>
        <w:gridCol w:w="1388"/>
        <w:gridCol w:w="1281"/>
        <w:gridCol w:w="2146"/>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gridSpan w:val="3"/>
            <w:vAlign w:val="center"/>
          </w:tcPr>
          <w:p>
            <w:pPr>
              <w:pStyle w:val="30"/>
              <w:rPr>
                <w:rFonts w:hint="default"/>
              </w:rPr>
            </w:pPr>
            <w:r>
              <w:t>污染源</w:t>
            </w:r>
          </w:p>
        </w:tc>
        <w:tc>
          <w:tcPr>
            <w:tcW w:w="1281" w:type="dxa"/>
            <w:vAlign w:val="center"/>
          </w:tcPr>
          <w:p>
            <w:pPr>
              <w:pStyle w:val="30"/>
              <w:rPr>
                <w:rFonts w:hint="default"/>
              </w:rPr>
            </w:pPr>
            <w:r>
              <w:t>产生工序</w:t>
            </w:r>
          </w:p>
        </w:tc>
        <w:tc>
          <w:tcPr>
            <w:tcW w:w="2146" w:type="dxa"/>
            <w:vAlign w:val="center"/>
          </w:tcPr>
          <w:p>
            <w:pPr>
              <w:pStyle w:val="30"/>
              <w:rPr>
                <w:rFonts w:hint="default"/>
              </w:rPr>
            </w:pPr>
            <w:r>
              <w:t>主要污染物</w:t>
            </w:r>
          </w:p>
        </w:tc>
        <w:tc>
          <w:tcPr>
            <w:tcW w:w="3115" w:type="dxa"/>
            <w:vAlign w:val="center"/>
          </w:tcPr>
          <w:p>
            <w:pPr>
              <w:pStyle w:val="30"/>
              <w:rPr>
                <w:rFonts w:hint="default"/>
              </w:rPr>
            </w:pPr>
            <w: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vMerge w:val="restart"/>
            <w:vAlign w:val="center"/>
          </w:tcPr>
          <w:p>
            <w:pPr>
              <w:pStyle w:val="30"/>
              <w:rPr>
                <w:rFonts w:hint="default"/>
              </w:rPr>
            </w:pPr>
            <w:r>
              <w:t>废气</w:t>
            </w:r>
          </w:p>
        </w:tc>
        <w:tc>
          <w:tcPr>
            <w:tcW w:w="873" w:type="dxa"/>
            <w:vMerge w:val="restart"/>
            <w:vAlign w:val="center"/>
          </w:tcPr>
          <w:p>
            <w:pPr>
              <w:pStyle w:val="30"/>
              <w:rPr>
                <w:rFonts w:hint="default"/>
              </w:rPr>
            </w:pPr>
            <w:r>
              <w:t>有组织</w:t>
            </w:r>
          </w:p>
        </w:tc>
        <w:tc>
          <w:tcPr>
            <w:tcW w:w="1388" w:type="dxa"/>
            <w:vAlign w:val="center"/>
          </w:tcPr>
          <w:p>
            <w:pPr>
              <w:pStyle w:val="30"/>
              <w:rPr>
                <w:rFonts w:hint="eastAsia" w:eastAsia="宋体"/>
                <w:lang w:eastAsia="zh-CN"/>
              </w:rPr>
            </w:pPr>
            <w:r>
              <w:rPr>
                <w:rFonts w:hint="eastAsia"/>
                <w:lang w:eastAsia="zh-CN"/>
              </w:rPr>
              <w:t>破碎车间</w:t>
            </w:r>
          </w:p>
        </w:tc>
        <w:tc>
          <w:tcPr>
            <w:tcW w:w="1281" w:type="dxa"/>
            <w:vAlign w:val="center"/>
          </w:tcPr>
          <w:p>
            <w:pPr>
              <w:pStyle w:val="30"/>
              <w:rPr>
                <w:rFonts w:hint="eastAsia" w:eastAsia="宋体"/>
                <w:lang w:eastAsia="zh-CN"/>
              </w:rPr>
            </w:pPr>
            <w:r>
              <w:rPr>
                <w:rFonts w:hint="eastAsia"/>
                <w:lang w:eastAsia="zh-CN"/>
              </w:rPr>
              <w:t>破碎</w:t>
            </w:r>
          </w:p>
        </w:tc>
        <w:tc>
          <w:tcPr>
            <w:tcW w:w="2146" w:type="dxa"/>
            <w:vAlign w:val="center"/>
          </w:tcPr>
          <w:p>
            <w:pPr>
              <w:pStyle w:val="30"/>
              <w:rPr>
                <w:rFonts w:hint="eastAsia" w:eastAsia="宋体"/>
                <w:lang w:eastAsia="zh-CN"/>
              </w:rPr>
            </w:pPr>
            <w:r>
              <w:rPr>
                <w:rFonts w:hint="eastAsia"/>
                <w:lang w:eastAsia="zh-CN"/>
              </w:rPr>
              <w:t>颗粒物</w:t>
            </w:r>
          </w:p>
        </w:tc>
        <w:tc>
          <w:tcPr>
            <w:tcW w:w="3115" w:type="dxa"/>
            <w:vAlign w:val="center"/>
          </w:tcPr>
          <w:p>
            <w:pPr>
              <w:pStyle w:val="30"/>
              <w:rPr>
                <w:rFonts w:hint="default" w:eastAsia="宋体"/>
                <w:lang w:val="en-US" w:eastAsia="zh-CN"/>
              </w:rPr>
            </w:pPr>
            <w:r>
              <w:rPr>
                <w:rFonts w:hint="eastAsia"/>
                <w:lang w:val="en-US" w:eastAsia="zh-CN"/>
              </w:rPr>
              <w:t>袋式除尘器+15m排气筒（DA001）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Align w:val="center"/>
          </w:tcPr>
          <w:p>
            <w:pPr>
              <w:pStyle w:val="30"/>
              <w:rPr>
                <w:rFonts w:hint="default" w:eastAsia="宋体"/>
                <w:u w:val="single"/>
                <w:lang w:val="en-US" w:eastAsia="zh-CN"/>
              </w:rPr>
            </w:pPr>
            <w:r>
              <w:rPr>
                <w:rFonts w:hint="eastAsia"/>
                <w:u w:val="single"/>
                <w:lang w:val="en-US" w:eastAsia="zh-CN"/>
              </w:rPr>
              <w:t>造粒</w:t>
            </w:r>
          </w:p>
        </w:tc>
        <w:tc>
          <w:tcPr>
            <w:tcW w:w="1281" w:type="dxa"/>
            <w:vAlign w:val="center"/>
          </w:tcPr>
          <w:p>
            <w:pPr>
              <w:pStyle w:val="30"/>
              <w:rPr>
                <w:rFonts w:hint="eastAsia" w:eastAsia="宋体"/>
                <w:u w:val="single"/>
                <w:lang w:eastAsia="zh-CN"/>
              </w:rPr>
            </w:pPr>
            <w:r>
              <w:rPr>
                <w:rFonts w:hint="eastAsia"/>
                <w:u w:val="single"/>
                <w:lang w:eastAsia="zh-CN"/>
              </w:rPr>
              <w:t>造粒</w:t>
            </w:r>
          </w:p>
        </w:tc>
        <w:tc>
          <w:tcPr>
            <w:tcW w:w="2146" w:type="dxa"/>
            <w:vAlign w:val="center"/>
          </w:tcPr>
          <w:p>
            <w:pPr>
              <w:pStyle w:val="30"/>
              <w:rPr>
                <w:rFonts w:hint="eastAsia" w:eastAsia="宋体"/>
                <w:u w:val="single"/>
                <w:lang w:eastAsia="zh-CN"/>
              </w:rPr>
            </w:pPr>
            <w:r>
              <w:rPr>
                <w:rFonts w:hint="eastAsia"/>
                <w:u w:val="single"/>
                <w:lang w:eastAsia="zh-CN"/>
              </w:rPr>
              <w:t>颗粒物、非甲烷总烃、苯乙烯</w:t>
            </w:r>
          </w:p>
        </w:tc>
        <w:tc>
          <w:tcPr>
            <w:tcW w:w="3115" w:type="dxa"/>
            <w:vAlign w:val="center"/>
          </w:tcPr>
          <w:p>
            <w:pPr>
              <w:pStyle w:val="30"/>
              <w:rPr>
                <w:rFonts w:hint="default" w:ascii="Times New Roman" w:hAnsi="Times New Roman" w:eastAsia="宋体"/>
                <w:lang w:val="en-US" w:eastAsia="zh-CN"/>
              </w:rPr>
            </w:pPr>
            <w:r>
              <w:rPr>
                <w:rFonts w:hint="eastAsia"/>
                <w:u w:val="single"/>
                <w:lang w:val="en-US" w:eastAsia="zh-CN"/>
              </w:rPr>
              <w:t>喷淋塔</w:t>
            </w:r>
            <w:r>
              <w:rPr>
                <w:rFonts w:hint="eastAsia" w:ascii="Times New Roman" w:hAnsi="Times New Roman" w:eastAsia="宋体"/>
                <w:u w:val="single"/>
                <w:lang w:val="en-US" w:eastAsia="zh-CN"/>
              </w:rPr>
              <w:t>+</w:t>
            </w:r>
            <w:r>
              <w:rPr>
                <w:rFonts w:hint="eastAsia"/>
                <w:u w:val="single"/>
                <w:lang w:val="en-US" w:eastAsia="zh-CN"/>
              </w:rPr>
              <w:t>吸附浓缩+1#催化燃烧</w:t>
            </w:r>
            <w:r>
              <w:rPr>
                <w:rFonts w:hint="eastAsia" w:ascii="Times New Roman" w:hAnsi="Times New Roman" w:eastAsia="宋体"/>
                <w:u w:val="single"/>
                <w:lang w:val="en-US" w:eastAsia="zh-CN"/>
              </w:rPr>
              <w:t>+15m排气筒</w:t>
            </w:r>
            <w:r>
              <w:rPr>
                <w:rFonts w:hint="eastAsia"/>
                <w:u w:val="single"/>
                <w:lang w:val="en-US" w:eastAsia="zh-CN"/>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Align w:val="center"/>
          </w:tcPr>
          <w:p>
            <w:pPr>
              <w:pStyle w:val="30"/>
              <w:rPr>
                <w:rFonts w:hint="eastAsia" w:eastAsia="宋体"/>
                <w:u w:val="single"/>
                <w:lang w:eastAsia="zh-CN"/>
              </w:rPr>
            </w:pPr>
            <w:r>
              <w:rPr>
                <w:rFonts w:hint="eastAsia"/>
                <w:u w:val="single"/>
                <w:lang w:eastAsia="zh-CN"/>
              </w:rPr>
              <w:t>注塑</w:t>
            </w:r>
          </w:p>
        </w:tc>
        <w:tc>
          <w:tcPr>
            <w:tcW w:w="1281" w:type="dxa"/>
            <w:vAlign w:val="center"/>
          </w:tcPr>
          <w:p>
            <w:pPr>
              <w:pStyle w:val="30"/>
              <w:rPr>
                <w:rFonts w:hint="eastAsia" w:eastAsia="宋体"/>
                <w:u w:val="single"/>
                <w:lang w:eastAsia="zh-CN"/>
              </w:rPr>
            </w:pPr>
            <w:r>
              <w:rPr>
                <w:rFonts w:hint="eastAsia"/>
                <w:u w:val="single"/>
                <w:lang w:eastAsia="zh-CN"/>
              </w:rPr>
              <w:t>注塑</w:t>
            </w:r>
          </w:p>
        </w:tc>
        <w:tc>
          <w:tcPr>
            <w:tcW w:w="2146" w:type="dxa"/>
            <w:vAlign w:val="center"/>
          </w:tcPr>
          <w:p>
            <w:pPr>
              <w:pStyle w:val="30"/>
              <w:rPr>
                <w:rFonts w:hint="eastAsia" w:eastAsia="宋体"/>
                <w:u w:val="single"/>
                <w:lang w:eastAsia="zh-CN"/>
              </w:rPr>
            </w:pPr>
            <w:r>
              <w:rPr>
                <w:rFonts w:hint="eastAsia"/>
                <w:u w:val="single"/>
                <w:lang w:eastAsia="zh-CN"/>
              </w:rPr>
              <w:t>非甲烷总烃、苯乙烯</w:t>
            </w:r>
          </w:p>
        </w:tc>
        <w:tc>
          <w:tcPr>
            <w:tcW w:w="3115" w:type="dxa"/>
            <w:vAlign w:val="center"/>
          </w:tcPr>
          <w:p>
            <w:pPr>
              <w:pStyle w:val="30"/>
              <w:rPr>
                <w:rFonts w:hint="default" w:ascii="Times New Roman" w:hAnsi="Times New Roman" w:eastAsia="宋体"/>
                <w:lang w:val="en-US" w:eastAsia="zh-CN"/>
              </w:rPr>
            </w:pPr>
            <w:r>
              <w:rPr>
                <w:rFonts w:hint="eastAsia"/>
                <w:lang w:val="en-US" w:eastAsia="zh-CN"/>
              </w:rPr>
              <w:t>微负压</w:t>
            </w:r>
            <w:r>
              <w:rPr>
                <w:rFonts w:hint="eastAsia" w:ascii="Times New Roman" w:hAnsi="Times New Roman" w:eastAsia="宋体"/>
                <w:lang w:val="en-US" w:eastAsia="zh-CN"/>
              </w:rPr>
              <w:t>+</w:t>
            </w:r>
            <w:r>
              <w:rPr>
                <w:rFonts w:hint="eastAsia"/>
                <w:lang w:val="en-US" w:eastAsia="zh-CN"/>
              </w:rPr>
              <w:t>吸附浓缩+2#催化燃烧</w:t>
            </w:r>
            <w:r>
              <w:rPr>
                <w:rFonts w:hint="eastAsia" w:ascii="Times New Roman" w:hAnsi="Times New Roman" w:eastAsia="宋体"/>
                <w:lang w:val="en-US" w:eastAsia="zh-CN"/>
              </w:rPr>
              <w:t>+15m排气筒</w:t>
            </w:r>
            <w:r>
              <w:rPr>
                <w:rFonts w:hint="eastAsia"/>
                <w:lang w:val="en-US" w:eastAsia="zh-CN"/>
              </w:rPr>
              <w:t>（DA003）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Align w:val="center"/>
          </w:tcPr>
          <w:p>
            <w:pPr>
              <w:pStyle w:val="30"/>
              <w:rPr>
                <w:rFonts w:hint="eastAsia"/>
                <w:u w:val="single"/>
                <w:lang w:eastAsia="zh-CN"/>
              </w:rPr>
            </w:pPr>
            <w:r>
              <w:rPr>
                <w:rFonts w:hint="eastAsia"/>
                <w:u w:val="single"/>
                <w:lang w:eastAsia="zh-CN"/>
              </w:rPr>
              <w:t>食堂</w:t>
            </w:r>
          </w:p>
        </w:tc>
        <w:tc>
          <w:tcPr>
            <w:tcW w:w="1281" w:type="dxa"/>
            <w:vAlign w:val="center"/>
          </w:tcPr>
          <w:p>
            <w:pPr>
              <w:pStyle w:val="30"/>
              <w:rPr>
                <w:rFonts w:hint="eastAsia"/>
                <w:u w:val="single"/>
                <w:lang w:eastAsia="zh-CN"/>
              </w:rPr>
            </w:pPr>
            <w:r>
              <w:rPr>
                <w:rFonts w:hint="eastAsia"/>
                <w:u w:val="single"/>
                <w:lang w:eastAsia="zh-CN"/>
              </w:rPr>
              <w:t>餐饮</w:t>
            </w:r>
          </w:p>
        </w:tc>
        <w:tc>
          <w:tcPr>
            <w:tcW w:w="2146" w:type="dxa"/>
            <w:vAlign w:val="center"/>
          </w:tcPr>
          <w:p>
            <w:pPr>
              <w:pStyle w:val="30"/>
              <w:rPr>
                <w:rFonts w:hint="eastAsia" w:eastAsia="宋体"/>
                <w:u w:val="single"/>
                <w:lang w:eastAsia="zh-CN"/>
              </w:rPr>
            </w:pPr>
            <w:r>
              <w:rPr>
                <w:rFonts w:hint="eastAsia"/>
                <w:u w:val="single"/>
                <w:lang w:eastAsia="zh-CN"/>
              </w:rPr>
              <w:t>油烟</w:t>
            </w:r>
          </w:p>
        </w:tc>
        <w:tc>
          <w:tcPr>
            <w:tcW w:w="3115" w:type="dxa"/>
            <w:vAlign w:val="center"/>
          </w:tcPr>
          <w:p>
            <w:pPr>
              <w:pStyle w:val="30"/>
            </w:pPr>
            <w:r>
              <w:t>油烟净化器净化处理后通过专用烟道高空排放</w:t>
            </w:r>
            <w:r>
              <w:rPr>
                <w:rFonts w:hint="eastAsia"/>
                <w:lang w:val="en-US" w:eastAsia="zh-CN"/>
              </w:rPr>
              <w:t>（DA004）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Align w:val="center"/>
          </w:tcPr>
          <w:p>
            <w:pPr>
              <w:pStyle w:val="30"/>
              <w:rPr>
                <w:rFonts w:hint="eastAsia"/>
                <w:u w:val="single"/>
                <w:lang w:eastAsia="zh-CN"/>
              </w:rPr>
            </w:pPr>
            <w:r>
              <w:rPr>
                <w:rFonts w:hint="eastAsia"/>
                <w:u w:val="single"/>
                <w:lang w:eastAsia="zh-CN"/>
              </w:rPr>
              <w:t>催化燃烧</w:t>
            </w:r>
          </w:p>
        </w:tc>
        <w:tc>
          <w:tcPr>
            <w:tcW w:w="1281" w:type="dxa"/>
            <w:vAlign w:val="center"/>
          </w:tcPr>
          <w:p>
            <w:pPr>
              <w:pStyle w:val="30"/>
              <w:rPr>
                <w:rFonts w:hint="eastAsia"/>
                <w:u w:val="single"/>
                <w:lang w:eastAsia="zh-CN"/>
              </w:rPr>
            </w:pPr>
            <w:r>
              <w:rPr>
                <w:rFonts w:hint="eastAsia"/>
                <w:u w:val="single"/>
                <w:lang w:eastAsia="zh-CN"/>
              </w:rPr>
              <w:t>废气处理</w:t>
            </w:r>
            <w:r>
              <w:rPr>
                <w:rFonts w:hint="eastAsia" w:ascii="宋体" w:hAnsi="宋体" w:eastAsia="宋体" w:cs="宋体"/>
                <w:u w:val="single"/>
                <w:vertAlign w:val="superscript"/>
                <w:lang w:eastAsia="zh-CN"/>
              </w:rPr>
              <w:t>①</w:t>
            </w:r>
          </w:p>
        </w:tc>
        <w:tc>
          <w:tcPr>
            <w:tcW w:w="2146" w:type="dxa"/>
            <w:vAlign w:val="center"/>
          </w:tcPr>
          <w:p>
            <w:pPr>
              <w:pStyle w:val="30"/>
              <w:rPr>
                <w:rFonts w:hint="eastAsia"/>
                <w:u w:val="single"/>
                <w:lang w:eastAsia="zh-CN"/>
              </w:rPr>
            </w:pPr>
            <w:r>
              <w:rPr>
                <w:rFonts w:hint="eastAsia"/>
                <w:u w:val="single"/>
                <w:lang w:eastAsia="zh-CN"/>
              </w:rPr>
              <w:t>二氧化碳、水</w:t>
            </w:r>
          </w:p>
        </w:tc>
        <w:tc>
          <w:tcPr>
            <w:tcW w:w="3115" w:type="dxa"/>
            <w:vAlign w:val="center"/>
          </w:tcPr>
          <w:p>
            <w:pPr>
              <w:pStyle w:val="30"/>
              <w:rPr>
                <w:rFonts w:hint="eastAsia" w:eastAsia="宋体"/>
                <w:lang w:eastAsia="zh-CN"/>
              </w:rPr>
            </w:pPr>
            <w:r>
              <w:rPr>
                <w:rFonts w:hint="eastAsia"/>
                <w:lang w:eastAsia="zh-CN"/>
              </w:rPr>
              <w:t>随排气筒排放</w:t>
            </w:r>
            <w:r>
              <w:rPr>
                <w:rFonts w:hint="eastAsia"/>
                <w:lang w:val="en-US" w:eastAsia="zh-CN"/>
              </w:rPr>
              <w:t>（DA002、DA003）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vMerge w:val="continue"/>
            <w:vAlign w:val="center"/>
          </w:tcPr>
          <w:p>
            <w:pPr>
              <w:pStyle w:val="30"/>
              <w:rPr>
                <w:rFonts w:hint="default"/>
              </w:rPr>
            </w:pPr>
          </w:p>
        </w:tc>
        <w:tc>
          <w:tcPr>
            <w:tcW w:w="873" w:type="dxa"/>
            <w:vMerge w:val="restart"/>
            <w:vAlign w:val="center"/>
          </w:tcPr>
          <w:p>
            <w:pPr>
              <w:pStyle w:val="30"/>
              <w:rPr>
                <w:rFonts w:hint="default"/>
              </w:rPr>
            </w:pPr>
            <w:r>
              <w:t>无组织</w:t>
            </w:r>
          </w:p>
        </w:tc>
        <w:tc>
          <w:tcPr>
            <w:tcW w:w="1388" w:type="dxa"/>
            <w:vAlign w:val="center"/>
          </w:tcPr>
          <w:p>
            <w:pPr>
              <w:pStyle w:val="30"/>
              <w:ind w:firstLine="0" w:firstLineChars="0"/>
              <w:rPr>
                <w:rFonts w:hint="default"/>
              </w:rPr>
            </w:pPr>
            <w:r>
              <w:rPr>
                <w:rFonts w:hint="eastAsia"/>
                <w:lang w:eastAsia="zh-CN"/>
              </w:rPr>
              <w:t>破碎车间</w:t>
            </w:r>
          </w:p>
        </w:tc>
        <w:tc>
          <w:tcPr>
            <w:tcW w:w="1281" w:type="dxa"/>
            <w:vAlign w:val="center"/>
          </w:tcPr>
          <w:p>
            <w:pPr>
              <w:pStyle w:val="30"/>
              <w:ind w:firstLine="0" w:firstLineChars="0"/>
              <w:rPr>
                <w:rFonts w:hint="eastAsia" w:eastAsia="宋体"/>
                <w:lang w:eastAsia="zh-CN"/>
              </w:rPr>
            </w:pPr>
            <w:r>
              <w:rPr>
                <w:rFonts w:hint="eastAsia"/>
                <w:lang w:eastAsia="zh-CN"/>
              </w:rPr>
              <w:t>破碎</w:t>
            </w:r>
          </w:p>
        </w:tc>
        <w:tc>
          <w:tcPr>
            <w:tcW w:w="2146" w:type="dxa"/>
            <w:vAlign w:val="center"/>
          </w:tcPr>
          <w:p>
            <w:pPr>
              <w:pStyle w:val="30"/>
              <w:jc w:val="center"/>
              <w:rPr>
                <w:rFonts w:hint="eastAsia" w:eastAsia="宋体"/>
                <w:lang w:eastAsia="zh-CN"/>
              </w:rPr>
            </w:pPr>
            <w:r>
              <w:rPr>
                <w:rFonts w:hint="eastAsia"/>
                <w:lang w:eastAsia="zh-CN"/>
              </w:rPr>
              <w:t>颗粒物</w:t>
            </w:r>
          </w:p>
        </w:tc>
        <w:tc>
          <w:tcPr>
            <w:tcW w:w="3115" w:type="dxa"/>
            <w:vMerge w:val="restart"/>
            <w:vAlign w:val="center"/>
          </w:tcPr>
          <w:p>
            <w:pPr>
              <w:pStyle w:val="30"/>
              <w:jc w:val="center"/>
              <w:rPr>
                <w:rFonts w:hint="eastAsia" w:eastAsia="宋体"/>
                <w:lang w:eastAsia="zh-CN"/>
              </w:rPr>
            </w:pPr>
            <w:r>
              <w:rPr>
                <w:rFonts w:hint="eastAsia"/>
                <w:lang w:eastAsia="zh-CN"/>
              </w:rPr>
              <w:t>车间密闭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Merge w:val="restart"/>
            <w:vAlign w:val="center"/>
          </w:tcPr>
          <w:p>
            <w:pPr>
              <w:pStyle w:val="30"/>
              <w:ind w:firstLine="0" w:firstLineChars="0"/>
            </w:pPr>
            <w:r>
              <w:rPr>
                <w:rFonts w:hint="eastAsia"/>
                <w:lang w:val="en-US" w:eastAsia="zh-CN"/>
              </w:rPr>
              <w:t>造粒、</w:t>
            </w:r>
            <w:r>
              <w:rPr>
                <w:rFonts w:hint="eastAsia"/>
                <w:lang w:eastAsia="zh-CN"/>
              </w:rPr>
              <w:t>注塑车间</w:t>
            </w:r>
          </w:p>
        </w:tc>
        <w:tc>
          <w:tcPr>
            <w:tcW w:w="1281" w:type="dxa"/>
            <w:vAlign w:val="center"/>
          </w:tcPr>
          <w:p>
            <w:pPr>
              <w:pStyle w:val="30"/>
              <w:ind w:firstLine="0" w:firstLineChars="0"/>
              <w:rPr>
                <w:rFonts w:hint="eastAsia" w:eastAsia="宋体"/>
                <w:lang w:eastAsia="zh-CN"/>
              </w:rPr>
            </w:pPr>
            <w:r>
              <w:rPr>
                <w:rFonts w:hint="eastAsia"/>
                <w:lang w:eastAsia="zh-CN"/>
              </w:rPr>
              <w:t>造粒</w:t>
            </w:r>
          </w:p>
        </w:tc>
        <w:tc>
          <w:tcPr>
            <w:tcW w:w="2146" w:type="dxa"/>
            <w:vAlign w:val="center"/>
          </w:tcPr>
          <w:p>
            <w:pPr>
              <w:pStyle w:val="30"/>
              <w:ind w:firstLine="0" w:firstLineChars="0"/>
              <w:jc w:val="center"/>
              <w:rPr>
                <w:rFonts w:hint="eastAsia" w:eastAsia="宋体"/>
                <w:lang w:eastAsia="zh-CN"/>
              </w:rPr>
            </w:pPr>
            <w:r>
              <w:rPr>
                <w:rFonts w:hint="eastAsia"/>
                <w:lang w:eastAsia="zh-CN"/>
              </w:rPr>
              <w:t>非甲烷总烃、苯乙烯</w:t>
            </w:r>
          </w:p>
        </w:tc>
        <w:tc>
          <w:tcPr>
            <w:tcW w:w="3115" w:type="dxa"/>
            <w:vMerge w:val="continue"/>
            <w:vAlign w:val="center"/>
          </w:tcPr>
          <w:p>
            <w:pPr>
              <w:pStyle w:val="3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Merge w:val="continue"/>
            <w:vAlign w:val="center"/>
          </w:tcPr>
          <w:p>
            <w:pPr>
              <w:pStyle w:val="30"/>
              <w:ind w:firstLine="0" w:firstLineChars="0"/>
            </w:pPr>
          </w:p>
        </w:tc>
        <w:tc>
          <w:tcPr>
            <w:tcW w:w="1281" w:type="dxa"/>
            <w:vAlign w:val="center"/>
          </w:tcPr>
          <w:p>
            <w:pPr>
              <w:pStyle w:val="30"/>
              <w:ind w:firstLine="0" w:firstLineChars="0"/>
            </w:pPr>
            <w:r>
              <w:rPr>
                <w:rFonts w:hint="eastAsia"/>
                <w:lang w:eastAsia="zh-CN"/>
              </w:rPr>
              <w:t>注塑</w:t>
            </w:r>
          </w:p>
        </w:tc>
        <w:tc>
          <w:tcPr>
            <w:tcW w:w="2146" w:type="dxa"/>
            <w:vAlign w:val="center"/>
          </w:tcPr>
          <w:p>
            <w:pPr>
              <w:pStyle w:val="30"/>
              <w:ind w:firstLine="0" w:firstLineChars="0"/>
            </w:pPr>
            <w:r>
              <w:rPr>
                <w:rFonts w:hint="eastAsia"/>
                <w:lang w:eastAsia="zh-CN"/>
              </w:rPr>
              <w:t>非甲烷总烃、苯乙烯</w:t>
            </w:r>
          </w:p>
        </w:tc>
        <w:tc>
          <w:tcPr>
            <w:tcW w:w="3115" w:type="dxa"/>
            <w:vMerge w:val="continue"/>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85" w:type="dxa"/>
            <w:vMerge w:val="continue"/>
            <w:vAlign w:val="center"/>
          </w:tcPr>
          <w:p>
            <w:pPr>
              <w:pStyle w:val="30"/>
              <w:rPr>
                <w:rFonts w:hint="default"/>
              </w:rPr>
            </w:pPr>
          </w:p>
        </w:tc>
        <w:tc>
          <w:tcPr>
            <w:tcW w:w="873" w:type="dxa"/>
            <w:vMerge w:val="continue"/>
            <w:vAlign w:val="center"/>
          </w:tcPr>
          <w:p>
            <w:pPr>
              <w:pStyle w:val="30"/>
              <w:rPr>
                <w:rFonts w:hint="default"/>
              </w:rPr>
            </w:pPr>
          </w:p>
        </w:tc>
        <w:tc>
          <w:tcPr>
            <w:tcW w:w="1388" w:type="dxa"/>
            <w:vAlign w:val="center"/>
          </w:tcPr>
          <w:p>
            <w:pPr>
              <w:pStyle w:val="30"/>
              <w:ind w:firstLine="0" w:firstLineChars="0"/>
              <w:rPr>
                <w:rFonts w:hint="default"/>
                <w:lang w:val="en-US" w:eastAsia="zh-CN"/>
              </w:rPr>
            </w:pPr>
            <w:r>
              <w:rPr>
                <w:rFonts w:hint="eastAsia"/>
                <w:lang w:val="en-US" w:eastAsia="zh-CN"/>
              </w:rPr>
              <w:t>污水处理站</w:t>
            </w:r>
          </w:p>
        </w:tc>
        <w:tc>
          <w:tcPr>
            <w:tcW w:w="1281" w:type="dxa"/>
            <w:vAlign w:val="center"/>
          </w:tcPr>
          <w:p>
            <w:pPr>
              <w:pStyle w:val="30"/>
              <w:ind w:firstLine="0" w:firstLineChars="0"/>
              <w:rPr>
                <w:rFonts w:hint="eastAsia"/>
                <w:lang w:eastAsia="zh-CN"/>
              </w:rPr>
            </w:pPr>
            <w:r>
              <w:rPr>
                <w:rFonts w:hint="eastAsia"/>
                <w:lang w:eastAsia="zh-CN"/>
              </w:rPr>
              <w:t>污水处理</w:t>
            </w:r>
          </w:p>
        </w:tc>
        <w:tc>
          <w:tcPr>
            <w:tcW w:w="2146" w:type="dxa"/>
            <w:vAlign w:val="center"/>
          </w:tcPr>
          <w:p>
            <w:pPr>
              <w:pStyle w:val="30"/>
              <w:ind w:firstLine="0" w:firstLineChars="0"/>
              <w:rPr>
                <w:rFonts w:hint="eastAsia"/>
                <w:lang w:eastAsia="zh-CN"/>
              </w:rPr>
            </w:pPr>
            <w:r>
              <w:rPr>
                <w:rFonts w:hint="eastAsia"/>
                <w:lang w:eastAsia="zh-CN"/>
              </w:rPr>
              <w:t>非甲烷总烃、氨、硫化氢</w:t>
            </w:r>
          </w:p>
        </w:tc>
        <w:tc>
          <w:tcPr>
            <w:tcW w:w="3115" w:type="dxa"/>
            <w:vAlign w:val="center"/>
          </w:tcPr>
          <w:p>
            <w:pPr>
              <w:pStyle w:val="30"/>
              <w:rPr>
                <w:rFonts w:hint="eastAsia" w:eastAsia="宋体"/>
                <w:lang w:eastAsia="zh-CN"/>
              </w:rPr>
            </w:pPr>
            <w:r>
              <w:rPr>
                <w:rFonts w:hint="eastAsia" w:cs="Times New Roman"/>
                <w:szCs w:val="28"/>
                <w:u w:val="single"/>
                <w:lang w:eastAsia="zh-CN"/>
              </w:rPr>
              <w:t>二级活性炭吸附</w:t>
            </w:r>
            <w:r>
              <w:rPr>
                <w:rFonts w:cs="Times New Roman"/>
                <w:szCs w:val="28"/>
                <w:u w:val="single"/>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288" w:type="dxa"/>
            <w:gridSpan w:val="6"/>
            <w:vAlign w:val="center"/>
          </w:tcPr>
          <w:p>
            <w:pPr>
              <w:pStyle w:val="30"/>
              <w:jc w:val="both"/>
              <w:rPr>
                <w:rFonts w:hint="eastAsia"/>
                <w:b/>
                <w:bCs/>
                <w:u w:val="single"/>
                <w:lang w:eastAsia="zh-CN"/>
              </w:rPr>
            </w:pPr>
            <w:r>
              <w:rPr>
                <w:rFonts w:hint="eastAsia"/>
                <w:b/>
                <w:bCs/>
                <w:u w:val="single"/>
                <w:lang w:eastAsia="zh-CN"/>
              </w:rPr>
              <w:t>注</w:t>
            </w:r>
            <w:r>
              <w:rPr>
                <w:rFonts w:hint="eastAsia" w:ascii="宋体" w:hAnsi="宋体" w:eastAsia="宋体" w:cs="宋体"/>
                <w:b/>
                <w:bCs/>
                <w:u w:val="single"/>
                <w:lang w:eastAsia="zh-CN"/>
              </w:rPr>
              <w:t>①</w:t>
            </w:r>
            <w:r>
              <w:rPr>
                <w:rFonts w:hint="eastAsia"/>
                <w:b/>
                <w:bCs/>
                <w:u w:val="single"/>
                <w:lang w:eastAsia="zh-CN"/>
              </w:rPr>
              <w:t>：工程分析项目有机废气以非甲烷总烃和苯乙烯进行表征，燃烧尾气不含氮氧化物。</w:t>
            </w:r>
          </w:p>
          <w:p>
            <w:pPr>
              <w:pStyle w:val="30"/>
              <w:keepNext w:val="0"/>
              <w:keepLines w:val="0"/>
              <w:pageBreakBefore w:val="0"/>
              <w:widowControl/>
              <w:kinsoku/>
              <w:wordWrap/>
              <w:overflowPunct/>
              <w:topLinePunct w:val="0"/>
              <w:autoSpaceDE/>
              <w:autoSpaceDN/>
              <w:bidi w:val="0"/>
              <w:adjustRightInd/>
              <w:snapToGrid/>
              <w:ind w:firstLine="422" w:firstLineChars="200"/>
              <w:jc w:val="both"/>
              <w:textAlignment w:val="auto"/>
              <w:rPr>
                <w:rFonts w:hint="eastAsia"/>
                <w:b/>
                <w:bCs/>
                <w:u w:val="single"/>
                <w:lang w:eastAsia="zh-CN"/>
              </w:rPr>
            </w:pPr>
            <w:r>
              <w:rPr>
                <w:rFonts w:hint="eastAsia"/>
                <w:b/>
                <w:bCs/>
                <w:u w:val="single"/>
                <w:lang w:eastAsia="zh-CN"/>
              </w:rPr>
              <w:t>ABS树脂基本没有毒性，其原料是丙烯腈（</w:t>
            </w:r>
            <w:r>
              <w:rPr>
                <w:rFonts w:hint="eastAsia"/>
                <w:b/>
                <w:bCs/>
                <w:u w:val="single"/>
                <w:lang w:val="en-US" w:eastAsia="zh-CN"/>
              </w:rPr>
              <w:t>A</w:t>
            </w:r>
            <w:r>
              <w:rPr>
                <w:rFonts w:hint="eastAsia"/>
                <w:b/>
                <w:bCs/>
                <w:u w:val="single"/>
                <w:lang w:eastAsia="zh-CN"/>
              </w:rPr>
              <w:t>）、丁二烯（</w:t>
            </w:r>
            <w:r>
              <w:rPr>
                <w:rFonts w:hint="eastAsia"/>
                <w:b/>
                <w:bCs/>
                <w:u w:val="single"/>
                <w:lang w:val="en-US" w:eastAsia="zh-CN"/>
              </w:rPr>
              <w:t>B</w:t>
            </w:r>
            <w:r>
              <w:rPr>
                <w:rFonts w:hint="eastAsia"/>
                <w:b/>
                <w:bCs/>
                <w:u w:val="single"/>
                <w:lang w:eastAsia="zh-CN"/>
              </w:rPr>
              <w:t>）与苯乙烯（</w:t>
            </w:r>
            <w:r>
              <w:rPr>
                <w:rFonts w:hint="eastAsia"/>
                <w:b/>
                <w:bCs/>
                <w:u w:val="single"/>
                <w:lang w:val="en-US" w:eastAsia="zh-CN"/>
              </w:rPr>
              <w:t>S</w:t>
            </w:r>
            <w:r>
              <w:rPr>
                <w:rFonts w:hint="eastAsia"/>
                <w:b/>
                <w:bCs/>
                <w:u w:val="single"/>
                <w:lang w:eastAsia="zh-CN"/>
              </w:rPr>
              <w:t>），A:B:S=（23～41）:（10～30）:（29～69）。其中苯乙烯、丙烯腈单体如果没有反应完有残留的话，会带来一定毒性，不过现在的合成工艺基本可以控制其含量在PPM（百万分之一）级别，合成企业会采用控制定量合成法，以确保丙烯腈（</w:t>
            </w:r>
            <w:r>
              <w:rPr>
                <w:rFonts w:hint="eastAsia"/>
                <w:b/>
                <w:bCs/>
                <w:u w:val="single"/>
                <w:lang w:val="en-US" w:eastAsia="zh-CN"/>
              </w:rPr>
              <w:t>A</w:t>
            </w:r>
            <w:r>
              <w:rPr>
                <w:rFonts w:hint="eastAsia"/>
                <w:b/>
                <w:bCs/>
                <w:u w:val="single"/>
                <w:lang w:eastAsia="zh-CN"/>
              </w:rPr>
              <w:t>）、丁二烯（</w:t>
            </w:r>
            <w:r>
              <w:rPr>
                <w:rFonts w:hint="eastAsia"/>
                <w:b/>
                <w:bCs/>
                <w:u w:val="single"/>
                <w:lang w:val="en-US" w:eastAsia="zh-CN"/>
              </w:rPr>
              <w:t>B</w:t>
            </w:r>
            <w:r>
              <w:rPr>
                <w:rFonts w:hint="eastAsia"/>
                <w:b/>
                <w:bCs/>
                <w:u w:val="single"/>
                <w:lang w:eastAsia="zh-CN"/>
              </w:rPr>
              <w:t>）完全反应，因此产品中会有少量苯乙烯单体游离。</w:t>
            </w:r>
          </w:p>
          <w:p>
            <w:pPr>
              <w:pStyle w:val="30"/>
              <w:keepNext w:val="0"/>
              <w:keepLines w:val="0"/>
              <w:pageBreakBefore w:val="0"/>
              <w:widowControl/>
              <w:kinsoku/>
              <w:wordWrap/>
              <w:overflowPunct/>
              <w:topLinePunct w:val="0"/>
              <w:autoSpaceDE/>
              <w:autoSpaceDN/>
              <w:bidi w:val="0"/>
              <w:adjustRightInd/>
              <w:snapToGrid/>
              <w:ind w:firstLine="422" w:firstLineChars="200"/>
              <w:jc w:val="both"/>
              <w:textAlignment w:val="auto"/>
              <w:rPr>
                <w:rFonts w:hint="eastAsia"/>
                <w:b/>
                <w:bCs/>
                <w:u w:val="single"/>
                <w:lang w:eastAsia="zh-CN"/>
              </w:rPr>
            </w:pPr>
            <w:r>
              <w:rPr>
                <w:rFonts w:hint="eastAsia"/>
                <w:b/>
                <w:bCs/>
                <w:u w:val="single"/>
                <w:lang w:eastAsia="zh-CN"/>
              </w:rPr>
              <w:t>现阶段国内注塑工艺和造粒工艺均比较成熟，项目购置的注塑工序和熔融造粒设备均采用</w:t>
            </w:r>
            <w:r>
              <w:rPr>
                <w:rFonts w:hint="eastAsia"/>
                <w:b/>
                <w:bCs/>
                <w:u w:val="single"/>
                <w:lang w:val="en-US" w:eastAsia="zh-CN"/>
              </w:rPr>
              <w:t>PLC自动化控温系统，熔融造粒阶段温度控制在210-250℃，注塑阶段温度控制在200℃左右。确保温度不会超过250℃。ABS树脂</w:t>
            </w:r>
            <w:r>
              <w:rPr>
                <w:rFonts w:hint="eastAsia"/>
                <w:b/>
                <w:bCs/>
                <w:u w:val="single"/>
                <w:lang w:val="en-US" w:eastAsia="zh-CN"/>
              </w:rPr>
              <w:fldChar w:fldCharType="begin"/>
            </w:r>
            <w:r>
              <w:rPr>
                <w:rFonts w:hint="eastAsia"/>
                <w:b/>
                <w:bCs/>
                <w:u w:val="single"/>
                <w:lang w:val="en-US" w:eastAsia="zh-CN"/>
              </w:rPr>
              <w:instrText xml:space="preserve"> HYPERLINK "https://baike.baidu.com/item/%E7%83%AD%E5%8F%98%E5%BD%A2%E6%B8%A9%E5%BA%A6" \t "https://baike.baidu.com/item/ABS%E5%A1%91%E6%96%99/_blank" </w:instrText>
            </w:r>
            <w:r>
              <w:rPr>
                <w:rFonts w:hint="eastAsia"/>
                <w:b/>
                <w:bCs/>
                <w:u w:val="single"/>
                <w:lang w:val="en-US" w:eastAsia="zh-CN"/>
              </w:rPr>
              <w:fldChar w:fldCharType="separate"/>
            </w:r>
            <w:r>
              <w:rPr>
                <w:rFonts w:hint="eastAsia"/>
                <w:b/>
                <w:bCs/>
                <w:u w:val="single"/>
                <w:lang w:val="en-US" w:eastAsia="zh-CN"/>
              </w:rPr>
              <w:t>热变形温度</w:t>
            </w:r>
            <w:r>
              <w:rPr>
                <w:rFonts w:hint="eastAsia"/>
                <w:b/>
                <w:bCs/>
                <w:u w:val="single"/>
                <w:lang w:val="en-US" w:eastAsia="zh-CN"/>
              </w:rPr>
              <w:fldChar w:fldCharType="end"/>
            </w:r>
            <w:r>
              <w:rPr>
                <w:rFonts w:hint="eastAsia"/>
                <w:b/>
                <w:bCs/>
                <w:u w:val="single"/>
                <w:lang w:val="en-US" w:eastAsia="zh-CN"/>
              </w:rPr>
              <w:t>低可燃，耐热性较差；熔融温度在217~237℃，热分解温度在250℃以上，PS熔融温度240℃，分解温度300℃以上。因此保证ABS树脂在不发生分解的情况下进行熔融，项目废气中不会有</w:t>
            </w:r>
            <w:r>
              <w:rPr>
                <w:rFonts w:hint="eastAsia"/>
                <w:b/>
                <w:bCs/>
                <w:u w:val="single"/>
                <w:lang w:eastAsia="zh-CN"/>
              </w:rPr>
              <w:t>丙烯腈（</w:t>
            </w:r>
            <w:r>
              <w:rPr>
                <w:rFonts w:hint="eastAsia"/>
                <w:b/>
                <w:bCs/>
                <w:u w:val="single"/>
                <w:lang w:val="en-US" w:eastAsia="zh-CN"/>
              </w:rPr>
              <w:t>A</w:t>
            </w:r>
            <w:r>
              <w:rPr>
                <w:rFonts w:hint="eastAsia"/>
                <w:b/>
                <w:bCs/>
                <w:u w:val="single"/>
                <w:lang w:eastAsia="zh-CN"/>
              </w:rPr>
              <w:t>）、丁二烯（</w:t>
            </w:r>
            <w:r>
              <w:rPr>
                <w:rFonts w:hint="eastAsia"/>
                <w:b/>
                <w:bCs/>
                <w:u w:val="single"/>
                <w:lang w:val="en-US" w:eastAsia="zh-CN"/>
              </w:rPr>
              <w:t>B</w:t>
            </w:r>
            <w:r>
              <w:rPr>
                <w:rFonts w:hint="eastAsia"/>
                <w:b/>
                <w:bCs/>
                <w:u w:val="single"/>
                <w:lang w:eastAsia="zh-CN"/>
              </w:rPr>
              <w:t>）废气产生。</w:t>
            </w:r>
          </w:p>
          <w:p>
            <w:pPr>
              <w:pStyle w:val="30"/>
              <w:keepNext w:val="0"/>
              <w:keepLines w:val="0"/>
              <w:pageBreakBefore w:val="0"/>
              <w:widowControl/>
              <w:kinsoku/>
              <w:wordWrap/>
              <w:overflowPunct/>
              <w:topLinePunct w:val="0"/>
              <w:autoSpaceDE/>
              <w:autoSpaceDN/>
              <w:bidi w:val="0"/>
              <w:adjustRightInd/>
              <w:snapToGrid/>
              <w:ind w:firstLine="422" w:firstLineChars="200"/>
              <w:jc w:val="both"/>
              <w:textAlignment w:val="auto"/>
              <w:rPr>
                <w:rFonts w:hint="default" w:eastAsia="宋体"/>
                <w:b/>
                <w:bCs/>
                <w:u w:val="single"/>
                <w:lang w:val="en-US" w:eastAsia="zh-CN"/>
              </w:rPr>
            </w:pPr>
            <w:r>
              <w:rPr>
                <w:rFonts w:hint="default"/>
                <w:b/>
                <w:bCs/>
                <w:u w:val="single"/>
                <w:lang w:val="en-US" w:eastAsia="zh-CN"/>
              </w:rPr>
              <w:t>催化燃烧设备是典型的气-固相催化燃烧反应，它借助催化剂降低了反应的活化能，使其在较低的起燃温度200～300℃下进行无焰燃烧，有机物质氧化发生在固体催化剂表面，同时产生CO</w:t>
            </w:r>
            <w:r>
              <w:rPr>
                <w:rFonts w:hint="default"/>
                <w:b/>
                <w:bCs/>
                <w:u w:val="single"/>
                <w:vertAlign w:val="subscript"/>
                <w:lang w:val="en-US" w:eastAsia="zh-CN"/>
              </w:rPr>
              <w:t>2</w:t>
            </w:r>
            <w:r>
              <w:rPr>
                <w:rFonts w:hint="default"/>
                <w:b/>
                <w:bCs/>
                <w:u w:val="single"/>
                <w:lang w:val="en-US" w:eastAsia="zh-CN"/>
              </w:rPr>
              <w:t>和H</w:t>
            </w:r>
            <w:r>
              <w:rPr>
                <w:rFonts w:hint="default"/>
                <w:b/>
                <w:bCs/>
                <w:u w:val="single"/>
                <w:vertAlign w:val="subscript"/>
                <w:lang w:val="en-US" w:eastAsia="zh-CN"/>
              </w:rPr>
              <w:t>2</w:t>
            </w:r>
            <w:r>
              <w:rPr>
                <w:rFonts w:hint="default"/>
                <w:b/>
                <w:bCs/>
                <w:u w:val="single"/>
                <w:lang w:val="en-US" w:eastAsia="zh-CN"/>
              </w:rPr>
              <w:t>O，</w:t>
            </w:r>
            <w:r>
              <w:rPr>
                <w:rFonts w:hint="eastAsia"/>
                <w:b/>
                <w:bCs/>
                <w:u w:val="single"/>
                <w:lang w:val="en-US" w:eastAsia="zh-CN"/>
              </w:rPr>
              <w:t>本项目废气中不产生含N物质，因此在燃烧尾气中不会产生氮氧化物废气。</w:t>
            </w:r>
          </w:p>
        </w:tc>
      </w:tr>
    </w:tbl>
    <w:p>
      <w:pPr>
        <w:pStyle w:val="19"/>
        <w:keepNext w:val="0"/>
        <w:keepLines w:val="0"/>
        <w:widowControl/>
        <w:suppressLineNumbers w:val="0"/>
        <w:spacing w:before="0" w:beforeAutospacing="0" w:after="0" w:afterAutospacing="0"/>
        <w:ind w:left="0" w:right="0" w:firstLine="0"/>
        <w:rPr>
          <w:rFonts w:hint="default" w:eastAsia="宋体"/>
          <w:lang w:val="en-US" w:eastAsia="zh-CN"/>
        </w:rPr>
      </w:pPr>
      <w:r>
        <w:rPr>
          <w:rFonts w:hint="eastAsia"/>
          <w:lang w:eastAsia="zh-CN"/>
        </w:rPr>
        <w:t>（</w:t>
      </w:r>
      <w:r>
        <w:rPr>
          <w:rFonts w:hint="eastAsia"/>
          <w:lang w:val="en-US" w:eastAsia="zh-CN"/>
        </w:rPr>
        <w:t>1）破碎车间粉尘</w:t>
      </w:r>
    </w:p>
    <w:p>
      <w:pPr>
        <w:keepNext w:val="0"/>
        <w:keepLines w:val="0"/>
        <w:widowControl/>
        <w:suppressLineNumbers w:val="0"/>
        <w:jc w:val="left"/>
        <w:rPr>
          <w:rFonts w:hint="default" w:ascii="Times New Roman" w:hAnsi="Times New Roman" w:eastAsia="宋体"/>
          <w:color w:val="000000" w:themeColor="text1"/>
          <w:lang w:val="en-US"/>
          <w14:textFill>
            <w14:solidFill>
              <w14:schemeClr w14:val="tx1"/>
            </w14:solidFill>
          </w14:textFill>
        </w:rPr>
      </w:pPr>
      <w:r>
        <w:rPr>
          <w:color w:val="000000" w:themeColor="text1"/>
          <w14:textFill>
            <w14:solidFill>
              <w14:schemeClr w14:val="tx1"/>
            </w14:solidFill>
          </w14:textFill>
        </w:rPr>
        <w:t>参考《工业污染源产排污系数手册》</w:t>
      </w:r>
      <w:r>
        <w:rPr>
          <w:rFonts w:hint="eastAsia" w:cstheme="minorBidi"/>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heme="minorBidi"/>
          <w:color w:val="000000" w:themeColor="text1"/>
          <w:kern w:val="0"/>
          <w:sz w:val="24"/>
          <w:szCs w:val="24"/>
          <w:lang w:val="en-US" w:eastAsia="zh-CN" w:bidi="ar"/>
          <w14:textFill>
            <w14:solidFill>
              <w14:schemeClr w14:val="tx1"/>
            </w14:solidFill>
          </w14:textFill>
        </w:rPr>
        <w:t>4220</w:t>
      </w:r>
      <w:r>
        <w:rPr>
          <w:rFonts w:ascii="Times New Roman" w:hAnsi="Times New Roman" w:eastAsia="宋体" w:cstheme="minorBidi"/>
          <w:color w:val="000000" w:themeColor="text1"/>
          <w:kern w:val="0"/>
          <w:sz w:val="24"/>
          <w:szCs w:val="24"/>
          <w:lang w:val="en-US" w:eastAsia="zh-CN" w:bidi="ar"/>
          <w14:textFill>
            <w14:solidFill>
              <w14:schemeClr w14:val="tx1"/>
            </w14:solidFill>
          </w14:textFill>
        </w:rPr>
        <w:t>非金属废料和碎屑加工处理行业</w:t>
      </w:r>
      <w:r>
        <w:rPr>
          <w:rFonts w:hint="eastAsia" w:cstheme="minorBidi"/>
          <w:color w:val="000000" w:themeColor="text1"/>
          <w:kern w:val="0"/>
          <w:sz w:val="24"/>
          <w:szCs w:val="24"/>
          <w:lang w:val="en-US" w:eastAsia="zh-CN" w:bidi="ar"/>
          <w14:textFill>
            <w14:solidFill>
              <w14:schemeClr w14:val="tx1"/>
            </w14:solidFill>
          </w14:textFill>
        </w:rPr>
        <w:t>”</w:t>
      </w:r>
      <w:r>
        <w:rPr>
          <w:color w:val="000000" w:themeColor="text1"/>
          <w14:textFill>
            <w14:solidFill>
              <w14:schemeClr w14:val="tx1"/>
            </w14:solidFill>
          </w14:textFill>
        </w:rPr>
        <w:t>中</w:t>
      </w:r>
      <w:r>
        <w:rPr>
          <w:rFonts w:hint="eastAsia" w:ascii="宋体" w:hAnsi="宋体" w:eastAsia="宋体" w:cs="宋体"/>
          <w:color w:val="000000"/>
          <w:kern w:val="0"/>
          <w:sz w:val="24"/>
          <w:szCs w:val="24"/>
          <w:lang w:val="en-US" w:eastAsia="zh-CN" w:bidi="ar"/>
        </w:rPr>
        <w:t>废</w:t>
      </w:r>
      <w:r>
        <w:rPr>
          <w:rFonts w:hint="default" w:ascii="Times New Roman" w:hAnsi="Times New Roman" w:eastAsia="宋体" w:cs="Times New Roman"/>
          <w:color w:val="000000"/>
          <w:kern w:val="0"/>
          <w:sz w:val="24"/>
          <w:szCs w:val="24"/>
          <w:lang w:val="en-US" w:eastAsia="zh-CN" w:bidi="ar"/>
        </w:rPr>
        <w:t>PS/ABS</w:t>
      </w:r>
      <w:r>
        <w:rPr>
          <w:rFonts w:hint="eastAsia" w:ascii="Times New Roman" w:hAnsi="Times New Roman" w:eastAsia="宋体" w:cs="Times New Roman"/>
          <w:color w:val="000000"/>
          <w:kern w:val="0"/>
          <w:sz w:val="24"/>
          <w:szCs w:val="24"/>
          <w:lang w:val="en-US" w:eastAsia="zh-CN" w:bidi="ar"/>
        </w:rPr>
        <w:t>破碎工序中工业废气量为2500</w:t>
      </w:r>
      <w:r>
        <w:rPr>
          <w:rFonts w:hint="eastAsia" w:ascii="Times New Roman" w:hAnsi="Times New Roman" w:eastAsia="宋体"/>
          <w:color w:val="000000" w:themeColor="text1"/>
          <w:lang w:val="en-US" w:eastAsia="zh-CN"/>
          <w14:textFill>
            <w14:solidFill>
              <w14:schemeClr w14:val="tx1"/>
            </w14:solidFill>
          </w14:textFill>
        </w:rPr>
        <w:t>标立方米</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吨</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原料，颗粒物产生量为425克</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吨</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原料。本项目废塑料用量为6000t/a，则废气产生量为1500万标立方米</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a，颗粒物产生量为2.55t/a。</w:t>
      </w:r>
    </w:p>
    <w:p>
      <w:pPr>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u w:val="none"/>
          <w:lang w:eastAsia="zh-CN"/>
          <w14:textFill>
            <w14:solidFill>
              <w14:schemeClr w14:val="tx1"/>
            </w14:solidFill>
          </w14:textFill>
        </w:rPr>
      </w:pPr>
      <w:r>
        <w:rPr>
          <w:rFonts w:hint="default" w:ascii="Times New Roman" w:hAnsi="Times New Roman" w:cs="Times New Roman"/>
          <w:color w:val="000000" w:themeColor="text1"/>
          <w:sz w:val="24"/>
          <w:u w:val="none"/>
          <w14:textFill>
            <w14:solidFill>
              <w14:schemeClr w14:val="tx1"/>
            </w14:solidFill>
          </w14:textFill>
        </w:rPr>
        <w:t>环评要求：</w:t>
      </w:r>
      <w:r>
        <w:rPr>
          <w:rFonts w:hint="default" w:ascii="Times New Roman" w:hAnsi="Times New Roman" w:cs="Times New Roman"/>
          <w:color w:val="000000" w:themeColor="text1"/>
          <w:sz w:val="24"/>
          <w:u w:val="none"/>
          <w14:textFill>
            <w14:solidFill>
              <w14:schemeClr w14:val="tx1"/>
            </w14:solidFill>
          </w14:textFill>
        </w:rPr>
        <w:fldChar w:fldCharType="begin"/>
      </w:r>
      <w:r>
        <w:rPr>
          <w:rFonts w:hint="default" w:ascii="Times New Roman" w:hAnsi="Times New Roman" w:cs="Times New Roman"/>
          <w:color w:val="000000" w:themeColor="text1"/>
          <w:sz w:val="24"/>
          <w:u w:val="none"/>
          <w14:textFill>
            <w14:solidFill>
              <w14:schemeClr w14:val="tx1"/>
            </w14:solidFill>
          </w14:textFill>
        </w:rPr>
        <w:instrText xml:space="preserve"> = 1 \* GB3 </w:instrText>
      </w:r>
      <w:r>
        <w:rPr>
          <w:rFonts w:hint="default" w:ascii="Times New Roman" w:hAnsi="Times New Roman" w:cs="Times New Roman"/>
          <w:color w:val="000000" w:themeColor="text1"/>
          <w:sz w:val="24"/>
          <w:u w:val="none"/>
          <w14:textFill>
            <w14:solidFill>
              <w14:schemeClr w14:val="tx1"/>
            </w14:solidFill>
          </w14:textFill>
        </w:rPr>
        <w:fldChar w:fldCharType="separate"/>
      </w:r>
      <w:r>
        <w:rPr>
          <w:rFonts w:hint="default" w:ascii="Times New Roman" w:hAnsi="Times New Roman" w:cs="Times New Roman"/>
          <w:color w:val="000000" w:themeColor="text1"/>
          <w:sz w:val="24"/>
          <w:u w:val="none"/>
          <w14:textFill>
            <w14:solidFill>
              <w14:schemeClr w14:val="tx1"/>
            </w14:solidFill>
          </w14:textFill>
        </w:rPr>
        <w:t>①</w:t>
      </w:r>
      <w:r>
        <w:rPr>
          <w:rFonts w:hint="default" w:ascii="Times New Roman" w:hAnsi="Times New Roman" w:cs="Times New Roman"/>
          <w:color w:val="000000" w:themeColor="text1"/>
          <w:sz w:val="24"/>
          <w:u w:val="none"/>
          <w14:textFill>
            <w14:solidFill>
              <w14:schemeClr w14:val="tx1"/>
            </w14:solidFill>
          </w14:textFill>
        </w:rPr>
        <w:fldChar w:fldCharType="end"/>
      </w:r>
      <w:r>
        <w:rPr>
          <w:rFonts w:hint="default" w:ascii="Times New Roman" w:hAnsi="Times New Roman" w:cs="Times New Roman"/>
          <w:color w:val="000000" w:themeColor="text1"/>
          <w:sz w:val="24"/>
          <w:u w:val="none"/>
          <w14:textFill>
            <w14:solidFill>
              <w14:schemeClr w14:val="tx1"/>
            </w14:solidFill>
          </w14:textFill>
        </w:rPr>
        <w:t>设置专门的</w:t>
      </w:r>
      <w:r>
        <w:rPr>
          <w:rFonts w:hint="eastAsia" w:ascii="Times New Roman" w:hAnsi="Times New Roman" w:cs="Times New Roman"/>
          <w:color w:val="000000" w:themeColor="text1"/>
          <w:sz w:val="24"/>
          <w:u w:val="none"/>
          <w:lang w:eastAsia="zh-CN"/>
          <w14:textFill>
            <w14:solidFill>
              <w14:schemeClr w14:val="tx1"/>
            </w14:solidFill>
          </w14:textFill>
        </w:rPr>
        <w:t>破碎</w:t>
      </w:r>
      <w:r>
        <w:rPr>
          <w:rFonts w:hint="default" w:ascii="Times New Roman" w:hAnsi="Times New Roman" w:cs="Times New Roman"/>
          <w:color w:val="000000" w:themeColor="text1"/>
          <w:sz w:val="24"/>
          <w:u w:val="none"/>
          <w14:textFill>
            <w14:solidFill>
              <w14:schemeClr w14:val="tx1"/>
            </w14:solidFill>
          </w14:textFill>
        </w:rPr>
        <w:t>室，室内设置抽气孔，使配料室形成微负压系统；</w:t>
      </w:r>
      <w:r>
        <w:rPr>
          <w:rFonts w:hint="default" w:ascii="Times New Roman" w:hAnsi="Times New Roman" w:cs="Times New Roman"/>
          <w:color w:val="000000" w:themeColor="text1"/>
          <w:sz w:val="24"/>
          <w:u w:val="none"/>
          <w14:textFill>
            <w14:solidFill>
              <w14:schemeClr w14:val="tx1"/>
            </w14:solidFill>
          </w14:textFill>
        </w:rPr>
        <w:fldChar w:fldCharType="begin"/>
      </w:r>
      <w:r>
        <w:rPr>
          <w:rFonts w:hint="default" w:ascii="Times New Roman" w:hAnsi="Times New Roman" w:cs="Times New Roman"/>
          <w:color w:val="000000" w:themeColor="text1"/>
          <w:sz w:val="24"/>
          <w:u w:val="none"/>
          <w14:textFill>
            <w14:solidFill>
              <w14:schemeClr w14:val="tx1"/>
            </w14:solidFill>
          </w14:textFill>
        </w:rPr>
        <w:instrText xml:space="preserve"> = 2 \* GB3 </w:instrText>
      </w:r>
      <w:r>
        <w:rPr>
          <w:rFonts w:hint="default" w:ascii="Times New Roman" w:hAnsi="Times New Roman" w:cs="Times New Roman"/>
          <w:color w:val="000000" w:themeColor="text1"/>
          <w:sz w:val="24"/>
          <w:u w:val="none"/>
          <w14:textFill>
            <w14:solidFill>
              <w14:schemeClr w14:val="tx1"/>
            </w14:solidFill>
          </w14:textFill>
        </w:rPr>
        <w:fldChar w:fldCharType="separate"/>
      </w:r>
      <w:r>
        <w:rPr>
          <w:rFonts w:hint="default" w:ascii="Times New Roman" w:hAnsi="Times New Roman" w:cs="Times New Roman"/>
          <w:color w:val="000000" w:themeColor="text1"/>
          <w:sz w:val="24"/>
          <w:u w:val="none"/>
          <w14:textFill>
            <w14:solidFill>
              <w14:schemeClr w14:val="tx1"/>
            </w14:solidFill>
          </w14:textFill>
        </w:rPr>
        <w:t>②</w:t>
      </w:r>
      <w:r>
        <w:rPr>
          <w:rFonts w:hint="default" w:ascii="Times New Roman" w:hAnsi="Times New Roman" w:cs="Times New Roman"/>
          <w:color w:val="000000" w:themeColor="text1"/>
          <w:sz w:val="24"/>
          <w:u w:val="none"/>
          <w14:textFill>
            <w14:solidFill>
              <w14:schemeClr w14:val="tx1"/>
            </w14:solidFill>
          </w14:textFill>
        </w:rPr>
        <w:fldChar w:fldCharType="end"/>
      </w:r>
      <w:r>
        <w:rPr>
          <w:rFonts w:hint="eastAsia" w:ascii="Times New Roman" w:hAnsi="Times New Roman" w:cs="Times New Roman"/>
          <w:color w:val="000000" w:themeColor="text1"/>
          <w:sz w:val="24"/>
          <w:u w:val="none"/>
          <w:lang w:val="en-US" w:eastAsia="zh-CN"/>
          <w14:textFill>
            <w14:solidFill>
              <w14:schemeClr w14:val="tx1"/>
            </w14:solidFill>
          </w14:textFill>
        </w:rPr>
        <w:t>破碎机</w:t>
      </w:r>
      <w:r>
        <w:rPr>
          <w:rFonts w:hint="default" w:ascii="Times New Roman" w:hAnsi="Times New Roman" w:cs="Times New Roman"/>
          <w:color w:val="000000" w:themeColor="text1"/>
          <w:sz w:val="24"/>
          <w:u w:val="none"/>
          <w14:textFill>
            <w14:solidFill>
              <w14:schemeClr w14:val="tx1"/>
            </w14:solidFill>
          </w14:textFill>
        </w:rPr>
        <w:t>采取全密闭措施，上方设置呼吸孔，呼吸孔直接连通至袋式除尘器。</w:t>
      </w:r>
    </w:p>
    <w:p>
      <w:pPr>
        <w:pageBreakBefore w:val="0"/>
        <w:widowControl/>
        <w:kinsoku/>
        <w:wordWrap/>
        <w:overflowPunct/>
        <w:topLinePunct w:val="0"/>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u w:val="none"/>
          <w14:textFill>
            <w14:solidFill>
              <w14:schemeClr w14:val="tx1"/>
            </w14:solidFill>
          </w14:textFill>
        </w:rPr>
      </w:pPr>
      <w:r>
        <w:rPr>
          <w:rFonts w:hint="eastAsia" w:ascii="Times New Roman" w:hAnsi="Times New Roman" w:cs="Times New Roman"/>
          <w:color w:val="000000" w:themeColor="text1"/>
          <w:sz w:val="24"/>
          <w:u w:val="single"/>
          <w:lang w:eastAsia="zh-CN"/>
          <w14:textFill>
            <w14:solidFill>
              <w14:schemeClr w14:val="tx1"/>
            </w14:solidFill>
          </w14:textFill>
        </w:rPr>
        <w:t>破碎车间</w:t>
      </w:r>
      <w:r>
        <w:rPr>
          <w:rFonts w:hint="default" w:ascii="Times New Roman" w:hAnsi="Times New Roman" w:cs="Times New Roman"/>
          <w:color w:val="000000" w:themeColor="text1"/>
          <w:sz w:val="24"/>
          <w:u w:val="single"/>
          <w14:textFill>
            <w14:solidFill>
              <w14:schemeClr w14:val="tx1"/>
            </w14:solidFill>
          </w14:textFill>
        </w:rPr>
        <w:t>年运行时间为2400h，</w:t>
      </w:r>
      <w:r>
        <w:rPr>
          <w:rFonts w:hint="eastAsia" w:cs="Times New Roman"/>
          <w:color w:val="000000" w:themeColor="text1"/>
          <w:sz w:val="24"/>
          <w:u w:val="single"/>
          <w:lang w:eastAsia="zh-CN"/>
          <w14:textFill>
            <w14:solidFill>
              <w14:schemeClr w14:val="tx1"/>
            </w14:solidFill>
          </w14:textFill>
        </w:rPr>
        <w:t>由此核算项目需风机风量为</w:t>
      </w:r>
      <w:r>
        <w:rPr>
          <w:rFonts w:hint="eastAsia" w:cs="Times New Roman"/>
          <w:color w:val="000000" w:themeColor="text1"/>
          <w:sz w:val="24"/>
          <w:u w:val="single"/>
          <w:lang w:val="en-US" w:eastAsia="zh-CN"/>
          <w14:textFill>
            <w14:solidFill>
              <w14:schemeClr w14:val="tx1"/>
            </w14:solidFill>
          </w14:textFill>
        </w:rPr>
        <w:t>6250</w:t>
      </w:r>
      <w:r>
        <w:rPr>
          <w:rFonts w:hint="default" w:ascii="Times New Roman" w:hAnsi="Times New Roman" w:cs="Times New Roman"/>
          <w:color w:val="000000" w:themeColor="text1"/>
          <w:sz w:val="24"/>
          <w:u w:val="single"/>
          <w14:textFill>
            <w14:solidFill>
              <w14:schemeClr w14:val="tx1"/>
            </w14:solidFill>
          </w14:textFill>
        </w:rPr>
        <w:t>m</w:t>
      </w:r>
      <w:r>
        <w:rPr>
          <w:rFonts w:hint="default" w:ascii="Times New Roman" w:hAnsi="Times New Roman" w:cs="Times New Roman"/>
          <w:color w:val="000000" w:themeColor="text1"/>
          <w:sz w:val="24"/>
          <w:u w:val="single"/>
          <w:vertAlign w:val="superscript"/>
          <w14:textFill>
            <w14:solidFill>
              <w14:schemeClr w14:val="tx1"/>
            </w14:solidFill>
          </w14:textFill>
        </w:rPr>
        <w:t>3</w:t>
      </w:r>
      <w:r>
        <w:rPr>
          <w:rFonts w:hint="default" w:ascii="Times New Roman" w:hAnsi="Times New Roman" w:cs="Times New Roman"/>
          <w:color w:val="000000" w:themeColor="text1"/>
          <w:sz w:val="24"/>
          <w:u w:val="single"/>
          <w14:textFill>
            <w14:solidFill>
              <w14:schemeClr w14:val="tx1"/>
            </w14:solidFill>
          </w14:textFill>
        </w:rPr>
        <w:t>/h</w:t>
      </w:r>
      <w:r>
        <w:rPr>
          <w:rFonts w:hint="eastAsia" w:ascii="Times New Roman" w:hAnsi="Times New Roman" w:cs="Times New Roman"/>
          <w:color w:val="000000" w:themeColor="text1"/>
          <w:sz w:val="24"/>
          <w:u w:val="single"/>
          <w:lang w:eastAsia="zh-CN"/>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项目配套</w:t>
      </w:r>
      <w:r>
        <w:rPr>
          <w:rFonts w:hint="eastAsia" w:ascii="Times New Roman" w:hAnsi="Times New Roman" w:cs="Times New Roman"/>
          <w:color w:val="000000" w:themeColor="text1"/>
          <w:sz w:val="24"/>
          <w:u w:val="single"/>
          <w:lang w:val="en-US" w:eastAsia="zh-CN"/>
          <w14:textFill>
            <w14:solidFill>
              <w14:schemeClr w14:val="tx1"/>
            </w14:solidFill>
          </w14:textFill>
        </w:rPr>
        <w:t>1套</w:t>
      </w:r>
      <w:r>
        <w:rPr>
          <w:rFonts w:hint="default" w:ascii="Times New Roman" w:hAnsi="Times New Roman" w:cs="Times New Roman"/>
          <w:color w:val="000000" w:themeColor="text1"/>
          <w:sz w:val="24"/>
          <w:u w:val="single"/>
          <w14:textFill>
            <w14:solidFill>
              <w14:schemeClr w14:val="tx1"/>
            </w14:solidFill>
          </w14:textFill>
        </w:rPr>
        <w:t>袋式除尘器</w:t>
      </w:r>
      <w:r>
        <w:rPr>
          <w:rFonts w:hint="eastAsia" w:ascii="Times New Roman" w:hAnsi="Times New Roman" w:cs="Times New Roman"/>
          <w:color w:val="000000" w:themeColor="text1"/>
          <w:sz w:val="24"/>
          <w:u w:val="single"/>
          <w:lang w:eastAsia="zh-CN"/>
          <w14:textFill>
            <w14:solidFill>
              <w14:schemeClr w14:val="tx1"/>
            </w14:solidFill>
          </w14:textFill>
        </w:rPr>
        <w:t>，</w:t>
      </w:r>
      <w:r>
        <w:rPr>
          <w:rFonts w:hint="eastAsia" w:cs="Times New Roman"/>
          <w:color w:val="000000" w:themeColor="text1"/>
          <w:sz w:val="24"/>
          <w:u w:val="single"/>
          <w:lang w:eastAsia="zh-CN"/>
          <w14:textFill>
            <w14:solidFill>
              <w14:schemeClr w14:val="tx1"/>
            </w14:solidFill>
          </w14:textFill>
        </w:rPr>
        <w:t>考虑到过程风量损失，配套</w:t>
      </w:r>
      <w:r>
        <w:rPr>
          <w:rFonts w:hint="default" w:ascii="Times New Roman" w:hAnsi="Times New Roman" w:cs="Times New Roman"/>
          <w:color w:val="000000" w:themeColor="text1"/>
          <w:sz w:val="24"/>
          <w:u w:val="single"/>
          <w14:textFill>
            <w14:solidFill>
              <w14:schemeClr w14:val="tx1"/>
            </w14:solidFill>
          </w14:textFill>
        </w:rPr>
        <w:t>风机</w:t>
      </w:r>
      <w:r>
        <w:rPr>
          <w:rFonts w:hint="default" w:ascii="Times New Roman" w:hAnsi="Times New Roman" w:cs="Times New Roman"/>
          <w:color w:val="000000" w:themeColor="text1"/>
          <w:sz w:val="24"/>
          <w:u w:val="single"/>
          <w:lang w:val="en-US" w:eastAsia="zh-CN"/>
          <w14:textFill>
            <w14:solidFill>
              <w14:schemeClr w14:val="tx1"/>
            </w14:solidFill>
          </w14:textFill>
        </w:rPr>
        <w:t>风</w:t>
      </w:r>
      <w:r>
        <w:rPr>
          <w:rFonts w:hint="default" w:ascii="Times New Roman" w:hAnsi="Times New Roman" w:cs="Times New Roman"/>
          <w:color w:val="000000" w:themeColor="text1"/>
          <w:sz w:val="24"/>
          <w:u w:val="single"/>
          <w14:textFill>
            <w14:solidFill>
              <w14:schemeClr w14:val="tx1"/>
            </w14:solidFill>
          </w14:textFill>
        </w:rPr>
        <w:t>量为</w:t>
      </w:r>
      <w:r>
        <w:rPr>
          <w:rFonts w:hint="default" w:ascii="Times New Roman" w:hAnsi="Times New Roman" w:cs="Times New Roman"/>
          <w:color w:val="000000" w:themeColor="text1"/>
          <w:sz w:val="24"/>
          <w:u w:val="single"/>
          <w:lang w:val="en-US" w:eastAsia="zh-CN"/>
          <w14:textFill>
            <w14:solidFill>
              <w14:schemeClr w14:val="tx1"/>
            </w14:solidFill>
          </w14:textFill>
        </w:rPr>
        <w:t>1</w:t>
      </w:r>
      <w:r>
        <w:rPr>
          <w:rFonts w:hint="default" w:ascii="Times New Roman" w:hAnsi="Times New Roman" w:cs="Times New Roman"/>
          <w:color w:val="000000" w:themeColor="text1"/>
          <w:sz w:val="24"/>
          <w:u w:val="single"/>
          <w14:textFill>
            <w14:solidFill>
              <w14:schemeClr w14:val="tx1"/>
            </w14:solidFill>
          </w14:textFill>
        </w:rPr>
        <w:t>0000m</w:t>
      </w:r>
      <w:r>
        <w:rPr>
          <w:rFonts w:hint="default" w:ascii="Times New Roman" w:hAnsi="Times New Roman" w:cs="Times New Roman"/>
          <w:color w:val="000000" w:themeColor="text1"/>
          <w:sz w:val="24"/>
          <w:u w:val="single"/>
          <w:vertAlign w:val="superscript"/>
          <w14:textFill>
            <w14:solidFill>
              <w14:schemeClr w14:val="tx1"/>
            </w14:solidFill>
          </w14:textFill>
        </w:rPr>
        <w:t>3</w:t>
      </w:r>
      <w:r>
        <w:rPr>
          <w:rFonts w:hint="default" w:ascii="Times New Roman" w:hAnsi="Times New Roman" w:cs="Times New Roman"/>
          <w:color w:val="000000" w:themeColor="text1"/>
          <w:sz w:val="24"/>
          <w:u w:val="single"/>
          <w14:textFill>
            <w14:solidFill>
              <w14:schemeClr w14:val="tx1"/>
            </w14:solidFill>
          </w14:textFill>
        </w:rPr>
        <w:t>/h，</w:t>
      </w:r>
      <w:r>
        <w:rPr>
          <w:rFonts w:hint="default" w:ascii="Times New Roman" w:hAnsi="Times New Roman" w:cs="Times New Roman"/>
          <w:color w:val="000000" w:themeColor="text1"/>
          <w:sz w:val="24"/>
          <w:u w:val="none"/>
          <w14:textFill>
            <w14:solidFill>
              <w14:schemeClr w14:val="tx1"/>
            </w14:solidFill>
          </w14:textFill>
        </w:rPr>
        <w:t>处理效率为9</w:t>
      </w:r>
      <w:r>
        <w:rPr>
          <w:rFonts w:hint="eastAsia" w:cs="Times New Roman"/>
          <w:color w:val="000000" w:themeColor="text1"/>
          <w:sz w:val="24"/>
          <w:u w:val="none"/>
          <w:lang w:val="en-US" w:eastAsia="zh-CN"/>
          <w14:textFill>
            <w14:solidFill>
              <w14:schemeClr w14:val="tx1"/>
            </w14:solidFill>
          </w14:textFill>
        </w:rPr>
        <w:t>5</w:t>
      </w:r>
      <w:r>
        <w:rPr>
          <w:rFonts w:hint="default" w:ascii="Times New Roman" w:hAnsi="Times New Roman" w:cs="Times New Roman"/>
          <w:color w:val="000000" w:themeColor="text1"/>
          <w:sz w:val="24"/>
          <w:u w:val="none"/>
          <w14:textFill>
            <w14:solidFill>
              <w14:schemeClr w14:val="tx1"/>
            </w14:solidFill>
          </w14:textFill>
        </w:rPr>
        <w:t>%</w:t>
      </w:r>
      <w:r>
        <w:rPr>
          <w:rFonts w:hint="eastAsia" w:ascii="Times New Roman" w:hAnsi="Times New Roman" w:cs="Times New Roman"/>
          <w:color w:val="000000" w:themeColor="text1"/>
          <w:sz w:val="24"/>
          <w:u w:val="none"/>
          <w:lang w:eastAsia="zh-CN"/>
          <w14:textFill>
            <w14:solidFill>
              <w14:schemeClr w14:val="tx1"/>
            </w14:solidFill>
          </w14:textFill>
        </w:rPr>
        <w:t>，废气收集效率为</w:t>
      </w:r>
      <w:r>
        <w:rPr>
          <w:rFonts w:hint="eastAsia" w:ascii="Times New Roman" w:hAnsi="Times New Roman" w:cs="Times New Roman"/>
          <w:color w:val="000000" w:themeColor="text1"/>
          <w:sz w:val="24"/>
          <w:u w:val="none"/>
          <w:lang w:val="en-US" w:eastAsia="zh-CN"/>
          <w14:textFill>
            <w14:solidFill>
              <w14:schemeClr w14:val="tx1"/>
            </w14:solidFill>
          </w14:textFill>
        </w:rPr>
        <w:t>9</w:t>
      </w:r>
      <w:r>
        <w:rPr>
          <w:rFonts w:hint="eastAsia" w:cs="Times New Roman"/>
          <w:color w:val="000000" w:themeColor="text1"/>
          <w:sz w:val="24"/>
          <w:u w:val="none"/>
          <w:lang w:val="en-US" w:eastAsia="zh-CN"/>
          <w14:textFill>
            <w14:solidFill>
              <w14:schemeClr w14:val="tx1"/>
            </w14:solidFill>
          </w14:textFill>
        </w:rPr>
        <w:t>8</w:t>
      </w:r>
      <w:r>
        <w:rPr>
          <w:rFonts w:hint="eastAsia" w:ascii="Times New Roman" w:hAnsi="Times New Roman" w:cs="Times New Roman"/>
          <w:color w:val="000000" w:themeColor="text1"/>
          <w:sz w:val="24"/>
          <w:u w:val="none"/>
          <w:lang w:val="en-US" w:eastAsia="zh-CN"/>
          <w14:textFill>
            <w14:solidFill>
              <w14:schemeClr w14:val="tx1"/>
            </w14:solidFill>
          </w14:textFill>
        </w:rPr>
        <w:t>%，</w:t>
      </w:r>
      <w:r>
        <w:rPr>
          <w:rFonts w:hint="eastAsia" w:ascii="Times New Roman" w:hAnsi="Times New Roman" w:cs="Times New Roman"/>
          <w:color w:val="000000" w:themeColor="text1"/>
          <w:sz w:val="24"/>
          <w:u w:val="none"/>
          <w:lang w:eastAsia="zh-CN"/>
          <w14:textFill>
            <w14:solidFill>
              <w14:schemeClr w14:val="tx1"/>
            </w14:solidFill>
          </w14:textFill>
        </w:rPr>
        <w:t>处理后废气通过</w:t>
      </w:r>
      <w:r>
        <w:rPr>
          <w:rFonts w:hint="eastAsia" w:ascii="Times New Roman" w:hAnsi="Times New Roman" w:cs="Times New Roman"/>
          <w:color w:val="000000" w:themeColor="text1"/>
          <w:sz w:val="24"/>
          <w:u w:val="none"/>
          <w:lang w:val="en-US" w:eastAsia="zh-CN"/>
          <w14:textFill>
            <w14:solidFill>
              <w14:schemeClr w14:val="tx1"/>
            </w14:solidFill>
          </w14:textFill>
        </w:rPr>
        <w:t>1#15m高排气筒排放。</w:t>
      </w:r>
      <w:r>
        <w:rPr>
          <w:rFonts w:hint="default" w:ascii="Times New Roman" w:hAnsi="Times New Roman" w:cs="Times New Roman"/>
          <w:color w:val="000000" w:themeColor="text1"/>
          <w:sz w:val="24"/>
          <w:u w:val="none"/>
          <w14:textFill>
            <w14:solidFill>
              <w14:schemeClr w14:val="tx1"/>
            </w14:solidFill>
          </w14:textFill>
        </w:rPr>
        <w:t>则通过袋式除尘器处理后粉尘排放</w:t>
      </w:r>
      <w:r>
        <w:rPr>
          <w:rFonts w:hint="default" w:ascii="Times New Roman" w:hAnsi="Times New Roman" w:cs="Times New Roman"/>
          <w:color w:val="000000" w:themeColor="text1"/>
          <w:sz w:val="24"/>
          <w:u w:val="none"/>
          <w:lang w:eastAsia="zh-CN"/>
          <w14:textFill>
            <w14:solidFill>
              <w14:schemeClr w14:val="tx1"/>
            </w14:solidFill>
          </w14:textFill>
        </w:rPr>
        <w:t>量为</w:t>
      </w:r>
      <w:r>
        <w:rPr>
          <w:rFonts w:hint="default" w:ascii="Times New Roman" w:hAnsi="Times New Roman" w:cs="Times New Roman"/>
          <w:color w:val="000000" w:themeColor="text1"/>
          <w:sz w:val="24"/>
          <w:u w:val="none"/>
          <w:lang w:val="en-US" w:eastAsia="zh-CN"/>
          <w14:textFill>
            <w14:solidFill>
              <w14:schemeClr w14:val="tx1"/>
            </w14:solidFill>
          </w14:textFill>
        </w:rPr>
        <w:t>0.</w:t>
      </w:r>
      <w:r>
        <w:rPr>
          <w:rFonts w:hint="eastAsia" w:cs="Times New Roman"/>
          <w:color w:val="000000" w:themeColor="text1"/>
          <w:sz w:val="24"/>
          <w:u w:val="none"/>
          <w:lang w:val="en-US" w:eastAsia="zh-CN"/>
          <w14:textFill>
            <w14:solidFill>
              <w14:schemeClr w14:val="tx1"/>
            </w14:solidFill>
          </w14:textFill>
        </w:rPr>
        <w:t>125</w:t>
      </w:r>
      <w:r>
        <w:rPr>
          <w:rFonts w:hint="default" w:ascii="Times New Roman" w:hAnsi="Times New Roman" w:eastAsia="宋体" w:cs="Times New Roman"/>
          <w:b w:val="0"/>
          <w:color w:val="000000" w:themeColor="text1"/>
          <w:kern w:val="2"/>
          <w:sz w:val="24"/>
          <w:szCs w:val="24"/>
          <w:u w:val="none"/>
          <w:lang w:val="en-US" w:eastAsia="zh-CN" w:bidi="ar-SA"/>
          <w14:textFill>
            <w14:solidFill>
              <w14:schemeClr w14:val="tx1"/>
            </w14:solidFill>
          </w14:textFill>
        </w:rPr>
        <w:t>t/a</w:t>
      </w:r>
      <w:r>
        <w:rPr>
          <w:rFonts w:hint="eastAsia" w:ascii="Times New Roman" w:hAnsi="Times New Roman" w:eastAsia="宋体" w:cs="Times New Roman"/>
          <w:b w:val="0"/>
          <w:color w:val="000000" w:themeColor="text1"/>
          <w:kern w:val="2"/>
          <w:sz w:val="24"/>
          <w:szCs w:val="24"/>
          <w:u w:val="none"/>
          <w:lang w:val="en-US" w:eastAsia="zh-CN" w:bidi="ar-SA"/>
          <w14:textFill>
            <w14:solidFill>
              <w14:schemeClr w14:val="tx1"/>
            </w14:solidFill>
          </w14:textFill>
        </w:rPr>
        <w:t>，</w:t>
      </w:r>
      <w:r>
        <w:rPr>
          <w:rFonts w:hint="default" w:ascii="Times New Roman" w:hAnsi="Times New Roman" w:cs="Times New Roman"/>
          <w:color w:val="000000" w:themeColor="text1"/>
          <w:sz w:val="24"/>
          <w:u w:val="none"/>
          <w14:textFill>
            <w14:solidFill>
              <w14:schemeClr w14:val="tx1"/>
            </w14:solidFill>
          </w14:textFill>
        </w:rPr>
        <w:t>速率为</w:t>
      </w:r>
      <w:r>
        <w:rPr>
          <w:rFonts w:hint="default" w:ascii="Times New Roman" w:hAnsi="Times New Roman" w:cs="Times New Roman"/>
          <w:color w:val="000000" w:themeColor="text1"/>
          <w:sz w:val="24"/>
          <w:u w:val="none"/>
          <w:lang w:val="en-US" w:eastAsia="zh-CN"/>
          <w14:textFill>
            <w14:solidFill>
              <w14:schemeClr w14:val="tx1"/>
            </w14:solidFill>
          </w14:textFill>
        </w:rPr>
        <w:t>0.0</w:t>
      </w:r>
      <w:r>
        <w:rPr>
          <w:rFonts w:hint="eastAsia" w:cs="Times New Roman"/>
          <w:color w:val="000000" w:themeColor="text1"/>
          <w:sz w:val="24"/>
          <w:u w:val="none"/>
          <w:lang w:val="en-US" w:eastAsia="zh-CN"/>
          <w14:textFill>
            <w14:solidFill>
              <w14:schemeClr w14:val="tx1"/>
            </w14:solidFill>
          </w14:textFill>
        </w:rPr>
        <w:t>521</w:t>
      </w:r>
      <w:r>
        <w:rPr>
          <w:rFonts w:hint="default" w:ascii="Times New Roman" w:hAnsi="Times New Roman" w:cs="Times New Roman"/>
          <w:color w:val="000000" w:themeColor="text1"/>
          <w:sz w:val="24"/>
          <w:u w:val="none"/>
          <w14:textFill>
            <w14:solidFill>
              <w14:schemeClr w14:val="tx1"/>
            </w14:solidFill>
          </w14:textFill>
        </w:rPr>
        <w:t>kg/h，排放浓度为</w:t>
      </w:r>
      <w:r>
        <w:rPr>
          <w:rFonts w:hint="eastAsia" w:cs="Times New Roman"/>
          <w:color w:val="000000" w:themeColor="text1"/>
          <w:sz w:val="24"/>
          <w:u w:val="none"/>
          <w:lang w:val="en-US" w:eastAsia="zh-CN"/>
          <w14:textFill>
            <w14:solidFill>
              <w14:schemeClr w14:val="tx1"/>
            </w14:solidFill>
          </w14:textFill>
        </w:rPr>
        <w:t>5.21</w:t>
      </w:r>
      <w:r>
        <w:rPr>
          <w:rFonts w:hint="default" w:ascii="Times New Roman" w:hAnsi="Times New Roman" w:cs="Times New Roman"/>
          <w:color w:val="000000" w:themeColor="text1"/>
          <w:sz w:val="24"/>
          <w:u w:val="none"/>
          <w14:textFill>
            <w14:solidFill>
              <w14:schemeClr w14:val="tx1"/>
            </w14:solidFill>
          </w14:textFill>
        </w:rPr>
        <w:t>mg/m</w:t>
      </w:r>
      <w:r>
        <w:rPr>
          <w:rFonts w:hint="default" w:ascii="Times New Roman" w:hAnsi="Times New Roman" w:cs="Times New Roman"/>
          <w:color w:val="000000" w:themeColor="text1"/>
          <w:sz w:val="24"/>
          <w:u w:val="none"/>
          <w:vertAlign w:val="superscript"/>
          <w14:textFill>
            <w14:solidFill>
              <w14:schemeClr w14:val="tx1"/>
            </w14:solidFill>
          </w14:textFill>
        </w:rPr>
        <w:t>3</w:t>
      </w:r>
      <w:r>
        <w:rPr>
          <w:rFonts w:hint="default" w:ascii="Times New Roman" w:hAnsi="Times New Roman" w:cs="Times New Roman"/>
          <w:color w:val="000000" w:themeColor="text1"/>
          <w:sz w:val="24"/>
          <w:u w:val="none"/>
          <w14:textFill>
            <w14:solidFill>
              <w14:schemeClr w14:val="tx1"/>
            </w14:solidFill>
          </w14:textFill>
        </w:rPr>
        <w:t>。</w:t>
      </w:r>
      <w:r>
        <w:rPr>
          <w:rFonts w:hint="eastAsia" w:ascii="Times New Roman" w:hAnsi="Times New Roman" w:cs="Times New Roman"/>
          <w:color w:val="000000" w:themeColor="text1"/>
          <w:sz w:val="24"/>
          <w:u w:val="none"/>
          <w:lang w:eastAsia="zh-CN"/>
          <w14:textFill>
            <w14:solidFill>
              <w14:schemeClr w14:val="tx1"/>
            </w14:solidFill>
          </w14:textFill>
        </w:rPr>
        <w:t>无组织排放量为</w:t>
      </w:r>
      <w:r>
        <w:rPr>
          <w:rFonts w:hint="eastAsia" w:ascii="Times New Roman" w:hAnsi="Times New Roman" w:cs="Times New Roman"/>
          <w:color w:val="000000" w:themeColor="text1"/>
          <w:sz w:val="24"/>
          <w:u w:val="none"/>
          <w:lang w:val="en-US" w:eastAsia="zh-CN"/>
          <w14:textFill>
            <w14:solidFill>
              <w14:schemeClr w14:val="tx1"/>
            </w14:solidFill>
          </w14:textFill>
        </w:rPr>
        <w:t>0.</w:t>
      </w:r>
      <w:r>
        <w:rPr>
          <w:rFonts w:hint="eastAsia" w:cs="Times New Roman"/>
          <w:color w:val="000000" w:themeColor="text1"/>
          <w:sz w:val="24"/>
          <w:u w:val="none"/>
          <w:lang w:val="en-US" w:eastAsia="zh-CN"/>
          <w14:textFill>
            <w14:solidFill>
              <w14:schemeClr w14:val="tx1"/>
            </w14:solidFill>
          </w14:textFill>
        </w:rPr>
        <w:t>051</w:t>
      </w:r>
      <w:r>
        <w:rPr>
          <w:rFonts w:hint="eastAsia" w:ascii="Times New Roman" w:hAnsi="Times New Roman" w:cs="Times New Roman"/>
          <w:color w:val="000000" w:themeColor="text1"/>
          <w:sz w:val="24"/>
          <w:u w:val="none"/>
          <w:lang w:val="en-US" w:eastAsia="zh-CN"/>
          <w14:textFill>
            <w14:solidFill>
              <w14:schemeClr w14:val="tx1"/>
            </w14:solidFill>
          </w14:textFill>
        </w:rPr>
        <w:t>t/a，排放速率为0.</w:t>
      </w:r>
      <w:r>
        <w:rPr>
          <w:rFonts w:hint="eastAsia" w:cs="Times New Roman"/>
          <w:color w:val="000000" w:themeColor="text1"/>
          <w:sz w:val="24"/>
          <w:u w:val="none"/>
          <w:lang w:val="en-US" w:eastAsia="zh-CN"/>
          <w14:textFill>
            <w14:solidFill>
              <w14:schemeClr w14:val="tx1"/>
            </w14:solidFill>
          </w14:textFill>
        </w:rPr>
        <w:t>0213</w:t>
      </w:r>
      <w:r>
        <w:rPr>
          <w:rFonts w:hint="eastAsia" w:ascii="Times New Roman" w:hAnsi="Times New Roman" w:cs="Times New Roman"/>
          <w:color w:val="000000" w:themeColor="text1"/>
          <w:sz w:val="24"/>
          <w:u w:val="none"/>
          <w:lang w:val="en-US" w:eastAsia="zh-CN"/>
          <w14:textFill>
            <w14:solidFill>
              <w14:schemeClr w14:val="tx1"/>
            </w14:solidFill>
          </w14:textFill>
        </w:rPr>
        <w:t>kg/h。</w:t>
      </w:r>
      <w:r>
        <w:rPr>
          <w:rFonts w:hint="default" w:ascii="Times New Roman" w:hAnsi="Times New Roman" w:cs="Times New Roman"/>
          <w:color w:val="000000" w:themeColor="text1"/>
          <w:sz w:val="24"/>
          <w:u w:val="none"/>
          <w14:textFill>
            <w14:solidFill>
              <w14:schemeClr w14:val="tx1"/>
            </w14:solidFill>
          </w14:textFill>
        </w:rPr>
        <w:t>能够满足《合成树脂工业污染物排放标准》（GB31572-2015）表</w:t>
      </w:r>
      <w:r>
        <w:rPr>
          <w:rFonts w:hint="eastAsia" w:cs="Times New Roman"/>
          <w:color w:val="000000" w:themeColor="text1"/>
          <w:sz w:val="24"/>
          <w:u w:val="none"/>
          <w:lang w:val="en-US" w:eastAsia="zh-CN"/>
          <w14:textFill>
            <w14:solidFill>
              <w14:schemeClr w14:val="tx1"/>
            </w14:solidFill>
          </w14:textFill>
        </w:rPr>
        <w:t>5</w:t>
      </w:r>
      <w:r>
        <w:rPr>
          <w:rFonts w:hint="default" w:ascii="Times New Roman" w:hAnsi="Times New Roman" w:cs="Times New Roman"/>
          <w:color w:val="000000" w:themeColor="text1"/>
          <w:sz w:val="24"/>
          <w:u w:val="none"/>
          <w14:textFill>
            <w14:solidFill>
              <w14:schemeClr w14:val="tx1"/>
            </w14:solidFill>
          </w14:textFill>
        </w:rPr>
        <w:t>排放标准限值要求（颗粒物</w:t>
      </w:r>
      <w:r>
        <w:rPr>
          <w:rFonts w:hint="eastAsia" w:cs="Times New Roman"/>
          <w:color w:val="000000" w:themeColor="text1"/>
          <w:sz w:val="24"/>
          <w:u w:val="none"/>
          <w:lang w:val="en-US" w:eastAsia="zh-CN"/>
          <w14:textFill>
            <w14:solidFill>
              <w14:schemeClr w14:val="tx1"/>
            </w14:solidFill>
          </w14:textFill>
        </w:rPr>
        <w:t>2</w:t>
      </w:r>
      <w:r>
        <w:rPr>
          <w:rFonts w:hint="eastAsia" w:ascii="Times New Roman" w:hAnsi="Times New Roman" w:cs="Times New Roman"/>
          <w:color w:val="000000" w:themeColor="text1"/>
          <w:sz w:val="24"/>
          <w:u w:val="none"/>
          <w:lang w:val="en-US" w:eastAsia="zh-CN"/>
          <w14:textFill>
            <w14:solidFill>
              <w14:schemeClr w14:val="tx1"/>
            </w14:solidFill>
          </w14:textFill>
        </w:rPr>
        <w:t>0</w:t>
      </w:r>
      <w:r>
        <w:rPr>
          <w:rFonts w:hint="default" w:ascii="Times New Roman" w:hAnsi="Times New Roman" w:cs="Times New Roman"/>
          <w:color w:val="000000" w:themeColor="text1"/>
          <w:sz w:val="24"/>
          <w:u w:val="none"/>
          <w14:textFill>
            <w14:solidFill>
              <w14:schemeClr w14:val="tx1"/>
            </w14:solidFill>
          </w14:textFill>
        </w:rPr>
        <w:t>mg/m</w:t>
      </w:r>
      <w:r>
        <w:rPr>
          <w:rFonts w:hint="default" w:ascii="Times New Roman" w:hAnsi="Times New Roman" w:cs="Times New Roman"/>
          <w:color w:val="000000" w:themeColor="text1"/>
          <w:sz w:val="24"/>
          <w:u w:val="none"/>
          <w:vertAlign w:val="superscript"/>
          <w14:textFill>
            <w14:solidFill>
              <w14:schemeClr w14:val="tx1"/>
            </w14:solidFill>
          </w14:textFill>
        </w:rPr>
        <w:t>3</w:t>
      </w:r>
      <w:r>
        <w:rPr>
          <w:rFonts w:hint="default" w:ascii="Times New Roman" w:hAnsi="Times New Roman" w:cs="Times New Roman"/>
          <w:color w:val="000000" w:themeColor="text1"/>
          <w:sz w:val="24"/>
          <w:u w:val="none"/>
          <w14:textFill>
            <w14:solidFill>
              <w14:schemeClr w14:val="tx1"/>
            </w14:solidFill>
          </w14:textFill>
        </w:rPr>
        <w:t>）</w:t>
      </w:r>
      <w:r>
        <w:rPr>
          <w:rFonts w:hint="eastAsia" w:cs="Times New Roman"/>
          <w:color w:val="000000" w:themeColor="text1"/>
          <w:sz w:val="24"/>
          <w:u w:val="none"/>
          <w:lang w:eastAsia="zh-CN"/>
          <w14:textFill>
            <w14:solidFill>
              <w14:schemeClr w14:val="tx1"/>
            </w14:solidFill>
          </w14:textFill>
        </w:rPr>
        <w:t>，无组织废气满足</w:t>
      </w:r>
      <w:r>
        <w:rPr>
          <w:rFonts w:hint="default" w:ascii="Times New Roman" w:hAnsi="Times New Roman" w:cs="Times New Roman"/>
          <w:b w:val="0"/>
          <w:bCs w:val="0"/>
          <w:color w:val="auto"/>
          <w:sz w:val="24"/>
          <w:u w:val="single"/>
        </w:rPr>
        <w:t>《合成树脂工业污染物排放标准》（GB31572-2015）</w:t>
      </w:r>
      <w:r>
        <w:rPr>
          <w:rFonts w:hint="eastAsia" w:ascii="Times New Roman" w:hAnsi="Times New Roman" w:cs="Times New Roman"/>
          <w:b w:val="0"/>
          <w:bCs w:val="0"/>
          <w:color w:val="auto"/>
          <w:sz w:val="24"/>
          <w:u w:val="single"/>
          <w:lang w:eastAsia="zh-CN"/>
        </w:rPr>
        <w:t>表</w:t>
      </w:r>
      <w:r>
        <w:rPr>
          <w:rFonts w:hint="eastAsia" w:cs="Times New Roman"/>
          <w:b w:val="0"/>
          <w:bCs w:val="0"/>
          <w:color w:val="auto"/>
          <w:sz w:val="24"/>
          <w:u w:val="single"/>
          <w:lang w:val="en-US" w:eastAsia="zh-CN"/>
        </w:rPr>
        <w:t>9</w:t>
      </w:r>
      <w:r>
        <w:rPr>
          <w:rFonts w:hint="eastAsia" w:cs="Times New Roman"/>
          <w:b w:val="0"/>
          <w:bCs w:val="0"/>
          <w:color w:val="auto"/>
          <w:sz w:val="24"/>
          <w:u w:val="single"/>
          <w:lang w:eastAsia="zh-CN"/>
        </w:rPr>
        <w:t>企业边界大气污染物浓度限值（颗粒物</w:t>
      </w:r>
      <w:r>
        <w:rPr>
          <w:rFonts w:hint="eastAsia" w:cs="Times New Roman"/>
          <w:b w:val="0"/>
          <w:bCs w:val="0"/>
          <w:color w:val="auto"/>
          <w:sz w:val="24"/>
          <w:u w:val="single"/>
          <w:lang w:val="en-US" w:eastAsia="zh-CN"/>
        </w:rPr>
        <w:t>1.0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cs="Times New Roman"/>
          <w:b w:val="0"/>
          <w:bCs w:val="0"/>
          <w:color w:val="auto"/>
          <w:sz w:val="24"/>
          <w:u w:val="single"/>
          <w:lang w:eastAsia="zh-CN"/>
        </w:rPr>
        <w:t>）</w:t>
      </w:r>
      <w:r>
        <w:rPr>
          <w:rFonts w:hint="default" w:ascii="Times New Roman" w:hAnsi="Times New Roman" w:eastAsia="宋体" w:cs="Times New Roman"/>
          <w:color w:val="000000" w:themeColor="text1"/>
          <w:sz w:val="24"/>
          <w:u w:val="none"/>
          <w14:textFill>
            <w14:solidFill>
              <w14:schemeClr w14:val="tx1"/>
            </w14:solidFill>
          </w14:textFill>
        </w:rPr>
        <w:t>。</w:t>
      </w:r>
    </w:p>
    <w:p>
      <w:pPr>
        <w:pStyle w:val="19"/>
        <w:keepNext w:val="0"/>
        <w:keepLines w:val="0"/>
        <w:widowControl/>
        <w:suppressLineNumbers w:val="0"/>
        <w:spacing w:before="0" w:beforeAutospacing="0" w:after="0" w:afterAutospacing="0"/>
        <w:ind w:left="0" w:right="0" w:firstLine="0"/>
        <w:jc w:val="both"/>
        <w:rPr>
          <w:rFonts w:hint="default" w:eastAsia="宋体"/>
          <w:lang w:val="en-US" w:eastAsia="zh-CN"/>
        </w:rPr>
      </w:pPr>
      <w:r>
        <w:rPr>
          <w:rFonts w:hint="eastAsia"/>
          <w:lang w:eastAsia="zh-CN"/>
        </w:rPr>
        <w:t>（</w:t>
      </w:r>
      <w:r>
        <w:rPr>
          <w:rFonts w:hint="eastAsia"/>
          <w:lang w:val="en-US" w:eastAsia="zh-CN"/>
        </w:rPr>
        <w:t>2）造粒车间熔融废气</w:t>
      </w:r>
    </w:p>
    <w:p>
      <w:pPr>
        <w:pStyle w:val="19"/>
        <w:keepNext w:val="0"/>
        <w:keepLines w:val="0"/>
        <w:widowControl/>
        <w:suppressLineNumbers w:val="0"/>
        <w:spacing w:before="0" w:beforeAutospacing="0" w:after="0" w:afterAutospacing="0"/>
        <w:ind w:left="0" w:right="0" w:firstLine="0"/>
        <w:jc w:val="both"/>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eastAsia="zh-CN"/>
          <w14:textFill>
            <w14:solidFill>
              <w14:schemeClr w14:val="tx1"/>
            </w14:solidFill>
          </w14:textFill>
        </w:rPr>
        <w:t>根据</w:t>
      </w:r>
      <w:r>
        <w:rPr>
          <w:rFonts w:hint="eastAsia"/>
          <w:color w:val="000000" w:themeColor="text1"/>
          <w:u w:val="single"/>
          <w:lang w:val="en-US" w:eastAsia="zh-CN"/>
          <w14:textFill>
            <w14:solidFill>
              <w14:schemeClr w14:val="tx1"/>
            </w14:solidFill>
          </w14:textFill>
        </w:rPr>
        <w:t>ABS塑料热塑性能，其热解温度为260~330℃，本项目采用PLC自动控温，热熔温度控制在200~250℃。因此造粒热熔阶段不会发生分解，主要产生易挥发的有机废气以非甲烷总烃计算，还会有一定量的游离的苯乙烯单体挥发，过程中还有一定颗粒物质排放。</w:t>
      </w:r>
    </w:p>
    <w:p>
      <w:pPr>
        <w:pStyle w:val="19"/>
        <w:keepNext w:val="0"/>
        <w:keepLines w:val="0"/>
        <w:widowControl/>
        <w:suppressLineNumbers w:val="0"/>
        <w:spacing w:before="0" w:beforeAutospacing="0" w:after="0" w:afterAutospacing="0"/>
        <w:ind w:left="0" w:right="0" w:firstLine="0"/>
        <w:jc w:val="both"/>
        <w:rPr>
          <w:rFonts w:hint="default" w:eastAsia="宋体"/>
          <w:u w:val="single"/>
          <w:lang w:val="en-US" w:eastAsia="zh-CN"/>
        </w:rPr>
      </w:pPr>
      <w:r>
        <w:rPr>
          <w:rFonts w:hint="eastAsia"/>
          <w:color w:val="000000" w:themeColor="text1"/>
          <w:u w:val="single"/>
          <w:lang w:eastAsia="zh-CN"/>
          <w14:textFill>
            <w14:solidFill>
              <w14:schemeClr w14:val="tx1"/>
            </w14:solidFill>
          </w14:textFill>
        </w:rPr>
        <w:t>非甲烷总烃产生量</w:t>
      </w:r>
      <w:r>
        <w:rPr>
          <w:color w:val="000000" w:themeColor="text1"/>
          <w:u w:val="single"/>
          <w14:textFill>
            <w14:solidFill>
              <w14:schemeClr w14:val="tx1"/>
            </w14:solidFill>
          </w14:textFill>
        </w:rPr>
        <w:t>参考《工业污染源产排污系数手册》</w:t>
      </w:r>
      <w:r>
        <w:rPr>
          <w:rFonts w:hint="eastAsia" w:cstheme="minorBidi"/>
          <w:color w:val="000000" w:themeColor="text1"/>
          <w:kern w:val="0"/>
          <w:sz w:val="24"/>
          <w:szCs w:val="24"/>
          <w:u w:val="single"/>
          <w:lang w:val="en-US" w:eastAsia="zh-CN" w:bidi="ar"/>
          <w14:textFill>
            <w14:solidFill>
              <w14:schemeClr w14:val="tx1"/>
            </w14:solidFill>
          </w14:textFill>
        </w:rPr>
        <w:t>“</w:t>
      </w:r>
      <w:r>
        <w:rPr>
          <w:rFonts w:hint="default" w:ascii="Times New Roman" w:hAnsi="Times New Roman" w:eastAsia="宋体" w:cstheme="minorBidi"/>
          <w:color w:val="000000" w:themeColor="text1"/>
          <w:kern w:val="0"/>
          <w:sz w:val="24"/>
          <w:szCs w:val="24"/>
          <w:u w:val="single"/>
          <w:lang w:val="en-US" w:eastAsia="zh-CN" w:bidi="ar"/>
          <w14:textFill>
            <w14:solidFill>
              <w14:schemeClr w14:val="tx1"/>
            </w14:solidFill>
          </w14:textFill>
        </w:rPr>
        <w:t>4220</w:t>
      </w:r>
      <w:r>
        <w:rPr>
          <w:rFonts w:ascii="Times New Roman" w:hAnsi="Times New Roman" w:eastAsia="宋体" w:cstheme="minorBidi"/>
          <w:color w:val="000000" w:themeColor="text1"/>
          <w:kern w:val="0"/>
          <w:sz w:val="24"/>
          <w:szCs w:val="24"/>
          <w:u w:val="single"/>
          <w:lang w:val="en-US" w:eastAsia="zh-CN" w:bidi="ar"/>
          <w14:textFill>
            <w14:solidFill>
              <w14:schemeClr w14:val="tx1"/>
            </w14:solidFill>
          </w14:textFill>
        </w:rPr>
        <w:t>非金属废料和碎屑加工处理行业</w:t>
      </w:r>
      <w:r>
        <w:rPr>
          <w:rFonts w:hint="eastAsia" w:cstheme="minorBidi"/>
          <w:color w:val="000000" w:themeColor="text1"/>
          <w:kern w:val="0"/>
          <w:sz w:val="24"/>
          <w:szCs w:val="24"/>
          <w:u w:val="single"/>
          <w:lang w:val="en-US" w:eastAsia="zh-CN" w:bidi="ar"/>
          <w14:textFill>
            <w14:solidFill>
              <w14:schemeClr w14:val="tx1"/>
            </w14:solidFill>
          </w14:textFill>
        </w:rPr>
        <w:t>”</w:t>
      </w:r>
      <w:r>
        <w:rPr>
          <w:color w:val="000000" w:themeColor="text1"/>
          <w:u w:val="single"/>
          <w14:textFill>
            <w14:solidFill>
              <w14:schemeClr w14:val="tx1"/>
            </w14:solidFill>
          </w14:textFill>
        </w:rPr>
        <w:t>中</w:t>
      </w:r>
      <w:r>
        <w:rPr>
          <w:rFonts w:hint="eastAsia" w:ascii="宋体" w:hAnsi="宋体" w:eastAsia="宋体" w:cs="宋体"/>
          <w:color w:val="000000"/>
          <w:kern w:val="0"/>
          <w:sz w:val="24"/>
          <w:szCs w:val="24"/>
          <w:u w:val="single"/>
          <w:lang w:val="en-US" w:eastAsia="zh-CN" w:bidi="ar"/>
        </w:rPr>
        <w:t>废</w:t>
      </w:r>
      <w:r>
        <w:rPr>
          <w:rFonts w:hint="default" w:ascii="Times New Roman" w:hAnsi="Times New Roman" w:eastAsia="宋体" w:cs="Times New Roman"/>
          <w:color w:val="000000"/>
          <w:kern w:val="0"/>
          <w:sz w:val="24"/>
          <w:szCs w:val="24"/>
          <w:u w:val="single"/>
          <w:lang w:val="en-US" w:eastAsia="zh-CN" w:bidi="ar"/>
        </w:rPr>
        <w:t>PS/ABS</w:t>
      </w:r>
      <w:r>
        <w:rPr>
          <w:rFonts w:hint="eastAsia" w:ascii="Times New Roman" w:hAnsi="Times New Roman" w:eastAsia="宋体" w:cs="Times New Roman"/>
          <w:color w:val="000000"/>
          <w:kern w:val="0"/>
          <w:sz w:val="24"/>
          <w:szCs w:val="24"/>
          <w:u w:val="single"/>
          <w:lang w:val="en-US" w:eastAsia="zh-CN" w:bidi="ar"/>
        </w:rPr>
        <w:t>造粒工序中工业废气量为4000</w:t>
      </w:r>
      <w:r>
        <w:rPr>
          <w:rFonts w:hint="eastAsia" w:ascii="Times New Roman" w:hAnsi="Times New Roman" w:eastAsia="宋体"/>
          <w:color w:val="000000" w:themeColor="text1"/>
          <w:u w:val="single"/>
          <w:lang w:val="en-US" w:eastAsia="zh-CN"/>
          <w14:textFill>
            <w14:solidFill>
              <w14:schemeClr w14:val="tx1"/>
            </w14:solidFill>
          </w14:textFill>
        </w:rPr>
        <w:t>标立方米</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吨</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原料，挥发性有机物产生量为957克</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吨</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原料。本项目</w:t>
      </w:r>
      <w:r>
        <w:rPr>
          <w:rFonts w:hint="eastAsia"/>
          <w:color w:val="000000" w:themeColor="text1"/>
          <w:u w:val="single"/>
          <w:lang w:val="en-US" w:eastAsia="zh-CN"/>
          <w14:textFill>
            <w14:solidFill>
              <w14:schemeClr w14:val="tx1"/>
            </w14:solidFill>
          </w14:textFill>
        </w:rPr>
        <w:t>熔融</w:t>
      </w:r>
      <w:r>
        <w:rPr>
          <w:rFonts w:hint="eastAsia" w:ascii="Times New Roman" w:hAnsi="Times New Roman" w:eastAsia="宋体"/>
          <w:color w:val="000000" w:themeColor="text1"/>
          <w:u w:val="single"/>
          <w:lang w:val="en-US" w:eastAsia="zh-CN"/>
          <w14:textFill>
            <w14:solidFill>
              <w14:schemeClr w14:val="tx1"/>
            </w14:solidFill>
          </w14:textFill>
        </w:rPr>
        <w:t>废塑料用量为</w:t>
      </w:r>
      <w:r>
        <w:rPr>
          <w:rFonts w:hint="eastAsia"/>
          <w:color w:val="000000" w:themeColor="text1"/>
          <w:u w:val="single"/>
          <w:lang w:val="en-US" w:eastAsia="zh-CN"/>
          <w14:textFill>
            <w14:solidFill>
              <w14:schemeClr w14:val="tx1"/>
            </w14:solidFill>
          </w14:textFill>
        </w:rPr>
        <w:t>3</w:t>
      </w:r>
      <w:r>
        <w:rPr>
          <w:rFonts w:hint="eastAsia" w:ascii="Times New Roman" w:hAnsi="Times New Roman" w:eastAsia="宋体"/>
          <w:color w:val="000000" w:themeColor="text1"/>
          <w:u w:val="single"/>
          <w:lang w:val="en-US" w:eastAsia="zh-CN"/>
          <w14:textFill>
            <w14:solidFill>
              <w14:schemeClr w14:val="tx1"/>
            </w14:solidFill>
          </w14:textFill>
        </w:rPr>
        <w:t>000t/a，则废气产生量为</w:t>
      </w:r>
      <w:r>
        <w:rPr>
          <w:rFonts w:hint="eastAsia"/>
          <w:color w:val="000000" w:themeColor="text1"/>
          <w:u w:val="single"/>
          <w:lang w:val="en-US" w:eastAsia="zh-CN"/>
          <w14:textFill>
            <w14:solidFill>
              <w14:schemeClr w14:val="tx1"/>
            </w14:solidFill>
          </w14:textFill>
        </w:rPr>
        <w:t>12</w:t>
      </w:r>
      <w:r>
        <w:rPr>
          <w:rFonts w:hint="eastAsia" w:ascii="Times New Roman" w:hAnsi="Times New Roman" w:eastAsia="宋体"/>
          <w:color w:val="000000" w:themeColor="text1"/>
          <w:u w:val="single"/>
          <w:lang w:val="en-US" w:eastAsia="zh-CN"/>
          <w14:textFill>
            <w14:solidFill>
              <w14:schemeClr w14:val="tx1"/>
            </w14:solidFill>
          </w14:textFill>
        </w:rPr>
        <w:t>00万标立方米</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a，</w:t>
      </w:r>
      <w:r>
        <w:rPr>
          <w:rFonts w:hint="eastAsia"/>
          <w:color w:val="000000" w:themeColor="text1"/>
          <w:u w:val="single"/>
          <w:lang w:val="en-US" w:eastAsia="zh-CN"/>
          <w14:textFill>
            <w14:solidFill>
              <w14:schemeClr w14:val="tx1"/>
            </w14:solidFill>
          </w14:textFill>
        </w:rPr>
        <w:t>非甲烷总烃</w:t>
      </w:r>
      <w:r>
        <w:rPr>
          <w:rFonts w:hint="eastAsia" w:ascii="Times New Roman" w:hAnsi="Times New Roman" w:eastAsia="宋体"/>
          <w:color w:val="000000" w:themeColor="text1"/>
          <w:u w:val="single"/>
          <w:lang w:val="en-US" w:eastAsia="zh-CN"/>
          <w14:textFill>
            <w14:solidFill>
              <w14:schemeClr w14:val="tx1"/>
            </w14:solidFill>
          </w14:textFill>
        </w:rPr>
        <w:t>产生量为</w:t>
      </w:r>
      <w:r>
        <w:rPr>
          <w:rFonts w:hint="eastAsia"/>
          <w:color w:val="000000" w:themeColor="text1"/>
          <w:u w:val="single"/>
          <w:lang w:val="en-US" w:eastAsia="zh-CN"/>
          <w14:textFill>
            <w14:solidFill>
              <w14:schemeClr w14:val="tx1"/>
            </w14:solidFill>
          </w14:textFill>
        </w:rPr>
        <w:t>2.871</w:t>
      </w:r>
      <w:r>
        <w:rPr>
          <w:rFonts w:hint="eastAsia" w:ascii="Times New Roman" w:hAnsi="Times New Roman" w:eastAsia="宋体"/>
          <w:color w:val="000000" w:themeColor="text1"/>
          <w:u w:val="single"/>
          <w:lang w:val="en-US" w:eastAsia="zh-CN"/>
          <w14:textFill>
            <w14:solidFill>
              <w14:schemeClr w14:val="tx1"/>
            </w14:solidFill>
          </w14:textFill>
        </w:rPr>
        <w:t>t/a</w:t>
      </w:r>
      <w:r>
        <w:rPr>
          <w:rFonts w:hint="eastAsia"/>
          <w:color w:val="000000" w:themeColor="text1"/>
          <w:u w:val="single"/>
          <w:lang w:val="en-US" w:eastAsia="zh-CN"/>
          <w14:textFill>
            <w14:solidFill>
              <w14:schemeClr w14:val="tx1"/>
            </w14:solidFill>
          </w14:textFill>
        </w:rPr>
        <w:t>；苯乙烯产生量参考</w:t>
      </w:r>
      <w:r>
        <w:rPr>
          <w:rFonts w:cs="Times New Roman"/>
          <w:szCs w:val="28"/>
          <w:u w:val="single"/>
        </w:rPr>
        <w:t>《空气污染物排放和控制手册》（美国国家环保局）中推荐的公式计算，该手册认为在无控制措施时，</w:t>
      </w:r>
      <w:r>
        <w:rPr>
          <w:rFonts w:hint="eastAsia" w:cs="Times New Roman"/>
          <w:szCs w:val="28"/>
          <w:u w:val="single"/>
          <w:lang w:eastAsia="zh-CN"/>
        </w:rPr>
        <w:t>苯乙烯产生量为</w:t>
      </w:r>
      <w:r>
        <w:rPr>
          <w:rFonts w:hint="eastAsia" w:cs="Times New Roman"/>
          <w:szCs w:val="28"/>
          <w:u w:val="single"/>
          <w:lang w:val="en-US" w:eastAsia="zh-CN"/>
        </w:rPr>
        <w:t>0.7kg/t-原料，由此核算苯乙烯产生量为2.1t/a。颗粒物产生参照《空气污染物排放和控制手册工业污染源调查与研究 第二辑》聚丙烯等分解产生的颗粒物排放因子为0.05kg/t产品，</w:t>
      </w:r>
      <w:r>
        <w:rPr>
          <w:rFonts w:hint="eastAsia" w:ascii="Times New Roman" w:hAnsi="Times New Roman" w:eastAsia="宋体"/>
          <w:color w:val="000000" w:themeColor="text1"/>
          <w:u w:val="single"/>
          <w:lang w:val="en-US" w:eastAsia="zh-CN"/>
          <w14:textFill>
            <w14:solidFill>
              <w14:schemeClr w14:val="tx1"/>
            </w14:solidFill>
          </w14:textFill>
        </w:rPr>
        <w:t>本项目</w:t>
      </w:r>
      <w:r>
        <w:rPr>
          <w:rFonts w:hint="eastAsia"/>
          <w:color w:val="000000" w:themeColor="text1"/>
          <w:u w:val="single"/>
          <w:lang w:val="en-US" w:eastAsia="zh-CN"/>
          <w14:textFill>
            <w14:solidFill>
              <w14:schemeClr w14:val="tx1"/>
            </w14:solidFill>
          </w14:textFill>
        </w:rPr>
        <w:t>熔融</w:t>
      </w:r>
      <w:r>
        <w:rPr>
          <w:rFonts w:hint="eastAsia" w:ascii="Times New Roman" w:hAnsi="Times New Roman" w:eastAsia="宋体"/>
          <w:color w:val="000000" w:themeColor="text1"/>
          <w:u w:val="single"/>
          <w:lang w:val="en-US" w:eastAsia="zh-CN"/>
          <w14:textFill>
            <w14:solidFill>
              <w14:schemeClr w14:val="tx1"/>
            </w14:solidFill>
          </w14:textFill>
        </w:rPr>
        <w:t>废塑料用量为</w:t>
      </w:r>
      <w:r>
        <w:rPr>
          <w:rFonts w:hint="eastAsia"/>
          <w:color w:val="000000" w:themeColor="text1"/>
          <w:u w:val="single"/>
          <w:lang w:val="en-US" w:eastAsia="zh-CN"/>
          <w14:textFill>
            <w14:solidFill>
              <w14:schemeClr w14:val="tx1"/>
            </w14:solidFill>
          </w14:textFill>
        </w:rPr>
        <w:t>3</w:t>
      </w:r>
      <w:r>
        <w:rPr>
          <w:rFonts w:hint="eastAsia" w:ascii="Times New Roman" w:hAnsi="Times New Roman" w:eastAsia="宋体"/>
          <w:color w:val="000000" w:themeColor="text1"/>
          <w:u w:val="single"/>
          <w:lang w:val="en-US" w:eastAsia="zh-CN"/>
          <w14:textFill>
            <w14:solidFill>
              <w14:schemeClr w14:val="tx1"/>
            </w14:solidFill>
          </w14:textFill>
        </w:rPr>
        <w:t>000t/a，</w:t>
      </w:r>
      <w:r>
        <w:rPr>
          <w:rFonts w:hint="eastAsia"/>
          <w:color w:val="000000" w:themeColor="text1"/>
          <w:u w:val="single"/>
          <w:lang w:val="en-US" w:eastAsia="zh-CN"/>
          <w14:textFill>
            <w14:solidFill>
              <w14:schemeClr w14:val="tx1"/>
            </w14:solidFill>
          </w14:textFill>
        </w:rPr>
        <w:t>则颗粒物产生量为0.15</w:t>
      </w:r>
      <w:r>
        <w:rPr>
          <w:rFonts w:hint="eastAsia" w:ascii="Times New Roman" w:hAnsi="Times New Roman" w:eastAsia="宋体"/>
          <w:color w:val="000000" w:themeColor="text1"/>
          <w:u w:val="single"/>
          <w:lang w:val="en-US" w:eastAsia="zh-CN"/>
          <w14:textFill>
            <w14:solidFill>
              <w14:schemeClr w14:val="tx1"/>
            </w14:solidFill>
          </w14:textFill>
        </w:rPr>
        <w:t>t/a</w:t>
      </w:r>
      <w:r>
        <w:rPr>
          <w:rFonts w:hint="eastAsia"/>
          <w:color w:val="000000" w:themeColor="text1"/>
          <w:u w:val="singl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cs="Times New Roman"/>
          <w:b w:val="0"/>
          <w:color w:val="auto"/>
          <w:kern w:val="2"/>
          <w:sz w:val="24"/>
          <w:szCs w:val="24"/>
          <w:u w:val="single"/>
          <w:lang w:val="en-US" w:eastAsia="zh-CN" w:bidi="ar-SA"/>
        </w:rPr>
      </w:pPr>
      <w:r>
        <w:rPr>
          <w:rFonts w:hint="eastAsia" w:cs="Times New Roman"/>
          <w:b w:val="0"/>
          <w:color w:val="auto"/>
          <w:kern w:val="2"/>
          <w:sz w:val="24"/>
          <w:szCs w:val="24"/>
          <w:u w:val="single"/>
          <w:lang w:val="en-US" w:eastAsia="zh-CN" w:bidi="ar-SA"/>
        </w:rPr>
        <w:t>根据</w:t>
      </w:r>
      <w:r>
        <w:rPr>
          <w:color w:val="000000" w:themeColor="text1"/>
          <w:u w:val="single"/>
          <w14:textFill>
            <w14:solidFill>
              <w14:schemeClr w14:val="tx1"/>
            </w14:solidFill>
          </w14:textFill>
        </w:rPr>
        <w:t>《工业污染源产排污系数手册》</w:t>
      </w:r>
      <w:r>
        <w:rPr>
          <w:rFonts w:hint="eastAsia"/>
          <w:color w:val="000000" w:themeColor="text1"/>
          <w:u w:val="single"/>
          <w:lang w:eastAsia="zh-CN"/>
          <w14:textFill>
            <w14:solidFill>
              <w14:schemeClr w14:val="tx1"/>
            </w14:solidFill>
          </w14:textFill>
        </w:rPr>
        <w:t>废气产生量系数核算废气量为</w:t>
      </w:r>
      <w:r>
        <w:rPr>
          <w:rFonts w:hint="eastAsia"/>
          <w:color w:val="000000" w:themeColor="text1"/>
          <w:u w:val="single"/>
          <w:lang w:val="en-US" w:eastAsia="zh-CN"/>
          <w14:textFill>
            <w14:solidFill>
              <w14:schemeClr w14:val="tx1"/>
            </w14:solidFill>
          </w14:textFill>
        </w:rPr>
        <w:t>5000m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/h，本项目造粒工序风机设计风量为10000m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/h，</w:t>
      </w:r>
      <w:r>
        <w:rPr>
          <w:rFonts w:hint="default" w:ascii="Times New Roman" w:hAnsi="Times New Roman" w:eastAsia="宋体" w:cs="Times New Roman"/>
          <w:b w:val="0"/>
          <w:color w:val="auto"/>
          <w:kern w:val="2"/>
          <w:sz w:val="24"/>
          <w:szCs w:val="24"/>
          <w:u w:val="single"/>
          <w:lang w:val="en-US" w:eastAsia="zh-CN" w:bidi="ar-SA"/>
        </w:rPr>
        <w:t>车间产生的非甲烷总烃</w:t>
      </w:r>
      <w:r>
        <w:rPr>
          <w:rFonts w:hint="eastAsia" w:cs="Times New Roman"/>
          <w:b w:val="0"/>
          <w:color w:val="auto"/>
          <w:kern w:val="2"/>
          <w:sz w:val="24"/>
          <w:szCs w:val="24"/>
          <w:u w:val="single"/>
          <w:lang w:val="en-US" w:eastAsia="zh-CN" w:bidi="ar-SA"/>
        </w:rPr>
        <w:t>、苯乙烯</w:t>
      </w:r>
      <w:r>
        <w:rPr>
          <w:rFonts w:hint="default" w:ascii="Times New Roman" w:hAnsi="Times New Roman" w:eastAsia="宋体" w:cs="Times New Roman"/>
          <w:b w:val="0"/>
          <w:color w:val="auto"/>
          <w:kern w:val="2"/>
          <w:sz w:val="24"/>
          <w:szCs w:val="24"/>
          <w:u w:val="single"/>
          <w:lang w:val="en-US" w:eastAsia="zh-CN" w:bidi="ar-SA"/>
        </w:rPr>
        <w:t>经收集后通过</w:t>
      </w:r>
      <w:r>
        <w:rPr>
          <w:rFonts w:hint="eastAsia" w:ascii="Times New Roman" w:hAnsi="Times New Roman" w:eastAsia="宋体" w:cs="Times New Roman"/>
          <w:b w:val="0"/>
          <w:bCs/>
          <w:color w:val="auto"/>
          <w:kern w:val="2"/>
          <w:sz w:val="24"/>
          <w:szCs w:val="24"/>
          <w:u w:val="single"/>
          <w:lang w:val="en-US" w:eastAsia="zh-CN" w:bidi="ar-SA"/>
        </w:rPr>
        <w:t>吸附浓缩+催化燃烧装置</w:t>
      </w:r>
      <w:r>
        <w:rPr>
          <w:rFonts w:hint="default" w:ascii="Times New Roman" w:hAnsi="Times New Roman" w:eastAsia="宋体" w:cs="Times New Roman"/>
          <w:b w:val="0"/>
          <w:bCs/>
          <w:color w:val="auto"/>
          <w:kern w:val="2"/>
          <w:sz w:val="24"/>
          <w:szCs w:val="24"/>
          <w:u w:val="single"/>
          <w:lang w:val="en-US" w:eastAsia="zh-CN" w:bidi="ar-SA"/>
        </w:rPr>
        <w:t>处理，最终通</w:t>
      </w:r>
      <w:r>
        <w:rPr>
          <w:rFonts w:hint="default" w:ascii="Times New Roman" w:hAnsi="Times New Roman" w:eastAsia="宋体" w:cs="Times New Roman"/>
          <w:b w:val="0"/>
          <w:color w:val="auto"/>
          <w:kern w:val="2"/>
          <w:sz w:val="24"/>
          <w:szCs w:val="24"/>
          <w:u w:val="single"/>
          <w:lang w:val="en-US" w:eastAsia="zh-CN" w:bidi="ar-SA"/>
        </w:rPr>
        <w:t>过不低于15m</w:t>
      </w:r>
      <w:r>
        <w:rPr>
          <w:rFonts w:hint="eastAsia" w:cs="Times New Roman"/>
          <w:b w:val="0"/>
          <w:color w:val="auto"/>
          <w:kern w:val="2"/>
          <w:sz w:val="24"/>
          <w:szCs w:val="24"/>
          <w:u w:val="single"/>
          <w:lang w:val="en-US" w:eastAsia="zh-CN" w:bidi="ar-SA"/>
        </w:rPr>
        <w:t>（DA002）</w:t>
      </w:r>
      <w:r>
        <w:rPr>
          <w:rFonts w:hint="default" w:ascii="Times New Roman" w:hAnsi="Times New Roman" w:eastAsia="宋体" w:cs="Times New Roman"/>
          <w:b w:val="0"/>
          <w:color w:val="auto"/>
          <w:kern w:val="2"/>
          <w:sz w:val="24"/>
          <w:szCs w:val="24"/>
          <w:u w:val="single"/>
          <w:lang w:val="en-US" w:eastAsia="zh-CN" w:bidi="ar-SA"/>
        </w:rPr>
        <w:t>高排气筒排放，</w:t>
      </w:r>
      <w:r>
        <w:rPr>
          <w:rFonts w:hint="eastAsia" w:cs="Times New Roman"/>
          <w:b w:val="0"/>
          <w:color w:val="auto"/>
          <w:kern w:val="2"/>
          <w:sz w:val="24"/>
          <w:szCs w:val="24"/>
          <w:u w:val="single"/>
          <w:lang w:val="en-US" w:eastAsia="zh-CN" w:bidi="ar-SA"/>
        </w:rPr>
        <w:t>造粒工序年生产2400h，</w:t>
      </w:r>
      <w:r>
        <w:rPr>
          <w:rFonts w:hint="default" w:ascii="Times New Roman" w:hAnsi="Times New Roman" w:eastAsia="宋体" w:cs="Times New Roman"/>
          <w:b w:val="0"/>
          <w:color w:val="auto"/>
          <w:kern w:val="2"/>
          <w:sz w:val="24"/>
          <w:szCs w:val="24"/>
          <w:u w:val="single"/>
          <w:lang w:val="en-US" w:eastAsia="zh-CN" w:bidi="ar-SA"/>
        </w:rPr>
        <w:t>收集效率按9</w:t>
      </w:r>
      <w:r>
        <w:rPr>
          <w:rFonts w:hint="default" w:ascii="Times New Roman" w:hAnsi="Times New Roman" w:cs="Times New Roman"/>
          <w:b w:val="0"/>
          <w:color w:val="auto"/>
          <w:kern w:val="2"/>
          <w:sz w:val="24"/>
          <w:szCs w:val="24"/>
          <w:u w:val="single"/>
          <w:lang w:val="en-US" w:eastAsia="zh-CN" w:bidi="ar-SA"/>
        </w:rPr>
        <w:t>8</w:t>
      </w:r>
      <w:r>
        <w:rPr>
          <w:rFonts w:hint="default" w:ascii="Times New Roman" w:hAnsi="Times New Roman" w:eastAsia="宋体" w:cs="Times New Roman"/>
          <w:b w:val="0"/>
          <w:color w:val="auto"/>
          <w:kern w:val="2"/>
          <w:sz w:val="24"/>
          <w:szCs w:val="24"/>
          <w:u w:val="single"/>
          <w:lang w:val="en-US" w:eastAsia="zh-CN" w:bidi="ar-SA"/>
        </w:rPr>
        <w:t>％计</w:t>
      </w:r>
      <w:r>
        <w:rPr>
          <w:rFonts w:hint="default" w:ascii="Times New Roman" w:hAnsi="Times New Roman" w:cs="Times New Roman"/>
          <w:color w:val="auto"/>
          <w:sz w:val="24"/>
          <w:u w:val="single"/>
          <w:lang w:eastAsia="zh-CN"/>
        </w:rPr>
        <w:t>（</w:t>
      </w:r>
      <w:r>
        <w:rPr>
          <w:rFonts w:hint="default" w:ascii="Times New Roman" w:hAnsi="Times New Roman" w:eastAsia="宋体" w:cs="Times New Roman"/>
          <w:color w:val="auto"/>
          <w:sz w:val="24"/>
          <w:u w:val="single"/>
          <w:lang w:val="en-US" w:eastAsia="zh-CN"/>
        </w:rPr>
        <w:t>收集单元</w:t>
      </w:r>
      <w:r>
        <w:rPr>
          <w:rFonts w:hint="default" w:ascii="Times New Roman" w:hAnsi="Times New Roman" w:eastAsia="宋体" w:cs="Times New Roman"/>
          <w:color w:val="auto"/>
          <w:sz w:val="24"/>
          <w:u w:val="single"/>
          <w:lang w:val="en-US"/>
        </w:rPr>
        <w:t>二次封闭，微负压运行</w:t>
      </w:r>
      <w:r>
        <w:rPr>
          <w:rFonts w:hint="default" w:ascii="Times New Roman" w:hAnsi="Times New Roman" w:eastAsia="宋体" w:cs="Times New Roman"/>
          <w:color w:val="auto"/>
          <w:sz w:val="24"/>
          <w:u w:val="single"/>
          <w:lang w:val="en-US" w:eastAsia="zh-CN"/>
        </w:rPr>
        <w:t>）</w:t>
      </w:r>
      <w:r>
        <w:rPr>
          <w:rFonts w:hint="default" w:ascii="Times New Roman" w:hAnsi="Times New Roman" w:eastAsia="宋体" w:cs="Times New Roman"/>
          <w:b w:val="0"/>
          <w:color w:val="auto"/>
          <w:kern w:val="2"/>
          <w:sz w:val="24"/>
          <w:szCs w:val="24"/>
          <w:u w:val="single"/>
          <w:lang w:val="en-US" w:eastAsia="zh-CN" w:bidi="ar-SA"/>
        </w:rPr>
        <w:t>，</w:t>
      </w:r>
      <w:r>
        <w:rPr>
          <w:rFonts w:hint="eastAsia" w:cs="Times New Roman"/>
          <w:b w:val="0"/>
          <w:color w:val="auto"/>
          <w:kern w:val="2"/>
          <w:sz w:val="24"/>
          <w:szCs w:val="24"/>
          <w:u w:val="single"/>
          <w:lang w:val="en-US" w:eastAsia="zh-CN" w:bidi="ar-SA"/>
        </w:rPr>
        <w:t>非甲烷总烃和苯乙烯</w:t>
      </w:r>
      <w:r>
        <w:rPr>
          <w:rFonts w:hint="default" w:ascii="Times New Roman" w:hAnsi="Times New Roman" w:eastAsia="宋体" w:cs="Times New Roman"/>
          <w:b w:val="0"/>
          <w:color w:val="auto"/>
          <w:kern w:val="2"/>
          <w:sz w:val="24"/>
          <w:szCs w:val="24"/>
          <w:u w:val="single"/>
          <w:lang w:val="en-US" w:eastAsia="zh-CN" w:bidi="ar-SA"/>
        </w:rPr>
        <w:t>处理效率按</w:t>
      </w:r>
      <w:r>
        <w:rPr>
          <w:rFonts w:hint="eastAsia" w:ascii="Times New Roman" w:hAnsi="Times New Roman" w:eastAsia="宋体" w:cs="Times New Roman"/>
          <w:b w:val="0"/>
          <w:color w:val="auto"/>
          <w:kern w:val="2"/>
          <w:sz w:val="24"/>
          <w:szCs w:val="24"/>
          <w:u w:val="single"/>
          <w:lang w:val="en-US" w:eastAsia="zh-CN" w:bidi="ar-SA"/>
        </w:rPr>
        <w:t>9</w:t>
      </w:r>
      <w:r>
        <w:rPr>
          <w:rFonts w:hint="eastAsia" w:cs="Times New Roman"/>
          <w:b w:val="0"/>
          <w:color w:val="auto"/>
          <w:kern w:val="2"/>
          <w:sz w:val="24"/>
          <w:szCs w:val="24"/>
          <w:u w:val="single"/>
          <w:lang w:val="en-US" w:eastAsia="zh-CN" w:bidi="ar-SA"/>
        </w:rPr>
        <w:t>5</w:t>
      </w:r>
      <w:r>
        <w:rPr>
          <w:rFonts w:hint="default" w:ascii="Times New Roman" w:hAnsi="Times New Roman" w:eastAsia="宋体" w:cs="Times New Roman"/>
          <w:b w:val="0"/>
          <w:color w:val="auto"/>
          <w:kern w:val="2"/>
          <w:sz w:val="24"/>
          <w:szCs w:val="24"/>
          <w:u w:val="single"/>
          <w:lang w:val="en-US" w:eastAsia="zh-CN" w:bidi="ar-SA"/>
        </w:rPr>
        <w:t>％计</w:t>
      </w:r>
      <w:r>
        <w:rPr>
          <w:rFonts w:hint="eastAsia" w:cs="Times New Roman"/>
          <w:b w:val="0"/>
          <w:color w:val="auto"/>
          <w:kern w:val="2"/>
          <w:sz w:val="24"/>
          <w:szCs w:val="24"/>
          <w:u w:val="single"/>
          <w:lang w:val="en-US" w:eastAsia="zh-CN" w:bidi="ar-SA"/>
        </w:rPr>
        <w:t>，则造粒熔融工序非甲烷总烃有组织排放量为0.141t/a，排放速率为0.059kg/h，排放浓度为5.9mg/m</w:t>
      </w:r>
      <w:r>
        <w:rPr>
          <w:rFonts w:hint="eastAsia" w:cs="Times New Roman"/>
          <w:b w:val="0"/>
          <w:color w:val="auto"/>
          <w:kern w:val="2"/>
          <w:sz w:val="24"/>
          <w:szCs w:val="24"/>
          <w:u w:val="single"/>
          <w:vertAlign w:val="superscript"/>
          <w:lang w:val="en-US" w:eastAsia="zh-CN" w:bidi="ar-SA"/>
        </w:rPr>
        <w:t>3</w:t>
      </w:r>
      <w:r>
        <w:rPr>
          <w:rFonts w:hint="eastAsia" w:cs="Times New Roman"/>
          <w:b w:val="0"/>
          <w:color w:val="auto"/>
          <w:kern w:val="2"/>
          <w:sz w:val="24"/>
          <w:szCs w:val="24"/>
          <w:u w:val="single"/>
          <w:lang w:val="en-US" w:eastAsia="zh-CN" w:bidi="ar-SA"/>
        </w:rPr>
        <w:t>。无组织非甲烷总烃排放量为0.057t/a，排放速率0.024kg/h；造粒熔融工序苯乙烯有组织排放量为0.103t/a，排放速率为0.043kg/h，排放浓度为4.3mg/m</w:t>
      </w:r>
      <w:r>
        <w:rPr>
          <w:rFonts w:hint="eastAsia" w:cs="Times New Roman"/>
          <w:b w:val="0"/>
          <w:color w:val="auto"/>
          <w:kern w:val="2"/>
          <w:sz w:val="24"/>
          <w:szCs w:val="24"/>
          <w:u w:val="single"/>
          <w:vertAlign w:val="superscript"/>
          <w:lang w:val="en-US" w:eastAsia="zh-CN" w:bidi="ar-SA"/>
        </w:rPr>
        <w:t>3</w:t>
      </w:r>
      <w:r>
        <w:rPr>
          <w:rFonts w:hint="eastAsia" w:cs="Times New Roman"/>
          <w:b w:val="0"/>
          <w:color w:val="auto"/>
          <w:kern w:val="2"/>
          <w:sz w:val="24"/>
          <w:szCs w:val="24"/>
          <w:u w:val="single"/>
          <w:lang w:val="en-US" w:eastAsia="zh-CN" w:bidi="ar-SA"/>
        </w:rPr>
        <w:t>。无组织苯乙烯排放量为0.042t/a，排放速率0.018kg/h。</w:t>
      </w:r>
    </w:p>
    <w:p>
      <w:pPr>
        <w:keepNext w:val="0"/>
        <w:keepLines w:val="0"/>
        <w:widowControl/>
        <w:suppressLineNumbers w:val="0"/>
        <w:jc w:val="left"/>
        <w:rPr>
          <w:rFonts w:hint="default"/>
          <w:u w:val="single"/>
          <w:lang w:val="en-US" w:eastAsia="zh-CN"/>
        </w:rPr>
      </w:pPr>
      <w:r>
        <w:rPr>
          <w:rFonts w:hint="eastAsia"/>
          <w:u w:val="single"/>
          <w:lang w:val="en-US" w:eastAsia="zh-CN"/>
        </w:rPr>
        <w:t>颗粒物废气经喷淋塔处理，造粒工序年生产2400h，收集效率按98％计（收集单元二次封闭，微负压运行），</w:t>
      </w:r>
      <w:r>
        <w:rPr>
          <w:rFonts w:hint="eastAsia" w:cs="Times New Roman"/>
          <w:b w:val="0"/>
          <w:color w:val="auto"/>
          <w:kern w:val="2"/>
          <w:sz w:val="24"/>
          <w:szCs w:val="24"/>
          <w:u w:val="single"/>
          <w:lang w:val="en-US" w:eastAsia="zh-CN" w:bidi="ar-SA"/>
        </w:rPr>
        <w:t>颗粒物</w:t>
      </w:r>
      <w:r>
        <w:rPr>
          <w:rFonts w:hint="default" w:ascii="Times New Roman" w:hAnsi="Times New Roman" w:eastAsia="宋体" w:cs="Times New Roman"/>
          <w:b w:val="0"/>
          <w:color w:val="auto"/>
          <w:kern w:val="2"/>
          <w:sz w:val="24"/>
          <w:szCs w:val="24"/>
          <w:u w:val="single"/>
          <w:lang w:val="en-US" w:eastAsia="zh-CN" w:bidi="ar-SA"/>
        </w:rPr>
        <w:t>处理效率按</w:t>
      </w:r>
      <w:r>
        <w:rPr>
          <w:rFonts w:hint="eastAsia" w:ascii="Times New Roman" w:hAnsi="Times New Roman" w:eastAsia="宋体" w:cs="Times New Roman"/>
          <w:b w:val="0"/>
          <w:color w:val="auto"/>
          <w:kern w:val="2"/>
          <w:sz w:val="24"/>
          <w:szCs w:val="24"/>
          <w:u w:val="single"/>
          <w:lang w:val="en-US" w:eastAsia="zh-CN" w:bidi="ar-SA"/>
        </w:rPr>
        <w:t>9</w:t>
      </w:r>
      <w:r>
        <w:rPr>
          <w:rFonts w:hint="eastAsia" w:cs="Times New Roman"/>
          <w:b w:val="0"/>
          <w:color w:val="auto"/>
          <w:kern w:val="2"/>
          <w:sz w:val="24"/>
          <w:szCs w:val="24"/>
          <w:u w:val="single"/>
          <w:lang w:val="en-US" w:eastAsia="zh-CN" w:bidi="ar-SA"/>
        </w:rPr>
        <w:t>0</w:t>
      </w:r>
      <w:r>
        <w:rPr>
          <w:rFonts w:hint="default" w:ascii="Times New Roman" w:hAnsi="Times New Roman" w:eastAsia="宋体" w:cs="Times New Roman"/>
          <w:b w:val="0"/>
          <w:color w:val="auto"/>
          <w:kern w:val="2"/>
          <w:sz w:val="24"/>
          <w:szCs w:val="24"/>
          <w:u w:val="single"/>
          <w:lang w:val="en-US" w:eastAsia="zh-CN" w:bidi="ar-SA"/>
        </w:rPr>
        <w:t>％计</w:t>
      </w:r>
      <w:r>
        <w:rPr>
          <w:rFonts w:hint="eastAsia" w:cs="Times New Roman"/>
          <w:b w:val="0"/>
          <w:color w:val="auto"/>
          <w:kern w:val="2"/>
          <w:sz w:val="24"/>
          <w:szCs w:val="24"/>
          <w:u w:val="single"/>
          <w:lang w:val="en-US" w:eastAsia="zh-CN" w:bidi="ar-SA"/>
        </w:rPr>
        <w:t>，则熔融造粒工序有组织颗粒物排放量为0.0147t/a，排放速率为0.006kg/h，排放浓度为0.6mg/m</w:t>
      </w:r>
      <w:r>
        <w:rPr>
          <w:rFonts w:hint="eastAsia" w:cs="Times New Roman"/>
          <w:b w:val="0"/>
          <w:color w:val="auto"/>
          <w:kern w:val="2"/>
          <w:sz w:val="24"/>
          <w:szCs w:val="24"/>
          <w:u w:val="single"/>
          <w:vertAlign w:val="superscript"/>
          <w:lang w:val="en-US" w:eastAsia="zh-CN" w:bidi="ar-SA"/>
        </w:rPr>
        <w:t>3</w:t>
      </w:r>
      <w:r>
        <w:rPr>
          <w:rFonts w:hint="eastAsia" w:cs="Times New Roman"/>
          <w:b w:val="0"/>
          <w:color w:val="auto"/>
          <w:kern w:val="2"/>
          <w:sz w:val="24"/>
          <w:szCs w:val="24"/>
          <w:u w:val="single"/>
          <w:lang w:val="en-US" w:eastAsia="zh-CN" w:bidi="ar-SA"/>
        </w:rPr>
        <w:t>。无组织颗粒物排放量为0.003t/a，排放速率0.001kg/h。</w:t>
      </w:r>
    </w:p>
    <w:p>
      <w:pPr>
        <w:pStyle w:val="2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u w:val="single"/>
          <w:lang w:val="en-US" w:eastAsia="zh-CN"/>
        </w:rPr>
      </w:pPr>
      <w:r>
        <w:rPr>
          <w:rFonts w:hint="eastAsia" w:cs="Times New Roman"/>
          <w:b w:val="0"/>
          <w:bCs w:val="0"/>
          <w:color w:val="auto"/>
          <w:sz w:val="24"/>
          <w:u w:val="single"/>
          <w:lang w:eastAsia="zh-CN"/>
        </w:rPr>
        <w:t>有组织废气满足</w:t>
      </w:r>
      <w:r>
        <w:rPr>
          <w:rFonts w:hint="default" w:ascii="Times New Roman" w:hAnsi="Times New Roman" w:cs="Times New Roman"/>
          <w:b w:val="0"/>
          <w:bCs w:val="0"/>
          <w:color w:val="auto"/>
          <w:sz w:val="24"/>
          <w:u w:val="single"/>
        </w:rPr>
        <w:t>《合成树脂工业污染物排放标准》（GB31572-2015）</w:t>
      </w:r>
      <w:r>
        <w:rPr>
          <w:rFonts w:hint="eastAsia" w:ascii="Times New Roman" w:hAnsi="Times New Roman" w:cs="Times New Roman"/>
          <w:b w:val="0"/>
          <w:bCs w:val="0"/>
          <w:color w:val="auto"/>
          <w:sz w:val="24"/>
          <w:u w:val="single"/>
          <w:lang w:eastAsia="zh-CN"/>
        </w:rPr>
        <w:t>表</w:t>
      </w:r>
      <w:r>
        <w:rPr>
          <w:rFonts w:hint="eastAsia" w:cs="Times New Roman"/>
          <w:b w:val="0"/>
          <w:bCs w:val="0"/>
          <w:color w:val="auto"/>
          <w:sz w:val="24"/>
          <w:u w:val="single"/>
          <w:lang w:val="en-US" w:eastAsia="zh-CN"/>
        </w:rPr>
        <w:t>5</w:t>
      </w:r>
      <w:r>
        <w:rPr>
          <w:rFonts w:hint="default" w:ascii="Times New Roman" w:hAnsi="Times New Roman" w:cs="Times New Roman"/>
          <w:b w:val="0"/>
          <w:bCs w:val="0"/>
          <w:color w:val="auto"/>
          <w:sz w:val="24"/>
          <w:u w:val="single"/>
        </w:rPr>
        <w:t>排放标准限值要求（非甲烷总烃</w:t>
      </w:r>
      <w:r>
        <w:rPr>
          <w:rFonts w:hint="eastAsia" w:cs="Times New Roman"/>
          <w:b w:val="0"/>
          <w:bCs w:val="0"/>
          <w:color w:val="auto"/>
          <w:sz w:val="24"/>
          <w:u w:val="single"/>
          <w:lang w:val="en-US" w:eastAsia="zh-CN"/>
        </w:rPr>
        <w:t>60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cs="Times New Roman"/>
          <w:b w:val="0"/>
          <w:bCs w:val="0"/>
          <w:color w:val="auto"/>
          <w:sz w:val="24"/>
          <w:u w:val="single"/>
          <w:vertAlign w:val="baseline"/>
          <w:lang w:eastAsia="zh-CN"/>
        </w:rPr>
        <w:t>、</w:t>
      </w:r>
      <w:r>
        <w:rPr>
          <w:rFonts w:hint="eastAsia" w:ascii="Times New Roman" w:hAnsi="Times New Roman" w:cs="Times New Roman"/>
          <w:b w:val="0"/>
          <w:bCs w:val="0"/>
          <w:color w:val="auto"/>
          <w:sz w:val="24"/>
          <w:u w:val="single"/>
          <w:lang w:eastAsia="zh-CN"/>
        </w:rPr>
        <w:t>苯乙烯</w:t>
      </w:r>
      <w:r>
        <w:rPr>
          <w:rFonts w:hint="eastAsia" w:cs="Times New Roman"/>
          <w:b w:val="0"/>
          <w:bCs w:val="0"/>
          <w:color w:val="auto"/>
          <w:sz w:val="24"/>
          <w:u w:val="single"/>
          <w:lang w:val="en-US" w:eastAsia="zh-CN"/>
        </w:rPr>
        <w:t>20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cs="Times New Roman"/>
          <w:b w:val="0"/>
          <w:bCs w:val="0"/>
          <w:color w:val="auto"/>
          <w:sz w:val="24"/>
          <w:u w:val="single"/>
          <w:vertAlign w:val="baseline"/>
          <w:lang w:eastAsia="zh-CN"/>
        </w:rPr>
        <w:t>、</w:t>
      </w:r>
      <w:r>
        <w:rPr>
          <w:rFonts w:hint="eastAsia" w:cs="Times New Roman"/>
          <w:b w:val="0"/>
          <w:bCs w:val="0"/>
          <w:color w:val="auto"/>
          <w:sz w:val="24"/>
          <w:u w:val="single"/>
          <w:lang w:eastAsia="zh-CN"/>
        </w:rPr>
        <w:t>颗粒物</w:t>
      </w:r>
      <w:r>
        <w:rPr>
          <w:rFonts w:hint="eastAsia" w:cs="Times New Roman"/>
          <w:b w:val="0"/>
          <w:bCs w:val="0"/>
          <w:color w:val="auto"/>
          <w:sz w:val="24"/>
          <w:u w:val="single"/>
          <w:lang w:val="en-US" w:eastAsia="zh-CN"/>
        </w:rPr>
        <w:t>20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default" w:ascii="Times New Roman" w:hAnsi="Times New Roman" w:cs="Times New Roman"/>
          <w:b w:val="0"/>
          <w:bCs w:val="0"/>
          <w:color w:val="auto"/>
          <w:sz w:val="24"/>
          <w:u w:val="single"/>
        </w:rPr>
        <w:t>）</w:t>
      </w:r>
      <w:r>
        <w:rPr>
          <w:rFonts w:hint="eastAsia" w:cs="Times New Roman"/>
          <w:b w:val="0"/>
          <w:bCs w:val="0"/>
          <w:color w:val="auto"/>
          <w:sz w:val="24"/>
          <w:u w:val="single"/>
          <w:lang w:eastAsia="zh-CN"/>
        </w:rPr>
        <w:t>；无组织废气满足</w:t>
      </w:r>
      <w:r>
        <w:rPr>
          <w:rFonts w:hint="default" w:ascii="Times New Roman" w:hAnsi="Times New Roman" w:eastAsia="宋体" w:cs="Times New Roman"/>
          <w:b w:val="0"/>
          <w:bCs/>
          <w:color w:val="auto"/>
          <w:kern w:val="2"/>
          <w:sz w:val="24"/>
          <w:szCs w:val="24"/>
          <w:u w:val="single"/>
          <w:lang w:val="en-US" w:eastAsia="zh-CN" w:bidi="ar-SA"/>
        </w:rPr>
        <w:t>《关于全省开展工业企业挥发性有机物专项治理工作中排放建议值的通知》（豫环攻坚办〔2017〕162号）</w:t>
      </w:r>
      <w:r>
        <w:rPr>
          <w:rFonts w:hint="eastAsia" w:ascii="Times New Roman" w:hAnsi="Times New Roman" w:eastAsia="宋体" w:cs="Times New Roman"/>
          <w:b w:val="0"/>
          <w:bCs/>
          <w:color w:val="auto"/>
          <w:kern w:val="2"/>
          <w:sz w:val="24"/>
          <w:szCs w:val="24"/>
          <w:u w:val="single"/>
          <w:lang w:val="en-US" w:eastAsia="zh-CN" w:bidi="ar-SA"/>
        </w:rPr>
        <w:t>（其他行业</w:t>
      </w:r>
      <w:r>
        <w:rPr>
          <w:rFonts w:hint="default" w:ascii="Times New Roman" w:hAnsi="Times New Roman" w:cs="Times New Roman"/>
          <w:b w:val="0"/>
          <w:bCs w:val="0"/>
          <w:color w:val="auto"/>
          <w:sz w:val="24"/>
          <w:u w:val="single"/>
          <w:lang w:val="en-US" w:eastAsia="zh-CN"/>
        </w:rPr>
        <w:t>无组织</w:t>
      </w:r>
      <w:r>
        <w:rPr>
          <w:rFonts w:hint="default" w:ascii="Times New Roman" w:hAnsi="Times New Roman" w:cs="Times New Roman"/>
          <w:b w:val="0"/>
          <w:bCs w:val="0"/>
          <w:color w:val="auto"/>
          <w:sz w:val="24"/>
          <w:u w:val="single"/>
        </w:rPr>
        <w:t>非甲烷总烃</w:t>
      </w:r>
      <w:r>
        <w:rPr>
          <w:rFonts w:hint="eastAsia" w:ascii="Times New Roman" w:hAnsi="Times New Roman" w:cs="Times New Roman"/>
          <w:b w:val="0"/>
          <w:bCs w:val="0"/>
          <w:color w:val="auto"/>
          <w:sz w:val="24"/>
          <w:u w:val="single"/>
          <w:lang w:val="en-US" w:eastAsia="zh-CN"/>
        </w:rPr>
        <w:t>2</w:t>
      </w:r>
      <w:r>
        <w:rPr>
          <w:rFonts w:hint="default" w:ascii="Times New Roman" w:hAnsi="Times New Roman" w:cs="Times New Roman"/>
          <w:b w:val="0"/>
          <w:bCs w:val="0"/>
          <w:color w:val="auto"/>
          <w:sz w:val="24"/>
          <w:u w:val="single"/>
          <w:lang w:val="en-US" w:eastAsia="zh-CN"/>
        </w:rPr>
        <w:t>.0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ascii="Times New Roman" w:hAnsi="Times New Roman" w:eastAsia="宋体" w:cs="Times New Roman"/>
          <w:b w:val="0"/>
          <w:bCs/>
          <w:color w:val="auto"/>
          <w:kern w:val="2"/>
          <w:sz w:val="24"/>
          <w:szCs w:val="24"/>
          <w:u w:val="single"/>
          <w:lang w:val="en-US" w:eastAsia="zh-CN" w:bidi="ar-SA"/>
        </w:rPr>
        <w:t>）的排放限值要求</w:t>
      </w:r>
      <w:r>
        <w:rPr>
          <w:rFonts w:hint="eastAsia" w:cs="Times New Roman"/>
          <w:b w:val="0"/>
          <w:bCs/>
          <w:color w:val="auto"/>
          <w:kern w:val="2"/>
          <w:sz w:val="24"/>
          <w:szCs w:val="24"/>
          <w:u w:val="single"/>
          <w:lang w:val="en-US" w:eastAsia="zh-CN" w:bidi="ar-SA"/>
        </w:rPr>
        <w:t>；苯乙烯无组织排放满足《恶臭污染物排放标准》（GB 14554-93）厂界标准</w:t>
      </w:r>
      <w:r>
        <w:rPr>
          <w:rFonts w:hint="eastAsia" w:ascii="Times New Roman" w:hAnsi="Times New Roman" w:eastAsia="宋体" w:cs="Times New Roman"/>
          <w:b w:val="0"/>
          <w:bCs/>
          <w:color w:val="auto"/>
          <w:kern w:val="2"/>
          <w:sz w:val="24"/>
          <w:szCs w:val="24"/>
          <w:u w:val="single"/>
          <w:lang w:val="en-US" w:eastAsia="zh-CN" w:bidi="ar-SA"/>
        </w:rPr>
        <w:t>（</w:t>
      </w:r>
      <w:r>
        <w:rPr>
          <w:rFonts w:hint="eastAsia" w:ascii="Times New Roman" w:hAnsi="Times New Roman" w:cs="Times New Roman"/>
          <w:b w:val="0"/>
          <w:bCs/>
          <w:color w:val="auto"/>
          <w:kern w:val="2"/>
          <w:sz w:val="24"/>
          <w:szCs w:val="24"/>
          <w:u w:val="single"/>
          <w:lang w:val="en-US" w:eastAsia="zh-CN" w:bidi="ar-SA"/>
        </w:rPr>
        <w:t>苯乙烯废气</w:t>
      </w:r>
      <w:r>
        <w:rPr>
          <w:rFonts w:hint="eastAsia" w:cs="Times New Roman"/>
          <w:b w:val="0"/>
          <w:bCs/>
          <w:color w:val="auto"/>
          <w:kern w:val="2"/>
          <w:sz w:val="24"/>
          <w:szCs w:val="24"/>
          <w:u w:val="single"/>
          <w:lang w:val="en-US" w:eastAsia="zh-CN" w:bidi="ar-SA"/>
        </w:rPr>
        <w:t>5.0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ascii="Times New Roman" w:hAnsi="Times New Roman" w:eastAsia="宋体" w:cs="Times New Roman"/>
          <w:b w:val="0"/>
          <w:bCs/>
          <w:color w:val="auto"/>
          <w:kern w:val="2"/>
          <w:sz w:val="24"/>
          <w:szCs w:val="24"/>
          <w:u w:val="single"/>
          <w:lang w:val="en-US" w:eastAsia="zh-CN" w:bidi="ar-SA"/>
        </w:rPr>
        <w:t>）</w:t>
      </w:r>
      <w:r>
        <w:rPr>
          <w:rFonts w:hint="eastAsia" w:cs="Times New Roman"/>
          <w:b w:val="0"/>
          <w:bCs/>
          <w:color w:val="auto"/>
          <w:kern w:val="2"/>
          <w:sz w:val="24"/>
          <w:szCs w:val="24"/>
          <w:u w:val="single"/>
          <w:lang w:val="en-US" w:eastAsia="zh-CN" w:bidi="ar-SA"/>
        </w:rPr>
        <w:t>；颗粒物无组织排放满足</w:t>
      </w:r>
      <w:r>
        <w:rPr>
          <w:rFonts w:hint="default" w:ascii="Times New Roman" w:hAnsi="Times New Roman" w:cs="Times New Roman"/>
          <w:b w:val="0"/>
          <w:bCs w:val="0"/>
          <w:color w:val="auto"/>
          <w:sz w:val="24"/>
          <w:u w:val="single"/>
        </w:rPr>
        <w:t>《合成树脂工业污染物排放标准》（GB31572-2015）</w:t>
      </w:r>
      <w:r>
        <w:rPr>
          <w:rFonts w:hint="eastAsia" w:ascii="Times New Roman" w:hAnsi="Times New Roman" w:cs="Times New Roman"/>
          <w:b w:val="0"/>
          <w:bCs w:val="0"/>
          <w:color w:val="auto"/>
          <w:sz w:val="24"/>
          <w:u w:val="single"/>
          <w:lang w:eastAsia="zh-CN"/>
        </w:rPr>
        <w:t>表</w:t>
      </w:r>
      <w:r>
        <w:rPr>
          <w:rFonts w:hint="eastAsia" w:cs="Times New Roman"/>
          <w:b w:val="0"/>
          <w:bCs w:val="0"/>
          <w:color w:val="auto"/>
          <w:sz w:val="24"/>
          <w:u w:val="single"/>
          <w:lang w:val="en-US" w:eastAsia="zh-CN"/>
        </w:rPr>
        <w:t>9</w:t>
      </w:r>
      <w:r>
        <w:rPr>
          <w:rFonts w:hint="eastAsia" w:cs="Times New Roman"/>
          <w:b w:val="0"/>
          <w:bCs w:val="0"/>
          <w:color w:val="auto"/>
          <w:sz w:val="24"/>
          <w:u w:val="single"/>
          <w:lang w:eastAsia="zh-CN"/>
        </w:rPr>
        <w:t>企业边界大气污染物浓度限值（颗粒物</w:t>
      </w:r>
      <w:r>
        <w:rPr>
          <w:rFonts w:hint="eastAsia" w:cs="Times New Roman"/>
          <w:b w:val="0"/>
          <w:bCs w:val="0"/>
          <w:color w:val="auto"/>
          <w:sz w:val="24"/>
          <w:u w:val="single"/>
          <w:lang w:val="en-US" w:eastAsia="zh-CN"/>
        </w:rPr>
        <w:t>1.0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cs="Times New Roman"/>
          <w:b w:val="0"/>
          <w:bCs w:val="0"/>
          <w:color w:val="auto"/>
          <w:sz w:val="24"/>
          <w:u w:val="single"/>
          <w:lang w:eastAsia="zh-CN"/>
        </w:rPr>
        <w:t>）</w:t>
      </w:r>
      <w:r>
        <w:rPr>
          <w:rFonts w:hint="eastAsia" w:ascii="Times New Roman" w:hAnsi="Times New Roman" w:eastAsia="宋体" w:cs="Times New Roman"/>
          <w:b w:val="0"/>
          <w:bCs/>
          <w:color w:val="auto"/>
          <w:kern w:val="2"/>
          <w:sz w:val="24"/>
          <w:szCs w:val="24"/>
          <w:u w:val="single"/>
          <w:lang w:val="en-US" w:eastAsia="zh-CN" w:bidi="ar-SA"/>
        </w:rPr>
        <w:t>。</w:t>
      </w:r>
    </w:p>
    <w:p>
      <w:pPr>
        <w:keepNext w:val="0"/>
        <w:keepLines w:val="0"/>
        <w:widowControl/>
        <w:suppressLineNumbers w:val="0"/>
        <w:jc w:val="left"/>
        <w:rPr>
          <w:rFonts w:hint="default" w:eastAsia="宋体"/>
          <w:lang w:val="en-US" w:eastAsia="zh-CN"/>
        </w:rPr>
      </w:pPr>
      <w:r>
        <w:rPr>
          <w:rFonts w:hint="eastAsia"/>
          <w:lang w:eastAsia="zh-CN"/>
        </w:rPr>
        <w:t>（</w:t>
      </w:r>
      <w:r>
        <w:rPr>
          <w:rFonts w:hint="eastAsia"/>
          <w:lang w:val="en-US" w:eastAsia="zh-CN"/>
        </w:rPr>
        <w:t>3）注塑有机废气</w:t>
      </w:r>
    </w:p>
    <w:p>
      <w:pPr>
        <w:pStyle w:val="19"/>
        <w:keepNext w:val="0"/>
        <w:keepLines w:val="0"/>
        <w:widowControl/>
        <w:suppressLineNumbers w:val="0"/>
        <w:spacing w:before="0" w:beforeAutospacing="0" w:after="0" w:afterAutospacing="0"/>
        <w:ind w:left="0" w:right="0" w:firstLine="0"/>
        <w:jc w:val="both"/>
        <w:rPr>
          <w:rFonts w:hint="default" w:eastAsia="宋体"/>
          <w:u w:val="single"/>
          <w:lang w:val="en-US" w:eastAsia="zh-CN"/>
        </w:rPr>
      </w:pPr>
      <w:r>
        <w:rPr>
          <w:rFonts w:ascii="Times New Roman" w:hAnsi="Times New Roman" w:eastAsia="宋体"/>
          <w:color w:val="000000" w:themeColor="text1"/>
          <w14:textFill>
            <w14:solidFill>
              <w14:schemeClr w14:val="tx1"/>
            </w14:solidFill>
          </w14:textFill>
        </w:rPr>
        <w:t>参考《工业污染源产排污系数手册》</w:t>
      </w:r>
      <w:r>
        <w:rPr>
          <w:rFonts w:hint="eastAsia"/>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 xml:space="preserve">2929 </w:t>
      </w:r>
      <w:r>
        <w:rPr>
          <w:rFonts w:ascii="Times New Roman" w:hAnsi="Times New Roman" w:eastAsia="宋体"/>
          <w:color w:val="000000" w:themeColor="text1"/>
          <w:lang w:val="en-US" w:eastAsia="zh-CN"/>
          <w14:textFill>
            <w14:solidFill>
              <w14:schemeClr w14:val="tx1"/>
            </w14:solidFill>
          </w14:textFill>
        </w:rPr>
        <w:t>塑料零件及其他塑料制品制造行业</w:t>
      </w:r>
      <w:r>
        <w:rPr>
          <w:rFonts w:hint="eastAsia"/>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塑料零件中注塑</w:t>
      </w:r>
      <w:r>
        <w:rPr>
          <w:rFonts w:hint="eastAsia"/>
          <w:color w:val="000000" w:themeColor="text1"/>
          <w:lang w:val="en-US" w:eastAsia="zh-CN"/>
          <w14:textFill>
            <w14:solidFill>
              <w14:schemeClr w14:val="tx1"/>
            </w14:solidFill>
          </w14:textFill>
        </w:rPr>
        <w:t>工</w:t>
      </w:r>
      <w:r>
        <w:rPr>
          <w:rFonts w:hint="eastAsia" w:ascii="Times New Roman" w:hAnsi="Times New Roman" w:eastAsia="宋体"/>
          <w:color w:val="000000" w:themeColor="text1"/>
          <w:lang w:val="en-US" w:eastAsia="zh-CN"/>
          <w14:textFill>
            <w14:solidFill>
              <w14:schemeClr w14:val="tx1"/>
            </w14:solidFill>
          </w14:textFill>
        </w:rPr>
        <w:t>序中挥发性有机物产生量为2.70千克</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吨</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原料</w:t>
      </w:r>
      <w:r>
        <w:rPr>
          <w:rFonts w:hint="eastAsia"/>
          <w:color w:val="000000" w:themeColor="text1"/>
          <w:lang w:val="en-US" w:eastAsia="zh-CN"/>
          <w14:textFill>
            <w14:solidFill>
              <w14:schemeClr w14:val="tx1"/>
            </w14:solidFill>
          </w14:textFill>
        </w:rPr>
        <w:t>，</w:t>
      </w:r>
      <w:r>
        <w:rPr>
          <w:rFonts w:hint="eastAsia" w:ascii="Times New Roman" w:hAnsi="Times New Roman" w:eastAsia="宋体" w:cs="Times New Roman"/>
          <w:color w:val="000000"/>
          <w:kern w:val="0"/>
          <w:sz w:val="24"/>
          <w:szCs w:val="24"/>
          <w:u w:val="single"/>
          <w:lang w:val="en-US" w:eastAsia="zh-CN" w:bidi="ar"/>
        </w:rPr>
        <w:t>工业废气量为</w:t>
      </w:r>
      <w:r>
        <w:rPr>
          <w:rFonts w:hint="eastAsia" w:ascii="Times New Roman" w:hAnsi="Times New Roman" w:cs="Times New Roman"/>
          <w:color w:val="000000"/>
          <w:kern w:val="0"/>
          <w:sz w:val="24"/>
          <w:szCs w:val="24"/>
          <w:u w:val="single"/>
          <w:lang w:val="en-US" w:eastAsia="zh-CN" w:bidi="ar"/>
        </w:rPr>
        <w:t>1.2×10</w:t>
      </w:r>
      <w:r>
        <w:rPr>
          <w:rFonts w:hint="eastAsia" w:ascii="Times New Roman" w:hAnsi="Times New Roman" w:cs="Times New Roman"/>
          <w:color w:val="000000"/>
          <w:kern w:val="0"/>
          <w:sz w:val="24"/>
          <w:szCs w:val="24"/>
          <w:u w:val="single"/>
          <w:vertAlign w:val="superscript"/>
          <w:lang w:val="en-US" w:eastAsia="zh-CN" w:bidi="ar"/>
        </w:rPr>
        <w:t>5</w:t>
      </w:r>
      <w:r>
        <w:rPr>
          <w:rFonts w:hint="eastAsia" w:ascii="Times New Roman" w:hAnsi="Times New Roman" w:eastAsia="宋体"/>
          <w:color w:val="000000" w:themeColor="text1"/>
          <w:u w:val="single"/>
          <w:lang w:val="en-US" w:eastAsia="zh-CN"/>
          <w14:textFill>
            <w14:solidFill>
              <w14:schemeClr w14:val="tx1"/>
            </w14:solidFill>
          </w14:textFill>
        </w:rPr>
        <w:t>标立方米</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吨</w:t>
      </w:r>
      <w:r>
        <w:rPr>
          <w:rFonts w:hint="default" w:ascii="Times New Roman" w:hAnsi="Times New Roman" w:eastAsia="宋体"/>
          <w:color w:val="000000" w:themeColor="text1"/>
          <w:u w:val="single"/>
          <w:lang w:val="en-US" w:eastAsia="zh-CN"/>
          <w14:textFill>
            <w14:solidFill>
              <w14:schemeClr w14:val="tx1"/>
            </w14:solidFill>
          </w14:textFill>
        </w:rPr>
        <w:t>-</w:t>
      </w:r>
      <w:r>
        <w:rPr>
          <w:rFonts w:hint="eastAsia" w:ascii="Times New Roman" w:hAnsi="Times New Roman" w:eastAsia="宋体"/>
          <w:color w:val="000000" w:themeColor="text1"/>
          <w:u w:val="single"/>
          <w:lang w:val="en-US" w:eastAsia="zh-CN"/>
          <w14:textFill>
            <w14:solidFill>
              <w14:schemeClr w14:val="tx1"/>
            </w14:solidFill>
          </w14:textFill>
        </w:rPr>
        <w:t>原料</w:t>
      </w:r>
      <w:r>
        <w:rPr>
          <w:rFonts w:hint="eastAsia" w:ascii="Times New Roman" w:hAnsi="Times New Roman" w:eastAsia="宋体"/>
          <w:color w:val="000000" w:themeColor="text1"/>
          <w:lang w:val="en-US" w:eastAsia="zh-CN"/>
          <w14:textFill>
            <w14:solidFill>
              <w14:schemeClr w14:val="tx1"/>
            </w14:solidFill>
          </w14:textFill>
        </w:rPr>
        <w:t>。注塑产品</w:t>
      </w:r>
      <w:r>
        <w:rPr>
          <w:rFonts w:hint="eastAsia"/>
          <w:color w:val="000000" w:themeColor="text1"/>
          <w:lang w:val="en-US" w:eastAsia="zh-CN"/>
          <w14:textFill>
            <w14:solidFill>
              <w14:schemeClr w14:val="tx1"/>
            </w14:solidFill>
          </w14:textFill>
        </w:rPr>
        <w:t>100</w:t>
      </w:r>
      <w:r>
        <w:rPr>
          <w:rFonts w:hint="eastAsia" w:ascii="Times New Roman" w:hAnsi="Times New Roman" w:eastAsia="宋体"/>
          <w:color w:val="000000" w:themeColor="text1"/>
          <w:lang w:val="en-US" w:eastAsia="zh-CN"/>
          <w14:textFill>
            <w14:solidFill>
              <w14:schemeClr w14:val="tx1"/>
            </w14:solidFill>
          </w14:textFill>
        </w:rPr>
        <w:t>0t/a，则</w:t>
      </w:r>
      <w:r>
        <w:rPr>
          <w:rFonts w:hint="eastAsia"/>
          <w:color w:val="000000" w:themeColor="text1"/>
          <w:lang w:val="en-US" w:eastAsia="zh-CN"/>
          <w14:textFill>
            <w14:solidFill>
              <w14:schemeClr w14:val="tx1"/>
            </w14:solidFill>
          </w14:textFill>
        </w:rPr>
        <w:t>非甲烷总烃</w:t>
      </w:r>
      <w:r>
        <w:rPr>
          <w:rFonts w:hint="eastAsia" w:ascii="Times New Roman" w:hAnsi="Times New Roman" w:eastAsia="宋体"/>
          <w:color w:val="000000" w:themeColor="text1"/>
          <w:lang w:val="en-US" w:eastAsia="zh-CN"/>
          <w14:textFill>
            <w14:solidFill>
              <w14:schemeClr w14:val="tx1"/>
            </w14:solidFill>
          </w14:textFill>
        </w:rPr>
        <w:t>产生量为</w:t>
      </w:r>
      <w:r>
        <w:rPr>
          <w:rFonts w:hint="eastAsia"/>
          <w:color w:val="000000" w:themeColor="text1"/>
          <w:lang w:val="en-US" w:eastAsia="zh-CN"/>
          <w14:textFill>
            <w14:solidFill>
              <w14:schemeClr w14:val="tx1"/>
            </w14:solidFill>
          </w14:textFill>
        </w:rPr>
        <w:t>2.7</w:t>
      </w:r>
      <w:r>
        <w:rPr>
          <w:rFonts w:hint="eastAsia" w:ascii="Times New Roman" w:hAnsi="Times New Roman" w:eastAsia="宋体"/>
          <w:color w:val="000000" w:themeColor="text1"/>
          <w:lang w:val="en-US" w:eastAsia="zh-CN"/>
          <w14:textFill>
            <w14:solidFill>
              <w14:schemeClr w14:val="tx1"/>
            </w14:solidFill>
          </w14:textFill>
        </w:rPr>
        <w:t>t/a</w:t>
      </w:r>
      <w:r>
        <w:rPr>
          <w:rFonts w:hint="eastAsia"/>
          <w:color w:val="000000" w:themeColor="text1"/>
          <w:lang w:val="en-US"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苯乙烯产生量参考</w:t>
      </w:r>
      <w:r>
        <w:rPr>
          <w:rFonts w:cs="Times New Roman"/>
          <w:szCs w:val="28"/>
          <w:u w:val="single"/>
        </w:rPr>
        <w:t>《空气污染物排放和控制手册》（美国国家环保局）中推荐的公式计算，该手册认为在无控制措施时，</w:t>
      </w:r>
      <w:r>
        <w:rPr>
          <w:rFonts w:hint="eastAsia" w:cs="Times New Roman"/>
          <w:szCs w:val="28"/>
          <w:u w:val="single"/>
          <w:lang w:eastAsia="zh-CN"/>
        </w:rPr>
        <w:t>苯乙烯产生量为</w:t>
      </w:r>
      <w:r>
        <w:rPr>
          <w:rFonts w:hint="eastAsia" w:cs="Times New Roman"/>
          <w:szCs w:val="28"/>
          <w:u w:val="single"/>
          <w:lang w:val="en-US" w:eastAsia="zh-CN"/>
        </w:rPr>
        <w:t>0.7kg/t-原料，由此核算苯乙烯产生量为0.7t/a。</w:t>
      </w:r>
    </w:p>
    <w:p>
      <w:pPr>
        <w:keepNext w:val="0"/>
        <w:keepLines w:val="0"/>
        <w:widowControl/>
        <w:suppressLineNumbers w:val="0"/>
        <w:jc w:val="both"/>
        <w:rPr>
          <w:rFonts w:hint="default" w:ascii="Times New Roman" w:hAnsi="Times New Roman" w:eastAsia="宋体"/>
          <w:color w:val="000000" w:themeColor="text1"/>
          <w:lang w:val="en-US"/>
          <w14:textFill>
            <w14:solidFill>
              <w14:schemeClr w14:val="tx1"/>
            </w14:solidFill>
          </w14:textFill>
        </w:rPr>
      </w:pPr>
      <w:r>
        <w:rPr>
          <w:rFonts w:hint="eastAsia" w:cs="Times New Roman"/>
          <w:b w:val="0"/>
          <w:color w:val="auto"/>
          <w:kern w:val="2"/>
          <w:sz w:val="24"/>
          <w:szCs w:val="24"/>
          <w:u w:val="single"/>
          <w:lang w:val="en-US" w:eastAsia="zh-CN" w:bidi="ar-SA"/>
        </w:rPr>
        <w:t>根据</w:t>
      </w:r>
      <w:r>
        <w:rPr>
          <w:rFonts w:ascii="Times New Roman" w:hAnsi="Times New Roman" w:eastAsia="宋体"/>
          <w:color w:val="000000" w:themeColor="text1"/>
          <w:u w:val="single"/>
          <w14:textFill>
            <w14:solidFill>
              <w14:schemeClr w14:val="tx1"/>
            </w14:solidFill>
          </w14:textFill>
        </w:rPr>
        <w:t>《工业污染源产排污系数手册》</w:t>
      </w:r>
      <w:r>
        <w:rPr>
          <w:rFonts w:hint="eastAsia" w:ascii="Times New Roman" w:hAnsi="Times New Roman"/>
          <w:color w:val="000000" w:themeColor="text1"/>
          <w:u w:val="single"/>
          <w:lang w:eastAsia="zh-CN"/>
          <w14:textFill>
            <w14:solidFill>
              <w14:schemeClr w14:val="tx1"/>
            </w14:solidFill>
          </w14:textFill>
        </w:rPr>
        <w:t>核算项目废气量为</w:t>
      </w:r>
      <w:r>
        <w:rPr>
          <w:rFonts w:hint="eastAsia" w:ascii="Times New Roman" w:hAnsi="Times New Roman"/>
          <w:color w:val="000000" w:themeColor="text1"/>
          <w:u w:val="single"/>
          <w:lang w:val="en-US" w:eastAsia="zh-CN"/>
          <w14:textFill>
            <w14:solidFill>
              <w14:schemeClr w14:val="tx1"/>
            </w14:solidFill>
          </w14:textFill>
        </w:rPr>
        <w:t>50000</w:t>
      </w:r>
      <w:r>
        <w:rPr>
          <w:rFonts w:hint="eastAsia"/>
          <w:color w:val="000000" w:themeColor="text1"/>
          <w:u w:val="single"/>
          <w:lang w:val="en-US" w:eastAsia="zh-CN"/>
          <w14:textFill>
            <w14:solidFill>
              <w14:schemeClr w14:val="tx1"/>
            </w14:solidFill>
          </w14:textFill>
        </w:rPr>
        <w:t>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/h，本项目注塑工序风机设计风量为60000m</w:t>
      </w:r>
      <w:r>
        <w:rPr>
          <w:rFonts w:hint="eastAsia"/>
          <w:color w:val="000000" w:themeColor="text1"/>
          <w:u w:val="single"/>
          <w:vertAlign w:val="superscript"/>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/h，</w:t>
      </w:r>
      <w:r>
        <w:rPr>
          <w:rFonts w:hint="default" w:ascii="Times New Roman" w:hAnsi="Times New Roman" w:eastAsia="宋体" w:cs="Times New Roman"/>
          <w:b w:val="0"/>
          <w:color w:val="auto"/>
          <w:kern w:val="2"/>
          <w:sz w:val="24"/>
          <w:szCs w:val="24"/>
          <w:u w:val="none"/>
          <w:lang w:val="en-US" w:eastAsia="zh-CN" w:bidi="ar-SA"/>
        </w:rPr>
        <w:t>车间产生的非甲烷总烃</w:t>
      </w:r>
      <w:r>
        <w:rPr>
          <w:rFonts w:hint="eastAsia" w:cs="Times New Roman"/>
          <w:b w:val="0"/>
          <w:color w:val="auto"/>
          <w:kern w:val="2"/>
          <w:sz w:val="24"/>
          <w:szCs w:val="24"/>
          <w:u w:val="none"/>
          <w:lang w:val="en-US" w:eastAsia="zh-CN" w:bidi="ar-SA"/>
        </w:rPr>
        <w:t>和苯乙烯</w:t>
      </w:r>
      <w:r>
        <w:rPr>
          <w:rFonts w:hint="default" w:ascii="Times New Roman" w:hAnsi="Times New Roman" w:eastAsia="宋体" w:cs="Times New Roman"/>
          <w:b w:val="0"/>
          <w:color w:val="auto"/>
          <w:kern w:val="2"/>
          <w:sz w:val="24"/>
          <w:szCs w:val="24"/>
          <w:u w:val="none"/>
          <w:lang w:val="en-US" w:eastAsia="zh-CN" w:bidi="ar-SA"/>
        </w:rPr>
        <w:t>经收集后通过</w:t>
      </w:r>
      <w:r>
        <w:rPr>
          <w:rFonts w:hint="eastAsia" w:ascii="Times New Roman" w:hAnsi="Times New Roman" w:eastAsia="宋体" w:cs="Times New Roman"/>
          <w:b w:val="0"/>
          <w:bCs/>
          <w:color w:val="auto"/>
          <w:kern w:val="2"/>
          <w:sz w:val="24"/>
          <w:szCs w:val="24"/>
          <w:u w:val="none"/>
          <w:lang w:val="en-US" w:eastAsia="zh-CN" w:bidi="ar-SA"/>
        </w:rPr>
        <w:t>吸附浓缩+催化燃烧装置</w:t>
      </w:r>
      <w:r>
        <w:rPr>
          <w:rFonts w:hint="default" w:ascii="Times New Roman" w:hAnsi="Times New Roman" w:eastAsia="宋体" w:cs="Times New Roman"/>
          <w:b w:val="0"/>
          <w:bCs/>
          <w:color w:val="auto"/>
          <w:kern w:val="2"/>
          <w:sz w:val="24"/>
          <w:szCs w:val="24"/>
          <w:u w:val="none"/>
          <w:lang w:val="en-US" w:eastAsia="zh-CN" w:bidi="ar-SA"/>
        </w:rPr>
        <w:t>处理，最终通</w:t>
      </w:r>
      <w:r>
        <w:rPr>
          <w:rFonts w:hint="default" w:ascii="Times New Roman" w:hAnsi="Times New Roman" w:eastAsia="宋体" w:cs="Times New Roman"/>
          <w:b w:val="0"/>
          <w:color w:val="auto"/>
          <w:kern w:val="2"/>
          <w:sz w:val="24"/>
          <w:szCs w:val="24"/>
          <w:u w:val="none"/>
          <w:lang w:val="en-US" w:eastAsia="zh-CN" w:bidi="ar-SA"/>
        </w:rPr>
        <w:t>过不低于15m</w:t>
      </w:r>
      <w:r>
        <w:rPr>
          <w:rFonts w:hint="eastAsia" w:cs="Times New Roman"/>
          <w:b w:val="0"/>
          <w:color w:val="auto"/>
          <w:kern w:val="2"/>
          <w:sz w:val="24"/>
          <w:szCs w:val="24"/>
          <w:u w:val="single"/>
          <w:lang w:val="en-US" w:eastAsia="zh-CN" w:bidi="ar-SA"/>
        </w:rPr>
        <w:t>（DA003）</w:t>
      </w:r>
      <w:r>
        <w:rPr>
          <w:rFonts w:hint="default" w:ascii="Times New Roman" w:hAnsi="Times New Roman" w:eastAsia="宋体" w:cs="Times New Roman"/>
          <w:b w:val="0"/>
          <w:color w:val="auto"/>
          <w:kern w:val="2"/>
          <w:sz w:val="24"/>
          <w:szCs w:val="24"/>
          <w:u w:val="none"/>
          <w:lang w:val="en-US" w:eastAsia="zh-CN" w:bidi="ar-SA"/>
        </w:rPr>
        <w:t>高排气筒排放，</w:t>
      </w:r>
      <w:r>
        <w:rPr>
          <w:rFonts w:hint="eastAsia" w:cs="Times New Roman"/>
          <w:b w:val="0"/>
          <w:color w:val="auto"/>
          <w:kern w:val="2"/>
          <w:sz w:val="24"/>
          <w:szCs w:val="24"/>
          <w:u w:val="none"/>
          <w:lang w:val="en-US" w:eastAsia="zh-CN" w:bidi="ar-SA"/>
        </w:rPr>
        <w:t>注塑工序年生产2400h，</w:t>
      </w:r>
      <w:r>
        <w:rPr>
          <w:rFonts w:hint="default" w:ascii="Times New Roman" w:hAnsi="Times New Roman" w:eastAsia="宋体" w:cs="Times New Roman"/>
          <w:b w:val="0"/>
          <w:color w:val="auto"/>
          <w:kern w:val="2"/>
          <w:sz w:val="24"/>
          <w:szCs w:val="24"/>
          <w:u w:val="none"/>
          <w:lang w:val="en-US" w:eastAsia="zh-CN" w:bidi="ar-SA"/>
        </w:rPr>
        <w:t>收集效率按9</w:t>
      </w:r>
      <w:r>
        <w:rPr>
          <w:rFonts w:hint="default" w:ascii="Times New Roman" w:hAnsi="Times New Roman" w:cs="Times New Roman"/>
          <w:b w:val="0"/>
          <w:color w:val="auto"/>
          <w:kern w:val="2"/>
          <w:sz w:val="24"/>
          <w:szCs w:val="24"/>
          <w:u w:val="none"/>
          <w:lang w:val="en-US" w:eastAsia="zh-CN" w:bidi="ar-SA"/>
        </w:rPr>
        <w:t>8</w:t>
      </w:r>
      <w:r>
        <w:rPr>
          <w:rFonts w:hint="default" w:ascii="Times New Roman" w:hAnsi="Times New Roman" w:eastAsia="宋体" w:cs="Times New Roman"/>
          <w:b w:val="0"/>
          <w:color w:val="auto"/>
          <w:kern w:val="2"/>
          <w:sz w:val="24"/>
          <w:szCs w:val="24"/>
          <w:u w:val="none"/>
          <w:lang w:val="en-US" w:eastAsia="zh-CN" w:bidi="ar-SA"/>
        </w:rPr>
        <w:t>％计</w:t>
      </w:r>
      <w:r>
        <w:rPr>
          <w:rFonts w:hint="default" w:ascii="Times New Roman" w:hAnsi="Times New Roman" w:cs="Times New Roman"/>
          <w:color w:val="auto"/>
          <w:sz w:val="24"/>
          <w:u w:val="none"/>
          <w:lang w:eastAsia="zh-CN"/>
        </w:rPr>
        <w:t>（</w:t>
      </w:r>
      <w:r>
        <w:rPr>
          <w:rFonts w:hint="default" w:ascii="Times New Roman" w:hAnsi="Times New Roman" w:eastAsia="宋体" w:cs="Times New Roman"/>
          <w:color w:val="auto"/>
          <w:sz w:val="24"/>
          <w:u w:val="none"/>
          <w:lang w:val="en-US" w:eastAsia="zh-CN"/>
        </w:rPr>
        <w:t>收集单元</w:t>
      </w:r>
      <w:r>
        <w:rPr>
          <w:rFonts w:hint="default" w:ascii="Times New Roman" w:hAnsi="Times New Roman" w:eastAsia="宋体" w:cs="Times New Roman"/>
          <w:color w:val="auto"/>
          <w:sz w:val="24"/>
          <w:u w:val="none"/>
          <w:lang w:val="en-US"/>
        </w:rPr>
        <w:t>二次封闭，微负压运行</w:t>
      </w:r>
      <w:r>
        <w:rPr>
          <w:rFonts w:hint="default" w:ascii="Times New Roman" w:hAnsi="Times New Roman" w:eastAsia="宋体" w:cs="Times New Roman"/>
          <w:color w:val="auto"/>
          <w:sz w:val="24"/>
          <w:u w:val="none"/>
          <w:lang w:val="en-US" w:eastAsia="zh-CN"/>
        </w:rPr>
        <w:t>）</w:t>
      </w:r>
      <w:r>
        <w:rPr>
          <w:rFonts w:hint="default" w:ascii="Times New Roman" w:hAnsi="Times New Roman" w:eastAsia="宋体" w:cs="Times New Roman"/>
          <w:b w:val="0"/>
          <w:color w:val="auto"/>
          <w:kern w:val="2"/>
          <w:sz w:val="24"/>
          <w:szCs w:val="24"/>
          <w:u w:val="none"/>
          <w:lang w:val="en-US" w:eastAsia="zh-CN" w:bidi="ar-SA"/>
        </w:rPr>
        <w:t>，</w:t>
      </w:r>
      <w:r>
        <w:rPr>
          <w:rFonts w:hint="eastAsia" w:cs="Times New Roman"/>
          <w:b w:val="0"/>
          <w:color w:val="auto"/>
          <w:kern w:val="2"/>
          <w:sz w:val="24"/>
          <w:szCs w:val="24"/>
          <w:u w:val="none"/>
          <w:lang w:val="en-US" w:eastAsia="zh-CN" w:bidi="ar-SA"/>
        </w:rPr>
        <w:t>非甲烷总烃</w:t>
      </w:r>
      <w:r>
        <w:rPr>
          <w:rFonts w:hint="default" w:ascii="Times New Roman" w:hAnsi="Times New Roman" w:eastAsia="宋体" w:cs="Times New Roman"/>
          <w:b w:val="0"/>
          <w:color w:val="auto"/>
          <w:kern w:val="2"/>
          <w:sz w:val="24"/>
          <w:szCs w:val="24"/>
          <w:u w:val="none"/>
          <w:lang w:val="en-US" w:eastAsia="zh-CN" w:bidi="ar-SA"/>
        </w:rPr>
        <w:t>处理效率按</w:t>
      </w:r>
      <w:r>
        <w:rPr>
          <w:rFonts w:hint="eastAsia" w:ascii="Times New Roman" w:hAnsi="Times New Roman" w:eastAsia="宋体" w:cs="Times New Roman"/>
          <w:b w:val="0"/>
          <w:color w:val="auto"/>
          <w:kern w:val="2"/>
          <w:sz w:val="24"/>
          <w:szCs w:val="24"/>
          <w:u w:val="none"/>
          <w:lang w:val="en-US" w:eastAsia="zh-CN" w:bidi="ar-SA"/>
        </w:rPr>
        <w:t>9</w:t>
      </w:r>
      <w:r>
        <w:rPr>
          <w:rFonts w:hint="eastAsia" w:cs="Times New Roman"/>
          <w:b w:val="0"/>
          <w:color w:val="auto"/>
          <w:kern w:val="2"/>
          <w:sz w:val="24"/>
          <w:szCs w:val="24"/>
          <w:u w:val="none"/>
          <w:lang w:val="en-US" w:eastAsia="zh-CN" w:bidi="ar-SA"/>
        </w:rPr>
        <w:t>5</w:t>
      </w:r>
      <w:r>
        <w:rPr>
          <w:rFonts w:hint="default" w:ascii="Times New Roman" w:hAnsi="Times New Roman" w:eastAsia="宋体" w:cs="Times New Roman"/>
          <w:b w:val="0"/>
          <w:color w:val="auto"/>
          <w:kern w:val="2"/>
          <w:sz w:val="24"/>
          <w:szCs w:val="24"/>
          <w:u w:val="none"/>
          <w:lang w:val="en-US" w:eastAsia="zh-CN" w:bidi="ar-SA"/>
        </w:rPr>
        <w:t>％计</w:t>
      </w:r>
      <w:r>
        <w:rPr>
          <w:rFonts w:hint="eastAsia" w:cs="Times New Roman"/>
          <w:b w:val="0"/>
          <w:color w:val="auto"/>
          <w:kern w:val="2"/>
          <w:sz w:val="24"/>
          <w:szCs w:val="24"/>
          <w:u w:val="none"/>
          <w:lang w:val="en-US" w:eastAsia="zh-CN" w:bidi="ar-SA"/>
        </w:rPr>
        <w:t>，</w:t>
      </w:r>
      <w:r>
        <w:rPr>
          <w:rFonts w:hint="eastAsia" w:cs="Times New Roman"/>
          <w:b w:val="0"/>
          <w:color w:val="auto"/>
          <w:kern w:val="2"/>
          <w:sz w:val="24"/>
          <w:szCs w:val="24"/>
          <w:u w:val="single"/>
          <w:lang w:val="en-US" w:eastAsia="zh-CN" w:bidi="ar-SA"/>
        </w:rPr>
        <w:t>则注塑工序非甲烷总烃有组织排放量为0.132t/a，排放速率为0.055kg/h，排放浓度为0.92mg/m</w:t>
      </w:r>
      <w:r>
        <w:rPr>
          <w:rFonts w:hint="eastAsia" w:cs="Times New Roman"/>
          <w:b w:val="0"/>
          <w:color w:val="auto"/>
          <w:kern w:val="2"/>
          <w:sz w:val="24"/>
          <w:szCs w:val="24"/>
          <w:u w:val="single"/>
          <w:vertAlign w:val="superscript"/>
          <w:lang w:val="en-US" w:eastAsia="zh-CN" w:bidi="ar-SA"/>
        </w:rPr>
        <w:t>3</w:t>
      </w:r>
      <w:r>
        <w:rPr>
          <w:rFonts w:hint="eastAsia" w:cs="Times New Roman"/>
          <w:b w:val="0"/>
          <w:color w:val="auto"/>
          <w:kern w:val="2"/>
          <w:sz w:val="24"/>
          <w:szCs w:val="24"/>
          <w:u w:val="single"/>
          <w:lang w:val="en-US" w:eastAsia="zh-CN" w:bidi="ar-SA"/>
        </w:rPr>
        <w:t>。无组织非甲烷总烃排放量为0.054t/a，排放速率0.023kg/h；注塑工序苯乙烯有组织排放量为0.034t/a，排放速率为0.014kg/h，排放浓度为0.23mg/m</w:t>
      </w:r>
      <w:r>
        <w:rPr>
          <w:rFonts w:hint="eastAsia" w:cs="Times New Roman"/>
          <w:b w:val="0"/>
          <w:color w:val="auto"/>
          <w:kern w:val="2"/>
          <w:sz w:val="24"/>
          <w:szCs w:val="24"/>
          <w:u w:val="single"/>
          <w:vertAlign w:val="superscript"/>
          <w:lang w:val="en-US" w:eastAsia="zh-CN" w:bidi="ar-SA"/>
        </w:rPr>
        <w:t>3</w:t>
      </w:r>
      <w:r>
        <w:rPr>
          <w:rFonts w:hint="eastAsia" w:cs="Times New Roman"/>
          <w:b w:val="0"/>
          <w:color w:val="auto"/>
          <w:kern w:val="2"/>
          <w:sz w:val="24"/>
          <w:szCs w:val="24"/>
          <w:u w:val="single"/>
          <w:lang w:val="en-US" w:eastAsia="zh-CN" w:bidi="ar-SA"/>
        </w:rPr>
        <w:t>。无组织苯乙烯排放量为0.014t/a，排放速率0.006kg/h。</w:t>
      </w:r>
    </w:p>
    <w:p>
      <w:pPr>
        <w:widowControl/>
        <w:spacing w:line="348" w:lineRule="auto"/>
        <w:ind w:firstLine="480"/>
        <w:rPr>
          <w:rFonts w:hint="eastAsia" w:ascii="Times New Roman" w:hAnsi="Times New Roman" w:eastAsia="宋体" w:cs="Times New Roman"/>
          <w:b w:val="0"/>
          <w:bCs/>
          <w:color w:val="auto"/>
          <w:kern w:val="2"/>
          <w:sz w:val="24"/>
          <w:szCs w:val="24"/>
          <w:u w:val="single"/>
          <w:lang w:val="en-US" w:eastAsia="zh-CN" w:bidi="ar-SA"/>
        </w:rPr>
      </w:pPr>
      <w:r>
        <w:rPr>
          <w:rFonts w:hint="eastAsia" w:cs="Times New Roman"/>
          <w:b w:val="0"/>
          <w:bCs w:val="0"/>
          <w:color w:val="auto"/>
          <w:sz w:val="24"/>
          <w:u w:val="single"/>
          <w:lang w:eastAsia="zh-CN"/>
        </w:rPr>
        <w:t>有组织废气满足</w:t>
      </w:r>
      <w:r>
        <w:rPr>
          <w:rFonts w:hint="default" w:ascii="Times New Roman" w:hAnsi="Times New Roman" w:cs="Times New Roman"/>
          <w:b w:val="0"/>
          <w:bCs w:val="0"/>
          <w:color w:val="auto"/>
          <w:sz w:val="24"/>
          <w:u w:val="single"/>
        </w:rPr>
        <w:t>《合成树脂工业污染物排放标准》（GB31572-2015）</w:t>
      </w:r>
      <w:r>
        <w:rPr>
          <w:rFonts w:hint="eastAsia" w:ascii="Times New Roman" w:hAnsi="Times New Roman" w:cs="Times New Roman"/>
          <w:b w:val="0"/>
          <w:bCs w:val="0"/>
          <w:color w:val="auto"/>
          <w:sz w:val="24"/>
          <w:u w:val="single"/>
          <w:lang w:eastAsia="zh-CN"/>
        </w:rPr>
        <w:t>表</w:t>
      </w:r>
      <w:r>
        <w:rPr>
          <w:rFonts w:hint="eastAsia" w:cs="Times New Roman"/>
          <w:b w:val="0"/>
          <w:bCs w:val="0"/>
          <w:color w:val="auto"/>
          <w:sz w:val="24"/>
          <w:u w:val="single"/>
          <w:lang w:val="en-US" w:eastAsia="zh-CN"/>
        </w:rPr>
        <w:t>5</w:t>
      </w:r>
      <w:r>
        <w:rPr>
          <w:rFonts w:hint="default" w:ascii="Times New Roman" w:hAnsi="Times New Roman" w:cs="Times New Roman"/>
          <w:b w:val="0"/>
          <w:bCs w:val="0"/>
          <w:color w:val="auto"/>
          <w:sz w:val="24"/>
          <w:u w:val="single"/>
        </w:rPr>
        <w:t>排放标准限值要求（非甲烷总烃</w:t>
      </w:r>
      <w:r>
        <w:rPr>
          <w:rFonts w:hint="eastAsia" w:cs="Times New Roman"/>
          <w:b w:val="0"/>
          <w:bCs w:val="0"/>
          <w:color w:val="auto"/>
          <w:sz w:val="24"/>
          <w:u w:val="single"/>
          <w:lang w:val="en-US" w:eastAsia="zh-CN"/>
        </w:rPr>
        <w:t>60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cs="Times New Roman"/>
          <w:b w:val="0"/>
          <w:bCs w:val="0"/>
          <w:color w:val="auto"/>
          <w:sz w:val="24"/>
          <w:u w:val="single"/>
          <w:vertAlign w:val="baseline"/>
          <w:lang w:eastAsia="zh-CN"/>
        </w:rPr>
        <w:t>、</w:t>
      </w:r>
      <w:r>
        <w:rPr>
          <w:rFonts w:hint="eastAsia" w:ascii="Times New Roman" w:hAnsi="Times New Roman" w:cs="Times New Roman"/>
          <w:b w:val="0"/>
          <w:bCs w:val="0"/>
          <w:color w:val="auto"/>
          <w:sz w:val="24"/>
          <w:u w:val="single"/>
          <w:lang w:eastAsia="zh-CN"/>
        </w:rPr>
        <w:t>苯乙烯</w:t>
      </w:r>
      <w:r>
        <w:rPr>
          <w:rFonts w:hint="eastAsia" w:cs="Times New Roman"/>
          <w:b w:val="0"/>
          <w:bCs w:val="0"/>
          <w:color w:val="auto"/>
          <w:sz w:val="24"/>
          <w:u w:val="single"/>
          <w:lang w:val="en-US" w:eastAsia="zh-CN"/>
        </w:rPr>
        <w:t>20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default" w:ascii="Times New Roman" w:hAnsi="Times New Roman" w:cs="Times New Roman"/>
          <w:b w:val="0"/>
          <w:bCs w:val="0"/>
          <w:color w:val="auto"/>
          <w:sz w:val="24"/>
          <w:u w:val="single"/>
        </w:rPr>
        <w:t>）</w:t>
      </w:r>
      <w:r>
        <w:rPr>
          <w:rFonts w:hint="eastAsia" w:cs="Times New Roman"/>
          <w:b w:val="0"/>
          <w:bCs w:val="0"/>
          <w:color w:val="auto"/>
          <w:sz w:val="24"/>
          <w:u w:val="single"/>
          <w:lang w:eastAsia="zh-CN"/>
        </w:rPr>
        <w:t>；无组织废气满足</w:t>
      </w:r>
      <w:r>
        <w:rPr>
          <w:rFonts w:hint="default" w:ascii="Times New Roman" w:hAnsi="Times New Roman" w:eastAsia="宋体" w:cs="Times New Roman"/>
          <w:b w:val="0"/>
          <w:bCs/>
          <w:color w:val="auto"/>
          <w:kern w:val="2"/>
          <w:sz w:val="24"/>
          <w:szCs w:val="24"/>
          <w:u w:val="single"/>
          <w:lang w:val="en-US" w:eastAsia="zh-CN" w:bidi="ar-SA"/>
        </w:rPr>
        <w:t>《关于全省开展工业企业挥发性有机物专项治理工作中排放建议值的通知》（豫环攻坚办〔2017〕162号）</w:t>
      </w:r>
      <w:r>
        <w:rPr>
          <w:rFonts w:hint="eastAsia" w:ascii="Times New Roman" w:hAnsi="Times New Roman" w:eastAsia="宋体" w:cs="Times New Roman"/>
          <w:b w:val="0"/>
          <w:bCs/>
          <w:color w:val="auto"/>
          <w:kern w:val="2"/>
          <w:sz w:val="24"/>
          <w:szCs w:val="24"/>
          <w:u w:val="single"/>
          <w:lang w:val="en-US" w:eastAsia="zh-CN" w:bidi="ar-SA"/>
        </w:rPr>
        <w:t>（其他行业</w:t>
      </w:r>
      <w:r>
        <w:rPr>
          <w:rFonts w:hint="default" w:ascii="Times New Roman" w:hAnsi="Times New Roman" w:cs="Times New Roman"/>
          <w:b w:val="0"/>
          <w:bCs w:val="0"/>
          <w:color w:val="auto"/>
          <w:sz w:val="24"/>
          <w:u w:val="single"/>
          <w:lang w:val="en-US" w:eastAsia="zh-CN"/>
        </w:rPr>
        <w:t>无组织</w:t>
      </w:r>
      <w:r>
        <w:rPr>
          <w:rFonts w:hint="default" w:ascii="Times New Roman" w:hAnsi="Times New Roman" w:cs="Times New Roman"/>
          <w:b w:val="0"/>
          <w:bCs w:val="0"/>
          <w:color w:val="auto"/>
          <w:sz w:val="24"/>
          <w:u w:val="single"/>
        </w:rPr>
        <w:t>非甲烷总烃</w:t>
      </w:r>
      <w:r>
        <w:rPr>
          <w:rFonts w:hint="eastAsia" w:ascii="Times New Roman" w:hAnsi="Times New Roman" w:cs="Times New Roman"/>
          <w:b w:val="0"/>
          <w:bCs w:val="0"/>
          <w:color w:val="auto"/>
          <w:sz w:val="24"/>
          <w:u w:val="single"/>
          <w:lang w:val="en-US" w:eastAsia="zh-CN"/>
        </w:rPr>
        <w:t>2</w:t>
      </w:r>
      <w:r>
        <w:rPr>
          <w:rFonts w:hint="default" w:ascii="Times New Roman" w:hAnsi="Times New Roman" w:cs="Times New Roman"/>
          <w:b w:val="0"/>
          <w:bCs w:val="0"/>
          <w:color w:val="auto"/>
          <w:sz w:val="24"/>
          <w:u w:val="single"/>
          <w:lang w:val="en-US" w:eastAsia="zh-CN"/>
        </w:rPr>
        <w:t>.0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ascii="Times New Roman" w:hAnsi="Times New Roman" w:eastAsia="宋体" w:cs="Times New Roman"/>
          <w:b w:val="0"/>
          <w:bCs/>
          <w:color w:val="auto"/>
          <w:kern w:val="2"/>
          <w:sz w:val="24"/>
          <w:szCs w:val="24"/>
          <w:u w:val="single"/>
          <w:lang w:val="en-US" w:eastAsia="zh-CN" w:bidi="ar-SA"/>
        </w:rPr>
        <w:t>）的排放限值要求</w:t>
      </w:r>
      <w:r>
        <w:rPr>
          <w:rFonts w:hint="eastAsia" w:cs="Times New Roman"/>
          <w:b w:val="0"/>
          <w:bCs/>
          <w:color w:val="auto"/>
          <w:kern w:val="2"/>
          <w:sz w:val="24"/>
          <w:szCs w:val="24"/>
          <w:u w:val="single"/>
          <w:lang w:val="en-US" w:eastAsia="zh-CN" w:bidi="ar-SA"/>
        </w:rPr>
        <w:t>；苯乙烯无组织排放满足《恶臭污染物排放标准》（GB 14554-93）厂界标准</w:t>
      </w:r>
      <w:r>
        <w:rPr>
          <w:rFonts w:hint="eastAsia" w:ascii="Times New Roman" w:hAnsi="Times New Roman" w:eastAsia="宋体" w:cs="Times New Roman"/>
          <w:b w:val="0"/>
          <w:bCs/>
          <w:color w:val="auto"/>
          <w:kern w:val="2"/>
          <w:sz w:val="24"/>
          <w:szCs w:val="24"/>
          <w:u w:val="single"/>
          <w:lang w:val="en-US" w:eastAsia="zh-CN" w:bidi="ar-SA"/>
        </w:rPr>
        <w:t>（</w:t>
      </w:r>
      <w:r>
        <w:rPr>
          <w:rFonts w:hint="eastAsia" w:ascii="Times New Roman" w:hAnsi="Times New Roman" w:cs="Times New Roman"/>
          <w:b w:val="0"/>
          <w:bCs/>
          <w:color w:val="auto"/>
          <w:kern w:val="2"/>
          <w:sz w:val="24"/>
          <w:szCs w:val="24"/>
          <w:u w:val="single"/>
          <w:lang w:val="en-US" w:eastAsia="zh-CN" w:bidi="ar-SA"/>
        </w:rPr>
        <w:t>苯乙烯废气</w:t>
      </w:r>
      <w:r>
        <w:rPr>
          <w:rFonts w:hint="eastAsia" w:cs="Times New Roman"/>
          <w:b w:val="0"/>
          <w:bCs/>
          <w:color w:val="auto"/>
          <w:kern w:val="2"/>
          <w:sz w:val="24"/>
          <w:szCs w:val="24"/>
          <w:u w:val="single"/>
          <w:lang w:val="en-US" w:eastAsia="zh-CN" w:bidi="ar-SA"/>
        </w:rPr>
        <w:t>5.0</w:t>
      </w:r>
      <w:r>
        <w:rPr>
          <w:rFonts w:hint="default" w:ascii="Times New Roman" w:hAnsi="Times New Roman" w:cs="Times New Roman"/>
          <w:b w:val="0"/>
          <w:bCs w:val="0"/>
          <w:color w:val="auto"/>
          <w:sz w:val="24"/>
          <w:u w:val="single"/>
        </w:rPr>
        <w:t>mg/m</w:t>
      </w:r>
      <w:r>
        <w:rPr>
          <w:rFonts w:hint="default" w:ascii="Times New Roman" w:hAnsi="Times New Roman" w:cs="Times New Roman"/>
          <w:b w:val="0"/>
          <w:bCs w:val="0"/>
          <w:color w:val="auto"/>
          <w:sz w:val="24"/>
          <w:u w:val="single"/>
          <w:vertAlign w:val="superscript"/>
        </w:rPr>
        <w:t>3</w:t>
      </w:r>
      <w:r>
        <w:rPr>
          <w:rFonts w:hint="eastAsia" w:ascii="Times New Roman" w:hAnsi="Times New Roman" w:eastAsia="宋体" w:cs="Times New Roman"/>
          <w:b w:val="0"/>
          <w:bCs/>
          <w:color w:val="auto"/>
          <w:kern w:val="2"/>
          <w:sz w:val="24"/>
          <w:szCs w:val="24"/>
          <w:u w:val="single"/>
          <w:lang w:val="en-US" w:eastAsia="zh-CN" w:bidi="ar-SA"/>
        </w:rPr>
        <w:t>）。</w:t>
      </w:r>
    </w:p>
    <w:p>
      <w:pPr>
        <w:widowControl/>
        <w:spacing w:line="348" w:lineRule="auto"/>
        <w:ind w:firstLine="480"/>
        <w:rPr>
          <w:color w:val="000000"/>
          <w:szCs w:val="24"/>
          <w:lang w:val="en-US" w:bidi="ar"/>
        </w:rPr>
      </w:pPr>
      <w:r>
        <w:rPr>
          <w:rFonts w:hint="eastAsia"/>
          <w:color w:val="000000"/>
          <w:szCs w:val="24"/>
          <w:lang w:val="en-US" w:eastAsia="zh-CN" w:bidi="ar"/>
        </w:rPr>
        <w:t>（4）</w:t>
      </w:r>
      <w:r>
        <w:rPr>
          <w:rFonts w:hint="eastAsia"/>
          <w:color w:val="000000"/>
          <w:szCs w:val="24"/>
          <w:lang w:val="en-US" w:bidi="ar"/>
        </w:rPr>
        <w:t>餐饮油烟</w:t>
      </w:r>
    </w:p>
    <w:p>
      <w:pPr>
        <w:widowControl/>
        <w:spacing w:line="348" w:lineRule="auto"/>
        <w:ind w:firstLine="480"/>
        <w:rPr>
          <w:rFonts w:hint="eastAsia"/>
          <w:color w:val="000000"/>
          <w:szCs w:val="24"/>
          <w:lang w:val="en-US" w:bidi="ar"/>
        </w:rPr>
      </w:pPr>
      <w:r>
        <w:rPr>
          <w:rFonts w:hint="eastAsia"/>
          <w:color w:val="000000"/>
          <w:szCs w:val="24"/>
          <w:lang w:val="en-US" w:bidi="ar"/>
        </w:rPr>
        <w:t>本项目食堂每日用餐人数按</w:t>
      </w:r>
      <w:r>
        <w:rPr>
          <w:rFonts w:hint="eastAsia"/>
          <w:color w:val="000000"/>
          <w:szCs w:val="24"/>
          <w:lang w:val="en-US" w:eastAsia="zh-CN" w:bidi="ar"/>
        </w:rPr>
        <w:t>20</w:t>
      </w:r>
      <w:r>
        <w:rPr>
          <w:rFonts w:hint="eastAsia"/>
          <w:color w:val="000000"/>
          <w:szCs w:val="24"/>
          <w:lang w:val="en-US" w:bidi="ar"/>
        </w:rPr>
        <w:t>人计。厨房灶头按</w:t>
      </w:r>
      <w:r>
        <w:rPr>
          <w:rFonts w:hint="eastAsia"/>
          <w:color w:val="000000"/>
          <w:szCs w:val="24"/>
          <w:lang w:val="en-US" w:eastAsia="zh-CN" w:bidi="ar"/>
        </w:rPr>
        <w:t>1</w:t>
      </w:r>
      <w:r>
        <w:rPr>
          <w:rFonts w:hint="eastAsia"/>
          <w:color w:val="000000"/>
          <w:szCs w:val="24"/>
          <w:lang w:val="en-US" w:bidi="ar"/>
        </w:rPr>
        <w:t>个计，根据《餐饮业油烟污染物排放标准》（DB41/1604</w:t>
      </w:r>
      <w:r>
        <w:rPr>
          <w:color w:val="000000"/>
          <w:szCs w:val="24"/>
          <w:lang w:val="en-US" w:bidi="ar"/>
        </w:rPr>
        <w:t>-</w:t>
      </w:r>
      <w:r>
        <w:rPr>
          <w:rFonts w:hint="eastAsia"/>
          <w:color w:val="000000"/>
          <w:szCs w:val="24"/>
          <w:lang w:val="en-US" w:bidi="ar"/>
        </w:rPr>
        <w:t>2018），属于</w:t>
      </w:r>
      <w:r>
        <w:rPr>
          <w:rFonts w:hint="eastAsia"/>
          <w:color w:val="000000"/>
          <w:szCs w:val="24"/>
          <w:lang w:val="en-US" w:eastAsia="zh-CN" w:bidi="ar"/>
        </w:rPr>
        <w:t>小</w:t>
      </w:r>
      <w:r>
        <w:rPr>
          <w:rFonts w:hint="eastAsia"/>
          <w:color w:val="000000"/>
          <w:szCs w:val="24"/>
          <w:lang w:val="en-US" w:bidi="ar"/>
        </w:rPr>
        <w:t>型单位，其食用油用量平均按照</w:t>
      </w:r>
      <w:r>
        <w:rPr>
          <w:color w:val="000000"/>
          <w:szCs w:val="24"/>
          <w:lang w:val="en-US" w:bidi="ar"/>
        </w:rPr>
        <w:t>0.0</w:t>
      </w:r>
      <w:r>
        <w:rPr>
          <w:rFonts w:hint="eastAsia"/>
          <w:color w:val="000000"/>
          <w:szCs w:val="24"/>
          <w:lang w:val="en-US" w:bidi="ar"/>
        </w:rPr>
        <w:t>2</w:t>
      </w:r>
      <w:r>
        <w:rPr>
          <w:color w:val="000000"/>
          <w:szCs w:val="24"/>
          <w:lang w:val="en-US" w:bidi="ar"/>
        </w:rPr>
        <w:t>kg/</w:t>
      </w:r>
      <w:r>
        <w:rPr>
          <w:rFonts w:hint="eastAsia"/>
          <w:color w:val="000000"/>
          <w:szCs w:val="24"/>
          <w:lang w:val="en-US" w:bidi="ar"/>
        </w:rPr>
        <w:t>人·天，年工作时间</w:t>
      </w:r>
      <w:r>
        <w:rPr>
          <w:rFonts w:hint="eastAsia"/>
          <w:color w:val="000000"/>
          <w:szCs w:val="24"/>
          <w:lang w:val="en-US" w:eastAsia="zh-CN" w:bidi="ar"/>
        </w:rPr>
        <w:t>300</w:t>
      </w:r>
      <w:r>
        <w:rPr>
          <w:rFonts w:hint="eastAsia"/>
          <w:color w:val="000000"/>
          <w:szCs w:val="24"/>
          <w:lang w:val="en-US" w:bidi="ar"/>
        </w:rPr>
        <w:t>天，则食堂日耗油量</w:t>
      </w:r>
      <w:r>
        <w:rPr>
          <w:rFonts w:hint="eastAsia"/>
          <w:color w:val="000000"/>
          <w:szCs w:val="24"/>
          <w:lang w:val="en-US" w:eastAsia="zh-CN" w:bidi="ar"/>
        </w:rPr>
        <w:t>0.4</w:t>
      </w:r>
      <w:r>
        <w:rPr>
          <w:color w:val="000000"/>
          <w:szCs w:val="24"/>
          <w:lang w:val="en-US" w:bidi="ar"/>
        </w:rPr>
        <w:t>kg/d</w:t>
      </w:r>
      <w:r>
        <w:rPr>
          <w:rFonts w:hint="eastAsia"/>
          <w:color w:val="000000"/>
          <w:szCs w:val="24"/>
          <w:lang w:val="en-US" w:bidi="ar"/>
        </w:rPr>
        <w:t>，年耗油量约</w:t>
      </w:r>
      <w:r>
        <w:rPr>
          <w:rFonts w:hint="eastAsia"/>
          <w:color w:val="000000"/>
          <w:szCs w:val="24"/>
          <w:lang w:val="en-US" w:eastAsia="zh-CN" w:bidi="ar"/>
        </w:rPr>
        <w:t>0.12</w:t>
      </w:r>
      <w:r>
        <w:rPr>
          <w:color w:val="000000"/>
          <w:szCs w:val="24"/>
          <w:lang w:val="en-US" w:bidi="ar"/>
        </w:rPr>
        <w:t>t/a</w:t>
      </w:r>
      <w:r>
        <w:rPr>
          <w:rFonts w:hint="eastAsia"/>
          <w:color w:val="000000"/>
          <w:szCs w:val="24"/>
          <w:lang w:val="en-US" w:bidi="ar"/>
        </w:rPr>
        <w:t>。根据类比调查油的平均挥发量为总耗油量的</w:t>
      </w:r>
      <w:r>
        <w:rPr>
          <w:color w:val="000000"/>
          <w:szCs w:val="24"/>
          <w:lang w:val="en-US" w:bidi="ar"/>
        </w:rPr>
        <w:t>2.83%</w:t>
      </w:r>
      <w:r>
        <w:rPr>
          <w:rFonts w:hint="eastAsia"/>
          <w:color w:val="000000"/>
          <w:szCs w:val="24"/>
          <w:lang w:val="en-US" w:bidi="ar"/>
        </w:rPr>
        <w:t>，经核算，本项目食堂油烟产生量为</w:t>
      </w:r>
      <w:r>
        <w:rPr>
          <w:color w:val="000000"/>
          <w:szCs w:val="24"/>
          <w:lang w:val="en-US" w:bidi="ar"/>
        </w:rPr>
        <w:t>0.</w:t>
      </w:r>
      <w:r>
        <w:rPr>
          <w:rFonts w:hint="eastAsia"/>
          <w:color w:val="000000"/>
          <w:szCs w:val="24"/>
          <w:lang w:val="en-US" w:eastAsia="zh-CN" w:bidi="ar"/>
        </w:rPr>
        <w:t>0113</w:t>
      </w:r>
      <w:r>
        <w:rPr>
          <w:color w:val="000000"/>
          <w:szCs w:val="24"/>
          <w:lang w:val="en-US" w:bidi="ar"/>
        </w:rPr>
        <w:t>kg/d</w:t>
      </w:r>
      <w:r>
        <w:rPr>
          <w:rFonts w:hint="eastAsia"/>
          <w:color w:val="000000"/>
          <w:szCs w:val="24"/>
          <w:lang w:val="en-US" w:bidi="ar"/>
        </w:rPr>
        <w:t>，年产生油烟量为</w:t>
      </w:r>
      <w:r>
        <w:rPr>
          <w:color w:val="000000"/>
          <w:szCs w:val="24"/>
          <w:lang w:val="en-US" w:bidi="ar"/>
        </w:rPr>
        <w:t>0.</w:t>
      </w:r>
      <w:r>
        <w:rPr>
          <w:rFonts w:hint="eastAsia"/>
          <w:color w:val="000000"/>
          <w:szCs w:val="24"/>
          <w:lang w:val="en-US" w:eastAsia="zh-CN" w:bidi="ar"/>
        </w:rPr>
        <w:t>0034</w:t>
      </w:r>
      <w:r>
        <w:rPr>
          <w:color w:val="000000"/>
          <w:szCs w:val="24"/>
          <w:lang w:val="en-US" w:bidi="ar"/>
        </w:rPr>
        <w:t>t/a</w:t>
      </w:r>
      <w:r>
        <w:rPr>
          <w:rFonts w:hint="eastAsia"/>
          <w:color w:val="000000"/>
          <w:szCs w:val="24"/>
          <w:lang w:val="en-US" w:bidi="ar"/>
        </w:rPr>
        <w:t>，烹饪时间按照5</w:t>
      </w:r>
      <w:r>
        <w:rPr>
          <w:color w:val="000000"/>
          <w:szCs w:val="24"/>
          <w:lang w:val="en-US" w:bidi="ar"/>
        </w:rPr>
        <w:t>h/d</w:t>
      </w:r>
      <w:r>
        <w:rPr>
          <w:rFonts w:hint="eastAsia"/>
          <w:color w:val="000000"/>
          <w:szCs w:val="24"/>
          <w:lang w:val="en-US" w:bidi="ar"/>
        </w:rPr>
        <w:t>计算，选用风量为</w:t>
      </w:r>
      <w:r>
        <w:rPr>
          <w:rFonts w:hint="eastAsia"/>
          <w:color w:val="000000"/>
          <w:szCs w:val="24"/>
          <w:lang w:val="en-US" w:eastAsia="zh-CN" w:bidi="ar"/>
        </w:rPr>
        <w:t>2000</w:t>
      </w:r>
      <w:r>
        <w:rPr>
          <w:color w:val="000000"/>
          <w:szCs w:val="24"/>
          <w:lang w:val="en-US" w:bidi="ar"/>
        </w:rPr>
        <w:t>m</w:t>
      </w:r>
      <w:r>
        <w:rPr>
          <w:color w:val="000000"/>
          <w:szCs w:val="24"/>
          <w:vertAlign w:val="superscript"/>
          <w:lang w:val="en-US" w:bidi="ar"/>
        </w:rPr>
        <w:t>3</w:t>
      </w:r>
      <w:r>
        <w:rPr>
          <w:color w:val="000000"/>
          <w:szCs w:val="24"/>
          <w:lang w:val="en-US" w:bidi="ar"/>
        </w:rPr>
        <w:t>/h</w:t>
      </w:r>
      <w:r>
        <w:rPr>
          <w:rFonts w:hint="eastAsia"/>
          <w:color w:val="000000"/>
          <w:szCs w:val="24"/>
          <w:lang w:val="en-US" w:bidi="ar"/>
        </w:rPr>
        <w:t>油烟净化器1套，则油烟产生速率为</w:t>
      </w:r>
      <w:r>
        <w:rPr>
          <w:color w:val="000000"/>
          <w:szCs w:val="24"/>
          <w:lang w:val="en-US" w:bidi="ar"/>
        </w:rPr>
        <w:t>0.0</w:t>
      </w:r>
      <w:r>
        <w:rPr>
          <w:rFonts w:hint="eastAsia"/>
          <w:color w:val="000000"/>
          <w:szCs w:val="24"/>
          <w:lang w:val="en-US" w:eastAsia="zh-CN" w:bidi="ar"/>
        </w:rPr>
        <w:t>023</w:t>
      </w:r>
      <w:r>
        <w:rPr>
          <w:color w:val="000000"/>
          <w:szCs w:val="24"/>
          <w:lang w:val="en-US" w:bidi="ar"/>
        </w:rPr>
        <w:t>kg/h</w:t>
      </w:r>
      <w:r>
        <w:rPr>
          <w:rFonts w:hint="eastAsia"/>
          <w:color w:val="000000"/>
          <w:szCs w:val="24"/>
          <w:lang w:val="en-US" w:bidi="ar"/>
        </w:rPr>
        <w:t>，产生浓度为</w:t>
      </w:r>
      <w:r>
        <w:rPr>
          <w:rFonts w:hint="eastAsia"/>
          <w:color w:val="000000"/>
          <w:szCs w:val="24"/>
          <w:lang w:val="en-US" w:eastAsia="zh-CN" w:bidi="ar"/>
        </w:rPr>
        <w:t>0.46</w:t>
      </w:r>
      <w:r>
        <w:rPr>
          <w:color w:val="000000"/>
          <w:szCs w:val="24"/>
          <w:lang w:val="en-US" w:bidi="ar"/>
        </w:rPr>
        <w:t>mg/m</w:t>
      </w:r>
      <w:r>
        <w:rPr>
          <w:color w:val="000000"/>
          <w:szCs w:val="24"/>
          <w:vertAlign w:val="superscript"/>
          <w:lang w:val="en-US" w:bidi="ar"/>
        </w:rPr>
        <w:t>3</w:t>
      </w:r>
      <w:r>
        <w:rPr>
          <w:rFonts w:hint="eastAsia"/>
          <w:color w:val="000000"/>
          <w:szCs w:val="24"/>
          <w:lang w:val="en-US" w:bidi="ar"/>
        </w:rPr>
        <w:t>，本项目需采用经国家认可的单位检测合格的油烟净化设施（油烟净化效率≥9</w:t>
      </w:r>
      <w:r>
        <w:rPr>
          <w:rFonts w:hint="eastAsia"/>
          <w:color w:val="000000"/>
          <w:szCs w:val="24"/>
          <w:lang w:val="en-US" w:eastAsia="zh-CN" w:bidi="ar"/>
        </w:rPr>
        <w:t>0</w:t>
      </w:r>
      <w:r>
        <w:rPr>
          <w:color w:val="000000"/>
          <w:szCs w:val="24"/>
          <w:lang w:val="en-US" w:bidi="ar"/>
        </w:rPr>
        <w:t>%</w:t>
      </w:r>
      <w:r>
        <w:rPr>
          <w:rFonts w:hint="eastAsia"/>
          <w:color w:val="000000"/>
          <w:szCs w:val="24"/>
          <w:lang w:val="en-US" w:bidi="ar"/>
        </w:rPr>
        <w:t>）。经过净化处理后</w:t>
      </w:r>
      <w:r>
        <w:rPr>
          <w:rFonts w:hint="eastAsia"/>
          <w:color w:val="000000"/>
          <w:szCs w:val="24"/>
          <w:lang w:val="en-US" w:eastAsia="zh-CN" w:bidi="ar"/>
        </w:rPr>
        <w:t>经专用烟道排放</w:t>
      </w:r>
      <w:r>
        <w:rPr>
          <w:rFonts w:hint="eastAsia"/>
          <w:color w:val="000000"/>
          <w:szCs w:val="24"/>
          <w:lang w:val="en-US" w:bidi="ar"/>
        </w:rPr>
        <w:t>，本项目食堂所排放的油烟量为0.00</w:t>
      </w:r>
      <w:r>
        <w:rPr>
          <w:rFonts w:hint="eastAsia"/>
          <w:color w:val="000000"/>
          <w:szCs w:val="24"/>
          <w:lang w:val="en-US" w:eastAsia="zh-CN" w:bidi="ar"/>
        </w:rPr>
        <w:t>03</w:t>
      </w:r>
      <w:r>
        <w:rPr>
          <w:rFonts w:hint="eastAsia"/>
          <w:color w:val="000000"/>
          <w:szCs w:val="24"/>
          <w:lang w:val="en-US" w:bidi="ar"/>
        </w:rPr>
        <w:t>t/a，排放速率为</w:t>
      </w:r>
      <w:r>
        <w:rPr>
          <w:color w:val="000000"/>
          <w:szCs w:val="24"/>
          <w:lang w:val="en-US" w:bidi="ar"/>
        </w:rPr>
        <w:t>0.00</w:t>
      </w:r>
      <w:r>
        <w:rPr>
          <w:rFonts w:hint="eastAsia"/>
          <w:color w:val="000000"/>
          <w:szCs w:val="24"/>
          <w:lang w:val="en-US" w:eastAsia="zh-CN" w:bidi="ar"/>
        </w:rPr>
        <w:t>02</w:t>
      </w:r>
      <w:r>
        <w:rPr>
          <w:color w:val="000000"/>
          <w:szCs w:val="24"/>
          <w:lang w:val="en-US" w:bidi="ar"/>
        </w:rPr>
        <w:t>kg/h</w:t>
      </w:r>
      <w:r>
        <w:rPr>
          <w:rFonts w:hint="eastAsia"/>
          <w:color w:val="000000"/>
          <w:szCs w:val="24"/>
          <w:lang w:val="en-US" w:bidi="ar"/>
        </w:rPr>
        <w:t>，油烟排放浓度为0.</w:t>
      </w:r>
      <w:r>
        <w:rPr>
          <w:rFonts w:hint="eastAsia"/>
          <w:color w:val="000000"/>
          <w:szCs w:val="24"/>
          <w:lang w:val="en-US" w:eastAsia="zh-CN" w:bidi="ar"/>
        </w:rPr>
        <w:t>10</w:t>
      </w:r>
      <w:r>
        <w:rPr>
          <w:color w:val="000000"/>
          <w:szCs w:val="24"/>
          <w:lang w:val="en-US" w:bidi="ar"/>
        </w:rPr>
        <w:t>mg/m</w:t>
      </w:r>
      <w:r>
        <w:rPr>
          <w:color w:val="000000"/>
          <w:szCs w:val="24"/>
          <w:vertAlign w:val="superscript"/>
          <w:lang w:val="en-US" w:bidi="ar"/>
        </w:rPr>
        <w:t>3</w:t>
      </w:r>
      <w:r>
        <w:rPr>
          <w:rFonts w:hint="eastAsia"/>
          <w:color w:val="000000"/>
          <w:szCs w:val="24"/>
          <w:lang w:val="en-US" w:bidi="ar"/>
        </w:rPr>
        <w:t>，能够达到《餐饮业油烟污染物排放标准》（DB41/1604</w:t>
      </w:r>
      <w:r>
        <w:rPr>
          <w:color w:val="000000"/>
          <w:szCs w:val="24"/>
          <w:lang w:val="en-US" w:bidi="ar"/>
        </w:rPr>
        <w:t>-</w:t>
      </w:r>
      <w:r>
        <w:rPr>
          <w:rFonts w:hint="eastAsia"/>
          <w:color w:val="000000"/>
          <w:szCs w:val="24"/>
          <w:lang w:val="en-US" w:bidi="ar"/>
        </w:rPr>
        <w:t>2018）中油烟的最高允许排放浓度1.</w:t>
      </w:r>
      <w:r>
        <w:rPr>
          <w:rFonts w:hint="eastAsia"/>
          <w:color w:val="000000"/>
          <w:szCs w:val="24"/>
          <w:lang w:val="en-US" w:eastAsia="zh-CN" w:bidi="ar"/>
        </w:rPr>
        <w:t>5</w:t>
      </w:r>
      <w:r>
        <w:rPr>
          <w:color w:val="000000"/>
          <w:szCs w:val="24"/>
          <w:lang w:val="en-US" w:bidi="ar"/>
        </w:rPr>
        <w:t>mg/m</w:t>
      </w:r>
      <w:r>
        <w:rPr>
          <w:color w:val="000000"/>
          <w:szCs w:val="24"/>
          <w:vertAlign w:val="superscript"/>
          <w:lang w:val="en-US" w:bidi="ar"/>
        </w:rPr>
        <w:t>3</w:t>
      </w:r>
      <w:r>
        <w:rPr>
          <w:rFonts w:hint="eastAsia"/>
          <w:color w:val="000000"/>
          <w:szCs w:val="24"/>
          <w:lang w:val="en-US" w:bidi="ar"/>
        </w:rPr>
        <w:t>的标准限值要求。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color w:val="000000"/>
          <w:szCs w:val="24"/>
          <w:u w:val="single"/>
          <w:lang w:val="en-US" w:eastAsia="zh-CN" w:bidi="ar"/>
        </w:rPr>
      </w:pPr>
      <w:r>
        <w:rPr>
          <w:rFonts w:hint="eastAsia" w:ascii="Times New Roman" w:hAnsi="Times New Roman"/>
          <w:color w:val="000000"/>
          <w:szCs w:val="24"/>
          <w:u w:val="single"/>
          <w:lang w:val="en-US" w:eastAsia="zh-CN" w:bidi="ar"/>
        </w:rPr>
        <w:t>（5）厂区污水站</w:t>
      </w:r>
    </w:p>
    <w:p>
      <w:pPr>
        <w:keepNext w:val="0"/>
        <w:keepLines w:val="0"/>
        <w:pageBreakBefore w:val="0"/>
        <w:kinsoku/>
        <w:wordWrap/>
        <w:overflowPunct/>
        <w:topLinePunct w:val="0"/>
        <w:autoSpaceDE/>
        <w:autoSpaceDN/>
        <w:bidi w:val="0"/>
        <w:adjustRightInd/>
        <w:snapToGrid/>
        <w:spacing w:line="360" w:lineRule="auto"/>
        <w:ind w:firstLine="562"/>
        <w:textAlignment w:val="auto"/>
        <w:rPr>
          <w:rFonts w:cs="Times New Roman"/>
          <w:szCs w:val="28"/>
          <w:u w:val="single"/>
        </w:rPr>
      </w:pPr>
      <w:r>
        <w:rPr>
          <w:rFonts w:cs="Times New Roman"/>
          <w:b/>
          <w:bCs/>
          <w:szCs w:val="28"/>
          <w:u w:val="single"/>
        </w:rPr>
        <w:t>产生情况：</w:t>
      </w:r>
      <w:r>
        <w:rPr>
          <w:rFonts w:cs="Times New Roman"/>
          <w:szCs w:val="28"/>
          <w:u w:val="single"/>
        </w:rPr>
        <w:t>厂区污水站在运行过程中，由于生产废水中含有有机物，污水处理过程会产生少量挥发性有机物，以非甲烷总烃计；另外污水站伴随微生物、原生动物、菌团等生物的新陈代谢而产生恶臭污染物，由于恶臭</w:t>
      </w:r>
      <w:r>
        <w:rPr>
          <w:rFonts w:hint="eastAsia" w:cs="Times New Roman"/>
          <w:szCs w:val="28"/>
          <w:u w:val="single"/>
          <w:lang w:eastAsia="zh-CN"/>
        </w:rPr>
        <w:t>成分</w:t>
      </w:r>
      <w:r>
        <w:rPr>
          <w:rFonts w:cs="Times New Roman"/>
          <w:szCs w:val="28"/>
          <w:u w:val="single"/>
        </w:rPr>
        <w:t>种类多元，衰减机理复杂，源强和衰减量难以准确量化，产生的恶臭气体主要是氨、硫化氢等。</w:t>
      </w:r>
    </w:p>
    <w:p>
      <w:pPr>
        <w:keepNext w:val="0"/>
        <w:keepLines w:val="0"/>
        <w:pageBreakBefore w:val="0"/>
        <w:kinsoku/>
        <w:wordWrap/>
        <w:overflowPunct/>
        <w:topLinePunct w:val="0"/>
        <w:autoSpaceDE/>
        <w:autoSpaceDN/>
        <w:bidi w:val="0"/>
        <w:adjustRightInd/>
        <w:snapToGrid/>
        <w:spacing w:line="360" w:lineRule="auto"/>
        <w:ind w:firstLine="560"/>
        <w:textAlignment w:val="auto"/>
        <w:rPr>
          <w:rFonts w:cs="Times New Roman"/>
          <w:szCs w:val="28"/>
          <w:u w:val="single"/>
        </w:rPr>
      </w:pPr>
      <w:r>
        <w:rPr>
          <w:rFonts w:cs="Times New Roman"/>
          <w:szCs w:val="28"/>
          <w:u w:val="single"/>
        </w:rPr>
        <w:t>本次评价厂区污水站非甲烷总烃产生量计算方式参照《石化行业VOCs污染源排查工作指南》中排放系数法核算：</w:t>
      </w:r>
    </w:p>
    <w:p>
      <w:pPr>
        <w:adjustRightInd w:val="0"/>
        <w:snapToGrid w:val="0"/>
        <w:spacing w:line="360" w:lineRule="auto"/>
        <w:ind w:firstLine="560"/>
        <w:rPr>
          <w:rFonts w:cs="Times New Roman"/>
          <w:szCs w:val="28"/>
          <w:u w:val="single"/>
        </w:rPr>
      </w:pPr>
      <w:r>
        <w:rPr>
          <w:rFonts w:cs="Times New Roman"/>
          <w:szCs w:val="28"/>
          <w:u w:val="single"/>
        </w:rPr>
        <w:t>废水处理设施非甲烷总烃产生量=排放系数×废水处理量（m</w:t>
      </w:r>
      <w:r>
        <w:rPr>
          <w:rFonts w:cs="Times New Roman"/>
          <w:szCs w:val="28"/>
          <w:u w:val="single"/>
          <w:vertAlign w:val="superscript"/>
        </w:rPr>
        <w:t>3</w:t>
      </w:r>
      <w:r>
        <w:rPr>
          <w:rFonts w:cs="Times New Roman"/>
          <w:szCs w:val="28"/>
          <w:u w:val="single"/>
        </w:rPr>
        <w:t>）=0.005×</w:t>
      </w:r>
      <w:r>
        <w:rPr>
          <w:rFonts w:hint="eastAsia" w:cs="Times New Roman"/>
          <w:szCs w:val="28"/>
          <w:u w:val="single"/>
          <w:lang w:val="en-US" w:eastAsia="zh-CN"/>
        </w:rPr>
        <w:t>5052</w:t>
      </w:r>
      <w:r>
        <w:rPr>
          <w:rFonts w:cs="Times New Roman"/>
          <w:szCs w:val="28"/>
          <w:u w:val="single"/>
        </w:rPr>
        <w:t>×0.001=0.0</w:t>
      </w:r>
      <w:r>
        <w:rPr>
          <w:rFonts w:hint="eastAsia" w:cs="Times New Roman"/>
          <w:szCs w:val="28"/>
          <w:u w:val="single"/>
          <w:lang w:val="en-US" w:eastAsia="zh-CN"/>
        </w:rPr>
        <w:t>25</w:t>
      </w:r>
      <w:r>
        <w:rPr>
          <w:rFonts w:cs="Times New Roman"/>
          <w:szCs w:val="28"/>
          <w:u w:val="single"/>
        </w:rPr>
        <w:t>t/a；</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cs="Times New Roman"/>
          <w:szCs w:val="28"/>
          <w:u w:val="single"/>
        </w:rPr>
      </w:pPr>
      <w:r>
        <w:rPr>
          <w:rFonts w:cs="Times New Roman"/>
          <w:szCs w:val="28"/>
          <w:u w:val="single"/>
        </w:rPr>
        <w:t>根据美国EPA对污水处理厂恶臭气体污染物产生情况的研究结论：每处理1g的BOD</w:t>
      </w:r>
      <w:r>
        <w:rPr>
          <w:rFonts w:cs="Times New Roman"/>
          <w:szCs w:val="28"/>
          <w:u w:val="single"/>
          <w:vertAlign w:val="subscript"/>
        </w:rPr>
        <w:t>5</w:t>
      </w:r>
      <w:r>
        <w:rPr>
          <w:rFonts w:cs="Times New Roman"/>
          <w:u w:val="single"/>
        </w:rPr>
        <w:t>（本项目废水按BOD</w:t>
      </w:r>
      <w:r>
        <w:rPr>
          <w:rFonts w:cs="Times New Roman"/>
          <w:u w:val="single"/>
          <w:vertAlign w:val="subscript"/>
        </w:rPr>
        <w:t>5</w:t>
      </w:r>
      <w:r>
        <w:rPr>
          <w:rFonts w:cs="Times New Roman"/>
          <w:u w:val="single"/>
        </w:rPr>
        <w:t>/COD=0.4计）</w:t>
      </w:r>
      <w:r>
        <w:rPr>
          <w:rFonts w:cs="Times New Roman"/>
          <w:szCs w:val="28"/>
          <w:u w:val="single"/>
        </w:rPr>
        <w:t>可以产生0.0031g的NH</w:t>
      </w:r>
      <w:r>
        <w:rPr>
          <w:rFonts w:cs="Times New Roman"/>
          <w:szCs w:val="28"/>
          <w:u w:val="single"/>
          <w:vertAlign w:val="subscript"/>
        </w:rPr>
        <w:t>3</w:t>
      </w:r>
      <w:r>
        <w:rPr>
          <w:rFonts w:cs="Times New Roman"/>
          <w:szCs w:val="28"/>
          <w:u w:val="single"/>
        </w:rPr>
        <w:t>和0.00012g的H</w:t>
      </w:r>
      <w:r>
        <w:rPr>
          <w:rFonts w:cs="Times New Roman"/>
          <w:szCs w:val="28"/>
          <w:u w:val="single"/>
          <w:vertAlign w:val="subscript"/>
        </w:rPr>
        <w:t>2</w:t>
      </w:r>
      <w:r>
        <w:rPr>
          <w:rFonts w:cs="Times New Roman"/>
          <w:szCs w:val="28"/>
          <w:u w:val="single"/>
        </w:rPr>
        <w:t>S。项目建成后污水处理站对COD削减量为</w:t>
      </w:r>
      <w:r>
        <w:rPr>
          <w:rFonts w:hint="eastAsia" w:cs="Times New Roman"/>
          <w:szCs w:val="28"/>
          <w:u w:val="single"/>
          <w:lang w:val="en-US" w:eastAsia="zh-CN"/>
        </w:rPr>
        <w:t>0.384</w:t>
      </w:r>
      <w:r>
        <w:rPr>
          <w:rFonts w:cs="Times New Roman"/>
          <w:szCs w:val="28"/>
          <w:u w:val="single"/>
        </w:rPr>
        <w:t>（</w:t>
      </w:r>
      <w:r>
        <w:rPr>
          <w:rFonts w:cs="Times New Roman"/>
          <w:u w:val="single"/>
        </w:rPr>
        <w:t>折算BOD</w:t>
      </w:r>
      <w:r>
        <w:rPr>
          <w:rFonts w:cs="Times New Roman"/>
          <w:u w:val="single"/>
          <w:vertAlign w:val="subscript"/>
        </w:rPr>
        <w:t>5</w:t>
      </w:r>
      <w:r>
        <w:rPr>
          <w:rFonts w:cs="Times New Roman"/>
          <w:u w:val="single"/>
        </w:rPr>
        <w:t>削减量为</w:t>
      </w:r>
      <w:r>
        <w:rPr>
          <w:rFonts w:hint="eastAsia" w:cs="Times New Roman"/>
          <w:u w:val="single"/>
          <w:lang w:val="en-US" w:eastAsia="zh-CN"/>
        </w:rPr>
        <w:t>0.154</w:t>
      </w:r>
      <w:r>
        <w:rPr>
          <w:rFonts w:cs="Times New Roman"/>
          <w:u w:val="single"/>
        </w:rPr>
        <w:t>t/a</w:t>
      </w:r>
      <w:r>
        <w:rPr>
          <w:rFonts w:cs="Times New Roman"/>
          <w:szCs w:val="28"/>
          <w:u w:val="single"/>
        </w:rPr>
        <w:t>），则产生氨气</w:t>
      </w:r>
      <w:r>
        <w:rPr>
          <w:rFonts w:hint="eastAsia" w:cs="Times New Roman"/>
          <w:szCs w:val="28"/>
          <w:u w:val="single"/>
          <w:lang w:val="en-US" w:eastAsia="zh-CN"/>
        </w:rPr>
        <w:t>4.8</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4</w:t>
      </w:r>
      <w:r>
        <w:rPr>
          <w:rFonts w:cs="Times New Roman"/>
          <w:szCs w:val="28"/>
          <w:u w:val="single"/>
        </w:rPr>
        <w:t>t/a、硫化氢</w:t>
      </w:r>
      <w:r>
        <w:rPr>
          <w:rFonts w:hint="eastAsia" w:cs="Times New Roman"/>
          <w:szCs w:val="28"/>
          <w:u w:val="single"/>
          <w:lang w:val="en-US" w:eastAsia="zh-CN"/>
        </w:rPr>
        <w:t>1.85</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5</w:t>
      </w:r>
      <w:r>
        <w:rPr>
          <w:rFonts w:cs="Times New Roman"/>
          <w:szCs w:val="28"/>
          <w:u w:val="single"/>
        </w:rPr>
        <w:t>t/a。</w:t>
      </w:r>
    </w:p>
    <w:p>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cs="Times New Roman"/>
          <w:szCs w:val="28"/>
          <w:u w:val="single"/>
        </w:rPr>
      </w:pPr>
      <w:r>
        <w:rPr>
          <w:rFonts w:cs="Times New Roman"/>
          <w:b/>
          <w:bCs/>
          <w:szCs w:val="28"/>
          <w:u w:val="single"/>
        </w:rPr>
        <w:t>治理措施：</w:t>
      </w:r>
      <w:r>
        <w:rPr>
          <w:rFonts w:cs="Times New Roman"/>
          <w:szCs w:val="28"/>
          <w:u w:val="single"/>
        </w:rPr>
        <w:t>废水处理过程产生的氨、硫化氢等恶臭气体以及少量非甲烷总烃经管道收集后</w:t>
      </w:r>
      <w:r>
        <w:rPr>
          <w:rFonts w:hint="eastAsia" w:cs="Times New Roman"/>
          <w:szCs w:val="28"/>
          <w:u w:val="single"/>
          <w:lang w:eastAsia="zh-CN"/>
        </w:rPr>
        <w:t>二级</w:t>
      </w:r>
      <w:r>
        <w:rPr>
          <w:rFonts w:hint="eastAsia" w:cs="Times New Roman"/>
          <w:szCs w:val="28"/>
          <w:u w:val="single"/>
          <w:lang w:val="en-US" w:eastAsia="zh-CN"/>
        </w:rPr>
        <w:t>活性炭吸附</w:t>
      </w:r>
      <w:r>
        <w:rPr>
          <w:rFonts w:cs="Times New Roman"/>
          <w:szCs w:val="28"/>
          <w:u w:val="single"/>
        </w:rPr>
        <w:t>装置</w:t>
      </w:r>
      <w:r>
        <w:rPr>
          <w:rFonts w:hint="eastAsia" w:cs="Times New Roman"/>
          <w:szCs w:val="28"/>
          <w:u w:val="single"/>
          <w:lang w:eastAsia="zh-CN"/>
        </w:rPr>
        <w:t>处理</w:t>
      </w:r>
      <w:r>
        <w:rPr>
          <w:rFonts w:cs="Times New Roman"/>
          <w:szCs w:val="28"/>
          <w:u w:val="single"/>
        </w:rPr>
        <w:t>，随后通过</w:t>
      </w:r>
      <w:r>
        <w:rPr>
          <w:rFonts w:hint="eastAsia" w:cs="Times New Roman"/>
          <w:szCs w:val="28"/>
          <w:u w:val="single"/>
          <w:lang w:val="en-US" w:eastAsia="zh-CN"/>
        </w:rPr>
        <w:t>15m</w:t>
      </w:r>
      <w:r>
        <w:rPr>
          <w:rFonts w:cs="Times New Roman"/>
          <w:szCs w:val="28"/>
          <w:u w:val="single"/>
        </w:rPr>
        <w:t>排气筒排放。</w:t>
      </w:r>
    </w:p>
    <w:p>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lang w:val="en-US"/>
        </w:rPr>
      </w:pPr>
      <w:r>
        <w:rPr>
          <w:rFonts w:cs="Times New Roman"/>
          <w:b/>
          <w:bCs/>
          <w:szCs w:val="28"/>
          <w:u w:val="single"/>
        </w:rPr>
        <w:t>排放情况：</w:t>
      </w:r>
      <w:r>
        <w:rPr>
          <w:rFonts w:cs="Times New Roman"/>
          <w:szCs w:val="28"/>
          <w:u w:val="single"/>
        </w:rPr>
        <w:t>厂区污水处理站整体加盖密闭（90%收集率），</w:t>
      </w:r>
      <w:r>
        <w:rPr>
          <w:rFonts w:hint="eastAsia" w:cs="Times New Roman"/>
          <w:szCs w:val="28"/>
          <w:u w:val="single"/>
          <w:lang w:eastAsia="zh-CN"/>
        </w:rPr>
        <w:t>二级活性炭吸附</w:t>
      </w:r>
      <w:r>
        <w:rPr>
          <w:rFonts w:cs="Times New Roman"/>
          <w:szCs w:val="28"/>
          <w:u w:val="single"/>
        </w:rPr>
        <w:t>非甲烷总烃吸附效率按</w:t>
      </w:r>
      <w:r>
        <w:rPr>
          <w:rFonts w:hint="eastAsia" w:cs="Times New Roman"/>
          <w:szCs w:val="28"/>
          <w:u w:val="single"/>
          <w:lang w:val="en-US" w:eastAsia="zh-CN"/>
        </w:rPr>
        <w:t>70</w:t>
      </w:r>
      <w:r>
        <w:rPr>
          <w:rFonts w:cs="Times New Roman"/>
          <w:szCs w:val="28"/>
          <w:u w:val="single"/>
        </w:rPr>
        <w:t>%计，硫化氢</w:t>
      </w:r>
      <w:r>
        <w:rPr>
          <w:rFonts w:hint="eastAsia" w:cs="Times New Roman"/>
          <w:szCs w:val="28"/>
          <w:u w:val="single"/>
          <w:lang w:eastAsia="zh-CN"/>
        </w:rPr>
        <w:t>、氨去除</w:t>
      </w:r>
      <w:r>
        <w:rPr>
          <w:rFonts w:cs="Times New Roman"/>
          <w:szCs w:val="28"/>
          <w:u w:val="single"/>
        </w:rPr>
        <w:t>效率按60%计，则有组织非甲烷总烃排放量为</w:t>
      </w:r>
      <w:r>
        <w:rPr>
          <w:rFonts w:hint="eastAsia" w:cs="Times New Roman"/>
          <w:szCs w:val="28"/>
          <w:u w:val="single"/>
          <w:lang w:val="en-US" w:eastAsia="zh-CN"/>
        </w:rPr>
        <w:t>6.75</w:t>
      </w:r>
      <w:r>
        <w:rPr>
          <w:rFonts w:cs="Times New Roman"/>
          <w:szCs w:val="28"/>
          <w:u w:val="single"/>
        </w:rPr>
        <w:t>×10</w:t>
      </w:r>
      <w:r>
        <w:rPr>
          <w:rFonts w:cs="Times New Roman"/>
          <w:szCs w:val="28"/>
          <w:u w:val="single"/>
          <w:vertAlign w:val="superscript"/>
        </w:rPr>
        <w:t>-3</w:t>
      </w:r>
      <w:r>
        <w:rPr>
          <w:rFonts w:cs="Times New Roman"/>
          <w:szCs w:val="28"/>
          <w:u w:val="single"/>
        </w:rPr>
        <w:t>t/a，排放速率为</w:t>
      </w:r>
      <w:r>
        <w:rPr>
          <w:rFonts w:hint="eastAsia" w:cs="Times New Roman"/>
          <w:szCs w:val="28"/>
          <w:u w:val="single"/>
          <w:lang w:val="en-US" w:eastAsia="zh-CN"/>
        </w:rPr>
        <w:t>2.81</w:t>
      </w:r>
      <w:r>
        <w:rPr>
          <w:rFonts w:cs="Times New Roman"/>
          <w:szCs w:val="28"/>
          <w:u w:val="single"/>
        </w:rPr>
        <w:t>×10</w:t>
      </w:r>
      <w:r>
        <w:rPr>
          <w:rFonts w:cs="Times New Roman"/>
          <w:szCs w:val="28"/>
          <w:u w:val="single"/>
          <w:vertAlign w:val="superscript"/>
        </w:rPr>
        <w:t>-3</w:t>
      </w:r>
      <w:r>
        <w:rPr>
          <w:rFonts w:cs="Times New Roman"/>
          <w:szCs w:val="28"/>
          <w:u w:val="single"/>
        </w:rPr>
        <w:t>kg/h；有组织氨气排放量为</w:t>
      </w:r>
      <w:r>
        <w:rPr>
          <w:rFonts w:hint="eastAsia" w:cs="Times New Roman"/>
          <w:szCs w:val="28"/>
          <w:u w:val="single"/>
          <w:lang w:val="en-US" w:eastAsia="zh-CN"/>
        </w:rPr>
        <w:t>1.73</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4</w:t>
      </w:r>
      <w:r>
        <w:rPr>
          <w:rFonts w:cs="Times New Roman"/>
          <w:szCs w:val="28"/>
          <w:u w:val="single"/>
        </w:rPr>
        <w:t>t/a，排放速率为</w:t>
      </w:r>
      <w:r>
        <w:rPr>
          <w:rFonts w:hint="eastAsia" w:cs="Times New Roman"/>
          <w:szCs w:val="28"/>
          <w:u w:val="single"/>
          <w:lang w:val="en-US" w:eastAsia="zh-CN"/>
        </w:rPr>
        <w:t>7.21</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5</w:t>
      </w:r>
      <w:r>
        <w:rPr>
          <w:rFonts w:cs="Times New Roman"/>
          <w:szCs w:val="28"/>
          <w:u w:val="single"/>
        </w:rPr>
        <w:t>kg/h；有组织硫化氢排放量为</w:t>
      </w:r>
      <w:r>
        <w:rPr>
          <w:rFonts w:hint="eastAsia" w:cs="Times New Roman"/>
          <w:szCs w:val="28"/>
          <w:u w:val="single"/>
          <w:lang w:val="en-US" w:eastAsia="zh-CN"/>
        </w:rPr>
        <w:t>6.66</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r>
        <w:rPr>
          <w:rFonts w:cs="Times New Roman"/>
          <w:szCs w:val="28"/>
          <w:u w:val="single"/>
        </w:rPr>
        <w:t>t/a，排放速率为</w:t>
      </w:r>
      <w:r>
        <w:rPr>
          <w:rFonts w:hint="eastAsia" w:cs="Times New Roman"/>
          <w:szCs w:val="28"/>
          <w:u w:val="single"/>
          <w:lang w:val="en-US" w:eastAsia="zh-CN"/>
        </w:rPr>
        <w:t>2.78</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r>
        <w:rPr>
          <w:rFonts w:cs="Times New Roman"/>
          <w:szCs w:val="28"/>
          <w:u w:val="single"/>
        </w:rPr>
        <w:t>kg/h。</w:t>
      </w:r>
    </w:p>
    <w:p>
      <w:pPr>
        <w:keepNext w:val="0"/>
        <w:keepLines w:val="0"/>
        <w:widowControl/>
        <w:suppressLineNumbers w:val="0"/>
        <w:jc w:val="left"/>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31"/>
        <w:autoSpaceDN/>
        <w:ind w:firstLine="482"/>
        <w:rPr>
          <w:rFonts w:hint="default" w:ascii="Times New Roman" w:hAnsi="Times New Roman" w:eastAsia="宋体" w:cs="Times New Roman"/>
          <w:b/>
          <w:bCs/>
          <w:szCs w:val="24"/>
          <w:lang w:val="en-US" w:eastAsia="zh-CN"/>
        </w:rPr>
      </w:pPr>
      <w:r>
        <w:rPr>
          <w:rFonts w:hint="eastAsia" w:ascii="Times New Roman" w:hAnsi="Times New Roman" w:cs="Times New Roman"/>
          <w:b/>
          <w:bCs/>
          <w:szCs w:val="24"/>
          <w:lang w:val="en-US"/>
        </w:rPr>
        <w:t>表4.2</w:t>
      </w:r>
      <w:r>
        <w:rPr>
          <w:rFonts w:ascii="Times New Roman" w:hAnsi="Times New Roman" w:cs="Times New Roman"/>
          <w:b/>
          <w:bCs/>
          <w:szCs w:val="24"/>
          <w:lang w:val="en-US"/>
        </w:rPr>
        <w:t>-</w:t>
      </w:r>
      <w:r>
        <w:rPr>
          <w:rFonts w:hint="eastAsia" w:ascii="Times New Roman" w:hAnsi="Times New Roman" w:cs="Times New Roman"/>
          <w:b/>
          <w:bCs/>
          <w:szCs w:val="24"/>
          <w:lang w:val="en-US" w:eastAsia="zh-CN"/>
        </w:rPr>
        <w:t>3</w:t>
      </w:r>
      <w:r>
        <w:rPr>
          <w:rFonts w:hint="eastAsia" w:ascii="Times New Roman" w:hAnsi="Times New Roman" w:cs="Times New Roman"/>
          <w:b/>
          <w:bCs/>
          <w:szCs w:val="24"/>
          <w:lang w:val="en-US"/>
        </w:rPr>
        <w:t xml:space="preserve"> </w:t>
      </w:r>
      <w:r>
        <w:rPr>
          <w:rFonts w:ascii="Times New Roman" w:hAnsi="Times New Roman" w:cs="Times New Roman"/>
          <w:b/>
          <w:bCs/>
          <w:szCs w:val="24"/>
          <w:lang w:val="en-US"/>
        </w:rPr>
        <w:t xml:space="preserve"> </w:t>
      </w:r>
      <w:r>
        <w:rPr>
          <w:rFonts w:hint="eastAsia" w:ascii="Times New Roman" w:hAnsi="Times New Roman" w:cs="Times New Roman"/>
          <w:b/>
          <w:bCs/>
          <w:szCs w:val="24"/>
          <w:lang w:val="en-US"/>
        </w:rPr>
        <w:t>本项目有组织废气产生及排放情况表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89"/>
        <w:gridCol w:w="865"/>
        <w:gridCol w:w="808"/>
        <w:gridCol w:w="912"/>
        <w:gridCol w:w="1130"/>
        <w:gridCol w:w="2286"/>
        <w:gridCol w:w="832"/>
        <w:gridCol w:w="971"/>
        <w:gridCol w:w="928"/>
        <w:gridCol w:w="812"/>
        <w:gridCol w:w="785"/>
        <w:gridCol w:w="490"/>
        <w:gridCol w:w="494"/>
        <w:gridCol w:w="468"/>
        <w:gridCol w:w="397"/>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Merge w:val="restart"/>
            <w:vAlign w:val="center"/>
          </w:tcPr>
          <w:p>
            <w:pPr>
              <w:pStyle w:val="30"/>
              <w:rPr>
                <w:rFonts w:hint="default"/>
              </w:rPr>
            </w:pPr>
            <w:r>
              <w:t>来源</w:t>
            </w:r>
          </w:p>
        </w:tc>
        <w:tc>
          <w:tcPr>
            <w:tcW w:w="889" w:type="dxa"/>
            <w:vMerge w:val="restart"/>
            <w:vAlign w:val="center"/>
          </w:tcPr>
          <w:p>
            <w:pPr>
              <w:pStyle w:val="30"/>
              <w:rPr>
                <w:rFonts w:hint="default"/>
              </w:rPr>
            </w:pPr>
            <w:r>
              <w:t>污染物名称</w:t>
            </w:r>
          </w:p>
        </w:tc>
        <w:tc>
          <w:tcPr>
            <w:tcW w:w="865" w:type="dxa"/>
            <w:vMerge w:val="restart"/>
            <w:vAlign w:val="center"/>
          </w:tcPr>
          <w:p>
            <w:pPr>
              <w:pStyle w:val="30"/>
              <w:rPr>
                <w:rFonts w:hint="default"/>
              </w:rPr>
            </w:pPr>
            <w:r>
              <w:t>废气量m</w:t>
            </w:r>
            <w:r>
              <w:rPr>
                <w:rFonts w:hint="default"/>
                <w:vertAlign w:val="superscript"/>
              </w:rPr>
              <w:t>3</w:t>
            </w:r>
            <w:r>
              <w:rPr>
                <w:rFonts w:hint="default"/>
              </w:rPr>
              <w:t>/h</w:t>
            </w:r>
          </w:p>
        </w:tc>
        <w:tc>
          <w:tcPr>
            <w:tcW w:w="2850" w:type="dxa"/>
            <w:gridSpan w:val="3"/>
            <w:vAlign w:val="center"/>
          </w:tcPr>
          <w:p>
            <w:pPr>
              <w:pStyle w:val="30"/>
              <w:rPr>
                <w:rFonts w:hint="default"/>
              </w:rPr>
            </w:pPr>
            <w:r>
              <w:t>产生情况</w:t>
            </w:r>
          </w:p>
        </w:tc>
        <w:tc>
          <w:tcPr>
            <w:tcW w:w="2286" w:type="dxa"/>
            <w:vMerge w:val="restart"/>
            <w:vAlign w:val="center"/>
          </w:tcPr>
          <w:p>
            <w:pPr>
              <w:pStyle w:val="30"/>
              <w:rPr>
                <w:rFonts w:hint="default"/>
              </w:rPr>
            </w:pPr>
            <w:r>
              <w:t>处理措施</w:t>
            </w:r>
          </w:p>
        </w:tc>
        <w:tc>
          <w:tcPr>
            <w:tcW w:w="2731" w:type="dxa"/>
            <w:gridSpan w:val="3"/>
            <w:vAlign w:val="center"/>
          </w:tcPr>
          <w:p>
            <w:pPr>
              <w:pStyle w:val="30"/>
              <w:rPr>
                <w:rFonts w:hint="default"/>
              </w:rPr>
            </w:pPr>
            <w:r>
              <w:t>排放情况</w:t>
            </w:r>
          </w:p>
        </w:tc>
        <w:tc>
          <w:tcPr>
            <w:tcW w:w="1597" w:type="dxa"/>
            <w:gridSpan w:val="2"/>
            <w:vAlign w:val="center"/>
          </w:tcPr>
          <w:p>
            <w:pPr>
              <w:pStyle w:val="30"/>
              <w:rPr>
                <w:rFonts w:hint="default"/>
              </w:rPr>
            </w:pPr>
            <w:r>
              <w:t>执行标准</w:t>
            </w:r>
          </w:p>
        </w:tc>
        <w:tc>
          <w:tcPr>
            <w:tcW w:w="1452" w:type="dxa"/>
            <w:gridSpan w:val="3"/>
            <w:vAlign w:val="center"/>
          </w:tcPr>
          <w:p>
            <w:pPr>
              <w:pStyle w:val="30"/>
              <w:rPr>
                <w:rFonts w:hint="default"/>
              </w:rPr>
            </w:pPr>
            <w:r>
              <w:t>排放源参数</w:t>
            </w:r>
          </w:p>
        </w:tc>
        <w:tc>
          <w:tcPr>
            <w:tcW w:w="397" w:type="dxa"/>
            <w:vMerge w:val="restart"/>
            <w:vAlign w:val="center"/>
          </w:tcPr>
          <w:p>
            <w:pPr>
              <w:pStyle w:val="30"/>
              <w:rPr>
                <w:rFonts w:hint="default"/>
              </w:rPr>
            </w:pPr>
            <w:r>
              <w:t>排放方式</w:t>
            </w:r>
          </w:p>
        </w:tc>
        <w:tc>
          <w:tcPr>
            <w:tcW w:w="499" w:type="dxa"/>
            <w:vMerge w:val="restart"/>
            <w:vAlign w:val="center"/>
          </w:tcPr>
          <w:p>
            <w:pPr>
              <w:pStyle w:val="30"/>
              <w:rPr>
                <w:rFonts w:hint="default"/>
              </w:rPr>
            </w:pPr>
            <w: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54" w:type="dxa"/>
            <w:vMerge w:val="continue"/>
            <w:vAlign w:val="center"/>
          </w:tcPr>
          <w:p>
            <w:pPr>
              <w:pStyle w:val="30"/>
              <w:rPr>
                <w:rFonts w:hint="default"/>
              </w:rPr>
            </w:pPr>
          </w:p>
        </w:tc>
        <w:tc>
          <w:tcPr>
            <w:tcW w:w="889" w:type="dxa"/>
            <w:vMerge w:val="continue"/>
            <w:vAlign w:val="center"/>
          </w:tcPr>
          <w:p>
            <w:pPr>
              <w:pStyle w:val="30"/>
              <w:rPr>
                <w:rFonts w:hint="default"/>
              </w:rPr>
            </w:pPr>
          </w:p>
        </w:tc>
        <w:tc>
          <w:tcPr>
            <w:tcW w:w="865" w:type="dxa"/>
            <w:vMerge w:val="continue"/>
            <w:vAlign w:val="center"/>
          </w:tcPr>
          <w:p>
            <w:pPr>
              <w:pStyle w:val="30"/>
              <w:rPr>
                <w:rFonts w:hint="default"/>
              </w:rPr>
            </w:pPr>
          </w:p>
        </w:tc>
        <w:tc>
          <w:tcPr>
            <w:tcW w:w="808" w:type="dxa"/>
            <w:vAlign w:val="center"/>
          </w:tcPr>
          <w:p>
            <w:pPr>
              <w:pStyle w:val="30"/>
              <w:rPr>
                <w:rFonts w:hint="default"/>
              </w:rPr>
            </w:pPr>
            <w:r>
              <w:t>产生浓度mg/m</w:t>
            </w:r>
            <w:r>
              <w:rPr>
                <w:rFonts w:hint="default"/>
                <w:vertAlign w:val="superscript"/>
              </w:rPr>
              <w:t>3</w:t>
            </w:r>
          </w:p>
        </w:tc>
        <w:tc>
          <w:tcPr>
            <w:tcW w:w="912" w:type="dxa"/>
            <w:vAlign w:val="center"/>
          </w:tcPr>
          <w:p>
            <w:pPr>
              <w:pStyle w:val="30"/>
              <w:rPr>
                <w:rFonts w:hint="default"/>
              </w:rPr>
            </w:pPr>
            <w:r>
              <w:t>产生速率kg/h</w:t>
            </w:r>
          </w:p>
        </w:tc>
        <w:tc>
          <w:tcPr>
            <w:tcW w:w="1130" w:type="dxa"/>
            <w:vAlign w:val="center"/>
          </w:tcPr>
          <w:p>
            <w:pPr>
              <w:pStyle w:val="30"/>
              <w:rPr>
                <w:rFonts w:hint="default"/>
              </w:rPr>
            </w:pPr>
            <w:r>
              <w:t>产生量t/a</w:t>
            </w:r>
          </w:p>
        </w:tc>
        <w:tc>
          <w:tcPr>
            <w:tcW w:w="2286" w:type="dxa"/>
            <w:vMerge w:val="continue"/>
            <w:vAlign w:val="center"/>
          </w:tcPr>
          <w:p>
            <w:pPr>
              <w:pStyle w:val="30"/>
              <w:rPr>
                <w:rFonts w:hint="default"/>
              </w:rPr>
            </w:pPr>
          </w:p>
        </w:tc>
        <w:tc>
          <w:tcPr>
            <w:tcW w:w="832" w:type="dxa"/>
            <w:vAlign w:val="center"/>
          </w:tcPr>
          <w:p>
            <w:pPr>
              <w:pStyle w:val="30"/>
              <w:rPr>
                <w:rFonts w:hint="default"/>
              </w:rPr>
            </w:pPr>
            <w:r>
              <w:t>排放浓度mg/m</w:t>
            </w:r>
            <w:r>
              <w:rPr>
                <w:rFonts w:hint="default"/>
                <w:vertAlign w:val="superscript"/>
              </w:rPr>
              <w:t>3</w:t>
            </w:r>
          </w:p>
        </w:tc>
        <w:tc>
          <w:tcPr>
            <w:tcW w:w="971" w:type="dxa"/>
            <w:vAlign w:val="center"/>
          </w:tcPr>
          <w:p>
            <w:pPr>
              <w:pStyle w:val="30"/>
              <w:rPr>
                <w:rFonts w:hint="default"/>
              </w:rPr>
            </w:pPr>
            <w:r>
              <w:t>排放速率kg/h</w:t>
            </w:r>
          </w:p>
        </w:tc>
        <w:tc>
          <w:tcPr>
            <w:tcW w:w="928" w:type="dxa"/>
            <w:vAlign w:val="center"/>
          </w:tcPr>
          <w:p>
            <w:pPr>
              <w:pStyle w:val="30"/>
              <w:rPr>
                <w:rFonts w:hint="default"/>
              </w:rPr>
            </w:pPr>
            <w:r>
              <w:t>排放量t/a</w:t>
            </w:r>
          </w:p>
        </w:tc>
        <w:tc>
          <w:tcPr>
            <w:tcW w:w="812" w:type="dxa"/>
            <w:vAlign w:val="center"/>
          </w:tcPr>
          <w:p>
            <w:pPr>
              <w:pStyle w:val="30"/>
              <w:rPr>
                <w:rFonts w:hint="default"/>
              </w:rPr>
            </w:pPr>
            <w:r>
              <w:t>排放浓度mg/m</w:t>
            </w:r>
            <w:r>
              <w:rPr>
                <w:rFonts w:hint="default"/>
                <w:vertAlign w:val="superscript"/>
              </w:rPr>
              <w:t>3</w:t>
            </w:r>
          </w:p>
        </w:tc>
        <w:tc>
          <w:tcPr>
            <w:tcW w:w="785" w:type="dxa"/>
            <w:vAlign w:val="center"/>
          </w:tcPr>
          <w:p>
            <w:pPr>
              <w:pStyle w:val="30"/>
              <w:rPr>
                <w:rFonts w:hint="default"/>
              </w:rPr>
            </w:pPr>
            <w:r>
              <w:t>排放速率kg/h</w:t>
            </w:r>
          </w:p>
        </w:tc>
        <w:tc>
          <w:tcPr>
            <w:tcW w:w="490" w:type="dxa"/>
            <w:vAlign w:val="center"/>
          </w:tcPr>
          <w:p>
            <w:pPr>
              <w:pStyle w:val="30"/>
              <w:rPr>
                <w:rFonts w:hint="default"/>
              </w:rPr>
            </w:pPr>
            <w:r>
              <w:t>高度m</w:t>
            </w:r>
          </w:p>
        </w:tc>
        <w:tc>
          <w:tcPr>
            <w:tcW w:w="494" w:type="dxa"/>
            <w:vAlign w:val="center"/>
          </w:tcPr>
          <w:p>
            <w:pPr>
              <w:pStyle w:val="30"/>
              <w:rPr>
                <w:rFonts w:hint="default"/>
              </w:rPr>
            </w:pPr>
            <w:r>
              <w:t>内径m</w:t>
            </w:r>
          </w:p>
        </w:tc>
        <w:tc>
          <w:tcPr>
            <w:tcW w:w="468" w:type="dxa"/>
            <w:vAlign w:val="center"/>
          </w:tcPr>
          <w:p>
            <w:pPr>
              <w:pStyle w:val="30"/>
              <w:jc w:val="both"/>
              <w:rPr>
                <w:rFonts w:hint="eastAsia" w:eastAsia="宋体"/>
                <w:lang w:eastAsia="zh-CN"/>
              </w:rPr>
            </w:pPr>
            <w:r>
              <w:t>温度</w:t>
            </w:r>
            <w:r>
              <w:rPr>
                <w:rFonts w:hint="eastAsia"/>
                <w:lang w:eastAsia="zh-CN"/>
              </w:rPr>
              <w:t>℃</w:t>
            </w: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pPr>
              <w:pStyle w:val="30"/>
              <w:rPr>
                <w:rFonts w:hint="eastAsia" w:eastAsia="宋体"/>
                <w:lang w:eastAsia="zh-CN"/>
              </w:rPr>
            </w:pPr>
            <w:r>
              <w:rPr>
                <w:rFonts w:hint="eastAsia"/>
                <w:lang w:eastAsia="zh-CN"/>
              </w:rPr>
              <w:t>粉碎</w:t>
            </w:r>
          </w:p>
        </w:tc>
        <w:tc>
          <w:tcPr>
            <w:tcW w:w="889" w:type="dxa"/>
            <w:vAlign w:val="center"/>
          </w:tcPr>
          <w:p>
            <w:pPr>
              <w:pStyle w:val="30"/>
              <w:rPr>
                <w:rFonts w:hint="eastAsia" w:eastAsia="宋体"/>
                <w:lang w:eastAsia="zh-CN"/>
              </w:rPr>
            </w:pPr>
            <w:r>
              <w:rPr>
                <w:rFonts w:hint="eastAsia"/>
                <w:lang w:eastAsia="zh-CN"/>
              </w:rPr>
              <w:t>颗粒物</w:t>
            </w:r>
          </w:p>
        </w:tc>
        <w:tc>
          <w:tcPr>
            <w:tcW w:w="865" w:type="dxa"/>
            <w:vAlign w:val="center"/>
          </w:tcPr>
          <w:p>
            <w:pPr>
              <w:pStyle w:val="30"/>
              <w:rPr>
                <w:rFonts w:hint="default" w:eastAsia="宋体"/>
                <w:lang w:val="en-US" w:eastAsia="zh-CN"/>
              </w:rPr>
            </w:pPr>
            <w:r>
              <w:rPr>
                <w:rFonts w:hint="eastAsia"/>
                <w:lang w:val="en-US" w:eastAsia="zh-CN"/>
              </w:rPr>
              <w:t>10000</w:t>
            </w:r>
          </w:p>
        </w:tc>
        <w:tc>
          <w:tcPr>
            <w:tcW w:w="808" w:type="dxa"/>
            <w:vAlign w:val="center"/>
          </w:tcPr>
          <w:p>
            <w:pPr>
              <w:pStyle w:val="30"/>
              <w:rPr>
                <w:rFonts w:hint="default" w:eastAsia="宋体"/>
                <w:lang w:val="en-US" w:eastAsia="zh-CN"/>
              </w:rPr>
            </w:pPr>
            <w:r>
              <w:rPr>
                <w:rFonts w:hint="eastAsia"/>
                <w:lang w:val="en-US" w:eastAsia="zh-CN"/>
              </w:rPr>
              <w:t>106.3</w:t>
            </w:r>
          </w:p>
        </w:tc>
        <w:tc>
          <w:tcPr>
            <w:tcW w:w="912" w:type="dxa"/>
            <w:vAlign w:val="center"/>
          </w:tcPr>
          <w:p>
            <w:pPr>
              <w:pStyle w:val="30"/>
              <w:rPr>
                <w:rFonts w:hint="default" w:eastAsia="宋体"/>
                <w:lang w:val="en-US" w:eastAsia="zh-CN"/>
              </w:rPr>
            </w:pPr>
            <w:r>
              <w:rPr>
                <w:rFonts w:hint="eastAsia"/>
                <w:lang w:val="en-US" w:eastAsia="zh-CN"/>
              </w:rPr>
              <w:t>1.063</w:t>
            </w:r>
          </w:p>
        </w:tc>
        <w:tc>
          <w:tcPr>
            <w:tcW w:w="1130" w:type="dxa"/>
            <w:vAlign w:val="center"/>
          </w:tcPr>
          <w:p>
            <w:pPr>
              <w:pStyle w:val="30"/>
              <w:rPr>
                <w:rFonts w:hint="default" w:eastAsia="宋体"/>
                <w:lang w:val="en-US" w:eastAsia="zh-CN"/>
              </w:rPr>
            </w:pPr>
            <w:r>
              <w:rPr>
                <w:rFonts w:hint="eastAsia"/>
                <w:lang w:val="en-US" w:eastAsia="zh-CN"/>
              </w:rPr>
              <w:t>2.55</w:t>
            </w:r>
          </w:p>
        </w:tc>
        <w:tc>
          <w:tcPr>
            <w:tcW w:w="2286" w:type="dxa"/>
            <w:vAlign w:val="center"/>
          </w:tcPr>
          <w:p>
            <w:pPr>
              <w:pStyle w:val="30"/>
              <w:rPr>
                <w:rFonts w:hint="default"/>
              </w:rPr>
            </w:pPr>
            <w:r>
              <w:rPr>
                <w:rFonts w:hint="eastAsia"/>
                <w:lang w:val="en-US" w:eastAsia="zh-CN"/>
              </w:rPr>
              <w:t>袋式除尘器，收集效率98%，去除效率95%</w:t>
            </w:r>
          </w:p>
        </w:tc>
        <w:tc>
          <w:tcPr>
            <w:tcW w:w="832" w:type="dxa"/>
            <w:vAlign w:val="center"/>
          </w:tcPr>
          <w:p>
            <w:pPr>
              <w:pStyle w:val="30"/>
              <w:rPr>
                <w:rFonts w:hint="default" w:eastAsia="宋体"/>
                <w:lang w:val="en-US" w:eastAsia="zh-CN"/>
              </w:rPr>
            </w:pPr>
            <w:r>
              <w:rPr>
                <w:rFonts w:hint="eastAsia"/>
                <w:lang w:val="en-US" w:eastAsia="zh-CN"/>
              </w:rPr>
              <w:t>5.21</w:t>
            </w:r>
          </w:p>
        </w:tc>
        <w:tc>
          <w:tcPr>
            <w:tcW w:w="971" w:type="dxa"/>
            <w:vAlign w:val="center"/>
          </w:tcPr>
          <w:p>
            <w:pPr>
              <w:pStyle w:val="30"/>
              <w:rPr>
                <w:rFonts w:hint="default" w:eastAsia="宋体"/>
                <w:lang w:val="en-US" w:eastAsia="zh-CN"/>
              </w:rPr>
            </w:pPr>
            <w:r>
              <w:rPr>
                <w:rFonts w:hint="eastAsia"/>
                <w:lang w:val="en-US" w:eastAsia="zh-CN"/>
              </w:rPr>
              <w:t>0.0521</w:t>
            </w:r>
          </w:p>
        </w:tc>
        <w:tc>
          <w:tcPr>
            <w:tcW w:w="928" w:type="dxa"/>
            <w:vAlign w:val="center"/>
          </w:tcPr>
          <w:p>
            <w:pPr>
              <w:pStyle w:val="30"/>
              <w:rPr>
                <w:rFonts w:hint="default" w:eastAsia="宋体"/>
                <w:lang w:val="en-US" w:eastAsia="zh-CN"/>
              </w:rPr>
            </w:pPr>
            <w:r>
              <w:rPr>
                <w:rFonts w:hint="eastAsia"/>
                <w:lang w:val="en-US" w:eastAsia="zh-CN"/>
              </w:rPr>
              <w:t>0.125</w:t>
            </w:r>
          </w:p>
        </w:tc>
        <w:tc>
          <w:tcPr>
            <w:tcW w:w="812" w:type="dxa"/>
            <w:vAlign w:val="center"/>
          </w:tcPr>
          <w:p>
            <w:pPr>
              <w:pStyle w:val="30"/>
              <w:rPr>
                <w:rFonts w:hint="default" w:eastAsia="宋体"/>
                <w:lang w:val="en-US" w:eastAsia="zh-CN"/>
              </w:rPr>
            </w:pPr>
            <w:r>
              <w:rPr>
                <w:rFonts w:hint="eastAsia"/>
                <w:lang w:val="en-US" w:eastAsia="zh-CN"/>
              </w:rPr>
              <w:t>20</w:t>
            </w:r>
          </w:p>
        </w:tc>
        <w:tc>
          <w:tcPr>
            <w:tcW w:w="785" w:type="dxa"/>
            <w:vAlign w:val="center"/>
          </w:tcPr>
          <w:p>
            <w:pPr>
              <w:pStyle w:val="30"/>
              <w:rPr>
                <w:rFonts w:hint="default" w:eastAsia="宋体"/>
                <w:lang w:val="en-US" w:eastAsia="zh-CN"/>
              </w:rPr>
            </w:pPr>
            <w:r>
              <w:rPr>
                <w:rFonts w:hint="eastAsia"/>
                <w:lang w:val="en-US" w:eastAsia="zh-CN"/>
              </w:rPr>
              <w:t>3.5</w:t>
            </w:r>
          </w:p>
        </w:tc>
        <w:tc>
          <w:tcPr>
            <w:tcW w:w="490" w:type="dxa"/>
            <w:vAlign w:val="center"/>
          </w:tcPr>
          <w:p>
            <w:pPr>
              <w:pStyle w:val="30"/>
              <w:rPr>
                <w:rFonts w:hint="default" w:eastAsia="宋体"/>
                <w:lang w:val="en-US" w:eastAsia="zh-CN"/>
              </w:rPr>
            </w:pPr>
            <w:r>
              <w:rPr>
                <w:rFonts w:hint="eastAsia"/>
                <w:lang w:val="en-US" w:eastAsia="zh-CN"/>
              </w:rPr>
              <w:t>15</w:t>
            </w:r>
          </w:p>
        </w:tc>
        <w:tc>
          <w:tcPr>
            <w:tcW w:w="494" w:type="dxa"/>
            <w:vMerge w:val="restart"/>
            <w:vAlign w:val="center"/>
          </w:tcPr>
          <w:p>
            <w:pPr>
              <w:pStyle w:val="30"/>
              <w:rPr>
                <w:rFonts w:hint="default" w:eastAsia="宋体"/>
                <w:lang w:val="en-US" w:eastAsia="zh-CN"/>
              </w:rPr>
            </w:pPr>
            <w:r>
              <w:rPr>
                <w:rFonts w:hint="eastAsia"/>
                <w:lang w:val="en-US" w:eastAsia="zh-CN"/>
              </w:rPr>
              <w:t>0.3</w:t>
            </w:r>
          </w:p>
        </w:tc>
        <w:tc>
          <w:tcPr>
            <w:tcW w:w="468" w:type="dxa"/>
            <w:vMerge w:val="restart"/>
            <w:vAlign w:val="center"/>
          </w:tcPr>
          <w:p>
            <w:pPr>
              <w:pStyle w:val="30"/>
              <w:rPr>
                <w:rFonts w:hint="default"/>
              </w:rPr>
            </w:pPr>
            <w:r>
              <w:t>25</w:t>
            </w:r>
          </w:p>
        </w:tc>
        <w:tc>
          <w:tcPr>
            <w:tcW w:w="397" w:type="dxa"/>
            <w:vMerge w:val="restart"/>
            <w:vAlign w:val="center"/>
          </w:tcPr>
          <w:p>
            <w:pPr>
              <w:pStyle w:val="30"/>
              <w:rPr>
                <w:rFonts w:hint="default"/>
              </w:rPr>
            </w:pPr>
            <w:r>
              <w:t>连续</w:t>
            </w:r>
          </w:p>
        </w:tc>
        <w:tc>
          <w:tcPr>
            <w:tcW w:w="499" w:type="dxa"/>
            <w:vMerge w:val="restart"/>
            <w:vAlign w:val="center"/>
          </w:tcPr>
          <w:p>
            <w:pPr>
              <w:pStyle w:val="30"/>
              <w:rPr>
                <w:rFonts w:hint="default"/>
              </w:rPr>
            </w:pPr>
            <w:r>
              <w:t>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Merge w:val="restart"/>
            <w:vAlign w:val="center"/>
          </w:tcPr>
          <w:p>
            <w:pPr>
              <w:pStyle w:val="30"/>
              <w:rPr>
                <w:rFonts w:hint="eastAsia" w:eastAsia="宋体"/>
                <w:u w:val="single"/>
                <w:lang w:eastAsia="zh-CN"/>
              </w:rPr>
            </w:pPr>
            <w:r>
              <w:rPr>
                <w:rFonts w:hint="eastAsia"/>
                <w:u w:val="single"/>
                <w:lang w:eastAsia="zh-CN"/>
              </w:rPr>
              <w:t>造粒</w:t>
            </w:r>
          </w:p>
        </w:tc>
        <w:tc>
          <w:tcPr>
            <w:tcW w:w="889" w:type="dxa"/>
            <w:vAlign w:val="center"/>
          </w:tcPr>
          <w:p>
            <w:pPr>
              <w:pStyle w:val="30"/>
              <w:rPr>
                <w:rFonts w:hint="eastAsia" w:eastAsia="宋体"/>
                <w:u w:val="single"/>
                <w:lang w:eastAsia="zh-CN"/>
              </w:rPr>
            </w:pPr>
            <w:r>
              <w:rPr>
                <w:rFonts w:hint="eastAsia"/>
                <w:u w:val="single"/>
                <w:lang w:eastAsia="zh-CN"/>
              </w:rPr>
              <w:t>非甲烷总烃</w:t>
            </w:r>
          </w:p>
        </w:tc>
        <w:tc>
          <w:tcPr>
            <w:tcW w:w="865" w:type="dxa"/>
            <w:vMerge w:val="restart"/>
            <w:vAlign w:val="center"/>
          </w:tcPr>
          <w:p>
            <w:pPr>
              <w:pStyle w:val="30"/>
              <w:rPr>
                <w:rFonts w:hint="default" w:eastAsia="宋体"/>
                <w:u w:val="single"/>
                <w:lang w:val="en-US" w:eastAsia="zh-CN"/>
              </w:rPr>
            </w:pPr>
            <w:r>
              <w:rPr>
                <w:rFonts w:hint="eastAsia"/>
                <w:u w:val="single"/>
                <w:lang w:val="en-US" w:eastAsia="zh-CN"/>
              </w:rPr>
              <w:t>10000</w:t>
            </w:r>
          </w:p>
        </w:tc>
        <w:tc>
          <w:tcPr>
            <w:tcW w:w="808" w:type="dxa"/>
            <w:vAlign w:val="center"/>
          </w:tcPr>
          <w:p>
            <w:pPr>
              <w:pStyle w:val="30"/>
              <w:rPr>
                <w:rFonts w:hint="default" w:eastAsia="宋体"/>
                <w:u w:val="single"/>
                <w:lang w:val="en-US" w:eastAsia="zh-CN"/>
              </w:rPr>
            </w:pPr>
            <w:r>
              <w:rPr>
                <w:rFonts w:hint="eastAsia"/>
                <w:u w:val="single"/>
                <w:lang w:val="en-US" w:eastAsia="zh-CN"/>
              </w:rPr>
              <w:t>119.6</w:t>
            </w:r>
          </w:p>
        </w:tc>
        <w:tc>
          <w:tcPr>
            <w:tcW w:w="912" w:type="dxa"/>
            <w:vAlign w:val="center"/>
          </w:tcPr>
          <w:p>
            <w:pPr>
              <w:pStyle w:val="30"/>
              <w:rPr>
                <w:rFonts w:hint="default" w:eastAsia="宋体"/>
                <w:u w:val="single"/>
                <w:lang w:val="en-US" w:eastAsia="zh-CN"/>
              </w:rPr>
            </w:pPr>
            <w:r>
              <w:rPr>
                <w:rFonts w:hint="eastAsia"/>
                <w:u w:val="single"/>
                <w:lang w:val="en-US" w:eastAsia="zh-CN"/>
              </w:rPr>
              <w:t>1.196</w:t>
            </w:r>
          </w:p>
        </w:tc>
        <w:tc>
          <w:tcPr>
            <w:tcW w:w="1130" w:type="dxa"/>
            <w:vAlign w:val="center"/>
          </w:tcPr>
          <w:p>
            <w:pPr>
              <w:pStyle w:val="30"/>
              <w:rPr>
                <w:rFonts w:hint="default" w:eastAsia="宋体"/>
                <w:u w:val="single"/>
                <w:lang w:val="en-US" w:eastAsia="zh-CN"/>
              </w:rPr>
            </w:pPr>
            <w:r>
              <w:rPr>
                <w:rFonts w:hint="eastAsia"/>
                <w:u w:val="single"/>
                <w:lang w:val="en-US" w:eastAsia="zh-CN"/>
              </w:rPr>
              <w:t>2.871</w:t>
            </w:r>
          </w:p>
        </w:tc>
        <w:tc>
          <w:tcPr>
            <w:tcW w:w="2286" w:type="dxa"/>
            <w:vMerge w:val="restart"/>
            <w:vAlign w:val="center"/>
          </w:tcPr>
          <w:p>
            <w:pPr>
              <w:pStyle w:val="30"/>
              <w:rPr>
                <w:rFonts w:hint="default" w:eastAsia="宋体"/>
                <w:u w:val="single"/>
                <w:lang w:val="en-US" w:eastAsia="zh-CN"/>
              </w:rPr>
            </w:pPr>
            <w:r>
              <w:rPr>
                <w:rFonts w:hint="eastAsia"/>
                <w:u w:val="single"/>
                <w:lang w:eastAsia="zh-CN"/>
              </w:rPr>
              <w:t>喷淋塔</w:t>
            </w:r>
            <w:r>
              <w:rPr>
                <w:rFonts w:hint="eastAsia"/>
                <w:u w:val="single"/>
                <w:lang w:val="en-US" w:eastAsia="zh-CN"/>
              </w:rPr>
              <w:t>+吸附浓缩+催化燃烧，收集效率98%，非甲烷总烃和苯乙烯去除效率95%，颗粒物去除效率90%</w:t>
            </w:r>
          </w:p>
        </w:tc>
        <w:tc>
          <w:tcPr>
            <w:tcW w:w="832" w:type="dxa"/>
            <w:vAlign w:val="center"/>
          </w:tcPr>
          <w:p>
            <w:pPr>
              <w:pStyle w:val="30"/>
              <w:rPr>
                <w:rFonts w:hint="default" w:eastAsia="宋体"/>
                <w:u w:val="single"/>
                <w:lang w:val="en-US" w:eastAsia="zh-CN"/>
              </w:rPr>
            </w:pPr>
            <w:r>
              <w:rPr>
                <w:rFonts w:hint="eastAsia"/>
                <w:u w:val="single"/>
                <w:lang w:val="en-US" w:eastAsia="zh-CN"/>
              </w:rPr>
              <w:t>5.9</w:t>
            </w:r>
          </w:p>
        </w:tc>
        <w:tc>
          <w:tcPr>
            <w:tcW w:w="971" w:type="dxa"/>
            <w:vAlign w:val="center"/>
          </w:tcPr>
          <w:p>
            <w:pPr>
              <w:pStyle w:val="30"/>
              <w:rPr>
                <w:rFonts w:hint="default" w:eastAsia="宋体"/>
                <w:u w:val="single"/>
                <w:lang w:val="en-US" w:eastAsia="zh-CN"/>
              </w:rPr>
            </w:pPr>
            <w:r>
              <w:rPr>
                <w:rFonts w:hint="eastAsia"/>
                <w:u w:val="single"/>
                <w:lang w:val="en-US" w:eastAsia="zh-CN"/>
              </w:rPr>
              <w:t>0.059</w:t>
            </w:r>
          </w:p>
        </w:tc>
        <w:tc>
          <w:tcPr>
            <w:tcW w:w="928" w:type="dxa"/>
            <w:vAlign w:val="center"/>
          </w:tcPr>
          <w:p>
            <w:pPr>
              <w:pStyle w:val="30"/>
              <w:rPr>
                <w:rFonts w:hint="default" w:eastAsia="宋体"/>
                <w:u w:val="single"/>
                <w:lang w:val="en-US" w:eastAsia="zh-CN"/>
              </w:rPr>
            </w:pPr>
            <w:r>
              <w:rPr>
                <w:rFonts w:hint="eastAsia"/>
                <w:u w:val="single"/>
                <w:lang w:val="en-US" w:eastAsia="zh-CN"/>
              </w:rPr>
              <w:t>0.141</w:t>
            </w:r>
          </w:p>
        </w:tc>
        <w:tc>
          <w:tcPr>
            <w:tcW w:w="812" w:type="dxa"/>
            <w:vAlign w:val="center"/>
          </w:tcPr>
          <w:p>
            <w:pPr>
              <w:pStyle w:val="30"/>
              <w:rPr>
                <w:rFonts w:hint="default" w:eastAsia="宋体"/>
                <w:u w:val="single"/>
                <w:lang w:val="en-US" w:eastAsia="zh-CN"/>
              </w:rPr>
            </w:pPr>
            <w:r>
              <w:rPr>
                <w:rFonts w:hint="eastAsia"/>
                <w:u w:val="single"/>
                <w:lang w:val="en-US" w:eastAsia="zh-CN"/>
              </w:rPr>
              <w:t>60</w:t>
            </w:r>
          </w:p>
        </w:tc>
        <w:tc>
          <w:tcPr>
            <w:tcW w:w="785" w:type="dxa"/>
            <w:vAlign w:val="center"/>
          </w:tcPr>
          <w:p>
            <w:pPr>
              <w:pStyle w:val="30"/>
              <w:rPr>
                <w:rFonts w:hint="default" w:eastAsia="宋体"/>
                <w:u w:val="single"/>
                <w:lang w:val="en-US" w:eastAsia="zh-CN"/>
              </w:rPr>
            </w:pPr>
            <w:r>
              <w:rPr>
                <w:rFonts w:hint="eastAsia"/>
                <w:u w:val="single"/>
                <w:lang w:val="en-US" w:eastAsia="zh-CN"/>
              </w:rPr>
              <w:t>/</w:t>
            </w:r>
          </w:p>
        </w:tc>
        <w:tc>
          <w:tcPr>
            <w:tcW w:w="490" w:type="dxa"/>
            <w:vMerge w:val="restart"/>
            <w:vAlign w:val="center"/>
          </w:tcPr>
          <w:p>
            <w:pPr>
              <w:pStyle w:val="30"/>
              <w:rPr>
                <w:rFonts w:hint="default" w:eastAsia="宋体"/>
                <w:lang w:val="en-US" w:eastAsia="zh-CN"/>
              </w:rPr>
            </w:pPr>
            <w:r>
              <w:rPr>
                <w:rFonts w:hint="eastAsia"/>
                <w:lang w:val="en-US" w:eastAsia="zh-CN"/>
              </w:rPr>
              <w:t>15</w:t>
            </w:r>
          </w:p>
        </w:tc>
        <w:tc>
          <w:tcPr>
            <w:tcW w:w="494" w:type="dxa"/>
            <w:vMerge w:val="continue"/>
            <w:vAlign w:val="center"/>
          </w:tcPr>
          <w:p>
            <w:pPr>
              <w:pStyle w:val="30"/>
              <w:rPr>
                <w:rFonts w:hint="default"/>
              </w:rPr>
            </w:pPr>
          </w:p>
        </w:tc>
        <w:tc>
          <w:tcPr>
            <w:tcW w:w="468" w:type="dxa"/>
            <w:vMerge w:val="continue"/>
            <w:vAlign w:val="center"/>
          </w:tcPr>
          <w:p>
            <w:pPr>
              <w:pStyle w:val="30"/>
              <w:rPr>
                <w:rFonts w:hint="default"/>
              </w:rPr>
            </w:pP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54" w:type="dxa"/>
            <w:vMerge w:val="continue"/>
            <w:vAlign w:val="center"/>
          </w:tcPr>
          <w:p>
            <w:pPr>
              <w:pStyle w:val="30"/>
              <w:rPr>
                <w:rFonts w:hint="eastAsia" w:eastAsia="宋体"/>
                <w:u w:val="single"/>
                <w:lang w:eastAsia="zh-CN"/>
              </w:rPr>
            </w:pPr>
          </w:p>
        </w:tc>
        <w:tc>
          <w:tcPr>
            <w:tcW w:w="889" w:type="dxa"/>
            <w:vAlign w:val="center"/>
          </w:tcPr>
          <w:p>
            <w:pPr>
              <w:pStyle w:val="30"/>
              <w:rPr>
                <w:rFonts w:hint="eastAsia" w:eastAsia="宋体"/>
                <w:u w:val="single"/>
                <w:lang w:eastAsia="zh-CN"/>
              </w:rPr>
            </w:pPr>
            <w:r>
              <w:rPr>
                <w:rFonts w:hint="eastAsia"/>
                <w:u w:val="single"/>
                <w:lang w:eastAsia="zh-CN"/>
              </w:rPr>
              <w:t>苯乙烯</w:t>
            </w:r>
          </w:p>
        </w:tc>
        <w:tc>
          <w:tcPr>
            <w:tcW w:w="865" w:type="dxa"/>
            <w:vMerge w:val="continue"/>
            <w:vAlign w:val="center"/>
          </w:tcPr>
          <w:p>
            <w:pPr>
              <w:pStyle w:val="30"/>
              <w:rPr>
                <w:rFonts w:hint="default"/>
                <w:u w:val="single"/>
              </w:rPr>
            </w:pPr>
          </w:p>
        </w:tc>
        <w:tc>
          <w:tcPr>
            <w:tcW w:w="808" w:type="dxa"/>
            <w:vAlign w:val="center"/>
          </w:tcPr>
          <w:p>
            <w:pPr>
              <w:pStyle w:val="30"/>
              <w:rPr>
                <w:rFonts w:hint="default" w:eastAsia="宋体"/>
                <w:u w:val="single"/>
                <w:lang w:val="en-US" w:eastAsia="zh-CN"/>
              </w:rPr>
            </w:pPr>
            <w:r>
              <w:rPr>
                <w:rFonts w:hint="eastAsia"/>
                <w:u w:val="single"/>
                <w:lang w:val="en-US" w:eastAsia="zh-CN"/>
              </w:rPr>
              <w:t>87.5</w:t>
            </w:r>
          </w:p>
        </w:tc>
        <w:tc>
          <w:tcPr>
            <w:tcW w:w="912" w:type="dxa"/>
            <w:vAlign w:val="center"/>
          </w:tcPr>
          <w:p>
            <w:pPr>
              <w:pStyle w:val="30"/>
              <w:rPr>
                <w:rFonts w:hint="default" w:eastAsia="宋体"/>
                <w:u w:val="single"/>
                <w:lang w:val="en-US" w:eastAsia="zh-CN"/>
              </w:rPr>
            </w:pPr>
            <w:r>
              <w:rPr>
                <w:rFonts w:hint="eastAsia"/>
                <w:u w:val="single"/>
                <w:lang w:val="en-US" w:eastAsia="zh-CN"/>
              </w:rPr>
              <w:t>0.875</w:t>
            </w:r>
          </w:p>
        </w:tc>
        <w:tc>
          <w:tcPr>
            <w:tcW w:w="1130" w:type="dxa"/>
            <w:vAlign w:val="center"/>
          </w:tcPr>
          <w:p>
            <w:pPr>
              <w:pStyle w:val="30"/>
              <w:rPr>
                <w:rFonts w:hint="default" w:eastAsia="宋体"/>
                <w:u w:val="single"/>
                <w:lang w:val="en-US" w:eastAsia="zh-CN"/>
              </w:rPr>
            </w:pPr>
            <w:r>
              <w:rPr>
                <w:rFonts w:hint="eastAsia"/>
                <w:u w:val="single"/>
                <w:lang w:val="en-US" w:eastAsia="zh-CN"/>
              </w:rPr>
              <w:t>2.1</w:t>
            </w:r>
          </w:p>
        </w:tc>
        <w:tc>
          <w:tcPr>
            <w:tcW w:w="2286" w:type="dxa"/>
            <w:vMerge w:val="continue"/>
            <w:vAlign w:val="center"/>
          </w:tcPr>
          <w:p>
            <w:pPr>
              <w:pStyle w:val="30"/>
              <w:rPr>
                <w:rFonts w:hint="default"/>
                <w:u w:val="single"/>
              </w:rPr>
            </w:pPr>
          </w:p>
        </w:tc>
        <w:tc>
          <w:tcPr>
            <w:tcW w:w="832" w:type="dxa"/>
            <w:vAlign w:val="center"/>
          </w:tcPr>
          <w:p>
            <w:pPr>
              <w:pStyle w:val="30"/>
              <w:rPr>
                <w:rFonts w:hint="default" w:eastAsia="宋体"/>
                <w:u w:val="single"/>
                <w:lang w:val="en-US" w:eastAsia="zh-CN"/>
              </w:rPr>
            </w:pPr>
            <w:r>
              <w:rPr>
                <w:rFonts w:hint="eastAsia"/>
                <w:u w:val="single"/>
                <w:lang w:val="en-US" w:eastAsia="zh-CN"/>
              </w:rPr>
              <w:t>4.3</w:t>
            </w:r>
          </w:p>
        </w:tc>
        <w:tc>
          <w:tcPr>
            <w:tcW w:w="971" w:type="dxa"/>
            <w:vAlign w:val="center"/>
          </w:tcPr>
          <w:p>
            <w:pPr>
              <w:pStyle w:val="30"/>
              <w:rPr>
                <w:rFonts w:hint="default" w:eastAsia="宋体"/>
                <w:u w:val="single"/>
                <w:lang w:val="en-US" w:eastAsia="zh-CN"/>
              </w:rPr>
            </w:pPr>
            <w:r>
              <w:rPr>
                <w:rFonts w:hint="eastAsia"/>
                <w:u w:val="single"/>
                <w:lang w:val="en-US" w:eastAsia="zh-CN"/>
              </w:rPr>
              <w:t>0.018</w:t>
            </w:r>
          </w:p>
        </w:tc>
        <w:tc>
          <w:tcPr>
            <w:tcW w:w="928" w:type="dxa"/>
            <w:vAlign w:val="center"/>
          </w:tcPr>
          <w:p>
            <w:pPr>
              <w:pStyle w:val="30"/>
              <w:rPr>
                <w:rFonts w:hint="default" w:eastAsia="宋体"/>
                <w:u w:val="single"/>
                <w:lang w:val="en-US" w:eastAsia="zh-CN"/>
              </w:rPr>
            </w:pPr>
            <w:r>
              <w:rPr>
                <w:rFonts w:hint="eastAsia"/>
                <w:u w:val="single"/>
                <w:lang w:val="en-US" w:eastAsia="zh-CN"/>
              </w:rPr>
              <w:t>0.042</w:t>
            </w:r>
          </w:p>
        </w:tc>
        <w:tc>
          <w:tcPr>
            <w:tcW w:w="812" w:type="dxa"/>
            <w:vAlign w:val="center"/>
          </w:tcPr>
          <w:p>
            <w:pPr>
              <w:pStyle w:val="30"/>
              <w:rPr>
                <w:rFonts w:hint="default" w:eastAsia="宋体"/>
                <w:u w:val="single"/>
                <w:lang w:val="en-US" w:eastAsia="zh-CN"/>
              </w:rPr>
            </w:pPr>
            <w:r>
              <w:rPr>
                <w:rFonts w:hint="eastAsia"/>
                <w:u w:val="single"/>
                <w:lang w:val="en-US" w:eastAsia="zh-CN"/>
              </w:rPr>
              <w:t>20</w:t>
            </w:r>
          </w:p>
        </w:tc>
        <w:tc>
          <w:tcPr>
            <w:tcW w:w="785" w:type="dxa"/>
            <w:vAlign w:val="center"/>
          </w:tcPr>
          <w:p>
            <w:pPr>
              <w:pStyle w:val="30"/>
              <w:rPr>
                <w:rFonts w:hint="eastAsia" w:eastAsia="宋体"/>
                <w:u w:val="single"/>
                <w:lang w:val="en-US" w:eastAsia="zh-CN"/>
              </w:rPr>
            </w:pPr>
            <w:r>
              <w:rPr>
                <w:rFonts w:hint="eastAsia"/>
                <w:u w:val="single"/>
                <w:lang w:val="en-US" w:eastAsia="zh-CN"/>
              </w:rPr>
              <w:t>/</w:t>
            </w:r>
          </w:p>
        </w:tc>
        <w:tc>
          <w:tcPr>
            <w:tcW w:w="490" w:type="dxa"/>
            <w:vMerge w:val="continue"/>
            <w:vAlign w:val="center"/>
          </w:tcPr>
          <w:p>
            <w:pPr>
              <w:pStyle w:val="30"/>
              <w:rPr>
                <w:rFonts w:hint="default"/>
              </w:rPr>
            </w:pPr>
          </w:p>
        </w:tc>
        <w:tc>
          <w:tcPr>
            <w:tcW w:w="494" w:type="dxa"/>
            <w:vMerge w:val="continue"/>
            <w:vAlign w:val="center"/>
          </w:tcPr>
          <w:p>
            <w:pPr>
              <w:pStyle w:val="30"/>
              <w:rPr>
                <w:rFonts w:hint="default"/>
              </w:rPr>
            </w:pPr>
          </w:p>
        </w:tc>
        <w:tc>
          <w:tcPr>
            <w:tcW w:w="468" w:type="dxa"/>
            <w:vMerge w:val="continue"/>
            <w:vAlign w:val="center"/>
          </w:tcPr>
          <w:p>
            <w:pPr>
              <w:pStyle w:val="30"/>
              <w:rPr>
                <w:rFonts w:hint="default"/>
              </w:rPr>
            </w:pP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54" w:type="dxa"/>
            <w:vMerge w:val="continue"/>
            <w:vAlign w:val="center"/>
          </w:tcPr>
          <w:p>
            <w:pPr>
              <w:pStyle w:val="30"/>
              <w:rPr>
                <w:rFonts w:hint="eastAsia" w:eastAsia="宋体"/>
                <w:u w:val="single"/>
                <w:lang w:eastAsia="zh-CN"/>
              </w:rPr>
            </w:pPr>
          </w:p>
        </w:tc>
        <w:tc>
          <w:tcPr>
            <w:tcW w:w="889" w:type="dxa"/>
            <w:vAlign w:val="center"/>
          </w:tcPr>
          <w:p>
            <w:pPr>
              <w:pStyle w:val="30"/>
              <w:rPr>
                <w:rFonts w:hint="eastAsia"/>
                <w:u w:val="single"/>
                <w:lang w:eastAsia="zh-CN"/>
              </w:rPr>
            </w:pPr>
            <w:r>
              <w:rPr>
                <w:rFonts w:hint="eastAsia"/>
                <w:u w:val="single"/>
                <w:lang w:eastAsia="zh-CN"/>
              </w:rPr>
              <w:t>颗粒物</w:t>
            </w:r>
          </w:p>
        </w:tc>
        <w:tc>
          <w:tcPr>
            <w:tcW w:w="865" w:type="dxa"/>
            <w:vMerge w:val="continue"/>
            <w:vAlign w:val="center"/>
          </w:tcPr>
          <w:p>
            <w:pPr>
              <w:pStyle w:val="30"/>
              <w:rPr>
                <w:rFonts w:hint="default"/>
                <w:u w:val="single"/>
              </w:rPr>
            </w:pPr>
          </w:p>
        </w:tc>
        <w:tc>
          <w:tcPr>
            <w:tcW w:w="808" w:type="dxa"/>
            <w:vAlign w:val="center"/>
          </w:tcPr>
          <w:p>
            <w:pPr>
              <w:pStyle w:val="30"/>
              <w:rPr>
                <w:rFonts w:hint="default"/>
                <w:u w:val="single"/>
                <w:lang w:val="en-US" w:eastAsia="zh-CN"/>
              </w:rPr>
            </w:pPr>
            <w:r>
              <w:rPr>
                <w:rFonts w:hint="eastAsia"/>
                <w:u w:val="single"/>
                <w:lang w:val="en-US" w:eastAsia="zh-CN"/>
              </w:rPr>
              <w:t>6.25</w:t>
            </w:r>
          </w:p>
        </w:tc>
        <w:tc>
          <w:tcPr>
            <w:tcW w:w="912" w:type="dxa"/>
            <w:vAlign w:val="center"/>
          </w:tcPr>
          <w:p>
            <w:pPr>
              <w:pStyle w:val="30"/>
              <w:rPr>
                <w:rFonts w:hint="default"/>
                <w:u w:val="single"/>
                <w:lang w:val="en-US" w:eastAsia="zh-CN"/>
              </w:rPr>
            </w:pPr>
            <w:r>
              <w:rPr>
                <w:rFonts w:hint="eastAsia"/>
                <w:u w:val="single"/>
                <w:lang w:val="en-US" w:eastAsia="zh-CN"/>
              </w:rPr>
              <w:t>0.0625</w:t>
            </w:r>
          </w:p>
        </w:tc>
        <w:tc>
          <w:tcPr>
            <w:tcW w:w="1130" w:type="dxa"/>
            <w:vAlign w:val="center"/>
          </w:tcPr>
          <w:p>
            <w:pPr>
              <w:pStyle w:val="30"/>
              <w:rPr>
                <w:rFonts w:hint="default"/>
                <w:u w:val="single"/>
                <w:lang w:val="en-US" w:eastAsia="zh-CN"/>
              </w:rPr>
            </w:pPr>
            <w:r>
              <w:rPr>
                <w:rFonts w:hint="eastAsia"/>
                <w:u w:val="single"/>
                <w:lang w:val="en-US" w:eastAsia="zh-CN"/>
              </w:rPr>
              <w:t>0.15</w:t>
            </w:r>
          </w:p>
        </w:tc>
        <w:tc>
          <w:tcPr>
            <w:tcW w:w="2286" w:type="dxa"/>
            <w:vMerge w:val="continue"/>
            <w:vAlign w:val="center"/>
          </w:tcPr>
          <w:p>
            <w:pPr>
              <w:pStyle w:val="30"/>
              <w:rPr>
                <w:rFonts w:hint="default"/>
                <w:u w:val="single"/>
              </w:rPr>
            </w:pPr>
          </w:p>
        </w:tc>
        <w:tc>
          <w:tcPr>
            <w:tcW w:w="832" w:type="dxa"/>
            <w:vAlign w:val="center"/>
          </w:tcPr>
          <w:p>
            <w:pPr>
              <w:pStyle w:val="30"/>
              <w:rPr>
                <w:rFonts w:hint="default"/>
                <w:u w:val="single"/>
                <w:lang w:val="en-US" w:eastAsia="zh-CN"/>
              </w:rPr>
            </w:pPr>
            <w:r>
              <w:rPr>
                <w:rFonts w:hint="eastAsia"/>
                <w:u w:val="single"/>
                <w:lang w:val="en-US" w:eastAsia="zh-CN"/>
              </w:rPr>
              <w:t>0.6</w:t>
            </w:r>
          </w:p>
        </w:tc>
        <w:tc>
          <w:tcPr>
            <w:tcW w:w="971" w:type="dxa"/>
            <w:vAlign w:val="center"/>
          </w:tcPr>
          <w:p>
            <w:pPr>
              <w:pStyle w:val="30"/>
              <w:rPr>
                <w:rFonts w:hint="default"/>
                <w:u w:val="single"/>
                <w:lang w:val="en-US" w:eastAsia="zh-CN"/>
              </w:rPr>
            </w:pPr>
            <w:r>
              <w:rPr>
                <w:rFonts w:hint="eastAsia"/>
                <w:u w:val="single"/>
                <w:lang w:val="en-US" w:eastAsia="zh-CN"/>
              </w:rPr>
              <w:t>0.006</w:t>
            </w:r>
          </w:p>
        </w:tc>
        <w:tc>
          <w:tcPr>
            <w:tcW w:w="928" w:type="dxa"/>
            <w:vAlign w:val="center"/>
          </w:tcPr>
          <w:p>
            <w:pPr>
              <w:pStyle w:val="30"/>
              <w:rPr>
                <w:rFonts w:hint="eastAsia"/>
                <w:u w:val="single"/>
                <w:lang w:val="en-US" w:eastAsia="zh-CN"/>
              </w:rPr>
            </w:pPr>
            <w:r>
              <w:rPr>
                <w:rFonts w:hint="eastAsia"/>
                <w:u w:val="single"/>
                <w:lang w:val="en-US" w:eastAsia="zh-CN"/>
              </w:rPr>
              <w:t>0.0147</w:t>
            </w:r>
          </w:p>
        </w:tc>
        <w:tc>
          <w:tcPr>
            <w:tcW w:w="812" w:type="dxa"/>
            <w:vAlign w:val="center"/>
          </w:tcPr>
          <w:p>
            <w:pPr>
              <w:pStyle w:val="30"/>
              <w:ind w:firstLine="0" w:firstLineChars="0"/>
              <w:rPr>
                <w:rFonts w:hint="eastAsia"/>
                <w:u w:val="single"/>
                <w:lang w:val="en-US" w:eastAsia="zh-CN"/>
              </w:rPr>
            </w:pPr>
            <w:r>
              <w:rPr>
                <w:rFonts w:hint="eastAsia"/>
                <w:u w:val="single"/>
                <w:lang w:val="en-US" w:eastAsia="zh-CN"/>
              </w:rPr>
              <w:t>20</w:t>
            </w:r>
          </w:p>
        </w:tc>
        <w:tc>
          <w:tcPr>
            <w:tcW w:w="785" w:type="dxa"/>
            <w:vAlign w:val="center"/>
          </w:tcPr>
          <w:p>
            <w:pPr>
              <w:pStyle w:val="30"/>
              <w:ind w:firstLine="0" w:firstLineChars="0"/>
              <w:rPr>
                <w:rFonts w:hint="eastAsia"/>
                <w:u w:val="single"/>
                <w:lang w:val="en-US" w:eastAsia="zh-CN"/>
              </w:rPr>
            </w:pPr>
            <w:r>
              <w:rPr>
                <w:rFonts w:hint="eastAsia"/>
                <w:u w:val="single"/>
                <w:lang w:val="en-US" w:eastAsia="zh-CN"/>
              </w:rPr>
              <w:t>/</w:t>
            </w:r>
          </w:p>
        </w:tc>
        <w:tc>
          <w:tcPr>
            <w:tcW w:w="490" w:type="dxa"/>
            <w:vMerge w:val="continue"/>
            <w:vAlign w:val="center"/>
          </w:tcPr>
          <w:p>
            <w:pPr>
              <w:pStyle w:val="30"/>
              <w:rPr>
                <w:rFonts w:hint="default"/>
              </w:rPr>
            </w:pPr>
          </w:p>
        </w:tc>
        <w:tc>
          <w:tcPr>
            <w:tcW w:w="494" w:type="dxa"/>
            <w:vMerge w:val="continue"/>
            <w:vAlign w:val="center"/>
          </w:tcPr>
          <w:p>
            <w:pPr>
              <w:pStyle w:val="30"/>
              <w:rPr>
                <w:rFonts w:hint="default"/>
              </w:rPr>
            </w:pPr>
          </w:p>
        </w:tc>
        <w:tc>
          <w:tcPr>
            <w:tcW w:w="468" w:type="dxa"/>
            <w:vMerge w:val="continue"/>
            <w:vAlign w:val="center"/>
          </w:tcPr>
          <w:p>
            <w:pPr>
              <w:pStyle w:val="30"/>
              <w:rPr>
                <w:rFonts w:hint="default"/>
              </w:rPr>
            </w:pP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restart"/>
            <w:vAlign w:val="center"/>
          </w:tcPr>
          <w:p>
            <w:pPr>
              <w:pStyle w:val="30"/>
              <w:rPr>
                <w:rFonts w:hint="eastAsia" w:eastAsia="宋体"/>
                <w:u w:val="single"/>
                <w:lang w:eastAsia="zh-CN"/>
              </w:rPr>
            </w:pPr>
            <w:r>
              <w:rPr>
                <w:rFonts w:hint="eastAsia"/>
                <w:u w:val="single"/>
                <w:lang w:eastAsia="zh-CN"/>
              </w:rPr>
              <w:t>注塑</w:t>
            </w:r>
          </w:p>
        </w:tc>
        <w:tc>
          <w:tcPr>
            <w:tcW w:w="889" w:type="dxa"/>
            <w:vAlign w:val="center"/>
          </w:tcPr>
          <w:p>
            <w:pPr>
              <w:pStyle w:val="30"/>
              <w:rPr>
                <w:rFonts w:hint="eastAsia" w:eastAsia="宋体"/>
                <w:u w:val="single"/>
                <w:lang w:eastAsia="zh-CN"/>
              </w:rPr>
            </w:pPr>
            <w:r>
              <w:rPr>
                <w:rFonts w:hint="eastAsia"/>
                <w:u w:val="single"/>
                <w:lang w:eastAsia="zh-CN"/>
              </w:rPr>
              <w:t>非甲烷总烃</w:t>
            </w:r>
          </w:p>
        </w:tc>
        <w:tc>
          <w:tcPr>
            <w:tcW w:w="865" w:type="dxa"/>
            <w:vMerge w:val="restart"/>
            <w:vAlign w:val="center"/>
          </w:tcPr>
          <w:p>
            <w:pPr>
              <w:pStyle w:val="30"/>
              <w:rPr>
                <w:rFonts w:hint="default" w:eastAsia="宋体"/>
                <w:u w:val="single"/>
                <w:lang w:val="en-US" w:eastAsia="zh-CN"/>
              </w:rPr>
            </w:pPr>
            <w:r>
              <w:rPr>
                <w:rFonts w:hint="eastAsia"/>
                <w:u w:val="single"/>
                <w:lang w:val="en-US" w:eastAsia="zh-CN"/>
              </w:rPr>
              <w:t>60000</w:t>
            </w:r>
          </w:p>
        </w:tc>
        <w:tc>
          <w:tcPr>
            <w:tcW w:w="808" w:type="dxa"/>
            <w:vAlign w:val="center"/>
          </w:tcPr>
          <w:p>
            <w:pPr>
              <w:pStyle w:val="30"/>
              <w:rPr>
                <w:rFonts w:hint="default" w:eastAsia="宋体"/>
                <w:u w:val="single"/>
                <w:lang w:val="en-US" w:eastAsia="zh-CN"/>
              </w:rPr>
            </w:pPr>
            <w:r>
              <w:rPr>
                <w:rFonts w:hint="eastAsia"/>
                <w:u w:val="single"/>
                <w:lang w:val="en-US" w:eastAsia="zh-CN"/>
              </w:rPr>
              <w:t>18.75</w:t>
            </w:r>
          </w:p>
        </w:tc>
        <w:tc>
          <w:tcPr>
            <w:tcW w:w="912" w:type="dxa"/>
            <w:vAlign w:val="center"/>
          </w:tcPr>
          <w:p>
            <w:pPr>
              <w:pStyle w:val="30"/>
              <w:rPr>
                <w:rFonts w:hint="default" w:eastAsia="宋体"/>
                <w:u w:val="single"/>
                <w:lang w:val="en-US" w:eastAsia="zh-CN"/>
              </w:rPr>
            </w:pPr>
            <w:r>
              <w:rPr>
                <w:rFonts w:hint="eastAsia"/>
                <w:u w:val="single"/>
                <w:lang w:val="en-US" w:eastAsia="zh-CN"/>
              </w:rPr>
              <w:t>1.125</w:t>
            </w:r>
          </w:p>
        </w:tc>
        <w:tc>
          <w:tcPr>
            <w:tcW w:w="1130" w:type="dxa"/>
            <w:vAlign w:val="center"/>
          </w:tcPr>
          <w:p>
            <w:pPr>
              <w:pStyle w:val="30"/>
              <w:rPr>
                <w:rFonts w:hint="default" w:eastAsia="宋体"/>
                <w:u w:val="single"/>
                <w:lang w:val="en-US" w:eastAsia="zh-CN"/>
              </w:rPr>
            </w:pPr>
            <w:r>
              <w:rPr>
                <w:rFonts w:hint="eastAsia"/>
                <w:u w:val="single"/>
                <w:lang w:val="en-US" w:eastAsia="zh-CN"/>
              </w:rPr>
              <w:t>2.7</w:t>
            </w:r>
          </w:p>
        </w:tc>
        <w:tc>
          <w:tcPr>
            <w:tcW w:w="2286" w:type="dxa"/>
            <w:vMerge w:val="restart"/>
            <w:vAlign w:val="center"/>
          </w:tcPr>
          <w:p>
            <w:pPr>
              <w:pStyle w:val="30"/>
              <w:ind w:firstLine="0" w:firstLineChars="0"/>
              <w:rPr>
                <w:rFonts w:hint="default" w:ascii="Times New Roman" w:hAnsi="Times New Roman" w:eastAsia="宋体" w:cstheme="minorBidi"/>
                <w:color w:val="000000"/>
                <w:kern w:val="2"/>
                <w:sz w:val="21"/>
                <w:szCs w:val="21"/>
                <w:u w:val="single"/>
                <w:lang w:val="en-US" w:eastAsia="zh-CN" w:bidi="ar"/>
              </w:rPr>
            </w:pPr>
            <w:r>
              <w:rPr>
                <w:rFonts w:hint="eastAsia"/>
                <w:u w:val="single"/>
                <w:lang w:val="en-US" w:eastAsia="zh-CN"/>
              </w:rPr>
              <w:t>吸附浓缩+催化燃烧，收集效率98，去除效率95%</w:t>
            </w:r>
          </w:p>
        </w:tc>
        <w:tc>
          <w:tcPr>
            <w:tcW w:w="832" w:type="dxa"/>
            <w:vAlign w:val="center"/>
          </w:tcPr>
          <w:p>
            <w:pPr>
              <w:pStyle w:val="30"/>
              <w:rPr>
                <w:rFonts w:hint="default" w:eastAsia="宋体"/>
                <w:u w:val="single"/>
                <w:lang w:val="en-US" w:eastAsia="zh-CN"/>
              </w:rPr>
            </w:pPr>
            <w:r>
              <w:rPr>
                <w:rFonts w:hint="eastAsia"/>
                <w:u w:val="single"/>
                <w:lang w:val="en-US" w:eastAsia="zh-CN"/>
              </w:rPr>
              <w:t>0.92</w:t>
            </w:r>
          </w:p>
        </w:tc>
        <w:tc>
          <w:tcPr>
            <w:tcW w:w="971" w:type="dxa"/>
            <w:vAlign w:val="center"/>
          </w:tcPr>
          <w:p>
            <w:pPr>
              <w:pStyle w:val="30"/>
              <w:rPr>
                <w:rFonts w:hint="default" w:eastAsia="宋体"/>
                <w:u w:val="single"/>
                <w:lang w:val="en-US" w:eastAsia="zh-CN"/>
              </w:rPr>
            </w:pPr>
            <w:r>
              <w:rPr>
                <w:rFonts w:hint="eastAsia"/>
                <w:u w:val="single"/>
                <w:lang w:val="en-US" w:eastAsia="zh-CN"/>
              </w:rPr>
              <w:t>0.055</w:t>
            </w:r>
          </w:p>
        </w:tc>
        <w:tc>
          <w:tcPr>
            <w:tcW w:w="928" w:type="dxa"/>
            <w:vAlign w:val="center"/>
          </w:tcPr>
          <w:p>
            <w:pPr>
              <w:pStyle w:val="30"/>
              <w:rPr>
                <w:rFonts w:hint="default" w:eastAsia="宋体"/>
                <w:u w:val="single"/>
                <w:lang w:val="en-US" w:eastAsia="zh-CN"/>
              </w:rPr>
            </w:pPr>
            <w:r>
              <w:rPr>
                <w:rFonts w:hint="eastAsia"/>
                <w:u w:val="single"/>
                <w:lang w:val="en-US" w:eastAsia="zh-CN"/>
              </w:rPr>
              <w:t>0.132</w:t>
            </w:r>
          </w:p>
        </w:tc>
        <w:tc>
          <w:tcPr>
            <w:tcW w:w="812" w:type="dxa"/>
            <w:vAlign w:val="center"/>
          </w:tcPr>
          <w:p>
            <w:pPr>
              <w:pStyle w:val="30"/>
              <w:rPr>
                <w:rFonts w:hint="default" w:eastAsia="宋体"/>
                <w:u w:val="single"/>
                <w:lang w:val="en-US" w:eastAsia="zh-CN"/>
              </w:rPr>
            </w:pPr>
            <w:r>
              <w:rPr>
                <w:rFonts w:hint="eastAsia"/>
                <w:u w:val="single"/>
                <w:lang w:val="en-US" w:eastAsia="zh-CN"/>
              </w:rPr>
              <w:t>60</w:t>
            </w:r>
          </w:p>
        </w:tc>
        <w:tc>
          <w:tcPr>
            <w:tcW w:w="785" w:type="dxa"/>
            <w:vAlign w:val="center"/>
          </w:tcPr>
          <w:p>
            <w:pPr>
              <w:pStyle w:val="30"/>
              <w:ind w:firstLine="0" w:firstLineChars="0"/>
              <w:rPr>
                <w:rFonts w:hint="default" w:eastAsia="宋体"/>
                <w:u w:val="single"/>
                <w:lang w:val="en-US" w:eastAsia="zh-CN"/>
              </w:rPr>
            </w:pPr>
            <w:r>
              <w:rPr>
                <w:rFonts w:hint="eastAsia"/>
                <w:u w:val="single"/>
                <w:lang w:val="en-US" w:eastAsia="zh-CN"/>
              </w:rPr>
              <w:t>/</w:t>
            </w:r>
          </w:p>
        </w:tc>
        <w:tc>
          <w:tcPr>
            <w:tcW w:w="490" w:type="dxa"/>
            <w:vMerge w:val="restart"/>
            <w:vAlign w:val="center"/>
          </w:tcPr>
          <w:p>
            <w:pPr>
              <w:pStyle w:val="30"/>
              <w:rPr>
                <w:rFonts w:hint="default" w:eastAsia="宋体"/>
                <w:lang w:val="en-US" w:eastAsia="zh-CN"/>
              </w:rPr>
            </w:pPr>
            <w:r>
              <w:rPr>
                <w:rFonts w:hint="eastAsia"/>
                <w:lang w:val="en-US" w:eastAsia="zh-CN"/>
              </w:rPr>
              <w:t>15</w:t>
            </w:r>
          </w:p>
        </w:tc>
        <w:tc>
          <w:tcPr>
            <w:tcW w:w="494" w:type="dxa"/>
            <w:vMerge w:val="continue"/>
            <w:vAlign w:val="center"/>
          </w:tcPr>
          <w:p>
            <w:pPr>
              <w:pStyle w:val="30"/>
              <w:rPr>
                <w:rFonts w:hint="default"/>
              </w:rPr>
            </w:pPr>
          </w:p>
        </w:tc>
        <w:tc>
          <w:tcPr>
            <w:tcW w:w="468" w:type="dxa"/>
            <w:vMerge w:val="continue"/>
            <w:vAlign w:val="center"/>
          </w:tcPr>
          <w:p>
            <w:pPr>
              <w:pStyle w:val="30"/>
              <w:rPr>
                <w:rFonts w:hint="default"/>
              </w:rPr>
            </w:pP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vAlign w:val="center"/>
          </w:tcPr>
          <w:p>
            <w:pPr>
              <w:pStyle w:val="30"/>
              <w:rPr>
                <w:rFonts w:hint="eastAsia"/>
                <w:u w:val="single"/>
                <w:lang w:eastAsia="zh-CN"/>
              </w:rPr>
            </w:pPr>
          </w:p>
        </w:tc>
        <w:tc>
          <w:tcPr>
            <w:tcW w:w="889" w:type="dxa"/>
            <w:vAlign w:val="center"/>
          </w:tcPr>
          <w:p>
            <w:pPr>
              <w:pStyle w:val="30"/>
              <w:rPr>
                <w:rFonts w:hint="eastAsia"/>
                <w:u w:val="single"/>
                <w:lang w:eastAsia="zh-CN"/>
              </w:rPr>
            </w:pPr>
            <w:r>
              <w:rPr>
                <w:rFonts w:hint="eastAsia"/>
                <w:u w:val="single"/>
                <w:lang w:eastAsia="zh-CN"/>
              </w:rPr>
              <w:t>苯乙烯</w:t>
            </w:r>
          </w:p>
        </w:tc>
        <w:tc>
          <w:tcPr>
            <w:tcW w:w="865" w:type="dxa"/>
            <w:vMerge w:val="continue"/>
            <w:vAlign w:val="center"/>
          </w:tcPr>
          <w:p>
            <w:pPr>
              <w:pStyle w:val="30"/>
              <w:rPr>
                <w:rFonts w:hint="eastAsia"/>
                <w:u w:val="single"/>
                <w:lang w:val="en-US" w:eastAsia="zh-CN"/>
              </w:rPr>
            </w:pPr>
          </w:p>
        </w:tc>
        <w:tc>
          <w:tcPr>
            <w:tcW w:w="808" w:type="dxa"/>
            <w:vAlign w:val="center"/>
          </w:tcPr>
          <w:p>
            <w:pPr>
              <w:pStyle w:val="30"/>
              <w:rPr>
                <w:rFonts w:hint="default"/>
                <w:u w:val="single"/>
                <w:lang w:val="en-US" w:eastAsia="zh-CN"/>
              </w:rPr>
            </w:pPr>
            <w:r>
              <w:rPr>
                <w:rFonts w:hint="eastAsia"/>
                <w:u w:val="single"/>
                <w:lang w:val="en-US" w:eastAsia="zh-CN"/>
              </w:rPr>
              <w:t>4.86</w:t>
            </w:r>
          </w:p>
        </w:tc>
        <w:tc>
          <w:tcPr>
            <w:tcW w:w="912" w:type="dxa"/>
            <w:vAlign w:val="center"/>
          </w:tcPr>
          <w:p>
            <w:pPr>
              <w:pStyle w:val="30"/>
              <w:rPr>
                <w:rFonts w:hint="default"/>
                <w:u w:val="single"/>
                <w:lang w:val="en-US" w:eastAsia="zh-CN"/>
              </w:rPr>
            </w:pPr>
            <w:r>
              <w:rPr>
                <w:rFonts w:hint="eastAsia"/>
                <w:u w:val="single"/>
                <w:lang w:val="en-US" w:eastAsia="zh-CN"/>
              </w:rPr>
              <w:t>0.292</w:t>
            </w:r>
          </w:p>
        </w:tc>
        <w:tc>
          <w:tcPr>
            <w:tcW w:w="1130" w:type="dxa"/>
            <w:vAlign w:val="center"/>
          </w:tcPr>
          <w:p>
            <w:pPr>
              <w:pStyle w:val="30"/>
              <w:rPr>
                <w:rFonts w:hint="default"/>
                <w:u w:val="single"/>
                <w:lang w:val="en-US" w:eastAsia="zh-CN"/>
              </w:rPr>
            </w:pPr>
            <w:r>
              <w:rPr>
                <w:rFonts w:hint="eastAsia"/>
                <w:u w:val="single"/>
                <w:lang w:val="en-US" w:eastAsia="zh-CN"/>
              </w:rPr>
              <w:t>0.7</w:t>
            </w:r>
          </w:p>
        </w:tc>
        <w:tc>
          <w:tcPr>
            <w:tcW w:w="2286" w:type="dxa"/>
            <w:vMerge w:val="continue"/>
            <w:vAlign w:val="center"/>
          </w:tcPr>
          <w:p>
            <w:pPr>
              <w:pStyle w:val="30"/>
              <w:ind w:firstLine="0" w:firstLineChars="0"/>
              <w:rPr>
                <w:rFonts w:hint="eastAsia"/>
                <w:u w:val="single"/>
                <w:lang w:eastAsia="zh-CN"/>
              </w:rPr>
            </w:pPr>
          </w:p>
        </w:tc>
        <w:tc>
          <w:tcPr>
            <w:tcW w:w="832" w:type="dxa"/>
            <w:vAlign w:val="center"/>
          </w:tcPr>
          <w:p>
            <w:pPr>
              <w:pStyle w:val="30"/>
              <w:rPr>
                <w:rFonts w:hint="default"/>
                <w:u w:val="single"/>
                <w:lang w:val="en-US" w:eastAsia="zh-CN"/>
              </w:rPr>
            </w:pPr>
            <w:r>
              <w:rPr>
                <w:rFonts w:hint="eastAsia"/>
                <w:u w:val="single"/>
                <w:lang w:val="en-US" w:eastAsia="zh-CN"/>
              </w:rPr>
              <w:t>0.23</w:t>
            </w:r>
          </w:p>
        </w:tc>
        <w:tc>
          <w:tcPr>
            <w:tcW w:w="971" w:type="dxa"/>
            <w:vAlign w:val="center"/>
          </w:tcPr>
          <w:p>
            <w:pPr>
              <w:pStyle w:val="30"/>
              <w:rPr>
                <w:rFonts w:hint="default"/>
                <w:u w:val="single"/>
                <w:lang w:val="en-US" w:eastAsia="zh-CN"/>
              </w:rPr>
            </w:pPr>
            <w:r>
              <w:rPr>
                <w:rFonts w:hint="eastAsia"/>
                <w:u w:val="single"/>
                <w:lang w:val="en-US" w:eastAsia="zh-CN"/>
              </w:rPr>
              <w:t>0.014</w:t>
            </w:r>
          </w:p>
        </w:tc>
        <w:tc>
          <w:tcPr>
            <w:tcW w:w="928" w:type="dxa"/>
            <w:vAlign w:val="center"/>
          </w:tcPr>
          <w:p>
            <w:pPr>
              <w:pStyle w:val="30"/>
              <w:rPr>
                <w:rFonts w:hint="default"/>
                <w:u w:val="single"/>
                <w:lang w:val="en-US" w:eastAsia="zh-CN"/>
              </w:rPr>
            </w:pPr>
            <w:r>
              <w:rPr>
                <w:rFonts w:hint="eastAsia"/>
                <w:u w:val="single"/>
                <w:lang w:val="en-US" w:eastAsia="zh-CN"/>
              </w:rPr>
              <w:t>0.034</w:t>
            </w:r>
          </w:p>
        </w:tc>
        <w:tc>
          <w:tcPr>
            <w:tcW w:w="812" w:type="dxa"/>
            <w:vAlign w:val="center"/>
          </w:tcPr>
          <w:p>
            <w:pPr>
              <w:pStyle w:val="30"/>
              <w:rPr>
                <w:rFonts w:hint="default"/>
                <w:u w:val="single"/>
                <w:lang w:val="en-US" w:eastAsia="zh-CN"/>
              </w:rPr>
            </w:pPr>
            <w:r>
              <w:rPr>
                <w:rFonts w:hint="eastAsia"/>
                <w:u w:val="single"/>
                <w:lang w:val="en-US" w:eastAsia="zh-CN"/>
              </w:rPr>
              <w:t>20</w:t>
            </w:r>
          </w:p>
        </w:tc>
        <w:tc>
          <w:tcPr>
            <w:tcW w:w="785" w:type="dxa"/>
            <w:vAlign w:val="center"/>
          </w:tcPr>
          <w:p>
            <w:pPr>
              <w:pStyle w:val="30"/>
              <w:ind w:firstLine="0" w:firstLineChars="0"/>
              <w:rPr>
                <w:rFonts w:hint="eastAsia"/>
                <w:u w:val="single"/>
                <w:lang w:val="en-US" w:eastAsia="zh-CN"/>
              </w:rPr>
            </w:pPr>
            <w:r>
              <w:rPr>
                <w:rFonts w:hint="eastAsia"/>
                <w:u w:val="single"/>
                <w:lang w:val="en-US" w:eastAsia="zh-CN"/>
              </w:rPr>
              <w:t>/</w:t>
            </w:r>
          </w:p>
        </w:tc>
        <w:tc>
          <w:tcPr>
            <w:tcW w:w="490" w:type="dxa"/>
            <w:vMerge w:val="continue"/>
            <w:vAlign w:val="center"/>
          </w:tcPr>
          <w:p>
            <w:pPr>
              <w:pStyle w:val="30"/>
              <w:rPr>
                <w:rFonts w:hint="eastAsia"/>
                <w:lang w:val="en-US" w:eastAsia="zh-CN"/>
              </w:rPr>
            </w:pPr>
          </w:p>
        </w:tc>
        <w:tc>
          <w:tcPr>
            <w:tcW w:w="494" w:type="dxa"/>
            <w:vMerge w:val="continue"/>
            <w:vAlign w:val="center"/>
          </w:tcPr>
          <w:p>
            <w:pPr>
              <w:pStyle w:val="30"/>
              <w:rPr>
                <w:rFonts w:hint="default"/>
              </w:rPr>
            </w:pPr>
          </w:p>
        </w:tc>
        <w:tc>
          <w:tcPr>
            <w:tcW w:w="468" w:type="dxa"/>
            <w:vMerge w:val="continue"/>
            <w:vAlign w:val="center"/>
          </w:tcPr>
          <w:p>
            <w:pPr>
              <w:pStyle w:val="30"/>
              <w:rPr>
                <w:rFonts w:hint="default"/>
              </w:rPr>
            </w:pPr>
          </w:p>
        </w:tc>
        <w:tc>
          <w:tcPr>
            <w:tcW w:w="397" w:type="dxa"/>
            <w:vMerge w:val="continue"/>
            <w:vAlign w:val="center"/>
          </w:tcPr>
          <w:p>
            <w:pPr>
              <w:pStyle w:val="30"/>
              <w:rPr>
                <w:rFonts w:hint="default"/>
              </w:rPr>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restart"/>
            <w:vAlign w:val="center"/>
          </w:tcPr>
          <w:p>
            <w:pPr>
              <w:pStyle w:val="30"/>
            </w:pPr>
            <w:r>
              <w:rPr>
                <w:rFonts w:cs="Times New Roman"/>
                <w:snapToGrid w:val="0"/>
                <w:kern w:val="18"/>
                <w:sz w:val="21"/>
                <w:szCs w:val="21"/>
              </w:rPr>
              <w:t>污水处理站</w:t>
            </w:r>
          </w:p>
        </w:tc>
        <w:tc>
          <w:tcPr>
            <w:tcW w:w="889" w:type="dxa"/>
            <w:vAlign w:val="center"/>
          </w:tcPr>
          <w:p>
            <w:pPr>
              <w:adjustRightInd w:val="0"/>
              <w:snapToGrid w:val="0"/>
              <w:spacing w:line="240" w:lineRule="auto"/>
              <w:ind w:firstLine="0" w:firstLineChars="0"/>
              <w:jc w:val="center"/>
            </w:pPr>
            <w:r>
              <w:rPr>
                <w:rFonts w:cs="Times New Roman"/>
                <w:snapToGrid w:val="0"/>
                <w:kern w:val="18"/>
                <w:sz w:val="21"/>
                <w:szCs w:val="21"/>
              </w:rPr>
              <w:t>氨</w:t>
            </w:r>
          </w:p>
        </w:tc>
        <w:tc>
          <w:tcPr>
            <w:tcW w:w="865" w:type="dxa"/>
            <w:vMerge w:val="restart"/>
            <w:vAlign w:val="center"/>
          </w:tcPr>
          <w:p>
            <w:pPr>
              <w:pStyle w:val="30"/>
              <w:rPr>
                <w:rFonts w:hint="default"/>
                <w:lang w:val="en-US" w:eastAsia="zh-CN"/>
              </w:rPr>
            </w:pPr>
            <w:r>
              <w:rPr>
                <w:rFonts w:hint="eastAsia"/>
                <w:lang w:val="en-US" w:eastAsia="zh-CN"/>
              </w:rPr>
              <w:t>3000</w:t>
            </w:r>
          </w:p>
        </w:tc>
        <w:tc>
          <w:tcPr>
            <w:tcW w:w="808" w:type="dxa"/>
            <w:vAlign w:val="center"/>
          </w:tcPr>
          <w:p>
            <w:pPr>
              <w:pStyle w:val="30"/>
              <w:rPr>
                <w:rFonts w:hint="default"/>
                <w:lang w:val="en-US" w:eastAsia="zh-CN"/>
              </w:rPr>
            </w:pPr>
            <w:r>
              <w:rPr>
                <w:rFonts w:hint="eastAsia"/>
                <w:lang w:val="en-US" w:eastAsia="zh-CN"/>
              </w:rPr>
              <w:t>0.67</w:t>
            </w:r>
          </w:p>
        </w:tc>
        <w:tc>
          <w:tcPr>
            <w:tcW w:w="912" w:type="dxa"/>
            <w:vAlign w:val="center"/>
          </w:tcPr>
          <w:p>
            <w:pPr>
              <w:pStyle w:val="30"/>
              <w:rPr>
                <w:rFonts w:hint="eastAsia"/>
                <w:lang w:val="en-US" w:eastAsia="zh-CN"/>
              </w:rPr>
            </w:pPr>
            <w:r>
              <w:rPr>
                <w:rFonts w:hint="eastAsia"/>
                <w:u w:val="single"/>
                <w:lang w:val="en-US" w:eastAsia="zh-CN"/>
              </w:rPr>
              <w:t>2×10</w:t>
            </w:r>
            <w:r>
              <w:rPr>
                <w:rFonts w:hint="eastAsia"/>
                <w:u w:val="single"/>
                <w:vertAlign w:val="superscript"/>
                <w:lang w:val="en-US" w:eastAsia="zh-CN"/>
              </w:rPr>
              <w:t>-4</w:t>
            </w:r>
          </w:p>
        </w:tc>
        <w:tc>
          <w:tcPr>
            <w:tcW w:w="1130" w:type="dxa"/>
            <w:vAlign w:val="center"/>
          </w:tcPr>
          <w:p>
            <w:pPr>
              <w:pStyle w:val="30"/>
              <w:rPr>
                <w:rFonts w:hint="eastAsia"/>
                <w:lang w:val="en-US" w:eastAsia="zh-CN"/>
              </w:rPr>
            </w:pPr>
            <w:r>
              <w:rPr>
                <w:rFonts w:hint="eastAsia"/>
                <w:u w:val="single"/>
                <w:lang w:val="en-US" w:eastAsia="zh-CN"/>
              </w:rPr>
              <w:t>4.8×10</w:t>
            </w:r>
            <w:r>
              <w:rPr>
                <w:rFonts w:hint="eastAsia"/>
                <w:u w:val="single"/>
                <w:vertAlign w:val="superscript"/>
                <w:lang w:val="en-US" w:eastAsia="zh-CN"/>
              </w:rPr>
              <w:t>-4</w:t>
            </w:r>
          </w:p>
        </w:tc>
        <w:tc>
          <w:tcPr>
            <w:tcW w:w="2286" w:type="dxa"/>
            <w:vMerge w:val="restart"/>
            <w:vAlign w:val="center"/>
          </w:tcPr>
          <w:p>
            <w:pPr>
              <w:pStyle w:val="30"/>
            </w:pPr>
            <w:r>
              <w:rPr>
                <w:u w:val="single"/>
              </w:rPr>
              <w:t>厂区污水处理站整体加盖密闭（90%收集率），</w:t>
            </w:r>
            <w:r>
              <w:rPr>
                <w:rFonts w:hint="eastAsia"/>
                <w:u w:val="single"/>
                <w:lang w:eastAsia="zh-CN"/>
              </w:rPr>
              <w:t>二级活性炭吸附</w:t>
            </w:r>
            <w:r>
              <w:rPr>
                <w:u w:val="single"/>
              </w:rPr>
              <w:t>非甲烷总烃吸附效率按</w:t>
            </w:r>
            <w:r>
              <w:rPr>
                <w:rFonts w:hint="eastAsia"/>
                <w:u w:val="single"/>
                <w:lang w:val="en-US" w:eastAsia="zh-CN"/>
              </w:rPr>
              <w:t>70</w:t>
            </w:r>
            <w:r>
              <w:rPr>
                <w:u w:val="single"/>
              </w:rPr>
              <w:t>%计，硫化氢</w:t>
            </w:r>
            <w:r>
              <w:rPr>
                <w:rFonts w:hint="eastAsia"/>
                <w:u w:val="single"/>
                <w:lang w:eastAsia="zh-CN"/>
              </w:rPr>
              <w:t>、氨去除</w:t>
            </w:r>
            <w:r>
              <w:rPr>
                <w:u w:val="single"/>
              </w:rPr>
              <w:t>效率按60%计</w:t>
            </w:r>
          </w:p>
        </w:tc>
        <w:tc>
          <w:tcPr>
            <w:tcW w:w="832" w:type="dxa"/>
            <w:vAlign w:val="center"/>
          </w:tcPr>
          <w:p>
            <w:pPr>
              <w:pStyle w:val="30"/>
              <w:rPr>
                <w:rFonts w:hint="default"/>
                <w:lang w:val="en-US" w:eastAsia="zh-CN"/>
              </w:rPr>
            </w:pPr>
            <w:r>
              <w:rPr>
                <w:rFonts w:hint="eastAsia"/>
                <w:lang w:val="en-US" w:eastAsia="zh-CN"/>
              </w:rPr>
              <w:t>0.024</w:t>
            </w:r>
          </w:p>
        </w:tc>
        <w:tc>
          <w:tcPr>
            <w:tcW w:w="971" w:type="dxa"/>
            <w:vAlign w:val="center"/>
          </w:tcPr>
          <w:p>
            <w:pPr>
              <w:pStyle w:val="30"/>
              <w:rPr>
                <w:rFonts w:hint="eastAsia"/>
                <w:lang w:val="en-US" w:eastAsia="zh-CN"/>
              </w:rPr>
            </w:pPr>
            <w:r>
              <w:rPr>
                <w:rFonts w:hint="eastAsia" w:cs="Times New Roman"/>
                <w:szCs w:val="28"/>
                <w:u w:val="single"/>
                <w:lang w:val="en-US" w:eastAsia="zh-CN"/>
              </w:rPr>
              <w:t>7.21</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5</w:t>
            </w:r>
          </w:p>
        </w:tc>
        <w:tc>
          <w:tcPr>
            <w:tcW w:w="928" w:type="dxa"/>
            <w:vAlign w:val="center"/>
          </w:tcPr>
          <w:p>
            <w:pPr>
              <w:pStyle w:val="30"/>
              <w:ind w:firstLine="0" w:firstLineChars="0"/>
              <w:rPr>
                <w:rFonts w:hint="eastAsia"/>
                <w:lang w:val="en-US" w:eastAsia="zh-CN"/>
              </w:rPr>
            </w:pPr>
            <w:r>
              <w:rPr>
                <w:rFonts w:hint="eastAsia" w:cs="Times New Roman"/>
                <w:szCs w:val="28"/>
                <w:u w:val="single"/>
                <w:lang w:val="en-US" w:eastAsia="zh-CN"/>
              </w:rPr>
              <w:t>1.73</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4</w:t>
            </w:r>
          </w:p>
        </w:tc>
        <w:tc>
          <w:tcPr>
            <w:tcW w:w="812" w:type="dxa"/>
            <w:vAlign w:val="center"/>
          </w:tcPr>
          <w:p>
            <w:pPr>
              <w:pStyle w:val="30"/>
              <w:rPr>
                <w:rFonts w:hint="eastAsia" w:eastAsia="宋体"/>
                <w:lang w:val="en-US" w:eastAsia="zh-CN"/>
              </w:rPr>
            </w:pPr>
            <w:r>
              <w:rPr>
                <w:rFonts w:hint="eastAsia"/>
                <w:lang w:val="en-US" w:eastAsia="zh-CN"/>
              </w:rPr>
              <w:t>/</w:t>
            </w:r>
          </w:p>
        </w:tc>
        <w:tc>
          <w:tcPr>
            <w:tcW w:w="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cs="Times New Roman"/>
                <w:sz w:val="21"/>
                <w:u w:val="single"/>
              </w:rPr>
              <w:t>4.9</w:t>
            </w:r>
          </w:p>
        </w:tc>
        <w:tc>
          <w:tcPr>
            <w:tcW w:w="490" w:type="dxa"/>
            <w:vMerge w:val="restart"/>
            <w:vAlign w:val="center"/>
          </w:tcPr>
          <w:p>
            <w:pPr>
              <w:pStyle w:val="30"/>
              <w:ind w:firstLine="0" w:firstLineChars="0"/>
            </w:pPr>
            <w:r>
              <w:rPr>
                <w:rFonts w:hint="eastAsia"/>
                <w:lang w:val="en-US" w:eastAsia="zh-CN"/>
              </w:rPr>
              <w:t>15</w:t>
            </w:r>
          </w:p>
        </w:tc>
        <w:tc>
          <w:tcPr>
            <w:tcW w:w="494" w:type="dxa"/>
            <w:vMerge w:val="restart"/>
            <w:vAlign w:val="center"/>
          </w:tcPr>
          <w:p>
            <w:pPr>
              <w:pStyle w:val="30"/>
              <w:ind w:firstLine="0" w:firstLineChars="0"/>
              <w:rPr>
                <w:rFonts w:hint="default" w:eastAsia="宋体"/>
                <w:lang w:val="en-US" w:eastAsia="zh-CN"/>
              </w:rPr>
            </w:pPr>
            <w:r>
              <w:rPr>
                <w:rFonts w:hint="eastAsia"/>
                <w:lang w:val="en-US" w:eastAsia="zh-CN"/>
              </w:rPr>
              <w:t>0.3</w:t>
            </w:r>
          </w:p>
        </w:tc>
        <w:tc>
          <w:tcPr>
            <w:tcW w:w="468" w:type="dxa"/>
            <w:vMerge w:val="restart"/>
            <w:vAlign w:val="center"/>
          </w:tcPr>
          <w:p>
            <w:pPr>
              <w:pStyle w:val="30"/>
              <w:ind w:firstLine="0" w:firstLineChars="0"/>
            </w:pPr>
            <w:r>
              <w:t>25</w:t>
            </w:r>
          </w:p>
        </w:tc>
        <w:tc>
          <w:tcPr>
            <w:tcW w:w="397" w:type="dxa"/>
            <w:vMerge w:val="restart"/>
            <w:vAlign w:val="center"/>
          </w:tcPr>
          <w:p>
            <w:pPr>
              <w:pStyle w:val="30"/>
              <w:ind w:firstLine="0" w:firstLineChars="0"/>
            </w:pPr>
            <w:r>
              <w:t>间歇</w:t>
            </w: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654" w:type="dxa"/>
            <w:vMerge w:val="continue"/>
            <w:vAlign w:val="center"/>
          </w:tcPr>
          <w:p>
            <w:pPr>
              <w:pStyle w:val="30"/>
            </w:pPr>
          </w:p>
        </w:tc>
        <w:tc>
          <w:tcPr>
            <w:tcW w:w="889" w:type="dxa"/>
            <w:vAlign w:val="center"/>
          </w:tcPr>
          <w:p>
            <w:pPr>
              <w:adjustRightInd w:val="0"/>
              <w:snapToGrid w:val="0"/>
              <w:spacing w:line="240" w:lineRule="auto"/>
              <w:ind w:firstLine="0" w:firstLineChars="0"/>
              <w:jc w:val="center"/>
            </w:pPr>
            <w:r>
              <w:rPr>
                <w:rFonts w:cs="Times New Roman"/>
                <w:snapToGrid w:val="0"/>
                <w:kern w:val="18"/>
                <w:sz w:val="21"/>
                <w:szCs w:val="21"/>
              </w:rPr>
              <w:t>硫化氢</w:t>
            </w:r>
          </w:p>
        </w:tc>
        <w:tc>
          <w:tcPr>
            <w:tcW w:w="865" w:type="dxa"/>
            <w:vMerge w:val="continue"/>
            <w:vAlign w:val="center"/>
          </w:tcPr>
          <w:p>
            <w:pPr>
              <w:pStyle w:val="30"/>
              <w:rPr>
                <w:rFonts w:hint="eastAsia"/>
                <w:lang w:val="en-US" w:eastAsia="zh-CN"/>
              </w:rPr>
            </w:pPr>
          </w:p>
        </w:tc>
        <w:tc>
          <w:tcPr>
            <w:tcW w:w="808" w:type="dxa"/>
            <w:vAlign w:val="center"/>
          </w:tcPr>
          <w:p>
            <w:pPr>
              <w:pStyle w:val="30"/>
              <w:rPr>
                <w:rFonts w:hint="default"/>
                <w:lang w:val="en-US" w:eastAsia="zh-CN"/>
              </w:rPr>
            </w:pPr>
            <w:r>
              <w:rPr>
                <w:rFonts w:hint="eastAsia"/>
                <w:lang w:val="en-US" w:eastAsia="zh-CN"/>
              </w:rPr>
              <w:t>0.0026</w:t>
            </w:r>
          </w:p>
        </w:tc>
        <w:tc>
          <w:tcPr>
            <w:tcW w:w="912" w:type="dxa"/>
            <w:vAlign w:val="center"/>
          </w:tcPr>
          <w:p>
            <w:pPr>
              <w:pStyle w:val="30"/>
              <w:rPr>
                <w:rFonts w:hint="eastAsia"/>
                <w:lang w:val="en-US" w:eastAsia="zh-CN"/>
              </w:rPr>
            </w:pPr>
            <w:r>
              <w:rPr>
                <w:rFonts w:hint="eastAsia" w:cs="Times New Roman"/>
                <w:szCs w:val="28"/>
                <w:u w:val="single"/>
                <w:lang w:val="en-US" w:eastAsia="zh-CN"/>
              </w:rPr>
              <w:t>7.71</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p>
        </w:tc>
        <w:tc>
          <w:tcPr>
            <w:tcW w:w="1130" w:type="dxa"/>
            <w:vAlign w:val="center"/>
          </w:tcPr>
          <w:p>
            <w:pPr>
              <w:pStyle w:val="30"/>
              <w:rPr>
                <w:rFonts w:hint="eastAsia"/>
                <w:lang w:val="en-US" w:eastAsia="zh-CN"/>
              </w:rPr>
            </w:pPr>
            <w:r>
              <w:rPr>
                <w:rFonts w:hint="eastAsia" w:cs="Times New Roman"/>
                <w:szCs w:val="28"/>
                <w:u w:val="single"/>
                <w:lang w:val="en-US" w:eastAsia="zh-CN"/>
              </w:rPr>
              <w:t>1.85</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5</w:t>
            </w:r>
          </w:p>
        </w:tc>
        <w:tc>
          <w:tcPr>
            <w:tcW w:w="2286" w:type="dxa"/>
            <w:vMerge w:val="continue"/>
            <w:vAlign w:val="center"/>
          </w:tcPr>
          <w:p>
            <w:pPr>
              <w:pStyle w:val="30"/>
            </w:pPr>
          </w:p>
        </w:tc>
        <w:tc>
          <w:tcPr>
            <w:tcW w:w="832" w:type="dxa"/>
            <w:vAlign w:val="center"/>
          </w:tcPr>
          <w:p>
            <w:pPr>
              <w:pStyle w:val="30"/>
              <w:rPr>
                <w:rFonts w:hint="default"/>
                <w:lang w:val="en-US" w:eastAsia="zh-CN"/>
              </w:rPr>
            </w:pPr>
            <w:r>
              <w:rPr>
                <w:rFonts w:hint="eastAsia"/>
                <w:lang w:val="en-US" w:eastAsia="zh-CN"/>
              </w:rPr>
              <w:t>0.0009</w:t>
            </w:r>
          </w:p>
        </w:tc>
        <w:tc>
          <w:tcPr>
            <w:tcW w:w="971" w:type="dxa"/>
            <w:vAlign w:val="center"/>
          </w:tcPr>
          <w:p>
            <w:pPr>
              <w:pStyle w:val="30"/>
              <w:rPr>
                <w:rFonts w:hint="eastAsia"/>
                <w:lang w:val="en-US" w:eastAsia="zh-CN"/>
              </w:rPr>
            </w:pPr>
            <w:r>
              <w:rPr>
                <w:rFonts w:hint="eastAsia" w:cs="Times New Roman"/>
                <w:szCs w:val="28"/>
                <w:u w:val="single"/>
                <w:lang w:val="en-US" w:eastAsia="zh-CN"/>
              </w:rPr>
              <w:t>2.78</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p>
        </w:tc>
        <w:tc>
          <w:tcPr>
            <w:tcW w:w="928" w:type="dxa"/>
            <w:vAlign w:val="center"/>
          </w:tcPr>
          <w:p>
            <w:pPr>
              <w:pStyle w:val="30"/>
              <w:ind w:firstLine="0" w:firstLineChars="0"/>
              <w:rPr>
                <w:rFonts w:hint="eastAsia"/>
                <w:lang w:val="en-US" w:eastAsia="zh-CN"/>
              </w:rPr>
            </w:pPr>
            <w:r>
              <w:rPr>
                <w:rFonts w:hint="eastAsia" w:cs="Times New Roman"/>
                <w:szCs w:val="28"/>
                <w:u w:val="single"/>
                <w:lang w:val="en-US" w:eastAsia="zh-CN"/>
              </w:rPr>
              <w:t>6.66</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p>
        </w:tc>
        <w:tc>
          <w:tcPr>
            <w:tcW w:w="812" w:type="dxa"/>
            <w:vAlign w:val="center"/>
          </w:tcPr>
          <w:p>
            <w:pPr>
              <w:pStyle w:val="30"/>
              <w:rPr>
                <w:rFonts w:hint="eastAsia" w:eastAsia="宋体"/>
                <w:lang w:val="en-US" w:eastAsia="zh-CN"/>
              </w:rPr>
            </w:pPr>
            <w:r>
              <w:rPr>
                <w:rFonts w:hint="eastAsia"/>
                <w:lang w:val="en-US" w:eastAsia="zh-CN"/>
              </w:rPr>
              <w:t>/</w:t>
            </w:r>
          </w:p>
        </w:tc>
        <w:tc>
          <w:tcPr>
            <w:tcW w:w="7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lang w:val="en-US" w:eastAsia="zh-CN"/>
              </w:rPr>
            </w:pPr>
            <w:r>
              <w:rPr>
                <w:rFonts w:hint="eastAsia" w:cs="Times New Roman"/>
                <w:sz w:val="21"/>
                <w:u w:val="single"/>
                <w:lang w:val="en-US" w:eastAsia="zh-CN"/>
              </w:rPr>
              <w:t>0.33</w:t>
            </w:r>
          </w:p>
        </w:tc>
        <w:tc>
          <w:tcPr>
            <w:tcW w:w="490" w:type="dxa"/>
            <w:vMerge w:val="continue"/>
            <w:vAlign w:val="center"/>
          </w:tcPr>
          <w:p>
            <w:pPr>
              <w:pStyle w:val="30"/>
            </w:pPr>
          </w:p>
        </w:tc>
        <w:tc>
          <w:tcPr>
            <w:tcW w:w="494" w:type="dxa"/>
            <w:vMerge w:val="continue"/>
            <w:vAlign w:val="center"/>
          </w:tcPr>
          <w:p>
            <w:pPr>
              <w:pStyle w:val="30"/>
            </w:pPr>
          </w:p>
        </w:tc>
        <w:tc>
          <w:tcPr>
            <w:tcW w:w="468" w:type="dxa"/>
            <w:vMerge w:val="continue"/>
            <w:vAlign w:val="center"/>
          </w:tcPr>
          <w:p>
            <w:pPr>
              <w:pStyle w:val="30"/>
            </w:pPr>
          </w:p>
        </w:tc>
        <w:tc>
          <w:tcPr>
            <w:tcW w:w="397" w:type="dxa"/>
            <w:vMerge w:val="continue"/>
            <w:vAlign w:val="center"/>
          </w:tcPr>
          <w:p>
            <w:pPr>
              <w:pStyle w:val="30"/>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vAlign w:val="center"/>
          </w:tcPr>
          <w:p>
            <w:pPr>
              <w:pStyle w:val="30"/>
            </w:pPr>
          </w:p>
        </w:tc>
        <w:tc>
          <w:tcPr>
            <w:tcW w:w="889" w:type="dxa"/>
            <w:vAlign w:val="center"/>
          </w:tcPr>
          <w:p>
            <w:pPr>
              <w:adjustRightInd w:val="0"/>
              <w:snapToGrid w:val="0"/>
              <w:spacing w:line="240" w:lineRule="auto"/>
              <w:ind w:firstLine="0" w:firstLineChars="0"/>
              <w:jc w:val="center"/>
            </w:pPr>
            <w:r>
              <w:rPr>
                <w:rFonts w:cs="Times New Roman"/>
                <w:snapToGrid w:val="0"/>
                <w:kern w:val="18"/>
                <w:sz w:val="21"/>
                <w:szCs w:val="21"/>
              </w:rPr>
              <w:t>非甲烷总烃</w:t>
            </w:r>
          </w:p>
        </w:tc>
        <w:tc>
          <w:tcPr>
            <w:tcW w:w="865" w:type="dxa"/>
            <w:vMerge w:val="continue"/>
            <w:vAlign w:val="center"/>
          </w:tcPr>
          <w:p>
            <w:pPr>
              <w:pStyle w:val="30"/>
              <w:rPr>
                <w:rFonts w:hint="eastAsia"/>
                <w:lang w:val="en-US" w:eastAsia="zh-CN"/>
              </w:rPr>
            </w:pPr>
          </w:p>
        </w:tc>
        <w:tc>
          <w:tcPr>
            <w:tcW w:w="808" w:type="dxa"/>
            <w:vAlign w:val="center"/>
          </w:tcPr>
          <w:p>
            <w:pPr>
              <w:pStyle w:val="30"/>
              <w:rPr>
                <w:rFonts w:hint="default"/>
                <w:lang w:val="en-US" w:eastAsia="zh-CN"/>
              </w:rPr>
            </w:pPr>
            <w:r>
              <w:rPr>
                <w:rFonts w:hint="eastAsia"/>
                <w:lang w:val="en-US" w:eastAsia="zh-CN"/>
              </w:rPr>
              <w:t>3.33</w:t>
            </w:r>
          </w:p>
        </w:tc>
        <w:tc>
          <w:tcPr>
            <w:tcW w:w="912" w:type="dxa"/>
            <w:vAlign w:val="center"/>
          </w:tcPr>
          <w:p>
            <w:pPr>
              <w:pStyle w:val="30"/>
              <w:rPr>
                <w:rFonts w:hint="default"/>
                <w:lang w:val="en-US" w:eastAsia="zh-CN"/>
              </w:rPr>
            </w:pPr>
            <w:r>
              <w:rPr>
                <w:rFonts w:hint="eastAsia"/>
                <w:lang w:val="en-US" w:eastAsia="zh-CN"/>
              </w:rPr>
              <w:t>0.01</w:t>
            </w:r>
          </w:p>
        </w:tc>
        <w:tc>
          <w:tcPr>
            <w:tcW w:w="1130" w:type="dxa"/>
            <w:vAlign w:val="center"/>
          </w:tcPr>
          <w:p>
            <w:pPr>
              <w:pStyle w:val="30"/>
              <w:rPr>
                <w:rFonts w:hint="default"/>
                <w:lang w:val="en-US" w:eastAsia="zh-CN"/>
              </w:rPr>
            </w:pPr>
            <w:r>
              <w:rPr>
                <w:rFonts w:hint="eastAsia"/>
                <w:u w:val="single"/>
                <w:lang w:val="en-US" w:eastAsia="zh-CN"/>
              </w:rPr>
              <w:t>0.025</w:t>
            </w:r>
          </w:p>
        </w:tc>
        <w:tc>
          <w:tcPr>
            <w:tcW w:w="2286" w:type="dxa"/>
            <w:vMerge w:val="continue"/>
            <w:vAlign w:val="center"/>
          </w:tcPr>
          <w:p>
            <w:pPr>
              <w:pStyle w:val="30"/>
            </w:pPr>
          </w:p>
        </w:tc>
        <w:tc>
          <w:tcPr>
            <w:tcW w:w="832" w:type="dxa"/>
            <w:vAlign w:val="center"/>
          </w:tcPr>
          <w:p>
            <w:pPr>
              <w:pStyle w:val="30"/>
              <w:rPr>
                <w:rFonts w:hint="default"/>
                <w:lang w:val="en-US" w:eastAsia="zh-CN"/>
              </w:rPr>
            </w:pPr>
            <w:r>
              <w:rPr>
                <w:rFonts w:hint="eastAsia"/>
                <w:lang w:val="en-US" w:eastAsia="zh-CN"/>
              </w:rPr>
              <w:t>0.94</w:t>
            </w:r>
          </w:p>
        </w:tc>
        <w:tc>
          <w:tcPr>
            <w:tcW w:w="971" w:type="dxa"/>
            <w:vAlign w:val="center"/>
          </w:tcPr>
          <w:p>
            <w:pPr>
              <w:pStyle w:val="30"/>
              <w:rPr>
                <w:rFonts w:hint="eastAsia"/>
                <w:lang w:val="en-US" w:eastAsia="zh-CN"/>
              </w:rPr>
            </w:pPr>
            <w:r>
              <w:rPr>
                <w:rFonts w:hint="eastAsia" w:cs="Times New Roman"/>
                <w:szCs w:val="28"/>
                <w:u w:val="single"/>
                <w:lang w:val="en-US" w:eastAsia="zh-CN"/>
              </w:rPr>
              <w:t>2.81</w:t>
            </w:r>
            <w:r>
              <w:rPr>
                <w:rFonts w:cs="Times New Roman"/>
                <w:szCs w:val="28"/>
                <w:u w:val="single"/>
              </w:rPr>
              <w:t>×10</w:t>
            </w:r>
            <w:r>
              <w:rPr>
                <w:rFonts w:cs="Times New Roman"/>
                <w:szCs w:val="28"/>
                <w:u w:val="single"/>
                <w:vertAlign w:val="superscript"/>
              </w:rPr>
              <w:t>-3</w:t>
            </w:r>
          </w:p>
        </w:tc>
        <w:tc>
          <w:tcPr>
            <w:tcW w:w="928" w:type="dxa"/>
            <w:vAlign w:val="center"/>
          </w:tcPr>
          <w:p>
            <w:pPr>
              <w:pStyle w:val="30"/>
              <w:ind w:firstLine="0" w:firstLineChars="0"/>
              <w:rPr>
                <w:rFonts w:hint="eastAsia"/>
                <w:lang w:val="en-US" w:eastAsia="zh-CN"/>
              </w:rPr>
            </w:pPr>
            <w:r>
              <w:rPr>
                <w:rFonts w:hint="eastAsia" w:cs="Times New Roman"/>
                <w:szCs w:val="28"/>
                <w:u w:val="single"/>
                <w:lang w:val="en-US" w:eastAsia="zh-CN"/>
              </w:rPr>
              <w:t>6.75</w:t>
            </w:r>
            <w:r>
              <w:rPr>
                <w:rFonts w:cs="Times New Roman"/>
                <w:szCs w:val="28"/>
                <w:u w:val="single"/>
              </w:rPr>
              <w:t>×10</w:t>
            </w:r>
            <w:r>
              <w:rPr>
                <w:rFonts w:cs="Times New Roman"/>
                <w:szCs w:val="28"/>
                <w:u w:val="single"/>
                <w:vertAlign w:val="superscript"/>
              </w:rPr>
              <w:t>-3</w:t>
            </w:r>
          </w:p>
        </w:tc>
        <w:tc>
          <w:tcPr>
            <w:tcW w:w="812" w:type="dxa"/>
            <w:vAlign w:val="center"/>
          </w:tcPr>
          <w:p>
            <w:pPr>
              <w:pStyle w:val="30"/>
              <w:rPr>
                <w:rFonts w:hint="default" w:eastAsia="宋体"/>
                <w:lang w:val="en-US" w:eastAsia="zh-CN"/>
              </w:rPr>
            </w:pPr>
            <w:r>
              <w:rPr>
                <w:rFonts w:hint="eastAsia"/>
                <w:lang w:val="en-US" w:eastAsia="zh-CN"/>
              </w:rPr>
              <w:t>60</w:t>
            </w:r>
          </w:p>
        </w:tc>
        <w:tc>
          <w:tcPr>
            <w:tcW w:w="785" w:type="dxa"/>
            <w:vAlign w:val="center"/>
          </w:tcPr>
          <w:p>
            <w:pPr>
              <w:pStyle w:val="30"/>
              <w:ind w:firstLine="0" w:firstLineChars="0"/>
            </w:pPr>
            <w:r>
              <w:rPr>
                <w:rFonts w:hint="eastAsia"/>
                <w:u w:val="single"/>
                <w:lang w:val="en-US" w:eastAsia="zh-CN"/>
              </w:rPr>
              <w:t>/</w:t>
            </w:r>
          </w:p>
        </w:tc>
        <w:tc>
          <w:tcPr>
            <w:tcW w:w="490" w:type="dxa"/>
            <w:vMerge w:val="continue"/>
            <w:vAlign w:val="center"/>
          </w:tcPr>
          <w:p>
            <w:pPr>
              <w:pStyle w:val="30"/>
            </w:pPr>
          </w:p>
        </w:tc>
        <w:tc>
          <w:tcPr>
            <w:tcW w:w="494" w:type="dxa"/>
            <w:vMerge w:val="continue"/>
            <w:vAlign w:val="center"/>
          </w:tcPr>
          <w:p>
            <w:pPr>
              <w:pStyle w:val="30"/>
            </w:pPr>
          </w:p>
        </w:tc>
        <w:tc>
          <w:tcPr>
            <w:tcW w:w="468" w:type="dxa"/>
            <w:vMerge w:val="continue"/>
            <w:vAlign w:val="center"/>
          </w:tcPr>
          <w:p>
            <w:pPr>
              <w:pStyle w:val="30"/>
            </w:pPr>
          </w:p>
        </w:tc>
        <w:tc>
          <w:tcPr>
            <w:tcW w:w="397" w:type="dxa"/>
            <w:vMerge w:val="continue"/>
            <w:vAlign w:val="center"/>
          </w:tcPr>
          <w:p>
            <w:pPr>
              <w:pStyle w:val="30"/>
            </w:pPr>
          </w:p>
        </w:tc>
        <w:tc>
          <w:tcPr>
            <w:tcW w:w="499"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pPr>
              <w:pStyle w:val="30"/>
              <w:ind w:firstLine="0" w:firstLineChars="0"/>
            </w:pPr>
            <w:r>
              <w:t>食堂</w:t>
            </w:r>
          </w:p>
        </w:tc>
        <w:tc>
          <w:tcPr>
            <w:tcW w:w="889" w:type="dxa"/>
            <w:vAlign w:val="center"/>
          </w:tcPr>
          <w:p>
            <w:pPr>
              <w:pStyle w:val="30"/>
              <w:ind w:firstLine="0" w:firstLineChars="0"/>
              <w:rPr>
                <w:rFonts w:cs="Times New Roman"/>
                <w:snapToGrid w:val="0"/>
                <w:kern w:val="18"/>
                <w:sz w:val="21"/>
                <w:szCs w:val="21"/>
              </w:rPr>
            </w:pPr>
            <w:r>
              <w:t>饮食业油烟</w:t>
            </w:r>
          </w:p>
        </w:tc>
        <w:tc>
          <w:tcPr>
            <w:tcW w:w="865" w:type="dxa"/>
            <w:vAlign w:val="center"/>
          </w:tcPr>
          <w:p>
            <w:pPr>
              <w:pStyle w:val="30"/>
              <w:ind w:firstLine="0" w:firstLineChars="0"/>
              <w:rPr>
                <w:rFonts w:hint="eastAsia"/>
                <w:lang w:val="en-US" w:eastAsia="zh-CN"/>
              </w:rPr>
            </w:pPr>
            <w:r>
              <w:rPr>
                <w:rFonts w:hint="eastAsia"/>
                <w:lang w:val="en-US" w:eastAsia="zh-CN"/>
              </w:rPr>
              <w:t>2000</w:t>
            </w:r>
          </w:p>
        </w:tc>
        <w:tc>
          <w:tcPr>
            <w:tcW w:w="808" w:type="dxa"/>
            <w:vAlign w:val="center"/>
          </w:tcPr>
          <w:p>
            <w:pPr>
              <w:pStyle w:val="30"/>
              <w:ind w:firstLine="0" w:firstLineChars="0"/>
              <w:rPr>
                <w:rFonts w:hint="eastAsia"/>
                <w:lang w:val="en-US" w:eastAsia="zh-CN"/>
              </w:rPr>
            </w:pPr>
            <w:r>
              <w:rPr>
                <w:rFonts w:hint="eastAsia"/>
                <w:lang w:val="en-US" w:eastAsia="zh-CN"/>
              </w:rPr>
              <w:t>0.46</w:t>
            </w:r>
          </w:p>
        </w:tc>
        <w:tc>
          <w:tcPr>
            <w:tcW w:w="912" w:type="dxa"/>
            <w:vAlign w:val="center"/>
          </w:tcPr>
          <w:p>
            <w:pPr>
              <w:pStyle w:val="30"/>
              <w:ind w:firstLine="0" w:firstLineChars="0"/>
              <w:rPr>
                <w:rFonts w:hint="eastAsia"/>
                <w:lang w:val="en-US" w:eastAsia="zh-CN"/>
              </w:rPr>
            </w:pPr>
            <w:r>
              <w:rPr>
                <w:rFonts w:hint="eastAsia"/>
                <w:lang w:val="en-US" w:eastAsia="zh-CN"/>
              </w:rPr>
              <w:t>0.0023</w:t>
            </w:r>
          </w:p>
        </w:tc>
        <w:tc>
          <w:tcPr>
            <w:tcW w:w="1130" w:type="dxa"/>
            <w:vAlign w:val="center"/>
          </w:tcPr>
          <w:p>
            <w:pPr>
              <w:pStyle w:val="30"/>
              <w:ind w:firstLine="0" w:firstLineChars="0"/>
              <w:rPr>
                <w:rFonts w:hint="eastAsia"/>
                <w:lang w:val="en-US" w:eastAsia="zh-CN"/>
              </w:rPr>
            </w:pPr>
            <w:r>
              <w:rPr>
                <w:rFonts w:hint="eastAsia"/>
                <w:lang w:val="en-US" w:eastAsia="zh-CN"/>
              </w:rPr>
              <w:t>0.0034</w:t>
            </w:r>
          </w:p>
        </w:tc>
        <w:tc>
          <w:tcPr>
            <w:tcW w:w="2286" w:type="dxa"/>
            <w:vAlign w:val="center"/>
          </w:tcPr>
          <w:p>
            <w:pPr>
              <w:pStyle w:val="30"/>
              <w:ind w:firstLine="0" w:firstLineChars="0"/>
            </w:pPr>
            <w:r>
              <w:t>油烟净化器</w:t>
            </w:r>
            <w:r>
              <w:rPr>
                <w:rFonts w:hint="eastAsia"/>
                <w:lang w:eastAsia="zh-CN"/>
              </w:rPr>
              <w:t>，</w:t>
            </w:r>
            <w:r>
              <w:t>去除率≥9</w:t>
            </w:r>
            <w:r>
              <w:rPr>
                <w:rFonts w:hint="eastAsia"/>
                <w:lang w:val="en-US" w:eastAsia="zh-CN"/>
              </w:rPr>
              <w:t>0</w:t>
            </w:r>
            <w:r>
              <w:rPr>
                <w:rFonts w:hint="default"/>
              </w:rPr>
              <w:t>%</w:t>
            </w:r>
          </w:p>
        </w:tc>
        <w:tc>
          <w:tcPr>
            <w:tcW w:w="832" w:type="dxa"/>
            <w:vAlign w:val="center"/>
          </w:tcPr>
          <w:p>
            <w:pPr>
              <w:pStyle w:val="30"/>
              <w:ind w:firstLine="0" w:firstLineChars="0"/>
              <w:rPr>
                <w:rFonts w:hint="eastAsia"/>
                <w:lang w:val="en-US" w:eastAsia="zh-CN"/>
              </w:rPr>
            </w:pPr>
            <w:r>
              <w:rPr>
                <w:rFonts w:hint="eastAsia"/>
                <w:lang w:val="en-US" w:eastAsia="zh-CN"/>
              </w:rPr>
              <w:t>0.1</w:t>
            </w:r>
          </w:p>
        </w:tc>
        <w:tc>
          <w:tcPr>
            <w:tcW w:w="971" w:type="dxa"/>
            <w:vAlign w:val="center"/>
          </w:tcPr>
          <w:p>
            <w:pPr>
              <w:pStyle w:val="30"/>
              <w:ind w:firstLine="0" w:firstLineChars="0"/>
              <w:rPr>
                <w:rFonts w:hint="eastAsia"/>
                <w:lang w:val="en-US" w:eastAsia="zh-CN"/>
              </w:rPr>
            </w:pPr>
            <w:r>
              <w:rPr>
                <w:rFonts w:hint="eastAsia"/>
                <w:lang w:val="en-US" w:eastAsia="zh-CN"/>
              </w:rPr>
              <w:t>0.0002</w:t>
            </w:r>
          </w:p>
        </w:tc>
        <w:tc>
          <w:tcPr>
            <w:tcW w:w="928" w:type="dxa"/>
            <w:vAlign w:val="center"/>
          </w:tcPr>
          <w:p>
            <w:pPr>
              <w:pStyle w:val="30"/>
              <w:ind w:firstLine="0" w:firstLineChars="0"/>
              <w:rPr>
                <w:rFonts w:hint="eastAsia"/>
                <w:lang w:val="en-US" w:eastAsia="zh-CN"/>
              </w:rPr>
            </w:pPr>
            <w:r>
              <w:rPr>
                <w:rFonts w:hint="eastAsia"/>
                <w:lang w:val="en-US" w:eastAsia="zh-CN"/>
              </w:rPr>
              <w:t>0.0003</w:t>
            </w:r>
          </w:p>
        </w:tc>
        <w:tc>
          <w:tcPr>
            <w:tcW w:w="812" w:type="dxa"/>
            <w:vAlign w:val="center"/>
          </w:tcPr>
          <w:p>
            <w:pPr>
              <w:pStyle w:val="30"/>
              <w:ind w:firstLine="0" w:firstLineChars="0"/>
            </w:pPr>
            <w:r>
              <w:t>1.</w:t>
            </w:r>
            <w:r>
              <w:rPr>
                <w:rFonts w:hint="eastAsia"/>
                <w:lang w:val="en-US" w:eastAsia="zh-CN"/>
              </w:rPr>
              <w:t>5</w:t>
            </w:r>
          </w:p>
        </w:tc>
        <w:tc>
          <w:tcPr>
            <w:tcW w:w="785" w:type="dxa"/>
            <w:vAlign w:val="center"/>
          </w:tcPr>
          <w:p>
            <w:pPr>
              <w:pStyle w:val="30"/>
              <w:ind w:firstLine="0" w:firstLineChars="0"/>
            </w:pPr>
            <w:r>
              <w:t>/</w:t>
            </w:r>
          </w:p>
        </w:tc>
        <w:tc>
          <w:tcPr>
            <w:tcW w:w="490" w:type="dxa"/>
            <w:vAlign w:val="center"/>
          </w:tcPr>
          <w:p>
            <w:pPr>
              <w:pStyle w:val="30"/>
              <w:ind w:firstLine="0" w:firstLineChars="0"/>
            </w:pPr>
            <w:r>
              <w:t>/</w:t>
            </w:r>
          </w:p>
        </w:tc>
        <w:tc>
          <w:tcPr>
            <w:tcW w:w="494" w:type="dxa"/>
            <w:vAlign w:val="center"/>
          </w:tcPr>
          <w:p>
            <w:pPr>
              <w:pStyle w:val="30"/>
              <w:ind w:firstLine="0" w:firstLineChars="0"/>
            </w:pPr>
            <w:r>
              <w:t>/</w:t>
            </w:r>
          </w:p>
        </w:tc>
        <w:tc>
          <w:tcPr>
            <w:tcW w:w="468" w:type="dxa"/>
            <w:vAlign w:val="center"/>
          </w:tcPr>
          <w:p>
            <w:pPr>
              <w:pStyle w:val="30"/>
              <w:ind w:firstLine="0" w:firstLineChars="0"/>
            </w:pPr>
            <w:r>
              <w:t>25</w:t>
            </w:r>
          </w:p>
        </w:tc>
        <w:tc>
          <w:tcPr>
            <w:tcW w:w="397" w:type="dxa"/>
            <w:vAlign w:val="center"/>
          </w:tcPr>
          <w:p>
            <w:pPr>
              <w:pStyle w:val="30"/>
              <w:ind w:firstLine="0" w:firstLineChars="0"/>
            </w:pPr>
            <w:r>
              <w:t>间歇</w:t>
            </w:r>
          </w:p>
        </w:tc>
        <w:tc>
          <w:tcPr>
            <w:tcW w:w="499" w:type="dxa"/>
            <w:vAlign w:val="center"/>
          </w:tcPr>
          <w:p>
            <w:pPr>
              <w:pStyle w:val="30"/>
              <w:rPr>
                <w:rFonts w:hint="eastAsia" w:eastAsia="宋体"/>
                <w:lang w:eastAsia="zh-CN"/>
              </w:rPr>
            </w:pPr>
            <w:r>
              <w:rPr>
                <w:rFonts w:hint="eastAsia"/>
                <w:lang w:eastAsia="zh-CN"/>
              </w:rPr>
              <w:t>烟道</w:t>
            </w:r>
          </w:p>
        </w:tc>
      </w:tr>
    </w:tbl>
    <w:p>
      <w:pPr>
        <w:pStyle w:val="31"/>
        <w:autoSpaceDN/>
        <w:ind w:firstLine="482"/>
        <w:rPr>
          <w:rFonts w:hint="eastAsia" w:ascii="Times New Roman" w:hAnsi="Times New Roman" w:cs="Times New Roman"/>
          <w:b/>
          <w:bCs/>
          <w:szCs w:val="24"/>
          <w:lang w:val="en-US"/>
        </w:rPr>
        <w:sectPr>
          <w:pgSz w:w="16838" w:h="11906" w:orient="landscape"/>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cs="Times New Roman"/>
          <w:b/>
          <w:sz w:val="24"/>
          <w:szCs w:val="24"/>
        </w:rPr>
      </w:pPr>
      <w:r>
        <w:rPr>
          <w:rFonts w:cs="Times New Roman"/>
          <w:b/>
          <w:sz w:val="24"/>
          <w:szCs w:val="24"/>
        </w:rPr>
        <w:t>表</w:t>
      </w:r>
      <w:r>
        <w:rPr>
          <w:rFonts w:hint="eastAsia" w:cs="Times New Roman"/>
          <w:b/>
          <w:sz w:val="24"/>
          <w:szCs w:val="24"/>
          <w:lang w:val="en-US" w:eastAsia="zh-CN"/>
        </w:rPr>
        <w:t>4.2-4</w:t>
      </w:r>
      <w:r>
        <w:rPr>
          <w:rFonts w:cs="Times New Roman"/>
          <w:b/>
          <w:sz w:val="24"/>
          <w:szCs w:val="24"/>
        </w:rPr>
        <w:t>拟建项目大气污染物有组织排放量核算表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43"/>
        <w:gridCol w:w="1378"/>
        <w:gridCol w:w="1762"/>
        <w:gridCol w:w="1644"/>
        <w:gridCol w:w="1551"/>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sz w:val="21"/>
                <w:szCs w:val="21"/>
              </w:rPr>
            </w:pPr>
            <w:r>
              <w:rPr>
                <w:rFonts w:cs="Times New Roman"/>
                <w:b/>
                <w:sz w:val="21"/>
                <w:szCs w:val="21"/>
              </w:rPr>
              <w:t>排放口编号</w:t>
            </w:r>
          </w:p>
        </w:tc>
        <w:tc>
          <w:tcPr>
            <w:tcW w:w="7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sz w:val="21"/>
                <w:szCs w:val="21"/>
              </w:rPr>
            </w:pPr>
            <w:r>
              <w:rPr>
                <w:rFonts w:cs="Times New Roman"/>
                <w:b/>
                <w:sz w:val="21"/>
                <w:szCs w:val="21"/>
              </w:rPr>
              <w:t>排放口类型</w:t>
            </w: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b/>
                <w:sz w:val="21"/>
                <w:szCs w:val="21"/>
              </w:rPr>
            </w:pPr>
            <w:r>
              <w:rPr>
                <w:rFonts w:cs="Times New Roman"/>
                <w:b/>
                <w:sz w:val="21"/>
                <w:szCs w:val="21"/>
              </w:rPr>
              <w:t>污染物</w:t>
            </w:r>
          </w:p>
        </w:tc>
        <w:tc>
          <w:tcPr>
            <w:tcW w:w="88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b/>
                <w:bCs/>
                <w:kern w:val="0"/>
                <w:sz w:val="21"/>
                <w:szCs w:val="21"/>
              </w:rPr>
              <w:t>核算排放浓度</w:t>
            </w:r>
            <w:r>
              <w:rPr>
                <w:rFonts w:eastAsia="宋体" w:cs="Times New Roman"/>
                <w:b/>
                <w:bCs/>
                <w:kern w:val="0"/>
                <w:sz w:val="21"/>
                <w:szCs w:val="21"/>
              </w:rPr>
              <w:t>/</w:t>
            </w:r>
            <w:r>
              <w:rPr>
                <w:rFonts w:cs="Times New Roman"/>
                <w:b/>
                <w:bCs/>
                <w:kern w:val="0"/>
                <w:sz w:val="21"/>
                <w:szCs w:val="21"/>
              </w:rPr>
              <w:t>（</w:t>
            </w:r>
            <w:r>
              <w:rPr>
                <w:rFonts w:eastAsia="宋体" w:cs="Times New Roman"/>
                <w:b/>
                <w:bCs/>
                <w:kern w:val="0"/>
                <w:sz w:val="21"/>
                <w:szCs w:val="21"/>
              </w:rPr>
              <w:t>mg/m</w:t>
            </w:r>
            <w:r>
              <w:rPr>
                <w:rFonts w:eastAsia="宋体" w:cs="Times New Roman"/>
                <w:b/>
                <w:bCs/>
                <w:kern w:val="0"/>
                <w:sz w:val="21"/>
                <w:szCs w:val="21"/>
                <w:vertAlign w:val="superscript"/>
              </w:rPr>
              <w:t>3</w:t>
            </w:r>
            <w:r>
              <w:rPr>
                <w:rFonts w:cs="Times New Roman"/>
                <w:b/>
                <w:bCs/>
                <w:kern w:val="0"/>
                <w:sz w:val="21"/>
                <w:szCs w:val="21"/>
              </w:rPr>
              <w:t>）</w:t>
            </w:r>
          </w:p>
        </w:tc>
        <w:tc>
          <w:tcPr>
            <w:tcW w:w="83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b/>
                <w:bCs/>
                <w:kern w:val="0"/>
                <w:sz w:val="21"/>
                <w:szCs w:val="21"/>
              </w:rPr>
              <w:t>核算排放速率</w:t>
            </w:r>
            <w:r>
              <w:rPr>
                <w:rFonts w:eastAsia="宋体" w:cs="Times New Roman"/>
                <w:b/>
                <w:bCs/>
                <w:kern w:val="0"/>
                <w:sz w:val="21"/>
                <w:szCs w:val="21"/>
              </w:rPr>
              <w:t>/</w:t>
            </w:r>
            <w:r>
              <w:rPr>
                <w:rFonts w:cs="Times New Roman"/>
                <w:b/>
                <w:bCs/>
                <w:kern w:val="0"/>
                <w:sz w:val="21"/>
                <w:szCs w:val="21"/>
              </w:rPr>
              <w:t>（</w:t>
            </w:r>
            <w:r>
              <w:rPr>
                <w:rFonts w:eastAsia="宋体" w:cs="Times New Roman"/>
                <w:b/>
                <w:bCs/>
                <w:kern w:val="0"/>
                <w:sz w:val="21"/>
                <w:szCs w:val="21"/>
              </w:rPr>
              <w:t>kg/h</w:t>
            </w:r>
            <w:r>
              <w:rPr>
                <w:rFonts w:cs="Times New Roman"/>
                <w:b/>
                <w:bCs/>
                <w:kern w:val="0"/>
                <w:sz w:val="21"/>
                <w:szCs w:val="21"/>
              </w:rPr>
              <w:t>）</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b/>
                <w:bCs/>
                <w:kern w:val="0"/>
                <w:sz w:val="21"/>
                <w:szCs w:val="21"/>
              </w:rPr>
              <w:t>核算年排放量</w:t>
            </w:r>
            <w:r>
              <w:rPr>
                <w:rFonts w:eastAsia="宋体" w:cs="Times New Roman"/>
                <w:b/>
                <w:bCs/>
                <w:kern w:val="0"/>
                <w:sz w:val="21"/>
                <w:szCs w:val="21"/>
              </w:rPr>
              <w:t>/</w:t>
            </w:r>
            <w:r>
              <w:rPr>
                <w:rFonts w:cs="Times New Roman"/>
                <w:b/>
                <w:bCs/>
                <w:kern w:val="0"/>
                <w:sz w:val="21"/>
                <w:szCs w:val="21"/>
              </w:rPr>
              <w:t>（</w:t>
            </w:r>
            <w:r>
              <w:rPr>
                <w:rFonts w:eastAsia="宋体" w:cs="Times New Roman"/>
                <w:b/>
                <w:bCs/>
                <w:kern w:val="0"/>
                <w:sz w:val="21"/>
                <w:szCs w:val="21"/>
              </w:rPr>
              <w:t>t/a</w:t>
            </w:r>
            <w:r>
              <w:rPr>
                <w:rFonts w:cs="Times New Roman"/>
                <w:b/>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DA001</w:t>
            </w:r>
          </w:p>
        </w:tc>
        <w:tc>
          <w:tcPr>
            <w:tcW w:w="7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hint="eastAsia" w:cs="Times New Roman"/>
                <w:sz w:val="21"/>
                <w:szCs w:val="21"/>
                <w:lang w:eastAsia="zh-CN"/>
              </w:rPr>
              <w:t>一般</w:t>
            </w:r>
            <w:r>
              <w:rPr>
                <w:rFonts w:cs="Times New Roman"/>
                <w:sz w:val="21"/>
                <w:szCs w:val="21"/>
              </w:rPr>
              <w:t>排放口</w:t>
            </w: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颗粒物</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5.21</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0.0521</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lang w:val="en-US" w:eastAsia="zh-CN"/>
              </w:rPr>
            </w:pPr>
            <w:r>
              <w:rPr>
                <w:rFonts w:hint="eastAsia" w:cs="Times New Roman"/>
                <w:sz w:val="21"/>
                <w:szCs w:val="21"/>
                <w:lang w:val="en-US" w:eastAsia="zh-CN"/>
              </w:rPr>
              <w:t>DA002</w:t>
            </w:r>
          </w:p>
        </w:tc>
        <w:tc>
          <w:tcPr>
            <w:tcW w:w="7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hint="eastAsia" w:cs="Times New Roman"/>
                <w:sz w:val="21"/>
                <w:szCs w:val="21"/>
                <w:lang w:eastAsia="zh-CN"/>
              </w:rPr>
              <w:t>一般</w:t>
            </w:r>
            <w:r>
              <w:rPr>
                <w:rFonts w:cs="Times New Roman"/>
                <w:sz w:val="21"/>
                <w:szCs w:val="21"/>
              </w:rPr>
              <w:t>排放口</w:t>
            </w: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非甲烷总烃</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5.9</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0.059</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8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7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苯乙烯</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4.3</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0.018</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78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7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lang w:eastAsia="zh-CN"/>
              </w:rPr>
            </w:pPr>
            <w:r>
              <w:rPr>
                <w:rFonts w:hint="eastAsia" w:cs="Times New Roman"/>
                <w:sz w:val="21"/>
                <w:szCs w:val="21"/>
                <w:lang w:eastAsia="zh-CN"/>
              </w:rPr>
              <w:t>颗粒物</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u w:val="single"/>
                <w:lang w:val="en-US" w:eastAsia="zh-CN"/>
              </w:rPr>
            </w:pPr>
            <w:r>
              <w:rPr>
                <w:rFonts w:hint="eastAsia"/>
                <w:sz w:val="21"/>
                <w:szCs w:val="21"/>
                <w:u w:val="single"/>
                <w:lang w:val="en-US" w:eastAsia="zh-CN"/>
              </w:rPr>
              <w:t>0.6</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u w:val="single"/>
                <w:lang w:val="en-US" w:eastAsia="zh-CN"/>
              </w:rPr>
            </w:pPr>
            <w:r>
              <w:rPr>
                <w:rFonts w:hint="eastAsia"/>
                <w:sz w:val="21"/>
                <w:szCs w:val="21"/>
                <w:u w:val="single"/>
                <w:lang w:val="en-US" w:eastAsia="zh-CN"/>
              </w:rPr>
              <w:t>0.006</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u w:val="single"/>
                <w:lang w:val="en-US" w:eastAsia="zh-CN"/>
              </w:rPr>
            </w:pPr>
            <w:r>
              <w:rPr>
                <w:rFonts w:hint="eastAsia"/>
                <w:sz w:val="21"/>
                <w:szCs w:val="21"/>
                <w:u w:val="singl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DA003</w:t>
            </w:r>
          </w:p>
        </w:tc>
        <w:tc>
          <w:tcPr>
            <w:tcW w:w="7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hint="eastAsia" w:cs="Times New Roman"/>
                <w:sz w:val="21"/>
                <w:szCs w:val="21"/>
                <w:lang w:eastAsia="zh-CN"/>
              </w:rPr>
              <w:t>一般</w:t>
            </w:r>
            <w:r>
              <w:rPr>
                <w:rFonts w:cs="Times New Roman"/>
                <w:sz w:val="21"/>
                <w:szCs w:val="21"/>
              </w:rPr>
              <w:t>排放口</w:t>
            </w: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非甲烷总烃</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0.92</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0.055</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8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7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苯乙烯</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0.23</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0.014</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u w:val="singl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786"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lang w:eastAsia="zh-CN"/>
              </w:rPr>
            </w:pPr>
            <w:r>
              <w:rPr>
                <w:rFonts w:cs="Times New Roman"/>
                <w:sz w:val="21"/>
                <w:szCs w:val="21"/>
              </w:rPr>
              <w:t>DA00</w:t>
            </w:r>
            <w:r>
              <w:rPr>
                <w:rFonts w:hint="eastAsia" w:cs="Times New Roman"/>
                <w:sz w:val="21"/>
                <w:szCs w:val="21"/>
                <w:lang w:val="en-US" w:eastAsia="zh-CN"/>
              </w:rPr>
              <w:t>4</w:t>
            </w:r>
          </w:p>
        </w:tc>
        <w:tc>
          <w:tcPr>
            <w:tcW w:w="74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lang w:eastAsia="zh-CN"/>
              </w:rPr>
            </w:pPr>
            <w:r>
              <w:rPr>
                <w:rFonts w:hint="eastAsia" w:cs="Times New Roman"/>
                <w:sz w:val="21"/>
                <w:szCs w:val="21"/>
                <w:lang w:eastAsia="zh-CN"/>
              </w:rPr>
              <w:t>一般排放口</w:t>
            </w: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napToGrid w:val="0"/>
                <w:kern w:val="18"/>
                <w:sz w:val="21"/>
                <w:szCs w:val="21"/>
              </w:rPr>
              <w:t>氨</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0.024</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7.21</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5</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1.73</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78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7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21"/>
                <w:lang w:eastAsia="zh-CN"/>
              </w:rPr>
            </w:pP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napToGrid w:val="0"/>
                <w:kern w:val="18"/>
                <w:sz w:val="21"/>
                <w:szCs w:val="21"/>
              </w:rPr>
              <w:t>硫化氢</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0.0009</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2.78</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6.66</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786"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74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21"/>
                <w:lang w:eastAsia="zh-CN"/>
              </w:rPr>
            </w:pPr>
          </w:p>
        </w:tc>
        <w:tc>
          <w:tcPr>
            <w:tcW w:w="9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napToGrid w:val="0"/>
                <w:kern w:val="18"/>
                <w:sz w:val="21"/>
                <w:szCs w:val="21"/>
              </w:rPr>
              <w:t>非甲烷总烃</w:t>
            </w:r>
          </w:p>
        </w:tc>
        <w:tc>
          <w:tcPr>
            <w:tcW w:w="88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sz w:val="21"/>
                <w:szCs w:val="21"/>
                <w:lang w:val="en-US" w:eastAsia="zh-CN"/>
              </w:rPr>
              <w:t>0.94</w:t>
            </w:r>
          </w:p>
        </w:tc>
        <w:tc>
          <w:tcPr>
            <w:tcW w:w="835"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2.81</w:t>
            </w:r>
            <w:r>
              <w:rPr>
                <w:rFonts w:cs="Times New Roman"/>
                <w:sz w:val="21"/>
                <w:szCs w:val="21"/>
                <w:u w:val="single"/>
              </w:rPr>
              <w:t>×10</w:t>
            </w:r>
            <w:r>
              <w:rPr>
                <w:rFonts w:cs="Times New Roman"/>
                <w:sz w:val="21"/>
                <w:szCs w:val="21"/>
                <w:u w:val="single"/>
                <w:vertAlign w:val="superscript"/>
              </w:rPr>
              <w:t>-3</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6.75</w:t>
            </w:r>
            <w:r>
              <w:rPr>
                <w:rFonts w:cs="Times New Roman"/>
                <w:sz w:val="21"/>
                <w:szCs w:val="21"/>
                <w:u w:val="single"/>
              </w:rPr>
              <w:t>×10</w:t>
            </w:r>
            <w:r>
              <w:rPr>
                <w:rFonts w:cs="Times New Roman"/>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pct"/>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合计</w:t>
            </w:r>
          </w:p>
        </w:tc>
        <w:tc>
          <w:tcPr>
            <w:tcW w:w="266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颗粒物</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lang w:val="en-US" w:eastAsia="zh-CN"/>
              </w:rPr>
            </w:pPr>
            <w:r>
              <w:rPr>
                <w:rFonts w:hint="eastAsia" w:cs="Times New Roman"/>
                <w:sz w:val="21"/>
                <w:szCs w:val="21"/>
                <w:u w:val="single"/>
                <w:lang w:val="en-US" w:eastAsia="zh-CN"/>
              </w:rPr>
              <w:t>0.1397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pct"/>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266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非甲烷总烃</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lang w:val="en-US" w:eastAsia="zh-CN"/>
              </w:rPr>
            </w:pPr>
            <w:r>
              <w:rPr>
                <w:rFonts w:hint="eastAsia" w:cs="Times New Roman"/>
                <w:sz w:val="21"/>
                <w:szCs w:val="21"/>
                <w:lang w:val="en-US" w:eastAsia="zh-CN"/>
              </w:rPr>
              <w:t>0.27975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pct"/>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266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苯乙烯</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lang w:val="en-US" w:eastAsia="zh-CN"/>
              </w:rPr>
            </w:pPr>
            <w:r>
              <w:rPr>
                <w:rFonts w:hint="eastAsia" w:cs="Times New Roman"/>
                <w:sz w:val="21"/>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pct"/>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266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氨</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1.73</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8" w:type="pct"/>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2669"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硫化氢</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6.66</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有组织排放总计</w:t>
            </w:r>
          </w:p>
        </w:tc>
        <w:tc>
          <w:tcPr>
            <w:tcW w:w="3434" w:type="pct"/>
            <w:gridSpan w:val="5"/>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颗粒物</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lang w:val="en-US" w:eastAsia="zh-CN"/>
              </w:rPr>
            </w:pPr>
            <w:r>
              <w:rPr>
                <w:rFonts w:hint="eastAsia" w:cs="Times New Roman"/>
                <w:sz w:val="21"/>
                <w:szCs w:val="21"/>
                <w:u w:val="single"/>
                <w:lang w:val="en-US" w:eastAsia="zh-CN"/>
              </w:rPr>
              <w:t>0.1397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3434" w:type="pct"/>
            <w:gridSpan w:val="5"/>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氨</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1.73</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3434" w:type="pct"/>
            <w:gridSpan w:val="5"/>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硫化氢</w:t>
            </w:r>
          </w:p>
        </w:tc>
        <w:tc>
          <w:tcPr>
            <w:tcW w:w="80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cs="Times New Roman"/>
                <w:sz w:val="21"/>
                <w:szCs w:val="21"/>
              </w:rPr>
            </w:pPr>
            <w:r>
              <w:rPr>
                <w:rFonts w:hint="eastAsia" w:cs="Times New Roman"/>
                <w:sz w:val="21"/>
                <w:szCs w:val="21"/>
                <w:u w:val="single"/>
                <w:lang w:val="en-US" w:eastAsia="zh-CN"/>
              </w:rPr>
              <w:t>6.66</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1714" w:type="pct"/>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VOCs</w:t>
            </w:r>
          </w:p>
        </w:tc>
        <w:tc>
          <w:tcPr>
            <w:tcW w:w="1720"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非甲烷总烃</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hint="eastAsia" w:cs="Times New Roman"/>
                <w:sz w:val="21"/>
                <w:szCs w:val="21"/>
                <w:lang w:val="en-US" w:eastAsia="zh-CN"/>
              </w:rPr>
              <w:t>0.27975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1714" w:type="pct"/>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p>
        </w:tc>
        <w:tc>
          <w:tcPr>
            <w:tcW w:w="1720"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苯乙烯</w:t>
            </w:r>
          </w:p>
        </w:tc>
        <w:tc>
          <w:tcPr>
            <w:tcW w:w="80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hint="eastAsia" w:cs="Times New Roman"/>
                <w:sz w:val="21"/>
                <w:szCs w:val="21"/>
                <w:lang w:val="en-US" w:eastAsia="zh-CN"/>
              </w:rPr>
              <w:t>0.076</w:t>
            </w:r>
          </w:p>
        </w:tc>
      </w:tr>
    </w:tbl>
    <w:p>
      <w:pPr>
        <w:pStyle w:val="31"/>
        <w:autoSpaceDN/>
        <w:ind w:firstLine="482"/>
        <w:rPr>
          <w:rFonts w:hint="eastAsia" w:ascii="Times New Roman" w:hAnsi="Times New Roman" w:cs="Times New Roman"/>
          <w:b/>
          <w:bCs/>
          <w:szCs w:val="24"/>
          <w:lang w:val="en-US"/>
        </w:rPr>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3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b/>
          <w:bCs/>
          <w:szCs w:val="24"/>
          <w:lang w:val="en-US"/>
        </w:rPr>
      </w:pPr>
      <w:r>
        <w:rPr>
          <w:rFonts w:hint="eastAsia" w:ascii="Times New Roman" w:hAnsi="Times New Roman" w:cs="Times New Roman"/>
          <w:b/>
          <w:bCs/>
          <w:szCs w:val="24"/>
          <w:lang w:val="en-US"/>
        </w:rPr>
        <w:t>表4.2</w:t>
      </w:r>
      <w:r>
        <w:rPr>
          <w:rFonts w:ascii="Times New Roman" w:hAnsi="Times New Roman" w:cs="Times New Roman"/>
          <w:b/>
          <w:bCs/>
          <w:szCs w:val="24"/>
          <w:lang w:val="en-US"/>
        </w:rPr>
        <w:t>-</w:t>
      </w:r>
      <w:r>
        <w:rPr>
          <w:rFonts w:hint="eastAsia" w:ascii="Times New Roman" w:hAnsi="Times New Roman" w:cs="Times New Roman"/>
          <w:b/>
          <w:bCs/>
          <w:szCs w:val="24"/>
          <w:lang w:val="en-US" w:eastAsia="zh-CN"/>
        </w:rPr>
        <w:t>5</w:t>
      </w:r>
      <w:r>
        <w:rPr>
          <w:rFonts w:hint="eastAsia" w:ascii="Times New Roman" w:hAnsi="Times New Roman" w:cs="Times New Roman"/>
          <w:b/>
          <w:bCs/>
          <w:szCs w:val="24"/>
          <w:lang w:val="en-US"/>
        </w:rPr>
        <w:t xml:space="preserve"> </w:t>
      </w:r>
      <w:r>
        <w:rPr>
          <w:rFonts w:ascii="Times New Roman" w:hAnsi="Times New Roman" w:cs="Times New Roman"/>
          <w:b/>
          <w:bCs/>
          <w:szCs w:val="24"/>
          <w:lang w:val="en-US"/>
        </w:rPr>
        <w:t xml:space="preserve"> </w:t>
      </w:r>
      <w:r>
        <w:rPr>
          <w:rFonts w:hint="eastAsia" w:ascii="Times New Roman" w:hAnsi="Times New Roman" w:cs="Times New Roman"/>
          <w:b/>
          <w:bCs/>
          <w:szCs w:val="24"/>
          <w:lang w:val="en-US"/>
        </w:rPr>
        <w:t>本项目</w:t>
      </w:r>
      <w:r>
        <w:rPr>
          <w:rFonts w:hint="eastAsia" w:ascii="Times New Roman" w:hAnsi="Times New Roman" w:cs="Times New Roman"/>
          <w:b/>
          <w:bCs/>
          <w:szCs w:val="24"/>
          <w:lang w:val="en-US" w:eastAsia="zh-CN"/>
        </w:rPr>
        <w:t>无</w:t>
      </w:r>
      <w:r>
        <w:rPr>
          <w:rFonts w:hint="eastAsia" w:ascii="Times New Roman" w:hAnsi="Times New Roman" w:cs="Times New Roman"/>
          <w:b/>
          <w:bCs/>
          <w:szCs w:val="24"/>
          <w:lang w:val="en-US"/>
        </w:rPr>
        <w:t>组织废气产生及排放情况表</w:t>
      </w:r>
    </w:p>
    <w:tbl>
      <w:tblPr>
        <w:tblStyle w:val="21"/>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7"/>
        <w:gridCol w:w="1411"/>
        <w:gridCol w:w="864"/>
        <w:gridCol w:w="1069"/>
        <w:gridCol w:w="917"/>
        <w:gridCol w:w="1751"/>
        <w:gridCol w:w="1877"/>
        <w:gridCol w:w="1967"/>
        <w:gridCol w:w="1529"/>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34" w:type="pct"/>
            <w:vMerge w:val="restar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污染源</w:t>
            </w:r>
          </w:p>
        </w:tc>
        <w:tc>
          <w:tcPr>
            <w:tcW w:w="503" w:type="pct"/>
            <w:vMerge w:val="restar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污染物</w:t>
            </w:r>
          </w:p>
          <w:p>
            <w:pPr>
              <w:adjustRightInd w:val="0"/>
              <w:snapToGrid w:val="0"/>
              <w:spacing w:line="240" w:lineRule="auto"/>
              <w:ind w:firstLine="0" w:firstLineChars="0"/>
              <w:jc w:val="center"/>
              <w:rPr>
                <w:rFonts w:cs="Times New Roman"/>
                <w:b/>
                <w:sz w:val="21"/>
                <w:szCs w:val="21"/>
              </w:rPr>
            </w:pPr>
            <w:r>
              <w:rPr>
                <w:rFonts w:cs="Times New Roman"/>
                <w:b/>
                <w:sz w:val="21"/>
                <w:szCs w:val="21"/>
              </w:rPr>
              <w:t>名称</w:t>
            </w:r>
          </w:p>
        </w:tc>
        <w:tc>
          <w:tcPr>
            <w:tcW w:w="1016" w:type="pct"/>
            <w:gridSpan w:val="3"/>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面源</w:t>
            </w:r>
          </w:p>
        </w:tc>
        <w:tc>
          <w:tcPr>
            <w:tcW w:w="1289" w:type="pct"/>
            <w:gridSpan w:val="2"/>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产生情况</w:t>
            </w:r>
          </w:p>
        </w:tc>
        <w:tc>
          <w:tcPr>
            <w:tcW w:w="701" w:type="pct"/>
            <w:vMerge w:val="restar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防治措施</w:t>
            </w:r>
          </w:p>
        </w:tc>
        <w:tc>
          <w:tcPr>
            <w:tcW w:w="1154" w:type="pct"/>
            <w:gridSpan w:val="2"/>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34" w:type="pct"/>
            <w:vMerge w:val="continue"/>
            <w:noWrap w:val="0"/>
            <w:vAlign w:val="center"/>
          </w:tcPr>
          <w:p>
            <w:pPr>
              <w:adjustRightInd w:val="0"/>
              <w:snapToGrid w:val="0"/>
              <w:spacing w:line="240" w:lineRule="auto"/>
              <w:ind w:firstLine="0" w:firstLineChars="0"/>
              <w:jc w:val="center"/>
              <w:rPr>
                <w:rFonts w:cs="Times New Roman"/>
                <w:b/>
                <w:sz w:val="21"/>
                <w:szCs w:val="21"/>
              </w:rPr>
            </w:pPr>
          </w:p>
        </w:tc>
        <w:tc>
          <w:tcPr>
            <w:tcW w:w="503" w:type="pct"/>
            <w:vMerge w:val="continue"/>
            <w:noWrap w:val="0"/>
            <w:vAlign w:val="center"/>
          </w:tcPr>
          <w:p>
            <w:pPr>
              <w:adjustRightInd w:val="0"/>
              <w:snapToGrid w:val="0"/>
              <w:spacing w:line="240" w:lineRule="auto"/>
              <w:ind w:firstLine="0" w:firstLineChars="0"/>
              <w:jc w:val="center"/>
              <w:rPr>
                <w:rFonts w:cs="Times New Roman"/>
                <w:b/>
                <w:sz w:val="21"/>
                <w:szCs w:val="21"/>
              </w:rPr>
            </w:pPr>
          </w:p>
        </w:tc>
        <w:tc>
          <w:tcPr>
            <w:tcW w:w="308"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长(m)</w:t>
            </w:r>
          </w:p>
        </w:tc>
        <w:tc>
          <w:tcPr>
            <w:tcW w:w="381"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宽(m)</w:t>
            </w:r>
          </w:p>
        </w:tc>
        <w:tc>
          <w:tcPr>
            <w:tcW w:w="325"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高(m)</w:t>
            </w:r>
          </w:p>
        </w:tc>
        <w:tc>
          <w:tcPr>
            <w:tcW w:w="624"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速率(kg/h)</w:t>
            </w:r>
          </w:p>
        </w:tc>
        <w:tc>
          <w:tcPr>
            <w:tcW w:w="665"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产生量(t/a)</w:t>
            </w:r>
          </w:p>
        </w:tc>
        <w:tc>
          <w:tcPr>
            <w:tcW w:w="701" w:type="pct"/>
            <w:vMerge w:val="continue"/>
            <w:noWrap w:val="0"/>
            <w:vAlign w:val="center"/>
          </w:tcPr>
          <w:p>
            <w:pPr>
              <w:adjustRightInd w:val="0"/>
              <w:snapToGrid w:val="0"/>
              <w:spacing w:line="240" w:lineRule="auto"/>
              <w:ind w:firstLine="0" w:firstLineChars="0"/>
              <w:jc w:val="center"/>
              <w:rPr>
                <w:rFonts w:cs="Times New Roman"/>
                <w:b/>
                <w:sz w:val="21"/>
                <w:szCs w:val="21"/>
              </w:rPr>
            </w:pPr>
          </w:p>
        </w:tc>
        <w:tc>
          <w:tcPr>
            <w:tcW w:w="544"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速率(kg/h)</w:t>
            </w:r>
          </w:p>
        </w:tc>
        <w:tc>
          <w:tcPr>
            <w:tcW w:w="609" w:type="pct"/>
            <w:noWrap w:val="0"/>
            <w:vAlign w:val="center"/>
          </w:tcPr>
          <w:p>
            <w:pPr>
              <w:adjustRightInd w:val="0"/>
              <w:snapToGrid w:val="0"/>
              <w:spacing w:line="240" w:lineRule="auto"/>
              <w:ind w:firstLine="0" w:firstLineChars="0"/>
              <w:jc w:val="center"/>
              <w:rPr>
                <w:rFonts w:cs="Times New Roman"/>
                <w:b/>
                <w:sz w:val="21"/>
                <w:szCs w:val="21"/>
              </w:rPr>
            </w:pPr>
            <w:r>
              <w:rPr>
                <w:rFonts w:cs="Times New Roman"/>
                <w:b/>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4" w:type="pct"/>
            <w:noWrap w:val="0"/>
            <w:vAlign w:val="center"/>
          </w:tcPr>
          <w:p>
            <w:pPr>
              <w:adjustRightInd w:val="0"/>
              <w:snapToGrid w:val="0"/>
              <w:spacing w:line="240" w:lineRule="auto"/>
              <w:ind w:firstLine="0" w:firstLineChars="0"/>
              <w:jc w:val="center"/>
              <w:rPr>
                <w:rFonts w:hint="eastAsia" w:eastAsia="宋体" w:cs="Times New Roman"/>
                <w:snapToGrid w:val="0"/>
                <w:kern w:val="18"/>
                <w:sz w:val="21"/>
                <w:szCs w:val="21"/>
                <w:lang w:eastAsia="zh-CN"/>
              </w:rPr>
            </w:pPr>
            <w:r>
              <w:rPr>
                <w:rFonts w:hint="eastAsia" w:cs="Times New Roman"/>
                <w:snapToGrid w:val="0"/>
                <w:kern w:val="18"/>
                <w:sz w:val="21"/>
                <w:szCs w:val="21"/>
                <w:lang w:eastAsia="zh-CN"/>
              </w:rPr>
              <w:t>破碎车间</w:t>
            </w: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颗粒物</w:t>
            </w:r>
          </w:p>
        </w:tc>
        <w:tc>
          <w:tcPr>
            <w:tcW w:w="308" w:type="pct"/>
            <w:noWrap w:val="0"/>
            <w:vAlign w:val="center"/>
          </w:tcPr>
          <w:p>
            <w:pPr>
              <w:widowControl/>
              <w:adjustRightInd w:val="0"/>
              <w:snapToGrid w:val="0"/>
              <w:spacing w:line="240" w:lineRule="auto"/>
              <w:ind w:firstLine="0" w:firstLineChars="0"/>
              <w:jc w:val="center"/>
              <w:rPr>
                <w:rFonts w:hint="default" w:eastAsia="宋体" w:cs="Times New Roman"/>
                <w:kern w:val="0"/>
                <w:sz w:val="21"/>
                <w:szCs w:val="21"/>
                <w:lang w:val="en-US" w:eastAsia="zh-CN"/>
              </w:rPr>
            </w:pPr>
            <w:r>
              <w:rPr>
                <w:rFonts w:hint="eastAsia" w:cs="Times New Roman"/>
                <w:kern w:val="0"/>
                <w:sz w:val="21"/>
                <w:szCs w:val="21"/>
                <w:lang w:val="en-US" w:eastAsia="zh-CN"/>
              </w:rPr>
              <w:t>90</w:t>
            </w:r>
          </w:p>
        </w:tc>
        <w:tc>
          <w:tcPr>
            <w:tcW w:w="381" w:type="pct"/>
            <w:noWrap w:val="0"/>
            <w:vAlign w:val="center"/>
          </w:tcPr>
          <w:p>
            <w:pPr>
              <w:widowControl/>
              <w:adjustRightInd w:val="0"/>
              <w:snapToGrid w:val="0"/>
              <w:spacing w:line="240" w:lineRule="auto"/>
              <w:ind w:firstLine="0" w:firstLineChars="0"/>
              <w:jc w:val="center"/>
              <w:rPr>
                <w:rFonts w:hint="default" w:eastAsia="宋体" w:cs="Times New Roman"/>
                <w:kern w:val="0"/>
                <w:sz w:val="21"/>
                <w:szCs w:val="21"/>
                <w:lang w:val="en-US" w:eastAsia="zh-CN"/>
              </w:rPr>
            </w:pPr>
            <w:r>
              <w:rPr>
                <w:rFonts w:hint="eastAsia" w:cs="Times New Roman"/>
                <w:kern w:val="0"/>
                <w:sz w:val="21"/>
                <w:szCs w:val="21"/>
                <w:lang w:val="en-US" w:eastAsia="zh-CN"/>
              </w:rPr>
              <w:t>20</w:t>
            </w:r>
          </w:p>
        </w:tc>
        <w:tc>
          <w:tcPr>
            <w:tcW w:w="325" w:type="pct"/>
            <w:noWrap w:val="0"/>
            <w:vAlign w:val="center"/>
          </w:tcPr>
          <w:p>
            <w:pPr>
              <w:widowControl/>
              <w:adjustRightInd w:val="0"/>
              <w:snapToGrid w:val="0"/>
              <w:spacing w:line="240" w:lineRule="auto"/>
              <w:ind w:firstLine="0" w:firstLineChars="0"/>
              <w:jc w:val="center"/>
              <w:rPr>
                <w:rFonts w:hint="eastAsia" w:eastAsia="宋体" w:cs="Times New Roman"/>
                <w:kern w:val="0"/>
                <w:sz w:val="21"/>
                <w:szCs w:val="21"/>
                <w:lang w:val="en-US" w:eastAsia="zh-CN"/>
              </w:rPr>
            </w:pPr>
            <w:r>
              <w:rPr>
                <w:rFonts w:hint="eastAsia" w:cs="Times New Roman"/>
                <w:kern w:val="0"/>
                <w:sz w:val="21"/>
                <w:szCs w:val="21"/>
                <w:lang w:val="en-US" w:eastAsia="zh-CN"/>
              </w:rPr>
              <w:t>8</w:t>
            </w:r>
          </w:p>
        </w:tc>
        <w:tc>
          <w:tcPr>
            <w:tcW w:w="624" w:type="pc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0.0521</w:t>
            </w:r>
          </w:p>
        </w:tc>
        <w:tc>
          <w:tcPr>
            <w:tcW w:w="665" w:type="pct"/>
            <w:noWrap w:val="0"/>
            <w:vAlign w:val="center"/>
          </w:tcPr>
          <w:p>
            <w:pPr>
              <w:adjustRightInd w:val="0"/>
              <w:snapToGrid w:val="0"/>
              <w:spacing w:line="240" w:lineRule="auto"/>
              <w:ind w:firstLine="0" w:firstLineChars="0"/>
              <w:jc w:val="center"/>
              <w:rPr>
                <w:rFonts w:hint="default" w:eastAsia="宋体" w:cs="Times New Roman"/>
                <w:kern w:val="0"/>
                <w:sz w:val="21"/>
                <w:szCs w:val="21"/>
                <w:lang w:val="en-US" w:eastAsia="zh-CN"/>
              </w:rPr>
            </w:pPr>
            <w:r>
              <w:rPr>
                <w:rFonts w:hint="eastAsia" w:cs="Times New Roman"/>
                <w:kern w:val="0"/>
                <w:sz w:val="21"/>
                <w:szCs w:val="21"/>
                <w:lang w:val="en-US" w:eastAsia="zh-CN"/>
              </w:rPr>
              <w:t>0.125</w:t>
            </w:r>
          </w:p>
        </w:tc>
        <w:tc>
          <w:tcPr>
            <w:tcW w:w="701" w:type="pct"/>
            <w:noWrap w:val="0"/>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密闭空间自然沉降</w:t>
            </w:r>
          </w:p>
        </w:tc>
        <w:tc>
          <w:tcPr>
            <w:tcW w:w="544" w:type="pct"/>
            <w:noWrap w:val="0"/>
            <w:vAlign w:val="center"/>
          </w:tcPr>
          <w:p>
            <w:pPr>
              <w:widowControl/>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lang w:val="en-US" w:eastAsia="zh-CN"/>
              </w:rPr>
              <w:t>0.021</w:t>
            </w:r>
          </w:p>
        </w:tc>
        <w:tc>
          <w:tcPr>
            <w:tcW w:w="609" w:type="pct"/>
            <w:noWrap w:val="0"/>
            <w:vAlign w:val="center"/>
          </w:tcPr>
          <w:p>
            <w:pPr>
              <w:adjustRightInd w:val="0"/>
              <w:snapToGrid w:val="0"/>
              <w:spacing w:line="240" w:lineRule="auto"/>
              <w:ind w:firstLine="0" w:firstLineChars="0"/>
              <w:jc w:val="center"/>
              <w:rPr>
                <w:rFonts w:hint="default" w:cs="Times New Roman"/>
                <w:kern w:val="0"/>
                <w:sz w:val="21"/>
                <w:szCs w:val="21"/>
                <w:lang w:val="en-US"/>
              </w:rPr>
            </w:pPr>
            <w:r>
              <w:rPr>
                <w:rFonts w:hint="eastAsia" w:cs="Times New Roman"/>
                <w:kern w:val="0"/>
                <w:sz w:val="21"/>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334" w:type="pct"/>
            <w:vMerge w:val="restart"/>
            <w:noWrap w:val="0"/>
            <w:vAlign w:val="center"/>
          </w:tcPr>
          <w:p>
            <w:pPr>
              <w:adjustRightInd w:val="0"/>
              <w:snapToGrid w:val="0"/>
              <w:spacing w:line="240" w:lineRule="auto"/>
              <w:ind w:firstLine="0" w:firstLineChars="0"/>
              <w:jc w:val="center"/>
              <w:rPr>
                <w:rFonts w:hint="eastAsia" w:eastAsia="宋体" w:cs="Times New Roman"/>
                <w:snapToGrid w:val="0"/>
                <w:kern w:val="18"/>
                <w:sz w:val="21"/>
                <w:szCs w:val="21"/>
                <w:lang w:eastAsia="zh-CN"/>
              </w:rPr>
            </w:pPr>
            <w:r>
              <w:rPr>
                <w:rFonts w:hint="eastAsia" w:cs="Times New Roman"/>
                <w:snapToGrid w:val="0"/>
                <w:kern w:val="18"/>
                <w:sz w:val="21"/>
                <w:szCs w:val="21"/>
                <w:lang w:eastAsia="zh-CN"/>
              </w:rPr>
              <w:t>造粒、注塑车间</w:t>
            </w: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非甲烷总烃</w:t>
            </w:r>
          </w:p>
        </w:tc>
        <w:tc>
          <w:tcPr>
            <w:tcW w:w="308" w:type="pct"/>
            <w:vMerge w:val="restar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100</w:t>
            </w:r>
          </w:p>
        </w:tc>
        <w:tc>
          <w:tcPr>
            <w:tcW w:w="381" w:type="pct"/>
            <w:vMerge w:val="restar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55</w:t>
            </w:r>
          </w:p>
        </w:tc>
        <w:tc>
          <w:tcPr>
            <w:tcW w:w="325" w:type="pct"/>
            <w:vMerge w:val="restart"/>
            <w:noWrap w:val="0"/>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8</w:t>
            </w:r>
          </w:p>
        </w:tc>
        <w:tc>
          <w:tcPr>
            <w:tcW w:w="624" w:type="pc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0.047</w:t>
            </w:r>
          </w:p>
        </w:tc>
        <w:tc>
          <w:tcPr>
            <w:tcW w:w="665" w:type="pct"/>
            <w:noWrap w:val="0"/>
            <w:vAlign w:val="center"/>
          </w:tcPr>
          <w:p>
            <w:pPr>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0.101</w:t>
            </w:r>
          </w:p>
        </w:tc>
        <w:tc>
          <w:tcPr>
            <w:tcW w:w="701" w:type="pct"/>
            <w:vMerge w:val="restart"/>
            <w:noWrap w:val="0"/>
            <w:vAlign w:val="center"/>
          </w:tcPr>
          <w:p>
            <w:pPr>
              <w:widowControl/>
              <w:adjustRightInd w:val="0"/>
              <w:snapToGrid w:val="0"/>
              <w:spacing w:line="240" w:lineRule="auto"/>
              <w:ind w:firstLine="0" w:firstLineChars="0"/>
              <w:jc w:val="center"/>
              <w:rPr>
                <w:rFonts w:cs="Times New Roman"/>
                <w:sz w:val="21"/>
                <w:szCs w:val="21"/>
              </w:rPr>
            </w:pPr>
            <w:r>
              <w:rPr>
                <w:rFonts w:hint="eastAsia" w:cs="Times New Roman"/>
                <w:sz w:val="21"/>
                <w:szCs w:val="21"/>
                <w:lang w:eastAsia="zh-CN"/>
              </w:rPr>
              <w:t>车间二次密闭</w:t>
            </w:r>
          </w:p>
        </w:tc>
        <w:tc>
          <w:tcPr>
            <w:tcW w:w="544" w:type="pct"/>
            <w:noWrap w:val="0"/>
            <w:vAlign w:val="center"/>
          </w:tcPr>
          <w:p>
            <w:pPr>
              <w:widowControl/>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lang w:val="en-US" w:eastAsia="zh-CN"/>
              </w:rPr>
              <w:t>0.047</w:t>
            </w:r>
          </w:p>
        </w:tc>
        <w:tc>
          <w:tcPr>
            <w:tcW w:w="609" w:type="pct"/>
            <w:noWrap w:val="0"/>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334" w:type="pct"/>
            <w:vMerge w:val="continue"/>
            <w:noWrap w:val="0"/>
            <w:vAlign w:val="center"/>
          </w:tcPr>
          <w:p>
            <w:pPr>
              <w:adjustRightInd w:val="0"/>
              <w:snapToGrid w:val="0"/>
              <w:spacing w:line="240" w:lineRule="auto"/>
              <w:ind w:firstLine="0" w:firstLineChars="0"/>
              <w:jc w:val="center"/>
              <w:rPr>
                <w:rFonts w:cs="Times New Roman"/>
                <w:snapToGrid w:val="0"/>
                <w:kern w:val="18"/>
                <w:sz w:val="21"/>
                <w:szCs w:val="21"/>
              </w:rPr>
            </w:pP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hint="eastAsia" w:cs="Times New Roman"/>
                <w:snapToGrid w:val="0"/>
                <w:kern w:val="18"/>
                <w:sz w:val="21"/>
                <w:szCs w:val="21"/>
                <w:lang w:eastAsia="zh-CN"/>
              </w:rPr>
              <w:t>苯乙烯</w:t>
            </w:r>
          </w:p>
        </w:tc>
        <w:tc>
          <w:tcPr>
            <w:tcW w:w="308"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8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25"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624" w:type="pc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0.024</w:t>
            </w:r>
          </w:p>
        </w:tc>
        <w:tc>
          <w:tcPr>
            <w:tcW w:w="665" w:type="pct"/>
            <w:noWrap w:val="0"/>
            <w:vAlign w:val="center"/>
          </w:tcPr>
          <w:p>
            <w:pPr>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0.056</w:t>
            </w:r>
          </w:p>
        </w:tc>
        <w:tc>
          <w:tcPr>
            <w:tcW w:w="70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544" w:type="pct"/>
            <w:noWrap w:val="0"/>
            <w:vAlign w:val="center"/>
          </w:tcPr>
          <w:p>
            <w:pPr>
              <w:widowControl/>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lang w:val="en-US" w:eastAsia="zh-CN"/>
              </w:rPr>
              <w:t>0.024</w:t>
            </w:r>
          </w:p>
        </w:tc>
        <w:tc>
          <w:tcPr>
            <w:tcW w:w="609" w:type="pct"/>
            <w:noWrap w:val="0"/>
            <w:vAlign w:val="center"/>
          </w:tcPr>
          <w:p>
            <w:pPr>
              <w:adjustRightInd w:val="0"/>
              <w:snapToGrid w:val="0"/>
              <w:spacing w:line="240" w:lineRule="auto"/>
              <w:ind w:firstLine="0" w:firstLineChars="0"/>
              <w:jc w:val="center"/>
              <w:rPr>
                <w:rFonts w:hint="default" w:cs="Times New Roman"/>
                <w:sz w:val="21"/>
                <w:szCs w:val="21"/>
                <w:lang w:val="en-US"/>
              </w:rPr>
            </w:pPr>
            <w:r>
              <w:rPr>
                <w:rFonts w:hint="eastAsia" w:cs="Times New Roman"/>
                <w:sz w:val="21"/>
                <w:szCs w:val="21"/>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334" w:type="pct"/>
            <w:vMerge w:val="continue"/>
            <w:noWrap w:val="0"/>
            <w:vAlign w:val="center"/>
          </w:tcPr>
          <w:p>
            <w:pPr>
              <w:adjustRightInd w:val="0"/>
              <w:snapToGrid w:val="0"/>
              <w:spacing w:line="240" w:lineRule="auto"/>
              <w:ind w:firstLine="0" w:firstLineChars="0"/>
              <w:jc w:val="center"/>
              <w:rPr>
                <w:rFonts w:cs="Times New Roman"/>
                <w:snapToGrid w:val="0"/>
                <w:kern w:val="18"/>
                <w:sz w:val="21"/>
                <w:szCs w:val="21"/>
              </w:rPr>
            </w:pPr>
          </w:p>
        </w:tc>
        <w:tc>
          <w:tcPr>
            <w:tcW w:w="503" w:type="pct"/>
            <w:noWrap w:val="0"/>
            <w:vAlign w:val="center"/>
          </w:tcPr>
          <w:p>
            <w:pPr>
              <w:adjustRightInd w:val="0"/>
              <w:snapToGrid w:val="0"/>
              <w:spacing w:line="240" w:lineRule="auto"/>
              <w:ind w:firstLine="0" w:firstLineChars="0"/>
              <w:jc w:val="center"/>
              <w:rPr>
                <w:rFonts w:hint="eastAsia" w:cs="Times New Roman"/>
                <w:snapToGrid w:val="0"/>
                <w:kern w:val="18"/>
                <w:sz w:val="21"/>
                <w:szCs w:val="21"/>
                <w:lang w:eastAsia="zh-CN"/>
              </w:rPr>
            </w:pPr>
            <w:r>
              <w:rPr>
                <w:rFonts w:hint="eastAsia" w:cs="Times New Roman"/>
                <w:snapToGrid w:val="0"/>
                <w:kern w:val="18"/>
                <w:sz w:val="21"/>
                <w:szCs w:val="21"/>
                <w:lang w:eastAsia="zh-CN"/>
              </w:rPr>
              <w:t>颗粒物</w:t>
            </w:r>
          </w:p>
        </w:tc>
        <w:tc>
          <w:tcPr>
            <w:tcW w:w="308"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8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25"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624" w:type="pct"/>
            <w:noWrap w:val="0"/>
            <w:vAlign w:val="center"/>
          </w:tcPr>
          <w:p>
            <w:pPr>
              <w:widowControl/>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0.001</w:t>
            </w:r>
          </w:p>
        </w:tc>
        <w:tc>
          <w:tcPr>
            <w:tcW w:w="665" w:type="pct"/>
            <w:noWrap w:val="0"/>
            <w:vAlign w:val="center"/>
          </w:tcPr>
          <w:p>
            <w:pPr>
              <w:adjustRightInd w:val="0"/>
              <w:snapToGrid w:val="0"/>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0.003</w:t>
            </w:r>
          </w:p>
        </w:tc>
        <w:tc>
          <w:tcPr>
            <w:tcW w:w="70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544" w:type="pct"/>
            <w:noWrap w:val="0"/>
            <w:vAlign w:val="center"/>
          </w:tcPr>
          <w:p>
            <w:pPr>
              <w:widowControl/>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0.001</w:t>
            </w:r>
          </w:p>
        </w:tc>
        <w:tc>
          <w:tcPr>
            <w:tcW w:w="609" w:type="pct"/>
            <w:noWrap w:val="0"/>
            <w:vAlign w:val="center"/>
          </w:tcPr>
          <w:p>
            <w:pPr>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4" w:type="pct"/>
            <w:vMerge w:val="restar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污水处理站</w:t>
            </w: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氨</w:t>
            </w:r>
          </w:p>
        </w:tc>
        <w:tc>
          <w:tcPr>
            <w:tcW w:w="308" w:type="pct"/>
            <w:vMerge w:val="restart"/>
            <w:noWrap w:val="0"/>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5</w:t>
            </w:r>
          </w:p>
        </w:tc>
        <w:tc>
          <w:tcPr>
            <w:tcW w:w="381" w:type="pct"/>
            <w:vMerge w:val="restart"/>
            <w:noWrap w:val="0"/>
            <w:vAlign w:val="center"/>
          </w:tcPr>
          <w:p>
            <w:pPr>
              <w:widowControl/>
              <w:adjustRightInd w:val="0"/>
              <w:snapToGrid w:val="0"/>
              <w:spacing w:line="240" w:lineRule="auto"/>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3</w:t>
            </w:r>
          </w:p>
        </w:tc>
        <w:tc>
          <w:tcPr>
            <w:tcW w:w="325" w:type="pct"/>
            <w:vMerge w:val="restart"/>
            <w:noWrap w:val="0"/>
            <w:vAlign w:val="center"/>
          </w:tcPr>
          <w:p>
            <w:pPr>
              <w:widowControl/>
              <w:adjustRightInd w:val="0"/>
              <w:snapToGrid w:val="0"/>
              <w:spacing w:line="240" w:lineRule="auto"/>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2.6</w:t>
            </w:r>
          </w:p>
        </w:tc>
        <w:tc>
          <w:tcPr>
            <w:tcW w:w="624" w:type="pct"/>
            <w:noWrap w:val="0"/>
            <w:vAlign w:val="center"/>
          </w:tcPr>
          <w:p>
            <w:pPr>
              <w:widowControl/>
              <w:adjustRightInd w:val="0"/>
              <w:snapToGrid w:val="0"/>
              <w:spacing w:line="240" w:lineRule="auto"/>
              <w:ind w:firstLine="0" w:firstLineChars="0"/>
              <w:jc w:val="center"/>
              <w:rPr>
                <w:rFonts w:hint="eastAsia" w:eastAsia="宋体" w:cs="Times New Roman"/>
                <w:color w:val="auto"/>
                <w:kern w:val="0"/>
                <w:sz w:val="21"/>
                <w:szCs w:val="21"/>
                <w:lang w:val="en-US" w:eastAsia="zh-CN"/>
              </w:rPr>
            </w:pPr>
            <w:r>
              <w:rPr>
                <w:rFonts w:hint="eastAsia" w:cs="Times New Roman"/>
                <w:color w:val="auto"/>
                <w:sz w:val="21"/>
                <w:szCs w:val="21"/>
                <w:u w:val="single"/>
                <w:lang w:val="en-US" w:eastAsia="zh-CN"/>
              </w:rPr>
              <w:t>2</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c>
          <w:tcPr>
            <w:tcW w:w="665" w:type="pct"/>
            <w:noWrap w:val="0"/>
            <w:vAlign w:val="center"/>
          </w:tcPr>
          <w:p>
            <w:pPr>
              <w:adjustRightInd w:val="0"/>
              <w:snapToGrid w:val="0"/>
              <w:spacing w:line="240" w:lineRule="auto"/>
              <w:ind w:firstLine="0" w:firstLineChars="0"/>
              <w:jc w:val="center"/>
              <w:rPr>
                <w:rFonts w:hint="eastAsia" w:eastAsia="宋体" w:cs="Times New Roman"/>
                <w:color w:val="auto"/>
                <w:sz w:val="21"/>
                <w:szCs w:val="21"/>
                <w:lang w:val="en-US" w:eastAsia="zh-CN"/>
              </w:rPr>
            </w:pPr>
            <w:r>
              <w:rPr>
                <w:rFonts w:hint="eastAsia" w:cs="Times New Roman"/>
                <w:color w:val="auto"/>
                <w:sz w:val="21"/>
                <w:szCs w:val="21"/>
                <w:u w:val="single"/>
                <w:lang w:val="en-US" w:eastAsia="zh-CN"/>
              </w:rPr>
              <w:t>4.8</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c>
          <w:tcPr>
            <w:tcW w:w="701" w:type="pct"/>
            <w:vMerge w:val="restart"/>
            <w:noWrap w:val="0"/>
            <w:vAlign w:val="center"/>
          </w:tcPr>
          <w:p>
            <w:pPr>
              <w:widowControl/>
              <w:adjustRightInd w:val="0"/>
              <w:snapToGrid w:val="0"/>
              <w:spacing w:line="240" w:lineRule="auto"/>
              <w:ind w:firstLine="0" w:firstLineChars="0"/>
              <w:jc w:val="center"/>
              <w:rPr>
                <w:rFonts w:hint="eastAsia" w:eastAsia="宋体" w:cs="Times New Roman"/>
                <w:sz w:val="21"/>
                <w:szCs w:val="21"/>
                <w:lang w:eastAsia="zh-CN"/>
              </w:rPr>
            </w:pPr>
            <w:r>
              <w:rPr>
                <w:rFonts w:hint="eastAsia" w:cs="Times New Roman"/>
                <w:sz w:val="21"/>
                <w:szCs w:val="21"/>
                <w:lang w:eastAsia="zh-CN"/>
              </w:rPr>
              <w:t>污水处理站封闭</w:t>
            </w:r>
          </w:p>
        </w:tc>
        <w:tc>
          <w:tcPr>
            <w:tcW w:w="544" w:type="pct"/>
            <w:noWrap w:val="0"/>
            <w:vAlign w:val="center"/>
          </w:tcPr>
          <w:p>
            <w:pPr>
              <w:widowControl/>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sz w:val="21"/>
                <w:szCs w:val="21"/>
                <w:u w:val="single"/>
                <w:lang w:val="en-US" w:eastAsia="zh-CN"/>
              </w:rPr>
              <w:t>2</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c>
          <w:tcPr>
            <w:tcW w:w="609" w:type="pct"/>
            <w:noWrap w:val="0"/>
            <w:vAlign w:val="center"/>
          </w:tcPr>
          <w:p>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u w:val="single"/>
                <w:lang w:val="en-US" w:eastAsia="zh-CN"/>
              </w:rPr>
              <w:t>4.8</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4" w:type="pct"/>
            <w:vMerge w:val="continue"/>
            <w:noWrap w:val="0"/>
            <w:vAlign w:val="center"/>
          </w:tcPr>
          <w:p>
            <w:pPr>
              <w:adjustRightInd w:val="0"/>
              <w:snapToGrid w:val="0"/>
              <w:spacing w:line="240" w:lineRule="auto"/>
              <w:ind w:firstLine="0" w:firstLineChars="0"/>
              <w:jc w:val="center"/>
              <w:rPr>
                <w:rFonts w:cs="Times New Roman"/>
                <w:snapToGrid w:val="0"/>
                <w:kern w:val="18"/>
                <w:sz w:val="21"/>
                <w:szCs w:val="21"/>
              </w:rPr>
            </w:pP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硫化氢</w:t>
            </w:r>
          </w:p>
        </w:tc>
        <w:tc>
          <w:tcPr>
            <w:tcW w:w="308"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8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25"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624" w:type="pct"/>
            <w:noWrap w:val="0"/>
            <w:vAlign w:val="center"/>
          </w:tcPr>
          <w:p>
            <w:pPr>
              <w:widowControl/>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sz w:val="21"/>
                <w:szCs w:val="21"/>
                <w:u w:val="single"/>
                <w:lang w:val="en-US" w:eastAsia="zh-CN"/>
              </w:rPr>
              <w:t>7.71</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7</w:t>
            </w:r>
          </w:p>
        </w:tc>
        <w:tc>
          <w:tcPr>
            <w:tcW w:w="665" w:type="pct"/>
            <w:noWrap w:val="0"/>
            <w:vAlign w:val="center"/>
          </w:tcPr>
          <w:p>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c>
          <w:tcPr>
            <w:tcW w:w="70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544" w:type="pct"/>
            <w:noWrap w:val="0"/>
            <w:vAlign w:val="center"/>
          </w:tcPr>
          <w:p>
            <w:pPr>
              <w:widowControl/>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sz w:val="21"/>
                <w:szCs w:val="21"/>
                <w:u w:val="single"/>
                <w:lang w:val="en-US" w:eastAsia="zh-CN"/>
              </w:rPr>
              <w:t>7.71</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7</w:t>
            </w:r>
          </w:p>
        </w:tc>
        <w:tc>
          <w:tcPr>
            <w:tcW w:w="609" w:type="pct"/>
            <w:noWrap w:val="0"/>
            <w:vAlign w:val="center"/>
          </w:tcPr>
          <w:p>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4" w:type="pct"/>
            <w:vMerge w:val="continue"/>
            <w:noWrap w:val="0"/>
            <w:vAlign w:val="center"/>
          </w:tcPr>
          <w:p>
            <w:pPr>
              <w:adjustRightInd w:val="0"/>
              <w:snapToGrid w:val="0"/>
              <w:spacing w:line="240" w:lineRule="auto"/>
              <w:ind w:firstLine="0" w:firstLineChars="0"/>
              <w:jc w:val="center"/>
              <w:rPr>
                <w:rFonts w:cs="Times New Roman"/>
                <w:snapToGrid w:val="0"/>
                <w:kern w:val="18"/>
                <w:sz w:val="21"/>
                <w:szCs w:val="21"/>
              </w:rPr>
            </w:pPr>
          </w:p>
        </w:tc>
        <w:tc>
          <w:tcPr>
            <w:tcW w:w="503" w:type="pct"/>
            <w:noWrap w:val="0"/>
            <w:vAlign w:val="center"/>
          </w:tcPr>
          <w:p>
            <w:pPr>
              <w:adjustRightInd w:val="0"/>
              <w:snapToGrid w:val="0"/>
              <w:spacing w:line="240" w:lineRule="auto"/>
              <w:ind w:firstLine="0" w:firstLineChars="0"/>
              <w:jc w:val="center"/>
              <w:rPr>
                <w:rFonts w:cs="Times New Roman"/>
                <w:snapToGrid w:val="0"/>
                <w:kern w:val="18"/>
                <w:sz w:val="21"/>
                <w:szCs w:val="21"/>
              </w:rPr>
            </w:pPr>
            <w:r>
              <w:rPr>
                <w:rFonts w:cs="Times New Roman"/>
                <w:snapToGrid w:val="0"/>
                <w:kern w:val="18"/>
                <w:sz w:val="21"/>
                <w:szCs w:val="21"/>
              </w:rPr>
              <w:t>非甲烷总烃</w:t>
            </w:r>
          </w:p>
        </w:tc>
        <w:tc>
          <w:tcPr>
            <w:tcW w:w="308"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8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325"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624" w:type="pct"/>
            <w:noWrap w:val="0"/>
            <w:vAlign w:val="center"/>
          </w:tcPr>
          <w:p>
            <w:pPr>
              <w:widowControl/>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0.001</w:t>
            </w:r>
          </w:p>
        </w:tc>
        <w:tc>
          <w:tcPr>
            <w:tcW w:w="665" w:type="pct"/>
            <w:noWrap w:val="0"/>
            <w:vAlign w:val="center"/>
          </w:tcPr>
          <w:p>
            <w:pPr>
              <w:adjustRightInd w:val="0"/>
              <w:snapToGrid w:val="0"/>
              <w:spacing w:line="240" w:lineRule="auto"/>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0.0025</w:t>
            </w:r>
          </w:p>
        </w:tc>
        <w:tc>
          <w:tcPr>
            <w:tcW w:w="70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544" w:type="pct"/>
            <w:noWrap w:val="0"/>
            <w:vAlign w:val="center"/>
          </w:tcPr>
          <w:p>
            <w:pPr>
              <w:widowControl/>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0.001</w:t>
            </w:r>
          </w:p>
        </w:tc>
        <w:tc>
          <w:tcPr>
            <w:tcW w:w="609" w:type="pct"/>
            <w:noWrap w:val="0"/>
            <w:vAlign w:val="center"/>
          </w:tcPr>
          <w:p>
            <w:pPr>
              <w:adjustRightInd w:val="0"/>
              <w:snapToGrid w:val="0"/>
              <w:spacing w:line="240" w:lineRule="auto"/>
              <w:ind w:firstLine="0" w:firstLineChars="0"/>
              <w:jc w:val="center"/>
              <w:rPr>
                <w:rFonts w:cs="Times New Roman"/>
                <w:color w:val="auto"/>
                <w:sz w:val="21"/>
                <w:szCs w:val="21"/>
              </w:rPr>
            </w:pPr>
            <w:r>
              <w:rPr>
                <w:rFonts w:hint="eastAsia" w:cs="Times New Roman"/>
                <w:color w:val="auto"/>
                <w:sz w:val="21"/>
                <w:szCs w:val="21"/>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44" w:type="pct"/>
            <w:gridSpan w:val="7"/>
            <w:vMerge w:val="restart"/>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r>
              <w:rPr>
                <w:rFonts w:cs="Times New Roman"/>
                <w:sz w:val="21"/>
                <w:szCs w:val="21"/>
              </w:rPr>
              <w:t>无组织排放总计</w:t>
            </w:r>
          </w:p>
        </w:tc>
        <w:tc>
          <w:tcPr>
            <w:tcW w:w="1246" w:type="pct"/>
            <w:gridSpan w:val="2"/>
            <w:noWrap w:val="0"/>
            <w:vAlign w:val="center"/>
          </w:tcPr>
          <w:p>
            <w:pPr>
              <w:widowControl/>
              <w:adjustRightInd w:val="0"/>
              <w:snapToGrid w:val="0"/>
              <w:spacing w:line="240" w:lineRule="auto"/>
              <w:ind w:firstLine="0" w:firstLineChars="0"/>
              <w:jc w:val="center"/>
              <w:rPr>
                <w:rFonts w:hint="eastAsia" w:cs="Times New Roman"/>
                <w:color w:val="auto"/>
                <w:sz w:val="21"/>
                <w:szCs w:val="21"/>
                <w:lang w:val="en-US" w:eastAsia="zh-CN"/>
              </w:rPr>
            </w:pPr>
            <w:r>
              <w:rPr>
                <w:rFonts w:cs="Times New Roman"/>
                <w:snapToGrid w:val="0"/>
                <w:kern w:val="18"/>
                <w:sz w:val="21"/>
                <w:szCs w:val="21"/>
              </w:rPr>
              <w:t>颗粒物</w:t>
            </w:r>
          </w:p>
        </w:tc>
        <w:tc>
          <w:tcPr>
            <w:tcW w:w="609" w:type="pct"/>
            <w:noWrap w:val="0"/>
            <w:vAlign w:val="center"/>
          </w:tcPr>
          <w:p>
            <w:pPr>
              <w:adjustRightInd w:val="0"/>
              <w:snapToGrid w:val="0"/>
              <w:spacing w:line="240" w:lineRule="auto"/>
              <w:ind w:firstLine="0" w:firstLineChars="0"/>
              <w:jc w:val="center"/>
              <w:rPr>
                <w:rFonts w:hint="default" w:cs="Times New Roman"/>
                <w:color w:val="auto"/>
                <w:sz w:val="21"/>
                <w:szCs w:val="21"/>
                <w:u w:val="single"/>
                <w:lang w:val="en-US" w:eastAsia="zh-CN"/>
              </w:rPr>
            </w:pPr>
            <w:r>
              <w:rPr>
                <w:rFonts w:hint="eastAsia" w:cs="Times New Roman"/>
                <w:kern w:val="0"/>
                <w:sz w:val="21"/>
                <w:szCs w:val="21"/>
                <w:u w:val="singl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jc w:val="center"/>
        </w:trPr>
        <w:tc>
          <w:tcPr>
            <w:tcW w:w="3144" w:type="pct"/>
            <w:gridSpan w:val="7"/>
            <w:vMerge w:val="continue"/>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p>
        </w:tc>
        <w:tc>
          <w:tcPr>
            <w:tcW w:w="1246" w:type="pct"/>
            <w:gridSpan w:val="2"/>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r>
              <w:rPr>
                <w:rFonts w:cs="Times New Roman"/>
                <w:snapToGrid w:val="0"/>
                <w:kern w:val="18"/>
                <w:sz w:val="21"/>
                <w:szCs w:val="21"/>
              </w:rPr>
              <w:t>氨</w:t>
            </w:r>
          </w:p>
        </w:tc>
        <w:tc>
          <w:tcPr>
            <w:tcW w:w="609" w:type="pct"/>
            <w:noWrap w:val="0"/>
            <w:vAlign w:val="center"/>
          </w:tcPr>
          <w:p>
            <w:pPr>
              <w:adjustRightInd w:val="0"/>
              <w:snapToGrid w:val="0"/>
              <w:spacing w:line="240" w:lineRule="auto"/>
              <w:ind w:firstLine="0" w:firstLineChars="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4.8</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3144" w:type="pct"/>
            <w:gridSpan w:val="7"/>
            <w:vMerge w:val="continue"/>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p>
        </w:tc>
        <w:tc>
          <w:tcPr>
            <w:tcW w:w="1246" w:type="pct"/>
            <w:gridSpan w:val="2"/>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r>
              <w:rPr>
                <w:rFonts w:cs="Times New Roman"/>
                <w:snapToGrid w:val="0"/>
                <w:kern w:val="18"/>
                <w:sz w:val="21"/>
                <w:szCs w:val="21"/>
              </w:rPr>
              <w:t>硫化氢</w:t>
            </w:r>
          </w:p>
        </w:tc>
        <w:tc>
          <w:tcPr>
            <w:tcW w:w="609" w:type="pct"/>
            <w:noWrap w:val="0"/>
            <w:vAlign w:val="center"/>
          </w:tcPr>
          <w:p>
            <w:pPr>
              <w:adjustRightInd w:val="0"/>
              <w:snapToGrid w:val="0"/>
              <w:spacing w:line="240" w:lineRule="auto"/>
              <w:ind w:firstLine="0" w:firstLineChars="0"/>
              <w:jc w:val="center"/>
              <w:rPr>
                <w:rFonts w:hint="eastAsia" w:cs="Times New Roman"/>
                <w:color w:val="auto"/>
                <w:sz w:val="21"/>
                <w:szCs w:val="21"/>
                <w:u w:val="single"/>
                <w:lang w:val="en-US" w:eastAsia="zh-CN"/>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44" w:type="pct"/>
            <w:gridSpan w:val="7"/>
            <w:vMerge w:val="continue"/>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p>
        </w:tc>
        <w:tc>
          <w:tcPr>
            <w:tcW w:w="701" w:type="pct"/>
            <w:vMerge w:val="restart"/>
            <w:noWrap w:val="0"/>
            <w:vAlign w:val="center"/>
          </w:tcPr>
          <w:p>
            <w:pPr>
              <w:widowControl/>
              <w:adjustRightInd w:val="0"/>
              <w:snapToGrid w:val="0"/>
              <w:spacing w:line="240" w:lineRule="auto"/>
              <w:ind w:firstLine="0" w:firstLineChars="0"/>
              <w:jc w:val="center"/>
              <w:rPr>
                <w:rFonts w:cs="Times New Roman"/>
                <w:sz w:val="21"/>
                <w:szCs w:val="21"/>
              </w:rPr>
            </w:pPr>
            <w:r>
              <w:rPr>
                <w:rFonts w:cs="Times New Roman"/>
                <w:sz w:val="21"/>
                <w:szCs w:val="21"/>
              </w:rPr>
              <w:t>VOCs</w:t>
            </w:r>
          </w:p>
        </w:tc>
        <w:tc>
          <w:tcPr>
            <w:tcW w:w="544" w:type="pct"/>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r>
              <w:rPr>
                <w:rFonts w:cs="Times New Roman"/>
                <w:snapToGrid w:val="0"/>
                <w:kern w:val="18"/>
                <w:sz w:val="21"/>
                <w:szCs w:val="21"/>
              </w:rPr>
              <w:t>非甲烷总烃</w:t>
            </w:r>
          </w:p>
        </w:tc>
        <w:tc>
          <w:tcPr>
            <w:tcW w:w="609" w:type="pct"/>
            <w:noWrap w:val="0"/>
            <w:vAlign w:val="center"/>
          </w:tcPr>
          <w:p>
            <w:pPr>
              <w:adjustRightInd w:val="0"/>
              <w:snapToGrid w:val="0"/>
              <w:spacing w:line="240" w:lineRule="auto"/>
              <w:ind w:firstLine="0" w:firstLineChars="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44" w:type="pct"/>
            <w:gridSpan w:val="7"/>
            <w:vMerge w:val="continue"/>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p>
        </w:tc>
        <w:tc>
          <w:tcPr>
            <w:tcW w:w="701" w:type="pct"/>
            <w:vMerge w:val="continue"/>
            <w:noWrap w:val="0"/>
            <w:vAlign w:val="center"/>
          </w:tcPr>
          <w:p>
            <w:pPr>
              <w:widowControl/>
              <w:adjustRightInd w:val="0"/>
              <w:snapToGrid w:val="0"/>
              <w:spacing w:line="240" w:lineRule="auto"/>
              <w:ind w:firstLine="0" w:firstLineChars="0"/>
              <w:jc w:val="center"/>
              <w:rPr>
                <w:rFonts w:cs="Times New Roman"/>
                <w:sz w:val="21"/>
                <w:szCs w:val="21"/>
              </w:rPr>
            </w:pPr>
          </w:p>
        </w:tc>
        <w:tc>
          <w:tcPr>
            <w:tcW w:w="544" w:type="pct"/>
            <w:noWrap w:val="0"/>
            <w:vAlign w:val="center"/>
          </w:tcPr>
          <w:p>
            <w:pPr>
              <w:adjustRightInd w:val="0"/>
              <w:snapToGrid w:val="0"/>
              <w:spacing w:line="240" w:lineRule="auto"/>
              <w:ind w:firstLine="0" w:firstLineChars="0"/>
              <w:jc w:val="center"/>
              <w:rPr>
                <w:rFonts w:hint="eastAsia" w:cs="Times New Roman"/>
                <w:color w:val="auto"/>
                <w:sz w:val="21"/>
                <w:szCs w:val="21"/>
                <w:lang w:val="en-US" w:eastAsia="zh-CN"/>
              </w:rPr>
            </w:pPr>
            <w:r>
              <w:rPr>
                <w:rFonts w:hint="eastAsia" w:cs="Times New Roman"/>
                <w:snapToGrid w:val="0"/>
                <w:kern w:val="18"/>
                <w:sz w:val="21"/>
                <w:szCs w:val="21"/>
                <w:lang w:eastAsia="zh-CN"/>
              </w:rPr>
              <w:t>苯乙烯</w:t>
            </w:r>
          </w:p>
        </w:tc>
        <w:tc>
          <w:tcPr>
            <w:tcW w:w="609" w:type="pct"/>
            <w:noWrap w:val="0"/>
            <w:vAlign w:val="center"/>
          </w:tcPr>
          <w:p>
            <w:pPr>
              <w:adjustRightInd w:val="0"/>
              <w:snapToGrid w:val="0"/>
              <w:spacing w:line="240" w:lineRule="auto"/>
              <w:ind w:firstLine="0" w:firstLineChars="0"/>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0.056</w:t>
            </w:r>
          </w:p>
        </w:tc>
      </w:tr>
    </w:tbl>
    <w:p>
      <w:pPr>
        <w:pStyle w:val="31"/>
        <w:autoSpaceDN/>
        <w:ind w:firstLine="482"/>
        <w:rPr>
          <w:rFonts w:hint="default" w:ascii="Times New Roman" w:hAnsi="Times New Roman" w:cs="Times New Roman"/>
          <w:b/>
          <w:bCs/>
          <w:szCs w:val="24"/>
          <w:lang w:val="en-US" w:eastAsia="zh-CN"/>
        </w:rPr>
      </w:pPr>
    </w:p>
    <w:p>
      <w:pPr>
        <w:pStyle w:val="20"/>
        <w:sectPr>
          <w:pgSz w:w="16838" w:h="11906" w:orient="landscape"/>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widowControl/>
        <w:ind w:firstLine="482"/>
        <w:rPr>
          <w:rFonts w:cs="Times New Roman"/>
          <w:b/>
          <w:bCs/>
          <w:szCs w:val="24"/>
          <w:lang w:val="en-US"/>
        </w:rPr>
      </w:pPr>
      <w:r>
        <w:rPr>
          <w:rFonts w:hint="eastAsia" w:cs="Times New Roman"/>
          <w:b/>
          <w:bCs/>
          <w:szCs w:val="24"/>
          <w:lang w:val="en-US"/>
        </w:rPr>
        <w:t>4.2</w:t>
      </w:r>
      <w:r>
        <w:rPr>
          <w:rFonts w:cs="Times New Roman"/>
          <w:b/>
          <w:bCs/>
          <w:szCs w:val="24"/>
          <w:lang w:val="en-US"/>
        </w:rPr>
        <w:t>.</w:t>
      </w:r>
      <w:r>
        <w:rPr>
          <w:rFonts w:hint="eastAsia" w:cs="Times New Roman"/>
          <w:b/>
          <w:bCs/>
          <w:szCs w:val="24"/>
          <w:lang w:val="en-US" w:eastAsia="zh-CN"/>
        </w:rPr>
        <w:t>2</w:t>
      </w:r>
      <w:r>
        <w:rPr>
          <w:rFonts w:cs="Times New Roman"/>
          <w:b/>
          <w:bCs/>
          <w:szCs w:val="24"/>
          <w:lang w:val="en-US"/>
        </w:rPr>
        <w:t xml:space="preserve">.2 </w:t>
      </w:r>
      <w:r>
        <w:rPr>
          <w:rFonts w:hint="eastAsia" w:cs="Times New Roman"/>
          <w:b/>
          <w:bCs/>
          <w:szCs w:val="24"/>
          <w:lang w:val="en-US"/>
        </w:rPr>
        <w:t>废水</w:t>
      </w:r>
    </w:p>
    <w:p>
      <w:pPr>
        <w:ind w:firstLine="480"/>
        <w:jc w:val="both"/>
        <w:rPr>
          <w:lang w:val="en-US"/>
        </w:rPr>
      </w:pPr>
      <w:r>
        <w:rPr>
          <w:rFonts w:hint="eastAsia"/>
          <w:lang w:val="en-US"/>
        </w:rPr>
        <w:t>本项目废水主要包括生活污水、餐饮废水、</w:t>
      </w:r>
      <w:r>
        <w:rPr>
          <w:rFonts w:hint="eastAsia"/>
          <w:lang w:val="en-US" w:eastAsia="zh-CN"/>
        </w:rPr>
        <w:t>清洗废水、循环冷却水</w:t>
      </w:r>
      <w:r>
        <w:rPr>
          <w:rFonts w:hint="eastAsia"/>
          <w:lang w:val="en-US"/>
        </w:rPr>
        <w:t>等。</w:t>
      </w:r>
    </w:p>
    <w:p>
      <w:pPr>
        <w:widowControl/>
        <w:ind w:firstLine="480"/>
        <w:jc w:val="both"/>
        <w:rPr>
          <w:rFonts w:cs="Times New Roman"/>
          <w:szCs w:val="24"/>
          <w:lang w:val="en-US"/>
        </w:rPr>
      </w:pPr>
      <w:r>
        <w:rPr>
          <w:rFonts w:hint="eastAsia" w:cs="Times New Roman"/>
          <w:szCs w:val="24"/>
          <w:lang w:val="en-US"/>
        </w:rPr>
        <w:t>（</w:t>
      </w:r>
      <w:r>
        <w:rPr>
          <w:rFonts w:cs="Times New Roman"/>
          <w:szCs w:val="24"/>
          <w:lang w:val="en-US"/>
        </w:rPr>
        <w:t>1</w:t>
      </w:r>
      <w:r>
        <w:rPr>
          <w:rFonts w:hint="eastAsia" w:cs="Times New Roman"/>
          <w:szCs w:val="24"/>
          <w:lang w:val="en-US"/>
        </w:rPr>
        <w:t>）生活污水</w:t>
      </w:r>
    </w:p>
    <w:p>
      <w:pPr>
        <w:widowControl/>
        <w:ind w:firstLine="480"/>
        <w:jc w:val="both"/>
        <w:rPr>
          <w:rFonts w:cs="Times New Roman"/>
          <w:szCs w:val="24"/>
          <w:lang w:val="en-US"/>
        </w:rPr>
      </w:pPr>
      <w:r>
        <w:rPr>
          <w:rFonts w:hint="eastAsia" w:cs="Times New Roman"/>
          <w:szCs w:val="24"/>
          <w:lang w:val="en-US"/>
        </w:rPr>
        <w:t>生活污水主要包括</w:t>
      </w:r>
      <w:r>
        <w:rPr>
          <w:rFonts w:hint="eastAsia" w:cs="Times New Roman"/>
          <w:szCs w:val="24"/>
          <w:lang w:val="en-US" w:eastAsia="zh-CN"/>
        </w:rPr>
        <w:t>职工生活</w:t>
      </w:r>
      <w:r>
        <w:rPr>
          <w:rFonts w:hint="eastAsia" w:cs="Times New Roman"/>
          <w:szCs w:val="24"/>
          <w:lang w:val="en-US"/>
        </w:rPr>
        <w:t>等产生的冲厕水、盥洗水等，水质较为简单，主要污染物为</w:t>
      </w:r>
      <w:r>
        <w:rPr>
          <w:rFonts w:cs="Times New Roman"/>
          <w:szCs w:val="24"/>
          <w:lang w:val="en-US"/>
        </w:rPr>
        <w:t>COD</w:t>
      </w:r>
      <w:r>
        <w:rPr>
          <w:rFonts w:hint="eastAsia" w:cs="Times New Roman"/>
          <w:szCs w:val="24"/>
          <w:lang w:val="en-US"/>
        </w:rPr>
        <w:t>、</w:t>
      </w:r>
      <w:r>
        <w:rPr>
          <w:rFonts w:cs="Times New Roman"/>
          <w:szCs w:val="24"/>
          <w:lang w:val="en-US"/>
        </w:rPr>
        <w:t>BOD</w:t>
      </w:r>
      <w:r>
        <w:rPr>
          <w:rFonts w:cs="Times New Roman"/>
          <w:szCs w:val="24"/>
          <w:vertAlign w:val="subscript"/>
          <w:lang w:val="en-US"/>
        </w:rPr>
        <w:t>5</w:t>
      </w:r>
      <w:r>
        <w:rPr>
          <w:rFonts w:hint="eastAsia" w:cs="Times New Roman"/>
          <w:szCs w:val="24"/>
          <w:lang w:val="en-US"/>
        </w:rPr>
        <w:t>、</w:t>
      </w:r>
      <w:r>
        <w:rPr>
          <w:rFonts w:cs="Times New Roman"/>
          <w:szCs w:val="24"/>
          <w:lang w:val="en-US"/>
        </w:rPr>
        <w:t>SS</w:t>
      </w:r>
      <w:r>
        <w:rPr>
          <w:rFonts w:hint="eastAsia" w:cs="Times New Roman"/>
          <w:szCs w:val="24"/>
          <w:lang w:val="en-US"/>
        </w:rPr>
        <w:t>、氨氮、总磷等。</w:t>
      </w:r>
    </w:p>
    <w:p>
      <w:pPr>
        <w:widowControl/>
        <w:ind w:firstLine="480"/>
        <w:jc w:val="both"/>
        <w:rPr>
          <w:rFonts w:cs="Times New Roman"/>
          <w:szCs w:val="24"/>
          <w:lang w:val="en-US"/>
        </w:rPr>
      </w:pPr>
      <w:r>
        <w:rPr>
          <w:rFonts w:hint="eastAsia" w:cs="Times New Roman"/>
          <w:szCs w:val="24"/>
          <w:lang w:val="en-US"/>
        </w:rPr>
        <w:t>（</w:t>
      </w:r>
      <w:r>
        <w:rPr>
          <w:rFonts w:hint="eastAsia" w:cs="Times New Roman"/>
          <w:szCs w:val="24"/>
          <w:lang w:val="en-US" w:eastAsia="zh-CN"/>
        </w:rPr>
        <w:t>2</w:t>
      </w:r>
      <w:r>
        <w:rPr>
          <w:rFonts w:hint="eastAsia" w:cs="Times New Roman"/>
          <w:szCs w:val="24"/>
          <w:lang w:val="en-US"/>
        </w:rPr>
        <w:t>）餐饮废水</w:t>
      </w:r>
    </w:p>
    <w:p>
      <w:pPr>
        <w:widowControl/>
        <w:ind w:firstLine="480"/>
        <w:jc w:val="both"/>
        <w:rPr>
          <w:rFonts w:cs="Times New Roman"/>
          <w:szCs w:val="24"/>
          <w:lang w:val="en-US"/>
        </w:rPr>
      </w:pPr>
      <w:r>
        <w:rPr>
          <w:rFonts w:hint="eastAsia" w:cs="Times New Roman"/>
          <w:szCs w:val="24"/>
          <w:lang w:val="en-US"/>
        </w:rPr>
        <w:t>食堂厨房废水主要包括厨房及餐厅废水，主要污染物为</w:t>
      </w:r>
      <w:r>
        <w:rPr>
          <w:rFonts w:cs="Times New Roman"/>
          <w:szCs w:val="24"/>
          <w:lang w:val="en-US"/>
        </w:rPr>
        <w:t>COD</w:t>
      </w:r>
      <w:r>
        <w:rPr>
          <w:rFonts w:hint="eastAsia" w:cs="Times New Roman"/>
          <w:szCs w:val="24"/>
          <w:lang w:val="en-US"/>
        </w:rPr>
        <w:t>、</w:t>
      </w:r>
      <w:r>
        <w:rPr>
          <w:rFonts w:cs="Times New Roman"/>
          <w:szCs w:val="24"/>
          <w:lang w:val="en-US"/>
        </w:rPr>
        <w:t>BOD</w:t>
      </w:r>
      <w:r>
        <w:rPr>
          <w:rFonts w:cs="Times New Roman"/>
          <w:szCs w:val="24"/>
          <w:vertAlign w:val="subscript"/>
          <w:lang w:val="en-US"/>
        </w:rPr>
        <w:t>5</w:t>
      </w:r>
      <w:r>
        <w:rPr>
          <w:rFonts w:hint="eastAsia" w:cs="Times New Roman"/>
          <w:szCs w:val="24"/>
          <w:lang w:val="en-US"/>
        </w:rPr>
        <w:t>、</w:t>
      </w:r>
      <w:r>
        <w:rPr>
          <w:rFonts w:cs="Times New Roman"/>
          <w:szCs w:val="24"/>
          <w:lang w:val="en-US"/>
        </w:rPr>
        <w:t>SS</w:t>
      </w:r>
      <w:r>
        <w:rPr>
          <w:rFonts w:hint="eastAsia" w:cs="Times New Roman"/>
          <w:szCs w:val="24"/>
          <w:lang w:val="en-US"/>
        </w:rPr>
        <w:t>、氨氮、动植物油等，含油废水水质参考《饮食业环境保护技术规范》（</w:t>
      </w:r>
      <w:r>
        <w:rPr>
          <w:rFonts w:cs="Times New Roman"/>
          <w:szCs w:val="24"/>
          <w:lang w:val="en-US"/>
        </w:rPr>
        <w:t>HJ554-2010</w:t>
      </w:r>
      <w:r>
        <w:rPr>
          <w:rFonts w:hint="eastAsia" w:cs="Times New Roman"/>
          <w:szCs w:val="24"/>
          <w:lang w:val="en-US"/>
        </w:rPr>
        <w:t>）中</w:t>
      </w:r>
      <w:r>
        <w:rPr>
          <w:rFonts w:hint="eastAsia" w:cs="Times New Roman"/>
          <w:szCs w:val="24"/>
          <w:lang w:val="en-US" w:eastAsia="zh-CN"/>
        </w:rPr>
        <w:t>“</w:t>
      </w:r>
      <w:r>
        <w:rPr>
          <w:rFonts w:hint="eastAsia" w:cs="Times New Roman"/>
          <w:szCs w:val="24"/>
          <w:lang w:val="en-US"/>
        </w:rPr>
        <w:t>表</w:t>
      </w:r>
      <w:r>
        <w:rPr>
          <w:rFonts w:cs="Times New Roman"/>
          <w:szCs w:val="24"/>
          <w:lang w:val="en-US"/>
        </w:rPr>
        <w:t>1</w:t>
      </w:r>
      <w:r>
        <w:rPr>
          <w:rFonts w:hint="eastAsia" w:cs="Times New Roman"/>
          <w:szCs w:val="24"/>
          <w:lang w:val="en-US"/>
        </w:rPr>
        <w:t>饮食业单位含油污水水质</w:t>
      </w:r>
      <w:r>
        <w:rPr>
          <w:rFonts w:hint="eastAsia" w:cs="Times New Roman"/>
          <w:szCs w:val="24"/>
          <w:lang w:val="en-US" w:eastAsia="zh-CN"/>
        </w:rPr>
        <w:t>”</w:t>
      </w:r>
      <w:r>
        <w:rPr>
          <w:rFonts w:hint="eastAsia" w:cs="Times New Roman"/>
          <w:szCs w:val="24"/>
          <w:lang w:val="en-US"/>
        </w:rPr>
        <w:t>中的平均值。含油废水经油水分离器隔油处理后，与生活污水等一并</w:t>
      </w:r>
      <w:r>
        <w:rPr>
          <w:rFonts w:hint="eastAsia" w:cs="Times New Roman"/>
          <w:szCs w:val="24"/>
          <w:lang w:val="en-US" w:eastAsia="zh-CN"/>
        </w:rPr>
        <w:t>进入化粪池，定期清掏肥田</w:t>
      </w:r>
      <w:r>
        <w:rPr>
          <w:rFonts w:hint="eastAsia" w:cs="Times New Roman"/>
          <w:szCs w:val="24"/>
          <w:lang w:val="en-US"/>
        </w:rPr>
        <w:t>。</w:t>
      </w:r>
    </w:p>
    <w:p>
      <w:pPr>
        <w:widowControl/>
        <w:ind w:firstLine="480"/>
        <w:jc w:val="both"/>
        <w:rPr>
          <w:rFonts w:cs="Times New Roman"/>
          <w:szCs w:val="24"/>
          <w:lang w:val="en-US"/>
        </w:rPr>
      </w:pPr>
      <w:r>
        <w:rPr>
          <w:rFonts w:hint="eastAsia" w:cs="Times New Roman"/>
          <w:szCs w:val="24"/>
          <w:lang w:val="en-US"/>
        </w:rPr>
        <w:t>（</w:t>
      </w:r>
      <w:r>
        <w:rPr>
          <w:rFonts w:hint="eastAsia" w:cs="Times New Roman"/>
          <w:szCs w:val="24"/>
          <w:lang w:val="en-US" w:eastAsia="zh-CN"/>
        </w:rPr>
        <w:t>3</w:t>
      </w:r>
      <w:r>
        <w:rPr>
          <w:rFonts w:hint="eastAsia" w:cs="Times New Roman"/>
          <w:szCs w:val="24"/>
          <w:lang w:val="en-US"/>
        </w:rPr>
        <w:t>）</w:t>
      </w:r>
      <w:r>
        <w:rPr>
          <w:rFonts w:hint="eastAsia" w:cs="Times New Roman"/>
          <w:szCs w:val="24"/>
          <w:lang w:val="en-US" w:eastAsia="zh-CN"/>
        </w:rPr>
        <w:t>物料清洗</w:t>
      </w:r>
      <w:r>
        <w:rPr>
          <w:rFonts w:hint="eastAsia" w:cs="Times New Roman"/>
          <w:szCs w:val="24"/>
          <w:lang w:val="en-US"/>
        </w:rPr>
        <w:t>废水</w:t>
      </w:r>
    </w:p>
    <w:p>
      <w:pPr>
        <w:keepNext w:val="0"/>
        <w:keepLines w:val="0"/>
        <w:widowControl/>
        <w:suppressLineNumbers w:val="0"/>
        <w:jc w:val="both"/>
        <w:rPr>
          <w:rFonts w:hint="eastAsia" w:eastAsia="宋体"/>
          <w:lang w:val="en-US" w:eastAsia="zh-CN"/>
        </w:rPr>
      </w:pPr>
      <w:r>
        <w:rPr>
          <w:rFonts w:hint="eastAsia" w:cs="Times New Roman"/>
          <w:szCs w:val="24"/>
          <w:lang w:val="en-US"/>
        </w:rPr>
        <w:t>本项目</w:t>
      </w:r>
      <w:r>
        <w:rPr>
          <w:rFonts w:hint="eastAsia" w:cs="Times New Roman"/>
          <w:szCs w:val="24"/>
          <w:lang w:val="en-US" w:eastAsia="zh-CN"/>
        </w:rPr>
        <w:t>物料清洗</w:t>
      </w:r>
      <w:r>
        <w:rPr>
          <w:rFonts w:hint="eastAsia" w:cs="Times New Roman"/>
          <w:szCs w:val="24"/>
          <w:lang w:val="en-US"/>
        </w:rPr>
        <w:t>过程有废水产生，</w:t>
      </w:r>
      <w:r>
        <w:rPr>
          <w:rFonts w:ascii="Times New Roman" w:hAnsi="Times New Roman"/>
          <w:color w:val="auto"/>
          <w:sz w:val="24"/>
        </w:rPr>
        <w:t>经污水处理设施</w:t>
      </w:r>
      <w:r>
        <w:rPr>
          <w:rFonts w:hint="eastAsia"/>
          <w:color w:val="auto"/>
          <w:sz w:val="24"/>
          <w:lang w:eastAsia="zh-CN"/>
        </w:rPr>
        <w:t>“沉淀+气浮+A/O+二级沉淀”</w:t>
      </w:r>
      <w:r>
        <w:rPr>
          <w:rFonts w:ascii="Times New Roman" w:hAnsi="Times New Roman"/>
          <w:color w:val="auto"/>
          <w:sz w:val="24"/>
        </w:rPr>
        <w:t>工艺处理后回用于</w:t>
      </w:r>
      <w:r>
        <w:rPr>
          <w:rFonts w:hint="eastAsia" w:ascii="Times New Roman" w:hAnsi="Times New Roman"/>
          <w:color w:val="auto"/>
          <w:sz w:val="24"/>
          <w:lang w:eastAsia="zh-CN"/>
        </w:rPr>
        <w:t>清洗</w:t>
      </w:r>
      <w:r>
        <w:rPr>
          <w:rFonts w:ascii="Times New Roman" w:hAnsi="Times New Roman"/>
          <w:color w:val="auto"/>
          <w:sz w:val="24"/>
        </w:rPr>
        <w:t>生产线</w:t>
      </w:r>
      <w:r>
        <w:rPr>
          <w:rFonts w:hint="eastAsia" w:ascii="Times New Roman" w:hAnsi="Times New Roman"/>
          <w:color w:val="auto"/>
          <w:sz w:val="24"/>
          <w:lang w:eastAsia="zh-CN"/>
        </w:rPr>
        <w:t>。</w:t>
      </w:r>
    </w:p>
    <w:p>
      <w:pPr>
        <w:widowControl/>
        <w:ind w:firstLine="480"/>
        <w:jc w:val="both"/>
        <w:rPr>
          <w:rFonts w:hint="eastAsia" w:eastAsia="宋体" w:cs="Times New Roman"/>
          <w:szCs w:val="24"/>
          <w:lang w:val="en-US" w:eastAsia="zh-CN"/>
        </w:rPr>
      </w:pPr>
      <w:r>
        <w:rPr>
          <w:rFonts w:hint="eastAsia" w:cs="Times New Roman"/>
          <w:szCs w:val="24"/>
          <w:lang w:val="en-US"/>
        </w:rPr>
        <w:t>（</w:t>
      </w:r>
      <w:r>
        <w:rPr>
          <w:rFonts w:hint="eastAsia" w:cs="Times New Roman"/>
          <w:szCs w:val="24"/>
          <w:lang w:val="en-US" w:eastAsia="zh-CN"/>
        </w:rPr>
        <w:t>4</w:t>
      </w:r>
      <w:r>
        <w:rPr>
          <w:rFonts w:hint="eastAsia" w:cs="Times New Roman"/>
          <w:szCs w:val="24"/>
          <w:lang w:val="en-US"/>
        </w:rPr>
        <w:t>）</w:t>
      </w:r>
      <w:r>
        <w:rPr>
          <w:rFonts w:hint="eastAsia" w:cs="Times New Roman"/>
          <w:szCs w:val="24"/>
          <w:lang w:val="en-US" w:eastAsia="zh-CN"/>
        </w:rPr>
        <w:t>循环冷却水</w:t>
      </w:r>
    </w:p>
    <w:p>
      <w:pPr>
        <w:widowControl/>
        <w:ind w:firstLine="480"/>
        <w:jc w:val="both"/>
        <w:rPr>
          <w:rFonts w:hint="eastAsia" w:cs="Times New Roman"/>
          <w:szCs w:val="24"/>
          <w:lang w:val="en-US"/>
        </w:rPr>
      </w:pPr>
      <w:r>
        <w:rPr>
          <w:rFonts w:hint="eastAsia" w:cs="Times New Roman"/>
          <w:szCs w:val="24"/>
          <w:lang w:val="en-US" w:eastAsia="zh-CN"/>
        </w:rPr>
        <w:t>造粒和注塑工艺冷却产生循环冷却水，水质简单，经污水处理站处理后用于原料清洗</w:t>
      </w:r>
      <w:r>
        <w:rPr>
          <w:rFonts w:hint="eastAsia" w:cs="Times New Roman"/>
          <w:szCs w:val="24"/>
          <w:lang w:val="en-US"/>
        </w:rPr>
        <w:t>。</w:t>
      </w:r>
    </w:p>
    <w:p>
      <w:pPr>
        <w:widowControl/>
        <w:ind w:firstLine="480"/>
        <w:jc w:val="both"/>
        <w:rPr>
          <w:rFonts w:hint="eastAsia" w:cs="Times New Roman"/>
          <w:szCs w:val="24"/>
          <w:lang w:val="en-US" w:eastAsia="zh-CN"/>
        </w:rPr>
      </w:pPr>
      <w:r>
        <w:rPr>
          <w:rFonts w:hint="eastAsia" w:cs="Times New Roman"/>
          <w:szCs w:val="24"/>
          <w:lang w:val="en-US"/>
        </w:rPr>
        <w:t>（</w:t>
      </w:r>
      <w:r>
        <w:rPr>
          <w:rFonts w:hint="eastAsia" w:cs="Times New Roman"/>
          <w:szCs w:val="24"/>
          <w:lang w:val="en-US" w:eastAsia="zh-CN"/>
        </w:rPr>
        <w:t>5</w:t>
      </w:r>
      <w:r>
        <w:rPr>
          <w:rFonts w:hint="eastAsia" w:cs="Times New Roman"/>
          <w:szCs w:val="24"/>
          <w:lang w:val="en-US"/>
        </w:rPr>
        <w:t>）</w:t>
      </w:r>
      <w:r>
        <w:rPr>
          <w:rFonts w:hint="eastAsia" w:cs="Times New Roman"/>
          <w:szCs w:val="24"/>
          <w:lang w:val="en-US" w:eastAsia="zh-CN"/>
        </w:rPr>
        <w:t>喷淋塔废水</w:t>
      </w:r>
    </w:p>
    <w:p>
      <w:pPr>
        <w:widowControl/>
        <w:ind w:firstLine="480"/>
        <w:jc w:val="both"/>
        <w:rPr>
          <w:rFonts w:hint="eastAsia" w:cs="Times New Roman"/>
          <w:szCs w:val="24"/>
          <w:lang w:val="en-US"/>
        </w:rPr>
      </w:pPr>
      <w:r>
        <w:rPr>
          <w:rFonts w:hint="eastAsia" w:cs="Times New Roman"/>
          <w:szCs w:val="24"/>
          <w:lang w:val="en-US" w:eastAsia="zh-CN"/>
        </w:rPr>
        <w:t>喷淋塔产生的废水，水质富含COD、SS以及特征因子苯乙烯，经污水处理站处理后用于原料清洗</w:t>
      </w:r>
      <w:r>
        <w:rPr>
          <w:rFonts w:hint="eastAsia" w:cs="Times New Roman"/>
          <w:szCs w:val="24"/>
          <w:lang w:val="en-US"/>
        </w:rPr>
        <w:t>。</w:t>
      </w:r>
    </w:p>
    <w:p>
      <w:pPr>
        <w:widowControl/>
        <w:ind w:firstLine="480"/>
        <w:jc w:val="center"/>
        <w:rPr>
          <w:rFonts w:hint="eastAsia" w:ascii="Times New Roman" w:hAnsi="Times New Roman" w:cs="Times New Roman"/>
          <w:b/>
          <w:bCs/>
          <w:szCs w:val="24"/>
          <w:lang w:val="en-US" w:eastAsia="zh-CN"/>
        </w:rPr>
      </w:pPr>
      <w:r>
        <w:rPr>
          <w:rFonts w:hint="eastAsia" w:ascii="Times New Roman" w:hAnsi="Times New Roman" w:cs="Times New Roman"/>
          <w:b/>
          <w:bCs/>
          <w:szCs w:val="24"/>
          <w:lang w:val="en-US" w:eastAsia="zh-CN"/>
        </w:rPr>
        <w:t>表4.2-</w:t>
      </w:r>
      <w:r>
        <w:rPr>
          <w:rFonts w:hint="eastAsia" w:cs="Times New Roman"/>
          <w:b/>
          <w:bCs/>
          <w:szCs w:val="24"/>
          <w:lang w:val="en-US" w:eastAsia="zh-CN"/>
        </w:rPr>
        <w:t>6</w:t>
      </w:r>
      <w:r>
        <w:rPr>
          <w:rFonts w:hint="eastAsia" w:ascii="Times New Roman" w:hAnsi="Times New Roman" w:cs="Times New Roman"/>
          <w:b/>
          <w:bCs/>
          <w:szCs w:val="24"/>
          <w:lang w:val="en-US" w:eastAsia="zh-CN"/>
        </w:rPr>
        <w:t xml:space="preserve">   项目废水产生及排放情况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929"/>
        <w:gridCol w:w="1145"/>
        <w:gridCol w:w="1135"/>
        <w:gridCol w:w="849"/>
        <w:gridCol w:w="948"/>
        <w:gridCol w:w="1319"/>
        <w:gridCol w:w="925"/>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产物环节</w:t>
            </w:r>
          </w:p>
        </w:tc>
        <w:tc>
          <w:tcPr>
            <w:tcW w:w="50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废水量</w:t>
            </w:r>
            <w:r>
              <w:rPr>
                <w:rFonts w:ascii="Times New Roman" w:hAnsi="Times New Roman" w:eastAsia="宋体"/>
                <w:bCs/>
                <w:color w:val="auto"/>
                <w:sz w:val="21"/>
                <w:szCs w:val="21"/>
              </w:rPr>
              <w:t>m</w:t>
            </w:r>
            <w:r>
              <w:rPr>
                <w:rFonts w:ascii="Times New Roman" w:hAnsi="Times New Roman" w:eastAsia="宋体"/>
                <w:bCs/>
                <w:color w:val="auto"/>
                <w:sz w:val="21"/>
                <w:szCs w:val="21"/>
                <w:vertAlign w:val="superscript"/>
              </w:rPr>
              <w:t>3</w:t>
            </w:r>
            <w:r>
              <w:rPr>
                <w:rFonts w:ascii="Times New Roman" w:hAnsi="Times New Roman" w:eastAsia="宋体"/>
                <w:bCs/>
                <w:color w:val="auto"/>
                <w:sz w:val="21"/>
                <w:szCs w:val="21"/>
              </w:rPr>
              <w:t>/a</w:t>
            </w:r>
          </w:p>
        </w:tc>
        <w:tc>
          <w:tcPr>
            <w:tcW w:w="61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污染物名称</w:t>
            </w:r>
          </w:p>
        </w:tc>
        <w:tc>
          <w:tcPr>
            <w:tcW w:w="1068"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处理前污染物情况</w:t>
            </w:r>
          </w:p>
        </w:tc>
        <w:tc>
          <w:tcPr>
            <w:tcW w:w="51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处理效率%</w:t>
            </w:r>
          </w:p>
        </w:tc>
        <w:tc>
          <w:tcPr>
            <w:tcW w:w="1208"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污水排放量</w:t>
            </w:r>
            <w:r>
              <w:rPr>
                <w:rFonts w:ascii="Times New Roman" w:hAnsi="Times New Roman" w:eastAsia="宋体"/>
                <w:bCs/>
                <w:color w:val="auto"/>
                <w:sz w:val="21"/>
                <w:szCs w:val="21"/>
              </w:rPr>
              <w:t>m</w:t>
            </w:r>
            <w:r>
              <w:rPr>
                <w:rFonts w:ascii="Times New Roman" w:hAnsi="Times New Roman" w:eastAsia="宋体"/>
                <w:bCs/>
                <w:color w:val="auto"/>
                <w:sz w:val="21"/>
                <w:szCs w:val="21"/>
                <w:vertAlign w:val="superscript"/>
              </w:rPr>
              <w:t>3</w:t>
            </w:r>
            <w:r>
              <w:rPr>
                <w:rFonts w:ascii="Times New Roman" w:hAnsi="Times New Roman" w:eastAsia="宋体"/>
                <w:bCs/>
                <w:color w:val="auto"/>
                <w:sz w:val="21"/>
                <w:szCs w:val="21"/>
              </w:rPr>
              <w:t>/d</w:t>
            </w:r>
          </w:p>
        </w:tc>
        <w:tc>
          <w:tcPr>
            <w:tcW w:w="55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产生浓度（mg/L）</w:t>
            </w:r>
          </w:p>
        </w:tc>
        <w:tc>
          <w:tcPr>
            <w:tcW w:w="45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51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7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处理后浓度（mg/L）</w:t>
            </w:r>
          </w:p>
        </w:tc>
        <w:tc>
          <w:tcPr>
            <w:tcW w:w="4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处理后排放量（t/a）</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循环冷却水</w:t>
            </w:r>
          </w:p>
        </w:tc>
        <w:tc>
          <w:tcPr>
            <w:tcW w:w="50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156</w:t>
            </w: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COD</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750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0.117</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76.6</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175.5</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处理后全部回用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SS</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65</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0.01</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98.5</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0.98</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850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0.133</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82.01</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152.92</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30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0.005</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30</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TP</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40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0.006</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71.43</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11.43</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苯乙烯</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4</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0.0006</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4.00</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清洗废水</w:t>
            </w:r>
          </w:p>
        </w:tc>
        <w:tc>
          <w:tcPr>
            <w:tcW w:w="500" w:type="pct"/>
            <w:vMerge w:val="restar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4800</w:t>
            </w: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SS</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color w:val="auto"/>
                <w:sz w:val="21"/>
                <w:szCs w:val="21"/>
                <w:lang w:val="en-US" w:eastAsia="zh-CN"/>
              </w:rPr>
              <w:t>1</w:t>
            </w:r>
            <w:r>
              <w:rPr>
                <w:rFonts w:ascii="Times New Roman" w:hAnsi="Times New Roman" w:eastAsia="宋体"/>
                <w:color w:val="auto"/>
                <w:sz w:val="21"/>
                <w:szCs w:val="21"/>
              </w:rPr>
              <w:t>642</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7.88</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98.5</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24.63</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80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0.384</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76.6</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18.72</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8</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0.0384</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82.01</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1.44</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default"/>
                <w:sz w:val="21"/>
                <w:szCs w:val="21"/>
              </w:rPr>
              <w:t>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30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0.144</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30</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TP</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1.5</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0.0072</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71.43</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0.43</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喷淋塔废水</w:t>
            </w:r>
          </w:p>
        </w:tc>
        <w:tc>
          <w:tcPr>
            <w:tcW w:w="500" w:type="pct"/>
            <w:vMerge w:val="restar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96</w:t>
            </w: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COD</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eastAsia="等线" w:cs="Times New Roman"/>
                <w:sz w:val="21"/>
                <w:szCs w:val="21"/>
              </w:rPr>
              <w:t>750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0.072</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76.6</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175.50</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SS</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800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0.0768</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98.5</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12</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500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0.0480</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82.01</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89.95</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25</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0.0024</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25</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TP</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0.0029</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71.43</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8.57</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ascii="Times New Roman" w:hAnsi="Times New Roman"/>
                <w:sz w:val="21"/>
                <w:szCs w:val="21"/>
              </w:rPr>
              <w:t>苯乙烯</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4</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0.0004</w:t>
            </w:r>
          </w:p>
        </w:tc>
        <w:tc>
          <w:tcPr>
            <w:tcW w:w="51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w:t>
            </w:r>
          </w:p>
        </w:tc>
        <w:tc>
          <w:tcPr>
            <w:tcW w:w="131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4</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生活污水</w:t>
            </w:r>
          </w:p>
        </w:tc>
        <w:tc>
          <w:tcPr>
            <w:tcW w:w="50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192</w:t>
            </w: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350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0.0683</w:t>
            </w:r>
          </w:p>
        </w:tc>
        <w:tc>
          <w:tcPr>
            <w:tcW w:w="51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71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0</w:t>
            </w:r>
          </w:p>
        </w:tc>
        <w:tc>
          <w:tcPr>
            <w:tcW w:w="55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化粪池清掏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180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0.0351</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25</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0.0048</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SS</w:t>
            </w:r>
          </w:p>
        </w:tc>
        <w:tc>
          <w:tcPr>
            <w:tcW w:w="61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0.0384</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餐饮废水</w:t>
            </w:r>
          </w:p>
        </w:tc>
        <w:tc>
          <w:tcPr>
            <w:tcW w:w="500" w:type="pct"/>
            <w:vMerge w:val="restar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olor w:val="auto"/>
                <w:sz w:val="21"/>
                <w:szCs w:val="21"/>
                <w:lang w:val="en-US" w:eastAsia="zh-CN"/>
              </w:rPr>
            </w:pPr>
            <w:r>
              <w:rPr>
                <w:rFonts w:hint="eastAsia"/>
                <w:sz w:val="21"/>
                <w:szCs w:val="21"/>
                <w:lang w:val="en-US" w:eastAsia="zh-CN"/>
              </w:rPr>
              <w:t>187.2</w:t>
            </w: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COD</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800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0.1498</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隔油池处理后进入化粪池定期清掏肥田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BOD</w:t>
            </w:r>
            <w:r>
              <w:rPr>
                <w:rFonts w:hint="default"/>
                <w:sz w:val="21"/>
                <w:szCs w:val="21"/>
                <w:vertAlign w:val="subscript"/>
              </w:rPr>
              <w:t>5</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400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0.0749</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SS</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300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0.0562</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10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0.0019</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rFonts w:hint="default"/>
                <w:sz w:val="21"/>
                <w:szCs w:val="21"/>
              </w:rPr>
              <w:t>TN</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30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0.0056</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500" w:type="pct"/>
            <w:vMerge w:val="continue"/>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p>
        </w:tc>
        <w:tc>
          <w:tcPr>
            <w:tcW w:w="616"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动植物油</w:t>
            </w:r>
          </w:p>
        </w:tc>
        <w:tc>
          <w:tcPr>
            <w:tcW w:w="611" w:type="pct"/>
            <w:noWrap w:val="0"/>
            <w:vAlign w:val="center"/>
          </w:tcPr>
          <w:p>
            <w:pPr>
              <w:pStyle w:val="30"/>
              <w:keepNext w:val="0"/>
              <w:keepLines w:val="0"/>
              <w:pageBreakBefore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sz w:val="21"/>
                <w:szCs w:val="21"/>
              </w:rPr>
            </w:pPr>
            <w:r>
              <w:rPr>
                <w:sz w:val="21"/>
                <w:szCs w:val="21"/>
              </w:rPr>
              <w:t>100</w:t>
            </w:r>
          </w:p>
        </w:tc>
        <w:tc>
          <w:tcPr>
            <w:tcW w:w="45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0.0187</w:t>
            </w:r>
          </w:p>
        </w:tc>
        <w:tc>
          <w:tcPr>
            <w:tcW w:w="5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71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p>
        </w:tc>
        <w:tc>
          <w:tcPr>
            <w:tcW w:w="497"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c>
          <w:tcPr>
            <w:tcW w:w="55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bl>
    <w:p>
      <w:pPr>
        <w:widowControl/>
        <w:ind w:firstLine="482"/>
        <w:rPr>
          <w:rFonts w:cs="Times New Roman"/>
          <w:b/>
          <w:bCs/>
          <w:szCs w:val="24"/>
          <w:lang w:val="en-US"/>
        </w:rPr>
      </w:pPr>
      <w:r>
        <w:rPr>
          <w:rFonts w:hint="eastAsia" w:cs="Times New Roman"/>
          <w:b/>
          <w:bCs/>
          <w:szCs w:val="24"/>
          <w:lang w:val="en-US"/>
        </w:rPr>
        <w:t>4.2</w:t>
      </w:r>
      <w:r>
        <w:rPr>
          <w:rFonts w:cs="Times New Roman"/>
          <w:b/>
          <w:bCs/>
          <w:szCs w:val="24"/>
          <w:lang w:val="en-US"/>
        </w:rPr>
        <w:t>.</w:t>
      </w:r>
      <w:r>
        <w:rPr>
          <w:rFonts w:hint="eastAsia" w:cs="Times New Roman"/>
          <w:b/>
          <w:bCs/>
          <w:szCs w:val="24"/>
          <w:lang w:val="en-US" w:eastAsia="zh-CN"/>
        </w:rPr>
        <w:t>2</w:t>
      </w:r>
      <w:r>
        <w:rPr>
          <w:rFonts w:cs="Times New Roman"/>
          <w:b/>
          <w:bCs/>
          <w:szCs w:val="24"/>
          <w:lang w:val="en-US"/>
        </w:rPr>
        <w:t xml:space="preserve">.3 </w:t>
      </w:r>
      <w:r>
        <w:rPr>
          <w:rFonts w:hint="eastAsia" w:cs="Times New Roman"/>
          <w:b/>
          <w:bCs/>
          <w:szCs w:val="24"/>
          <w:lang w:val="en-US"/>
        </w:rPr>
        <w:t>噪声</w:t>
      </w:r>
    </w:p>
    <w:p>
      <w:pPr>
        <w:widowControl/>
        <w:ind w:firstLine="480"/>
        <w:rPr>
          <w:rFonts w:cs="Times New Roman"/>
          <w:szCs w:val="24"/>
          <w:lang w:val="en-US"/>
        </w:rPr>
      </w:pPr>
      <w:r>
        <w:rPr>
          <w:rFonts w:hint="eastAsia" w:cs="Times New Roman"/>
          <w:szCs w:val="24"/>
          <w:lang w:val="en-US"/>
        </w:rPr>
        <w:t>项目主要噪声源来自</w:t>
      </w:r>
      <w:r>
        <w:rPr>
          <w:rFonts w:hint="eastAsia" w:cs="Times New Roman"/>
          <w:szCs w:val="24"/>
          <w:lang w:val="en-US" w:eastAsia="zh-CN"/>
        </w:rPr>
        <w:t>破碎机、清洗机</w:t>
      </w:r>
      <w:r>
        <w:rPr>
          <w:rFonts w:hint="eastAsia" w:cs="Times New Roman"/>
          <w:szCs w:val="24"/>
          <w:lang w:val="en-US"/>
        </w:rPr>
        <w:t>、</w:t>
      </w:r>
      <w:r>
        <w:rPr>
          <w:rFonts w:hint="eastAsia" w:cs="Times New Roman"/>
          <w:szCs w:val="24"/>
          <w:lang w:val="en-US" w:eastAsia="zh-CN"/>
        </w:rPr>
        <w:t>造粒机</w:t>
      </w:r>
      <w:r>
        <w:rPr>
          <w:rFonts w:hint="eastAsia" w:cs="Times New Roman"/>
          <w:szCs w:val="24"/>
          <w:lang w:val="en-US"/>
        </w:rPr>
        <w:t>、</w:t>
      </w:r>
      <w:r>
        <w:rPr>
          <w:rFonts w:hint="eastAsia" w:cs="Times New Roman"/>
          <w:szCs w:val="24"/>
          <w:lang w:val="en-US" w:eastAsia="zh-CN"/>
        </w:rPr>
        <w:t>注塑机</w:t>
      </w:r>
      <w:r>
        <w:rPr>
          <w:rFonts w:hint="eastAsia" w:cs="Times New Roman"/>
          <w:szCs w:val="24"/>
          <w:lang w:val="en-US"/>
        </w:rPr>
        <w:t>等。</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cs="Times New Roman"/>
          <w:b/>
          <w:bCs/>
          <w:szCs w:val="24"/>
          <w:lang w:val="en-US"/>
        </w:rPr>
      </w:pPr>
      <w:r>
        <w:rPr>
          <w:rFonts w:hint="eastAsia" w:cs="Times New Roman"/>
          <w:b/>
          <w:bCs/>
          <w:szCs w:val="24"/>
          <w:lang w:val="en-US"/>
        </w:rPr>
        <w:t>4.2-</w:t>
      </w:r>
      <w:r>
        <w:rPr>
          <w:rFonts w:hint="eastAsia" w:cs="Times New Roman"/>
          <w:b/>
          <w:bCs/>
          <w:szCs w:val="24"/>
          <w:lang w:val="en-US" w:eastAsia="zh-CN"/>
        </w:rPr>
        <w:t>7</w:t>
      </w:r>
      <w:r>
        <w:rPr>
          <w:rFonts w:hint="eastAsia" w:cs="Times New Roman"/>
          <w:b/>
          <w:bCs/>
          <w:szCs w:val="24"/>
          <w:lang w:val="en-US"/>
        </w:rPr>
        <w:t xml:space="preserve">  本项目主要噪声及源强</w:t>
      </w:r>
    </w:p>
    <w:tbl>
      <w:tblPr>
        <w:tblStyle w:val="21"/>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2103"/>
        <w:gridCol w:w="1279"/>
        <w:gridCol w:w="1713"/>
        <w:gridCol w:w="2100"/>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序号</w:t>
            </w:r>
          </w:p>
        </w:tc>
        <w:tc>
          <w:tcPr>
            <w:tcW w:w="1154"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噪声源</w:t>
            </w:r>
          </w:p>
        </w:tc>
        <w:tc>
          <w:tcPr>
            <w:tcW w:w="70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设备台数</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治理前声</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压级dB(A)</w:t>
            </w:r>
          </w:p>
        </w:tc>
        <w:tc>
          <w:tcPr>
            <w:tcW w:w="115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治理措施</w:t>
            </w: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治理后声</w:t>
            </w: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1</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破碎机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u w:val="single"/>
                <w:lang w:eastAsia="zh-CN"/>
              </w:rPr>
            </w:pPr>
            <w:r>
              <w:rPr>
                <w:rFonts w:hint="eastAsia"/>
                <w:color w:val="auto"/>
                <w:kern w:val="0"/>
                <w:sz w:val="21"/>
                <w:szCs w:val="21"/>
                <w:u w:val="single"/>
                <w:lang w:val="en-US" w:eastAsia="zh-CN"/>
              </w:rPr>
              <w:t>5</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90</w:t>
            </w:r>
          </w:p>
        </w:tc>
        <w:tc>
          <w:tcPr>
            <w:tcW w:w="1152" w:type="pct"/>
            <w:vMerge w:val="restart"/>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基础减振、室内安装、厂房隔声</w:t>
            </w: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脱水机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u w:val="single"/>
                <w:lang w:val="en-US" w:eastAsia="zh-CN"/>
              </w:rPr>
            </w:pPr>
            <w:r>
              <w:rPr>
                <w:rFonts w:hint="eastAsia"/>
                <w:color w:val="auto"/>
                <w:kern w:val="0"/>
                <w:sz w:val="21"/>
                <w:szCs w:val="21"/>
                <w:u w:val="single"/>
                <w:lang w:val="en-US" w:eastAsia="zh-CN"/>
              </w:rPr>
              <w:t>2</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85</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sz w:val="21"/>
                <w:szCs w:val="21"/>
                <w:u w:val="single"/>
                <w:vertAlign w:val="baseline"/>
                <w:lang w:eastAsia="zh-CN"/>
              </w:rPr>
              <w:t>空分硅胶静电分选线</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eastAsia"/>
                <w:color w:val="auto"/>
                <w:kern w:val="0"/>
                <w:sz w:val="21"/>
                <w:szCs w:val="21"/>
                <w:u w:val="single"/>
                <w:lang w:val="en-US" w:eastAsia="zh-CN"/>
              </w:rPr>
              <w:t>3</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85</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olor w:val="auto"/>
                <w:sz w:val="21"/>
                <w:szCs w:val="21"/>
                <w:lang w:val="en-US" w:eastAsia="zh-CN"/>
              </w:rPr>
            </w:pPr>
            <w:r>
              <w:rPr>
                <w:rFonts w:ascii="Times New Roman" w:hAnsi="Times New Roman"/>
                <w:color w:val="auto"/>
                <w:sz w:val="21"/>
                <w:szCs w:val="21"/>
              </w:rPr>
              <w:t>4</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挤出造粒机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u w:val="single"/>
                <w:lang w:val="en-US" w:eastAsia="zh-CN"/>
              </w:rPr>
            </w:pPr>
            <w:r>
              <w:rPr>
                <w:rFonts w:hint="eastAsia"/>
                <w:color w:val="auto"/>
                <w:kern w:val="0"/>
                <w:sz w:val="21"/>
                <w:szCs w:val="21"/>
                <w:u w:val="single"/>
                <w:lang w:val="en-US" w:eastAsia="zh-CN"/>
              </w:rPr>
              <w:t>6</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olor w:val="auto"/>
                <w:sz w:val="21"/>
                <w:szCs w:val="21"/>
                <w:lang w:val="en-US" w:eastAsia="zh-CN"/>
              </w:rPr>
            </w:pPr>
            <w:r>
              <w:rPr>
                <w:rFonts w:ascii="Times New Roman" w:hAnsi="Times New Roman"/>
                <w:color w:val="auto"/>
                <w:sz w:val="21"/>
                <w:szCs w:val="21"/>
              </w:rPr>
              <w:t>80</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色选机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u w:val="single"/>
                <w:lang w:val="en-US" w:eastAsia="zh-CN"/>
              </w:rPr>
            </w:pPr>
            <w:r>
              <w:rPr>
                <w:rFonts w:hint="eastAsia"/>
                <w:color w:val="auto"/>
                <w:kern w:val="0"/>
                <w:sz w:val="21"/>
                <w:szCs w:val="21"/>
                <w:u w:val="single"/>
                <w:lang w:val="en-US" w:eastAsia="zh-CN"/>
              </w:rPr>
              <w:t>5</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80</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注塑机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lang w:val="en-US" w:eastAsia="zh-CN"/>
              </w:rPr>
              <w:t>20</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85</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7</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冷却塔</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val="en-US" w:eastAsia="zh-CN"/>
              </w:rPr>
              <w:t>1</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85</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2"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8</w:t>
            </w:r>
          </w:p>
        </w:tc>
        <w:tc>
          <w:tcPr>
            <w:tcW w:w="115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ascii="Times New Roman" w:hAnsi="Times New Roman"/>
                <w:color w:val="auto"/>
                <w:kern w:val="0"/>
                <w:sz w:val="21"/>
                <w:szCs w:val="21"/>
                <w:lang w:eastAsia="zh-CN"/>
              </w:rPr>
              <w:t>空压机</w:t>
            </w:r>
          </w:p>
        </w:tc>
        <w:tc>
          <w:tcPr>
            <w:tcW w:w="702"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olor w:val="auto"/>
                <w:kern w:val="0"/>
                <w:sz w:val="21"/>
                <w:szCs w:val="21"/>
                <w:lang w:eastAsia="zh-CN"/>
              </w:rPr>
            </w:pPr>
            <w:r>
              <w:rPr>
                <w:rFonts w:hint="eastAsia"/>
                <w:color w:val="auto"/>
                <w:kern w:val="0"/>
                <w:sz w:val="21"/>
                <w:szCs w:val="21"/>
                <w:lang w:val="en-US" w:eastAsia="zh-CN"/>
              </w:rPr>
              <w:t>1</w:t>
            </w:r>
          </w:p>
        </w:tc>
        <w:tc>
          <w:tcPr>
            <w:tcW w:w="940"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80</w:t>
            </w:r>
          </w:p>
        </w:tc>
        <w:tc>
          <w:tcPr>
            <w:tcW w:w="1152"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ascii="Times New Roman" w:hAnsi="Times New Roman"/>
                <w:color w:val="auto"/>
                <w:sz w:val="21"/>
                <w:szCs w:val="21"/>
              </w:rPr>
            </w:pPr>
          </w:p>
        </w:tc>
        <w:tc>
          <w:tcPr>
            <w:tcW w:w="736" w:type="pct"/>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60</w:t>
            </w:r>
          </w:p>
        </w:tc>
      </w:tr>
    </w:tbl>
    <w:p>
      <w:pPr>
        <w:ind w:firstLine="482"/>
        <w:rPr>
          <w:rFonts w:ascii="Times New Roman" w:hAnsi="Times New Roman"/>
          <w:color w:val="auto"/>
          <w:kern w:val="0"/>
          <w:sz w:val="24"/>
        </w:rPr>
      </w:pPr>
      <w:r>
        <w:rPr>
          <w:rFonts w:ascii="Times New Roman" w:hAnsi="Times New Roman"/>
          <w:color w:val="auto"/>
          <w:kern w:val="0"/>
          <w:sz w:val="24"/>
        </w:rPr>
        <w:t>设计对噪声防治拟采取的措施为：选用低噪设备，水泵等高噪声设备</w:t>
      </w:r>
      <w:r>
        <w:rPr>
          <w:rFonts w:hint="eastAsia"/>
          <w:color w:val="auto"/>
          <w:kern w:val="0"/>
          <w:sz w:val="24"/>
          <w:lang w:eastAsia="zh-CN"/>
        </w:rPr>
        <w:t>加装</w:t>
      </w:r>
      <w:r>
        <w:rPr>
          <w:rFonts w:ascii="Times New Roman" w:hAnsi="Times New Roman"/>
          <w:color w:val="auto"/>
          <w:kern w:val="0"/>
          <w:sz w:val="24"/>
        </w:rPr>
        <w:t>消声器，生产车间安装隔声门窗，进行合理布局、个体防护等措施。通过以上降噪措施，可降低噪声10～20dB(A)，另外在厂区内植树绿化以降低噪声污染。</w:t>
      </w:r>
    </w:p>
    <w:p>
      <w:pPr>
        <w:widowControl/>
        <w:ind w:firstLine="482"/>
        <w:rPr>
          <w:rFonts w:hint="eastAsia" w:cs="Times New Roman"/>
          <w:b/>
          <w:bCs/>
          <w:szCs w:val="24"/>
          <w:lang w:val="en-US"/>
        </w:rPr>
      </w:pPr>
      <w:bookmarkStart w:id="71" w:name="_Toc28337"/>
      <w:bookmarkStart w:id="72" w:name="_Toc31891"/>
      <w:r>
        <w:rPr>
          <w:rFonts w:hint="eastAsia" w:cs="Times New Roman"/>
          <w:b/>
          <w:bCs/>
          <w:szCs w:val="24"/>
          <w:lang w:val="en-US"/>
        </w:rPr>
        <w:t>4.2.</w:t>
      </w:r>
      <w:r>
        <w:rPr>
          <w:rFonts w:hint="eastAsia" w:cs="Times New Roman"/>
          <w:b/>
          <w:bCs/>
          <w:szCs w:val="24"/>
          <w:lang w:val="en-US" w:eastAsia="zh-CN"/>
        </w:rPr>
        <w:t>2</w:t>
      </w:r>
      <w:r>
        <w:rPr>
          <w:rFonts w:hint="eastAsia" w:cs="Times New Roman"/>
          <w:b/>
          <w:bCs/>
          <w:szCs w:val="24"/>
          <w:lang w:val="en-US"/>
        </w:rPr>
        <w:t>.</w:t>
      </w:r>
      <w:r>
        <w:rPr>
          <w:rFonts w:hint="eastAsia" w:cs="Times New Roman"/>
          <w:b/>
          <w:bCs/>
          <w:szCs w:val="24"/>
          <w:lang w:val="en-US" w:eastAsia="zh-CN"/>
        </w:rPr>
        <w:t>4</w:t>
      </w:r>
      <w:r>
        <w:rPr>
          <w:rFonts w:hint="eastAsia" w:cs="Times New Roman"/>
          <w:b/>
          <w:bCs/>
          <w:szCs w:val="24"/>
          <w:lang w:val="en-US"/>
        </w:rPr>
        <w:t xml:space="preserve"> 固体废物</w:t>
      </w:r>
      <w:bookmarkEnd w:id="71"/>
      <w:bookmarkEnd w:id="72"/>
    </w:p>
    <w:p>
      <w:pPr>
        <w:bidi w:val="0"/>
      </w:pPr>
      <w:r>
        <w:t>本项目产生的固体废物主要有分拣废物、</w:t>
      </w:r>
      <w:r>
        <w:rPr>
          <w:rFonts w:hint="eastAsia"/>
          <w:lang w:eastAsia="zh-CN"/>
        </w:rPr>
        <w:t>废包装、除尘器卸灰、</w:t>
      </w:r>
      <w:r>
        <w:t>过滤网、清洗</w:t>
      </w:r>
      <w:r>
        <w:rPr>
          <w:rFonts w:hint="eastAsia"/>
          <w:lang w:eastAsia="zh-CN"/>
        </w:rPr>
        <w:t>污泥</w:t>
      </w:r>
      <w:r>
        <w:t>废渣、生活垃圾</w:t>
      </w:r>
      <w:r>
        <w:rPr>
          <w:rFonts w:hint="eastAsia"/>
          <w:lang w:eastAsia="zh-CN"/>
        </w:rPr>
        <w:t>、废活性炭、废机油</w:t>
      </w:r>
      <w:r>
        <w:t>等。</w:t>
      </w:r>
    </w:p>
    <w:p>
      <w:pPr>
        <w:bidi w:val="0"/>
      </w:pPr>
      <w:bookmarkStart w:id="73" w:name="_Toc29019"/>
      <w:bookmarkStart w:id="74" w:name="_Toc17052"/>
      <w:r>
        <w:t>（1）分拣废物</w:t>
      </w:r>
      <w:bookmarkEnd w:id="73"/>
      <w:bookmarkEnd w:id="74"/>
    </w:p>
    <w:p>
      <w:pPr>
        <w:bidi w:val="0"/>
      </w:pPr>
      <w:r>
        <w:t>本项目分拣废物产生量按</w:t>
      </w:r>
      <w:r>
        <w:rPr>
          <w:rFonts w:hint="eastAsia"/>
          <w:lang w:eastAsia="zh-CN"/>
        </w:rPr>
        <w:t>照原料杂质含量</w:t>
      </w:r>
      <w:r>
        <w:rPr>
          <w:rFonts w:hint="eastAsia"/>
          <w:lang w:val="en-US" w:eastAsia="zh-CN"/>
        </w:rPr>
        <w:t>4.5</w:t>
      </w:r>
      <w:r>
        <w:t>%计算，则分拣废物产生量为</w:t>
      </w:r>
      <w:r>
        <w:rPr>
          <w:rFonts w:hint="eastAsia"/>
          <w:lang w:val="en-US" w:eastAsia="zh-CN"/>
        </w:rPr>
        <w:t>283.5</w:t>
      </w:r>
      <w:r>
        <w:t>t/a，分拣废物运往当地垃圾填埋场进行处理。</w:t>
      </w:r>
    </w:p>
    <w:p>
      <w:pPr>
        <w:bidi w:val="0"/>
        <w:rPr>
          <w:rFonts w:hint="eastAsia"/>
          <w:lang w:val="en-US" w:eastAsia="zh-CN"/>
        </w:rPr>
      </w:pPr>
      <w:bookmarkStart w:id="75" w:name="_Toc23288"/>
      <w:bookmarkStart w:id="76" w:name="_Toc565"/>
      <w:r>
        <w:rPr>
          <w:rFonts w:hint="eastAsia"/>
          <w:lang w:val="en-US" w:eastAsia="zh-CN"/>
        </w:rPr>
        <w:t>（2）废包装</w:t>
      </w:r>
      <w:bookmarkEnd w:id="75"/>
      <w:bookmarkEnd w:id="76"/>
    </w:p>
    <w:p>
      <w:pPr>
        <w:bidi w:val="0"/>
        <w:rPr>
          <w:rFonts w:hint="default"/>
          <w:lang w:val="en-US" w:eastAsia="zh-CN"/>
        </w:rPr>
      </w:pPr>
      <w:r>
        <w:rPr>
          <w:rFonts w:hint="eastAsia"/>
          <w:lang w:val="en-US" w:eastAsia="zh-CN"/>
        </w:rPr>
        <w:t>本项目拆包过程中会产生废包装，约5t/a，定期外售废品收购站。</w:t>
      </w:r>
    </w:p>
    <w:p>
      <w:pPr>
        <w:bidi w:val="0"/>
      </w:pPr>
      <w:bookmarkStart w:id="77" w:name="_Toc7030"/>
      <w:bookmarkStart w:id="78" w:name="_Toc24394"/>
      <w:r>
        <w:t>（</w:t>
      </w:r>
      <w:r>
        <w:rPr>
          <w:rFonts w:hint="eastAsia"/>
          <w:lang w:val="en-US" w:eastAsia="zh-CN"/>
        </w:rPr>
        <w:t>3</w:t>
      </w:r>
      <w:r>
        <w:t>）清洗</w:t>
      </w:r>
      <w:r>
        <w:rPr>
          <w:rFonts w:hint="eastAsia"/>
          <w:lang w:eastAsia="zh-CN"/>
        </w:rPr>
        <w:t>污泥</w:t>
      </w:r>
      <w:r>
        <w:t>废渣</w:t>
      </w:r>
      <w:bookmarkEnd w:id="77"/>
      <w:bookmarkEnd w:id="78"/>
    </w:p>
    <w:p>
      <w:pPr>
        <w:bidi w:val="0"/>
        <w:rPr>
          <w:rFonts w:hint="default"/>
        </w:rPr>
      </w:pPr>
      <w:r>
        <w:t>本项目清洗过程中会产生一定量的废渣，清洗主要为了去除废旧塑料表面的粉尘、浮土等杂质，废渣主要以土细微小杂质颗粒为主，废渣产生量清洗原料的0.2</w:t>
      </w:r>
      <w:r>
        <w:rPr>
          <w:rFonts w:hint="eastAsia"/>
          <w:lang w:val="en-US" w:eastAsia="zh-CN"/>
        </w:rPr>
        <w:t>5</w:t>
      </w:r>
      <w:r>
        <w:t>%，则本项</w:t>
      </w:r>
      <w:r>
        <w:rPr>
          <w:rFonts w:hint="default"/>
        </w:rPr>
        <w:t>目废渣产生量为</w:t>
      </w:r>
      <w:r>
        <w:rPr>
          <w:rFonts w:hint="default"/>
          <w:lang w:val="en-US" w:eastAsia="zh-CN"/>
        </w:rPr>
        <w:t>15.75</w:t>
      </w:r>
      <w:r>
        <w:rPr>
          <w:rFonts w:hint="default"/>
        </w:rPr>
        <w:t>t/a，集中收集经压滤机脱水后送至当地垃圾填埋场进行处置。</w:t>
      </w:r>
    </w:p>
    <w:p>
      <w:pPr>
        <w:bidi w:val="0"/>
        <w:rPr>
          <w:rFonts w:hint="default"/>
          <w:lang w:eastAsia="zh-CN"/>
        </w:rPr>
      </w:pPr>
      <w:r>
        <w:rPr>
          <w:rFonts w:hint="default"/>
        </w:rPr>
        <w:t>根据《废塑料回收与再生利用污染控制技术规范（试行）》（HJ/T364-2007），</w:t>
      </w:r>
      <w:r>
        <w:rPr>
          <w:rFonts w:hint="default"/>
          <w:lang w:eastAsia="zh-CN"/>
        </w:rPr>
        <w:t>“</w:t>
      </w:r>
      <w:r>
        <w:rPr>
          <w:rFonts w:hint="default"/>
        </w:rPr>
        <w:t>其他气体净化装置收集的固体废物和焚烧炉渣，应按国家危险废物鉴别标准进行鉴别，属于危险废物的按照危险废物管理，否则按一般工业固体废物管理</w:t>
      </w:r>
      <w:r>
        <w:rPr>
          <w:rFonts w:hint="default"/>
          <w:lang w:eastAsia="zh-CN"/>
        </w:rPr>
        <w:t>”，</w:t>
      </w:r>
      <w:r>
        <w:rPr>
          <w:rFonts w:hint="default"/>
        </w:rPr>
        <w:t>本项目使用的废塑料</w:t>
      </w:r>
      <w:r>
        <w:rPr>
          <w:rFonts w:hint="default"/>
          <w:lang w:eastAsia="zh-CN"/>
        </w:rPr>
        <w:t>来源于淮安得利塑业有限公司，主要</w:t>
      </w:r>
      <w:r>
        <w:rPr>
          <w:rFonts w:hint="default"/>
        </w:rPr>
        <w:t>成分为</w:t>
      </w:r>
      <w:r>
        <w:rPr>
          <w:rFonts w:hint="default"/>
          <w:lang w:val="en-US" w:eastAsia="zh-CN"/>
        </w:rPr>
        <w:t>ABS</w:t>
      </w:r>
      <w:r>
        <w:rPr>
          <w:rFonts w:hint="default"/>
        </w:rPr>
        <w:t>、P</w:t>
      </w:r>
      <w:r>
        <w:rPr>
          <w:rFonts w:hint="default"/>
          <w:lang w:val="en-US" w:eastAsia="zh-CN"/>
        </w:rPr>
        <w:t>S</w:t>
      </w:r>
      <w:r>
        <w:rPr>
          <w:rFonts w:hint="default"/>
          <w:lang w:eastAsia="zh-CN"/>
        </w:rPr>
        <w:t>。</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olor w:val="auto"/>
          <w:sz w:val="24"/>
        </w:rPr>
      </w:pPr>
      <w:r>
        <w:rPr>
          <w:rFonts w:hint="default" w:ascii="Times New Roman" w:hAnsi="Times New Roman" w:cs="Times New Roman"/>
          <w:color w:val="000000" w:themeColor="text1"/>
          <w:u w:val="single"/>
          <w:lang w:eastAsia="zh-CN"/>
          <w14:textFill>
            <w14:solidFill>
              <w14:schemeClr w14:val="tx1"/>
            </w14:solidFill>
          </w14:textFill>
        </w:rPr>
        <w:t>淮安得利塑业有限公司主要经营</w:t>
      </w:r>
      <w:r>
        <w:rPr>
          <w:rFonts w:hint="default" w:ascii="Times New Roman" w:hAnsi="Times New Roman" w:eastAsia="宋体" w:cs="Times New Roman"/>
          <w:sz w:val="24"/>
          <w:szCs w:val="24"/>
          <w:u w:val="single"/>
        </w:rPr>
        <w:t>废旧塑料回收、分选，塑料原材料、再生塑料批发与零售</w:t>
      </w:r>
      <w:r>
        <w:rPr>
          <w:rFonts w:hint="default" w:ascii="Times New Roman" w:hAnsi="Times New Roman" w:eastAsia="宋体" w:cs="Times New Roman"/>
          <w:sz w:val="24"/>
          <w:szCs w:val="24"/>
          <w:u w:val="single"/>
          <w:lang w:eastAsia="zh-CN"/>
        </w:rPr>
        <w:t>，企业于</w:t>
      </w:r>
      <w:r>
        <w:rPr>
          <w:rFonts w:hint="default" w:ascii="Times New Roman" w:hAnsi="Times New Roman" w:eastAsia="宋体" w:cs="Times New Roman"/>
          <w:sz w:val="24"/>
          <w:szCs w:val="24"/>
          <w:u w:val="single"/>
          <w:lang w:val="en-US" w:eastAsia="zh-CN"/>
        </w:rPr>
        <w:t>2017年委托第三方咨询公司完成了环境现状质量评估报告，</w:t>
      </w:r>
      <w:r>
        <w:rPr>
          <w:rFonts w:hint="eastAsia" w:cs="Times New Roman"/>
          <w:b/>
          <w:bCs/>
          <w:sz w:val="24"/>
          <w:szCs w:val="24"/>
          <w:u w:val="single"/>
          <w:lang w:eastAsia="zh-CN"/>
        </w:rPr>
        <w:t>其中包含本项目需要的</w:t>
      </w:r>
      <w:r>
        <w:rPr>
          <w:rFonts w:hint="eastAsia" w:cs="Times New Roman"/>
          <w:b/>
          <w:bCs/>
          <w:sz w:val="24"/>
          <w:szCs w:val="24"/>
          <w:u w:val="single"/>
          <w:lang w:val="en-US" w:eastAsia="zh-CN"/>
        </w:rPr>
        <w:t>ABS和PS混包废塑料，此类废塑料中ABS塑料</w:t>
      </w:r>
      <w:r>
        <w:rPr>
          <w:rFonts w:hint="eastAsia" w:cs="Times New Roman"/>
          <w:b/>
          <w:bCs/>
          <w:sz w:val="24"/>
          <w:szCs w:val="24"/>
          <w:u w:val="single"/>
          <w:lang w:eastAsia="zh-CN"/>
        </w:rPr>
        <w:t>主要来源于各类洗衣机、空调外机壳，</w:t>
      </w:r>
      <w:r>
        <w:rPr>
          <w:rFonts w:hint="eastAsia" w:cs="Times New Roman"/>
          <w:b/>
          <w:bCs/>
          <w:sz w:val="24"/>
          <w:szCs w:val="24"/>
          <w:u w:val="single"/>
          <w:lang w:val="en-US" w:eastAsia="zh-CN"/>
        </w:rPr>
        <w:t>PS类塑料主要是定向收购来源于废旧文具、笔杆等教育学生用品。</w:t>
      </w:r>
      <w:r>
        <w:rPr>
          <w:rFonts w:hint="default" w:ascii="Times New Roman" w:hAnsi="Times New Roman" w:cs="Times New Roman"/>
          <w:color w:val="auto"/>
          <w:sz w:val="24"/>
          <w:u w:val="single"/>
        </w:rPr>
        <w:t>不回收工程塑料；不回收危险废物废旧塑料，包括被危险化学品、农药等污染的废弃塑料包装物；废弃的一次性医疗用塑料制品（如输液器、血袋）；盛装农药、废染料、强酸、强碱的废塑料等。</w:t>
      </w:r>
      <w:r>
        <w:rPr>
          <w:rFonts w:hint="default" w:ascii="Times New Roman" w:hAnsi="Times New Roman" w:cs="Times New Roman"/>
          <w:color w:val="auto"/>
          <w:sz w:val="24"/>
        </w:rPr>
        <w:t>故本项目清</w:t>
      </w:r>
      <w:r>
        <w:rPr>
          <w:rFonts w:ascii="Times New Roman" w:hAnsi="Times New Roman"/>
          <w:color w:val="auto"/>
          <w:sz w:val="24"/>
        </w:rPr>
        <w:t>洗过程产生的废渣，主要成分为悬浮物，不属于危险废物，采用压滤机脱水后集中收集送至当地垃圾填埋场进行处置。</w:t>
      </w:r>
    </w:p>
    <w:p>
      <w:pPr>
        <w:bidi w:val="0"/>
        <w:rPr>
          <w:rFonts w:hint="eastAsia"/>
          <w:lang w:eastAsia="zh-CN"/>
        </w:rPr>
      </w:pPr>
      <w:bookmarkStart w:id="79" w:name="_Toc8813"/>
      <w:bookmarkStart w:id="80" w:name="_Toc19100"/>
      <w:r>
        <w:t>（</w:t>
      </w:r>
      <w:r>
        <w:rPr>
          <w:rFonts w:hint="eastAsia"/>
          <w:lang w:val="en-US" w:eastAsia="zh-CN"/>
        </w:rPr>
        <w:t>4</w:t>
      </w:r>
      <w:r>
        <w:t>）</w:t>
      </w:r>
      <w:r>
        <w:rPr>
          <w:rFonts w:hint="eastAsia"/>
          <w:lang w:eastAsia="zh-CN"/>
        </w:rPr>
        <w:t>除尘器卸灰</w:t>
      </w:r>
      <w:bookmarkEnd w:id="79"/>
      <w:bookmarkEnd w:id="80"/>
    </w:p>
    <w:p>
      <w:pPr>
        <w:adjustRightInd w:val="0"/>
        <w:snapToGrid w:val="0"/>
        <w:ind w:firstLine="480" w:firstLineChars="200"/>
        <w:jc w:val="left"/>
        <w:rPr>
          <w:rFonts w:hint="default" w:ascii="Times New Roman" w:hAnsi="Times New Roman"/>
          <w:color w:val="auto"/>
          <w:sz w:val="24"/>
          <w:lang w:val="en-US" w:eastAsia="zh-CN"/>
        </w:rPr>
      </w:pPr>
      <w:r>
        <w:rPr>
          <w:rFonts w:hint="eastAsia" w:ascii="Times New Roman" w:hAnsi="Times New Roman"/>
          <w:color w:val="auto"/>
          <w:sz w:val="24"/>
          <w:lang w:val="en-US" w:eastAsia="zh-CN"/>
        </w:rPr>
        <w:t>根据计算，粉碎工序除尘器卸灰为2.374t/a，主要成分为塑料颗粒，定期外售。</w:t>
      </w:r>
    </w:p>
    <w:p>
      <w:pPr>
        <w:bidi w:val="0"/>
      </w:pPr>
      <w:bookmarkStart w:id="81" w:name="_Toc13032"/>
      <w:bookmarkStart w:id="82" w:name="_Toc15972"/>
      <w:r>
        <w:t>（</w:t>
      </w:r>
      <w:r>
        <w:rPr>
          <w:rFonts w:hint="eastAsia"/>
          <w:lang w:val="en-US" w:eastAsia="zh-CN"/>
        </w:rPr>
        <w:t>5</w:t>
      </w:r>
      <w:r>
        <w:t>）废活性炭</w:t>
      </w:r>
      <w:bookmarkEnd w:id="81"/>
      <w:bookmarkEnd w:id="82"/>
    </w:p>
    <w:p>
      <w:pPr>
        <w:adjustRightInd w:val="0"/>
        <w:snapToGrid w:val="0"/>
        <w:ind w:firstLine="480" w:firstLineChars="200"/>
        <w:jc w:val="both"/>
        <w:rPr>
          <w:rFonts w:hint="default" w:ascii="Times New Roman" w:hAnsi="Times New Roman"/>
          <w:color w:val="auto"/>
          <w:sz w:val="24"/>
          <w:u w:val="single"/>
          <w:lang w:val="en-US" w:eastAsia="zh-CN"/>
        </w:rPr>
      </w:pPr>
      <w:r>
        <w:rPr>
          <w:rFonts w:hint="default" w:ascii="Times New Roman" w:hAnsi="Times New Roman"/>
          <w:color w:val="auto"/>
          <w:sz w:val="24"/>
          <w:u w:val="single"/>
          <w:lang w:val="en-US" w:eastAsia="zh-CN"/>
        </w:rPr>
        <w:t>本项目生产过程产生的有机废气通过</w:t>
      </w:r>
      <w:r>
        <w:rPr>
          <w:rFonts w:hint="eastAsia"/>
          <w:color w:val="auto"/>
          <w:sz w:val="24"/>
          <w:u w:val="single"/>
          <w:lang w:val="en-US" w:eastAsia="zh-CN"/>
        </w:rPr>
        <w:t>两套</w:t>
      </w:r>
      <w:r>
        <w:rPr>
          <w:rFonts w:hint="eastAsia" w:ascii="Times New Roman" w:hAnsi="Times New Roman"/>
          <w:color w:val="auto"/>
          <w:sz w:val="24"/>
          <w:u w:val="single"/>
          <w:lang w:val="en-US" w:eastAsia="zh-CN"/>
        </w:rPr>
        <w:t>“吸附浓缩+催化燃烧</w:t>
      </w:r>
      <w:r>
        <w:rPr>
          <w:rFonts w:hint="default" w:ascii="Times New Roman" w:hAnsi="Times New Roman"/>
          <w:color w:val="auto"/>
          <w:sz w:val="24"/>
          <w:u w:val="single"/>
          <w:lang w:val="en-US" w:eastAsia="zh-CN"/>
        </w:rPr>
        <w:t>装置</w:t>
      </w:r>
      <w:r>
        <w:rPr>
          <w:rFonts w:hint="eastAsia" w:ascii="Times New Roman" w:hAnsi="Times New Roman"/>
          <w:color w:val="auto"/>
          <w:sz w:val="24"/>
          <w:u w:val="single"/>
          <w:lang w:val="en-US" w:eastAsia="zh-CN"/>
        </w:rPr>
        <w:t>”</w:t>
      </w:r>
      <w:r>
        <w:rPr>
          <w:rFonts w:hint="default" w:ascii="Times New Roman" w:hAnsi="Times New Roman"/>
          <w:color w:val="auto"/>
          <w:sz w:val="24"/>
          <w:u w:val="single"/>
          <w:lang w:val="en-US" w:eastAsia="zh-CN"/>
        </w:rPr>
        <w:t>处理，其中活性炭吸附装置</w:t>
      </w:r>
      <w:r>
        <w:rPr>
          <w:rFonts w:hint="eastAsia"/>
          <w:color w:val="auto"/>
          <w:sz w:val="24"/>
          <w:u w:val="single"/>
          <w:lang w:val="en-US" w:eastAsia="zh-CN"/>
        </w:rPr>
        <w:t>用于</w:t>
      </w:r>
      <w:r>
        <w:rPr>
          <w:rFonts w:hint="default" w:ascii="Times New Roman" w:hAnsi="Times New Roman"/>
          <w:color w:val="auto"/>
          <w:sz w:val="24"/>
          <w:u w:val="single"/>
          <w:lang w:val="en-US" w:eastAsia="zh-CN"/>
        </w:rPr>
        <w:t>吸附</w:t>
      </w:r>
      <w:r>
        <w:rPr>
          <w:rFonts w:hint="eastAsia"/>
          <w:color w:val="auto"/>
          <w:sz w:val="24"/>
          <w:u w:val="single"/>
          <w:lang w:val="en-US" w:eastAsia="zh-CN"/>
        </w:rPr>
        <w:t>和脱附</w:t>
      </w:r>
      <w:r>
        <w:rPr>
          <w:rFonts w:hint="default" w:ascii="Times New Roman" w:hAnsi="Times New Roman"/>
          <w:color w:val="auto"/>
          <w:sz w:val="24"/>
          <w:u w:val="single"/>
          <w:lang w:val="en-US" w:eastAsia="zh-CN"/>
        </w:rPr>
        <w:t>有机废气</w:t>
      </w:r>
      <w:r>
        <w:rPr>
          <w:rFonts w:hint="eastAsia"/>
          <w:color w:val="auto"/>
          <w:sz w:val="24"/>
          <w:u w:val="single"/>
          <w:lang w:val="en-US" w:eastAsia="zh-CN"/>
        </w:rPr>
        <w:t>，废气处理过程使用少量的活性炭</w:t>
      </w:r>
      <w:r>
        <w:rPr>
          <w:rFonts w:hint="default" w:ascii="Times New Roman" w:hAnsi="Times New Roman"/>
          <w:color w:val="auto"/>
          <w:sz w:val="24"/>
          <w:u w:val="single"/>
          <w:lang w:val="en-US" w:eastAsia="zh-CN"/>
        </w:rPr>
        <w:t>。项目活性炭装置需定期更换，由环保设备厂家及活性炭生产厂家提供资料可知，活性炭更换频率约为</w:t>
      </w:r>
      <w:r>
        <w:rPr>
          <w:rFonts w:hint="eastAsia"/>
          <w:color w:val="auto"/>
          <w:sz w:val="24"/>
          <w:u w:val="single"/>
          <w:lang w:val="en-US" w:eastAsia="zh-CN"/>
        </w:rPr>
        <w:t>2</w:t>
      </w:r>
      <w:r>
        <w:rPr>
          <w:rFonts w:hint="default" w:ascii="Times New Roman" w:hAnsi="Times New Roman"/>
          <w:color w:val="auto"/>
          <w:sz w:val="24"/>
          <w:u w:val="single"/>
          <w:lang w:val="en-US" w:eastAsia="zh-CN"/>
        </w:rPr>
        <w:t>次/年，每次更换量为</w:t>
      </w:r>
      <w:r>
        <w:rPr>
          <w:rFonts w:hint="eastAsia"/>
          <w:color w:val="auto"/>
          <w:sz w:val="24"/>
          <w:u w:val="single"/>
          <w:lang w:val="en-US" w:eastAsia="zh-CN"/>
        </w:rPr>
        <w:t>1.5</w:t>
      </w:r>
      <w:r>
        <w:rPr>
          <w:rFonts w:hint="default" w:ascii="Times New Roman" w:hAnsi="Times New Roman"/>
          <w:color w:val="auto"/>
          <w:sz w:val="24"/>
          <w:u w:val="single"/>
          <w:lang w:val="en-US" w:eastAsia="zh-CN"/>
        </w:rPr>
        <w:t>t/a。废活性炭</w:t>
      </w:r>
      <w:r>
        <w:rPr>
          <w:rFonts w:hint="eastAsia"/>
          <w:color w:val="auto"/>
          <w:sz w:val="24"/>
          <w:u w:val="single"/>
          <w:lang w:val="en-US" w:eastAsia="zh-CN"/>
        </w:rPr>
        <w:t>年产生量为3t；企业污水处理系统废气，使用二级活性炭吸附装置吸附，根据《挥发性有机物的物化性质与活性炭饱和吸附量的相关性研究》（《化工环保》2007年第27卷第5期）中内容，挥发性有机物活性炭饱和吸附量约为200~300mg/g，本报告有机废气活性炭饱和吸附量以300mg/g计，项目废气吸附量为0.0188t/a，则废弃活性炭量为0.06t/a，废弃活性炭</w:t>
      </w:r>
      <w:r>
        <w:rPr>
          <w:rFonts w:hint="default" w:ascii="Times New Roman" w:hAnsi="Times New Roman"/>
          <w:color w:val="auto"/>
          <w:sz w:val="24"/>
          <w:u w:val="single"/>
          <w:lang w:val="en-US" w:eastAsia="zh-CN"/>
        </w:rPr>
        <w:t>属于《国家危险废物名录》（2021年）中危险废物，危废编号HW49：900-0</w:t>
      </w:r>
      <w:r>
        <w:rPr>
          <w:rFonts w:hint="eastAsia" w:ascii="Times New Roman" w:hAnsi="Times New Roman"/>
          <w:color w:val="auto"/>
          <w:sz w:val="24"/>
          <w:u w:val="single"/>
          <w:lang w:val="en-US" w:eastAsia="zh-CN"/>
        </w:rPr>
        <w:t>39</w:t>
      </w:r>
      <w:r>
        <w:rPr>
          <w:rFonts w:hint="default" w:ascii="Times New Roman" w:hAnsi="Times New Roman"/>
          <w:color w:val="auto"/>
          <w:sz w:val="24"/>
          <w:u w:val="single"/>
          <w:lang w:val="en-US" w:eastAsia="zh-CN"/>
        </w:rPr>
        <w:t>-49。</w:t>
      </w:r>
    </w:p>
    <w:p>
      <w:pPr>
        <w:bidi w:val="0"/>
      </w:pPr>
      <w:bookmarkStart w:id="83" w:name="_Toc18818"/>
      <w:bookmarkStart w:id="84" w:name="_Toc21830"/>
      <w:r>
        <w:t>（</w:t>
      </w:r>
      <w:r>
        <w:rPr>
          <w:rFonts w:hint="eastAsia"/>
          <w:lang w:val="en-US" w:eastAsia="zh-CN"/>
        </w:rPr>
        <w:t>6</w:t>
      </w:r>
      <w:r>
        <w:t>）废滤网</w:t>
      </w:r>
      <w:bookmarkEnd w:id="83"/>
      <w:bookmarkEnd w:id="84"/>
    </w:p>
    <w:p>
      <w:pPr>
        <w:adjustRightInd w:val="0"/>
        <w:snapToGrid w:val="0"/>
        <w:ind w:firstLine="480" w:firstLineChars="200"/>
        <w:jc w:val="left"/>
        <w:rPr>
          <w:rFonts w:hint="default" w:ascii="Times New Roman" w:hAnsi="Times New Roman"/>
          <w:color w:val="auto"/>
          <w:sz w:val="24"/>
          <w:lang w:val="en-US" w:eastAsia="zh-CN"/>
        </w:rPr>
      </w:pPr>
      <w:r>
        <w:rPr>
          <w:rFonts w:ascii="Times New Roman" w:hAnsi="Times New Roman"/>
          <w:color w:val="auto"/>
          <w:sz w:val="24"/>
        </w:rPr>
        <w:t>废旧塑料在造粒工序会用到滤网，由于机头温度较高，在熔融状态下的塑料通过滤网时会附着在滤网上，导致滤网孔堵塞，滤网需要定期更换，每半小时需要更换一次，则每天更换量约</w:t>
      </w:r>
      <w:r>
        <w:rPr>
          <w:rFonts w:hint="eastAsia" w:ascii="Times New Roman" w:hAnsi="Times New Roman"/>
          <w:color w:val="auto"/>
          <w:sz w:val="24"/>
          <w:lang w:val="en-US" w:eastAsia="zh-CN"/>
        </w:rPr>
        <w:t>60</w:t>
      </w:r>
      <w:r>
        <w:rPr>
          <w:rFonts w:ascii="Times New Roman" w:hAnsi="Times New Roman"/>
          <w:color w:val="auto"/>
          <w:sz w:val="24"/>
        </w:rPr>
        <w:t>张，废滤网暂存后交由原厂家回收。</w:t>
      </w:r>
      <w:r>
        <w:rPr>
          <w:rFonts w:hint="eastAsia" w:ascii="Times New Roman" w:hAnsi="Times New Roman"/>
          <w:color w:val="auto"/>
          <w:sz w:val="24"/>
          <w:lang w:eastAsia="zh-CN"/>
        </w:rPr>
        <w:t>滤网重量约为</w:t>
      </w:r>
      <w:r>
        <w:rPr>
          <w:rFonts w:hint="eastAsia" w:ascii="Times New Roman" w:hAnsi="Times New Roman"/>
          <w:color w:val="auto"/>
          <w:sz w:val="24"/>
          <w:lang w:val="en-US" w:eastAsia="zh-CN"/>
        </w:rPr>
        <w:t>50g，则年使用滤网0.9t，约0.9t/a。</w:t>
      </w:r>
    </w:p>
    <w:p>
      <w:pPr>
        <w:bidi w:val="0"/>
      </w:pPr>
      <w:bookmarkStart w:id="85" w:name="_Toc7607"/>
      <w:bookmarkStart w:id="86" w:name="_Toc26351"/>
      <w:r>
        <w:t>（</w:t>
      </w:r>
      <w:r>
        <w:rPr>
          <w:rFonts w:hint="eastAsia"/>
          <w:lang w:val="en-US" w:eastAsia="zh-CN"/>
        </w:rPr>
        <w:t>7</w:t>
      </w:r>
      <w:r>
        <w:t>）生活垃圾</w:t>
      </w:r>
      <w:bookmarkEnd w:id="85"/>
      <w:bookmarkEnd w:id="86"/>
    </w:p>
    <w:p>
      <w:pPr>
        <w:adjustRightInd w:val="0"/>
        <w:snapToGrid w:val="0"/>
        <w:ind w:firstLine="480" w:firstLineChars="200"/>
        <w:jc w:val="left"/>
        <w:rPr>
          <w:rFonts w:ascii="Times New Roman" w:hAnsi="Times New Roman"/>
          <w:color w:val="auto"/>
          <w:sz w:val="24"/>
        </w:rPr>
      </w:pPr>
      <w:r>
        <w:rPr>
          <w:rFonts w:ascii="Times New Roman" w:hAnsi="Times New Roman"/>
          <w:color w:val="auto"/>
          <w:sz w:val="24"/>
        </w:rPr>
        <w:t>生活垃圾成分主要是瓜果皮核、饮料包装瓶等，本项目员工</w:t>
      </w:r>
      <w:r>
        <w:rPr>
          <w:rFonts w:hint="eastAsia" w:ascii="Times New Roman" w:hAnsi="Times New Roman"/>
          <w:color w:val="auto"/>
          <w:sz w:val="24"/>
          <w:lang w:val="en-US" w:eastAsia="zh-CN"/>
        </w:rPr>
        <w:t>20</w:t>
      </w:r>
      <w:r>
        <w:rPr>
          <w:rFonts w:ascii="Times New Roman" w:hAnsi="Times New Roman"/>
          <w:color w:val="auto"/>
          <w:sz w:val="24"/>
        </w:rPr>
        <w:t>人，年工作天数300天，员工垃圾系数为0.5kg/d·人，则该项目产生生活垃圾</w:t>
      </w:r>
      <w:r>
        <w:rPr>
          <w:rFonts w:hint="eastAsia" w:ascii="Times New Roman" w:hAnsi="Times New Roman"/>
          <w:color w:val="auto"/>
          <w:sz w:val="24"/>
          <w:lang w:val="en-US" w:eastAsia="zh-CN"/>
        </w:rPr>
        <w:t>10</w:t>
      </w:r>
      <w:r>
        <w:rPr>
          <w:rFonts w:ascii="Times New Roman" w:hAnsi="Times New Roman"/>
          <w:color w:val="auto"/>
          <w:sz w:val="24"/>
        </w:rPr>
        <w:t>kg/d，</w:t>
      </w:r>
      <w:r>
        <w:rPr>
          <w:rFonts w:hint="eastAsia" w:ascii="Times New Roman" w:hAnsi="Times New Roman"/>
          <w:color w:val="auto"/>
          <w:sz w:val="24"/>
          <w:lang w:val="en-US" w:eastAsia="zh-CN"/>
        </w:rPr>
        <w:t>3.0</w:t>
      </w:r>
      <w:r>
        <w:rPr>
          <w:rFonts w:ascii="Times New Roman" w:hAnsi="Times New Roman"/>
          <w:color w:val="auto"/>
          <w:sz w:val="24"/>
        </w:rPr>
        <w:t>t/a，由环卫部门集中收集后统一处置。</w:t>
      </w:r>
    </w:p>
    <w:p>
      <w:pPr>
        <w:bidi w:val="0"/>
      </w:pPr>
      <w:bookmarkStart w:id="87" w:name="_Toc11037"/>
      <w:bookmarkStart w:id="88" w:name="_Toc1433"/>
      <w:r>
        <w:t>（</w:t>
      </w:r>
      <w:r>
        <w:rPr>
          <w:rFonts w:hint="eastAsia"/>
          <w:lang w:val="en-US" w:eastAsia="zh-CN"/>
        </w:rPr>
        <w:t>8</w:t>
      </w:r>
      <w:r>
        <w:t>）废机油</w:t>
      </w:r>
      <w:bookmarkEnd w:id="87"/>
      <w:bookmarkEnd w:id="88"/>
    </w:p>
    <w:p>
      <w:pPr>
        <w:adjustRightInd w:val="0"/>
        <w:snapToGrid w:val="0"/>
        <w:ind w:firstLine="480" w:firstLineChars="200"/>
        <w:jc w:val="left"/>
        <w:rPr>
          <w:rFonts w:hint="default" w:ascii="Times New Roman" w:hAnsi="Times New Roman"/>
          <w:color w:val="auto"/>
          <w:sz w:val="24"/>
          <w:lang w:val="en-US" w:eastAsia="zh-CN"/>
        </w:rPr>
      </w:pPr>
      <w:r>
        <w:rPr>
          <w:rFonts w:ascii="Times New Roman" w:hAnsi="Times New Roman"/>
          <w:color w:val="auto"/>
          <w:sz w:val="24"/>
        </w:rPr>
        <w:t>本项目设备维修废机油产生量约为0.01t/a，暂存于危废暂存间，定期委托有资质单位处置。</w:t>
      </w:r>
      <w:r>
        <w:rPr>
          <w:rFonts w:hint="default" w:ascii="Times New Roman" w:hAnsi="Times New Roman"/>
          <w:color w:val="auto"/>
          <w:sz w:val="24"/>
          <w:lang w:val="en-US" w:eastAsia="zh-CN"/>
        </w:rPr>
        <w:t>危废编号HW</w:t>
      </w:r>
      <w:r>
        <w:rPr>
          <w:rFonts w:hint="eastAsia" w:ascii="Times New Roman" w:hAnsi="Times New Roman"/>
          <w:color w:val="auto"/>
          <w:sz w:val="24"/>
          <w:lang w:val="en-US" w:eastAsia="zh-CN"/>
        </w:rPr>
        <w:t>08</w:t>
      </w:r>
      <w:r>
        <w:rPr>
          <w:rFonts w:hint="default" w:ascii="Times New Roman" w:hAnsi="Times New Roman"/>
          <w:color w:val="auto"/>
          <w:sz w:val="24"/>
          <w:lang w:val="en-US" w:eastAsia="zh-CN"/>
        </w:rPr>
        <w:t>：</w:t>
      </w:r>
      <w:r>
        <w:rPr>
          <w:rFonts w:hint="default" w:ascii="Times New Roman" w:hAnsi="Times New Roman"/>
          <w:color w:val="auto"/>
          <w:sz w:val="24"/>
        </w:rPr>
        <w:t>900-214-08</w:t>
      </w:r>
      <w:r>
        <w:rPr>
          <w:rFonts w:hint="default" w:ascii="Times New Roman" w:hAnsi="Times New Roman"/>
          <w:color w:val="auto"/>
          <w:sz w:val="24"/>
          <w:lang w:val="en-US" w:eastAsia="zh-CN"/>
        </w:rPr>
        <w:t>。</w:t>
      </w:r>
    </w:p>
    <w:p>
      <w:pPr>
        <w:bidi w:val="0"/>
        <w:rPr>
          <w:rFonts w:hint="eastAsia"/>
          <w:lang w:val="en-US" w:eastAsia="zh-CN"/>
        </w:rPr>
      </w:pPr>
      <w:bookmarkStart w:id="89" w:name="_Toc4319"/>
      <w:r>
        <w:rPr>
          <w:rFonts w:hint="eastAsia"/>
          <w:lang w:val="en-US" w:eastAsia="zh-CN"/>
        </w:rPr>
        <w:t>（9）废催化剂</w:t>
      </w:r>
      <w:bookmarkEnd w:id="89"/>
    </w:p>
    <w:p>
      <w:pPr>
        <w:adjustRightInd w:val="0"/>
        <w:snapToGrid w:val="0"/>
        <w:ind w:firstLine="480" w:firstLineChars="200"/>
        <w:jc w:val="both"/>
        <w:rPr>
          <w:rFonts w:hint="default"/>
          <w:u w:val="single"/>
          <w:lang w:val="en-US" w:eastAsia="zh-CN"/>
        </w:rPr>
      </w:pPr>
      <w:r>
        <w:rPr>
          <w:rFonts w:hint="default"/>
          <w:u w:val="single"/>
          <w:lang w:val="en-US" w:eastAsia="zh-CN"/>
        </w:rPr>
        <w:t>本项目营运后厂区设置</w:t>
      </w:r>
      <w:r>
        <w:rPr>
          <w:rFonts w:hint="eastAsia"/>
          <w:u w:val="single"/>
          <w:lang w:val="en-US" w:eastAsia="zh-CN"/>
        </w:rPr>
        <w:t>2</w:t>
      </w:r>
      <w:r>
        <w:rPr>
          <w:rFonts w:hint="default"/>
          <w:u w:val="single"/>
          <w:lang w:val="en-US" w:eastAsia="zh-CN"/>
        </w:rPr>
        <w:t>套催化燃烧装置对产品生产过程中产生的有机废气进行燃烧处理，催化燃烧装置所用催化剂为铂贵金属催化剂，其在运行过程中会产生废催化剂。根据</w:t>
      </w:r>
      <w:r>
        <w:rPr>
          <w:rFonts w:hint="eastAsia"/>
          <w:u w:val="single"/>
          <w:lang w:val="en-US" w:eastAsia="zh-CN"/>
        </w:rPr>
        <w:t>环保设备单位提供的经验数据</w:t>
      </w:r>
      <w:r>
        <w:rPr>
          <w:rFonts w:hint="default"/>
          <w:u w:val="single"/>
          <w:lang w:val="en-US" w:eastAsia="zh-CN"/>
        </w:rPr>
        <w:t>，催化剂更换周期为4～5年，每次更换产生废催化剂</w:t>
      </w:r>
      <w:r>
        <w:rPr>
          <w:rFonts w:hint="eastAsia"/>
          <w:u w:val="single"/>
          <w:lang w:val="en-US" w:eastAsia="zh-CN"/>
        </w:rPr>
        <w:t>5</w:t>
      </w:r>
      <w:r>
        <w:rPr>
          <w:rFonts w:hint="default"/>
          <w:u w:val="single"/>
          <w:lang w:val="en-US" w:eastAsia="zh-CN"/>
        </w:rPr>
        <w:t>t。根据《国家危险废物名录》（2021年版），铂贵金属催化剂未被列入《国家危险废物名录（2021年版）》，暂定为一般固废，本项目营运后需对催化剂危险性鉴别，以进一步确定催化剂性质。</w:t>
      </w:r>
    </w:p>
    <w:p>
      <w:pPr>
        <w:bidi w:val="0"/>
        <w:rPr>
          <w:rFonts w:hint="eastAsia"/>
          <w:u w:val="single"/>
          <w:lang w:val="en-US" w:eastAsia="zh-CN"/>
        </w:rPr>
      </w:pPr>
      <w:bookmarkStart w:id="90" w:name="_Toc5370"/>
      <w:r>
        <w:rPr>
          <w:rFonts w:hint="eastAsia"/>
          <w:u w:val="single"/>
          <w:lang w:val="en-US" w:eastAsia="zh-CN"/>
        </w:rPr>
        <w:t>（10）喷淋塔漂浮物及沉渣</w:t>
      </w:r>
      <w:bookmarkEnd w:id="90"/>
    </w:p>
    <w:p>
      <w:pPr>
        <w:bidi w:val="0"/>
        <w:rPr>
          <w:rFonts w:hint="default"/>
          <w:u w:val="single"/>
          <w:lang w:val="en-US" w:eastAsia="zh-CN"/>
        </w:rPr>
      </w:pPr>
      <w:bookmarkStart w:id="91" w:name="_Toc2772"/>
      <w:r>
        <w:rPr>
          <w:rFonts w:hint="default"/>
          <w:u w:val="single"/>
          <w:lang w:val="en-US" w:eastAsia="zh-CN"/>
        </w:rPr>
        <w:t>项目喷淋塔循环水箱中的水在冷却废气时，会有部分高温灰化的烟气经水冷却后，冷凝到水中，漂浮到水面上，其余经絮凝沉淀后成为沉渣，上层浮油及沉渣需要定期清捞，并补充新鲜水。漂浮物及沉渣每隔5天清理一次，</w:t>
      </w:r>
      <w:r>
        <w:rPr>
          <w:rFonts w:hint="eastAsia"/>
          <w:u w:val="single"/>
          <w:lang w:val="en-US" w:eastAsia="zh-CN"/>
        </w:rPr>
        <w:t>根据工程分析喷淋塔对颗粒的去除量为0.014t/a</w:t>
      </w:r>
      <w:r>
        <w:rPr>
          <w:rFonts w:hint="default"/>
          <w:u w:val="single"/>
          <w:lang w:val="en-US" w:eastAsia="zh-CN"/>
        </w:rPr>
        <w:t>，</w:t>
      </w:r>
      <w:r>
        <w:rPr>
          <w:rFonts w:hint="eastAsia"/>
          <w:u w:val="single"/>
          <w:lang w:val="en-US" w:eastAsia="zh-CN"/>
        </w:rPr>
        <w:t>打捞的漂浮物及沉渣含水量约为90%，由此核算漂浮物及沉渣</w:t>
      </w:r>
      <w:r>
        <w:rPr>
          <w:rFonts w:hint="default"/>
          <w:u w:val="single"/>
          <w:lang w:val="en-US" w:eastAsia="zh-CN"/>
        </w:rPr>
        <w:t>产生量为0.1</w:t>
      </w:r>
      <w:r>
        <w:rPr>
          <w:rFonts w:hint="eastAsia"/>
          <w:u w:val="single"/>
          <w:lang w:val="en-US" w:eastAsia="zh-CN"/>
        </w:rPr>
        <w:t>4</w:t>
      </w:r>
      <w:r>
        <w:rPr>
          <w:rFonts w:hint="default"/>
          <w:u w:val="single"/>
          <w:lang w:val="en-US" w:eastAsia="zh-CN"/>
        </w:rPr>
        <w:t>t/a，暂存于危废暂存间，定期交给有资质的公司进行处理。</w:t>
      </w:r>
      <w:bookmarkEnd w:id="91"/>
    </w:p>
    <w:p>
      <w:pPr>
        <w:pStyle w:val="31"/>
        <w:keepNext w:val="0"/>
        <w:keepLines w:val="0"/>
        <w:pageBreakBefore w:val="0"/>
        <w:widowControl w:val="0"/>
        <w:numPr>
          <w:ilvl w:val="0"/>
          <w:numId w:val="0"/>
        </w:numPr>
        <w:kinsoku/>
        <w:wordWrap/>
        <w:overflowPunct/>
        <w:topLinePunct w:val="0"/>
        <w:autoSpaceDE w:val="0"/>
        <w:autoSpaceDN/>
        <w:bidi w:val="0"/>
        <w:adjustRightInd/>
        <w:snapToGrid/>
        <w:spacing w:before="0" w:line="360" w:lineRule="auto"/>
        <w:ind w:right="0" w:rightChars="0" w:firstLine="480" w:firstLineChars="200"/>
        <w:jc w:val="both"/>
        <w:textAlignment w:val="auto"/>
        <w:rPr>
          <w:rFonts w:hint="default" w:ascii="Times New Roman" w:hAnsi="Times New Roman" w:cs="Times New Roman"/>
          <w:b w:val="0"/>
          <w:bCs w:val="0"/>
          <w:color w:val="000000"/>
          <w:sz w:val="24"/>
          <w:szCs w:val="24"/>
          <w:vertAlign w:val="baseline"/>
          <w:lang w:val="en-US" w:eastAsia="zh-CN" w:bidi="zh-CN"/>
        </w:rPr>
      </w:pPr>
      <w:r>
        <w:rPr>
          <w:rFonts w:hint="default" w:ascii="Times New Roman" w:hAnsi="Times New Roman" w:cs="Times New Roman"/>
          <w:b w:val="0"/>
          <w:bCs w:val="0"/>
          <w:color w:val="000000"/>
          <w:sz w:val="24"/>
          <w:szCs w:val="24"/>
          <w:vertAlign w:val="baseline"/>
          <w:lang w:val="en-US" w:eastAsia="zh-CN" w:bidi="zh-CN"/>
        </w:rPr>
        <w:t>根据《国家危险废物名录》（2021）的规定，危险废物分析结果如表</w:t>
      </w:r>
      <w:r>
        <w:rPr>
          <w:rFonts w:hint="eastAsia" w:ascii="Times New Roman" w:hAnsi="Times New Roman" w:cs="Times New Roman"/>
          <w:b w:val="0"/>
          <w:bCs w:val="0"/>
          <w:color w:val="000000"/>
          <w:sz w:val="24"/>
          <w:szCs w:val="24"/>
          <w:vertAlign w:val="baseline"/>
          <w:lang w:val="en-US" w:eastAsia="zh-CN" w:bidi="zh-CN"/>
        </w:rPr>
        <w:t>4.2-8</w:t>
      </w:r>
      <w:r>
        <w:rPr>
          <w:rFonts w:hint="default" w:ascii="Times New Roman" w:hAnsi="Times New Roman" w:cs="Times New Roman"/>
          <w:b w:val="0"/>
          <w:bCs w:val="0"/>
          <w:color w:val="000000"/>
          <w:sz w:val="24"/>
          <w:szCs w:val="24"/>
          <w:vertAlign w:val="baseline"/>
          <w:lang w:val="en-US" w:eastAsia="zh-CN" w:bidi="zh-CN"/>
        </w:rPr>
        <w:t>所示。</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eastAsia="宋体" w:cs="Times New Roman"/>
          <w:b/>
          <w:bCs/>
          <w:color w:val="000000"/>
          <w:kern w:val="0"/>
          <w:sz w:val="24"/>
          <w:szCs w:val="24"/>
          <w:vertAlign w:val="baseline"/>
          <w:lang w:val="en-US" w:eastAsia="zh-CN" w:bidi="zh-CN"/>
        </w:rPr>
      </w:pPr>
      <w:r>
        <w:rPr>
          <w:rFonts w:hint="default" w:ascii="Times New Roman" w:hAnsi="Times New Roman" w:eastAsia="宋体" w:cs="Times New Roman"/>
          <w:b/>
          <w:bCs/>
          <w:color w:val="000000"/>
          <w:kern w:val="0"/>
          <w:sz w:val="24"/>
          <w:szCs w:val="24"/>
          <w:vertAlign w:val="baseline"/>
          <w:lang w:val="en-US" w:eastAsia="zh-CN" w:bidi="zh-CN"/>
        </w:rPr>
        <w:t>表</w:t>
      </w:r>
      <w:r>
        <w:rPr>
          <w:rFonts w:hint="eastAsia" w:ascii="Times New Roman" w:hAnsi="Times New Roman" w:cs="Times New Roman"/>
          <w:b/>
          <w:bCs/>
          <w:color w:val="000000"/>
          <w:kern w:val="0"/>
          <w:sz w:val="24"/>
          <w:szCs w:val="24"/>
          <w:vertAlign w:val="baseline"/>
          <w:lang w:val="en-US" w:eastAsia="zh-CN" w:bidi="zh-CN"/>
        </w:rPr>
        <w:t>4.2-8</w:t>
      </w:r>
      <w:r>
        <w:rPr>
          <w:rFonts w:hint="default" w:ascii="Times New Roman" w:hAnsi="Times New Roman" w:eastAsia="宋体" w:cs="Times New Roman"/>
          <w:b/>
          <w:bCs/>
          <w:color w:val="000000"/>
          <w:kern w:val="0"/>
          <w:sz w:val="24"/>
          <w:szCs w:val="24"/>
          <w:vertAlign w:val="baseline"/>
          <w:lang w:val="en-US" w:eastAsia="zh-CN" w:bidi="zh-CN"/>
        </w:rPr>
        <w:t xml:space="preserve">  项目危险废物分析结果汇总表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10"/>
        <w:gridCol w:w="1250"/>
        <w:gridCol w:w="770"/>
        <w:gridCol w:w="480"/>
        <w:gridCol w:w="543"/>
        <w:gridCol w:w="469"/>
        <w:gridCol w:w="718"/>
        <w:gridCol w:w="675"/>
        <w:gridCol w:w="621"/>
        <w:gridCol w:w="688"/>
        <w:gridCol w:w="64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序号</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危废名称</w:t>
            </w:r>
          </w:p>
        </w:tc>
        <w:tc>
          <w:tcPr>
            <w:tcW w:w="67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危废代码</w:t>
            </w:r>
          </w:p>
        </w:tc>
        <w:tc>
          <w:tcPr>
            <w:tcW w:w="4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危废类别</w:t>
            </w:r>
          </w:p>
        </w:tc>
        <w:tc>
          <w:tcPr>
            <w:tcW w:w="25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属性</w:t>
            </w:r>
          </w:p>
        </w:tc>
        <w:tc>
          <w:tcPr>
            <w:tcW w:w="2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产生工序</w:t>
            </w:r>
          </w:p>
        </w:tc>
        <w:tc>
          <w:tcPr>
            <w:tcW w:w="25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形态</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主要成分</w:t>
            </w:r>
          </w:p>
        </w:tc>
        <w:tc>
          <w:tcPr>
            <w:tcW w:w="36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有害成分</w:t>
            </w:r>
          </w:p>
        </w:tc>
        <w:tc>
          <w:tcPr>
            <w:tcW w:w="33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产废周期</w:t>
            </w:r>
          </w:p>
        </w:tc>
        <w:tc>
          <w:tcPr>
            <w:tcW w:w="3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危险特性</w:t>
            </w:r>
          </w:p>
        </w:tc>
        <w:tc>
          <w:tcPr>
            <w:tcW w:w="34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rPr>
              <w:t>产生量</w:t>
            </w:r>
            <w:r>
              <w:rPr>
                <w:rFonts w:hint="default" w:ascii="Times New Roman" w:hAnsi="Times New Roman"/>
                <w:color w:val="auto"/>
                <w:kern w:val="0"/>
                <w:sz w:val="21"/>
                <w:szCs w:val="21"/>
                <w:lang w:val="en-US" w:eastAsia="zh-CN"/>
              </w:rPr>
              <w:t>t/a</w:t>
            </w:r>
          </w:p>
        </w:tc>
        <w:tc>
          <w:tcPr>
            <w:tcW w:w="56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1</w:t>
            </w:r>
          </w:p>
        </w:tc>
        <w:tc>
          <w:tcPr>
            <w:tcW w:w="4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val="en-US" w:eastAsia="zh-CN"/>
              </w:rPr>
              <w:t>废</w:t>
            </w:r>
            <w:r>
              <w:rPr>
                <w:rFonts w:hint="eastAsia" w:ascii="Times New Roman" w:hAnsi="Times New Roman"/>
                <w:color w:val="auto"/>
                <w:kern w:val="0"/>
                <w:sz w:val="21"/>
                <w:szCs w:val="21"/>
                <w:lang w:val="en-US" w:eastAsia="zh-CN"/>
              </w:rPr>
              <w:t>机油</w:t>
            </w:r>
          </w:p>
        </w:tc>
        <w:tc>
          <w:tcPr>
            <w:tcW w:w="67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900-214-08</w:t>
            </w:r>
          </w:p>
        </w:tc>
        <w:tc>
          <w:tcPr>
            <w:tcW w:w="41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HW</w:t>
            </w:r>
            <w:r>
              <w:rPr>
                <w:rFonts w:hint="eastAsia" w:ascii="Times New Roman" w:hAnsi="Times New Roman"/>
                <w:color w:val="auto"/>
                <w:kern w:val="0"/>
                <w:sz w:val="21"/>
                <w:szCs w:val="21"/>
                <w:lang w:val="en-US" w:eastAsia="zh-CN"/>
              </w:rPr>
              <w:t>08</w:t>
            </w:r>
          </w:p>
        </w:tc>
        <w:tc>
          <w:tcPr>
            <w:tcW w:w="258"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危险</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废物</w:t>
            </w:r>
          </w:p>
        </w:tc>
        <w:tc>
          <w:tcPr>
            <w:tcW w:w="2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设备维修</w:t>
            </w:r>
          </w:p>
        </w:tc>
        <w:tc>
          <w:tcPr>
            <w:tcW w:w="25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rPr>
              <w:t>液态</w:t>
            </w:r>
          </w:p>
        </w:tc>
        <w:tc>
          <w:tcPr>
            <w:tcW w:w="3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危险化学品</w:t>
            </w:r>
          </w:p>
        </w:tc>
        <w:tc>
          <w:tcPr>
            <w:tcW w:w="36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危险化学品</w:t>
            </w:r>
          </w:p>
        </w:tc>
        <w:tc>
          <w:tcPr>
            <w:tcW w:w="33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lang w:val="en-US" w:eastAsia="zh-CN"/>
              </w:rPr>
              <w:t>2个月</w:t>
            </w:r>
          </w:p>
        </w:tc>
        <w:tc>
          <w:tcPr>
            <w:tcW w:w="3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lang w:val="en-US" w:eastAsia="zh-CN"/>
              </w:rPr>
            </w:pPr>
            <w:r>
              <w:rPr>
                <w:rFonts w:hint="default" w:ascii="Times New Roman" w:hAnsi="Times New Roman"/>
                <w:color w:val="auto"/>
                <w:kern w:val="0"/>
                <w:sz w:val="21"/>
                <w:szCs w:val="21"/>
              </w:rPr>
              <w:t>T</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lang w:val="en-US" w:eastAsia="zh-CN"/>
              </w:rPr>
              <w:t>T</w:t>
            </w:r>
          </w:p>
        </w:tc>
        <w:tc>
          <w:tcPr>
            <w:tcW w:w="34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rPr>
            </w:pPr>
            <w:r>
              <w:rPr>
                <w:rFonts w:hint="default" w:ascii="Times New Roman" w:hAnsi="Times New Roman"/>
                <w:color w:val="auto"/>
                <w:kern w:val="0"/>
                <w:sz w:val="21"/>
                <w:szCs w:val="21"/>
                <w:lang w:val="en-US" w:eastAsia="zh-CN"/>
              </w:rPr>
              <w:t>0.</w:t>
            </w:r>
            <w:r>
              <w:rPr>
                <w:rFonts w:hint="eastAsia" w:ascii="Times New Roman" w:hAnsi="Times New Roman"/>
                <w:color w:val="auto"/>
                <w:kern w:val="0"/>
                <w:sz w:val="21"/>
                <w:szCs w:val="21"/>
                <w:lang w:val="en-US" w:eastAsia="zh-CN"/>
              </w:rPr>
              <w:t>01</w:t>
            </w:r>
          </w:p>
        </w:tc>
        <w:tc>
          <w:tcPr>
            <w:tcW w:w="56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厂区暂存，定期交由有资质单位处理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val="en-US" w:eastAsia="zh-CN"/>
              </w:rPr>
              <w:t>2</w:t>
            </w:r>
          </w:p>
        </w:tc>
        <w:tc>
          <w:tcPr>
            <w:tcW w:w="4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u w:val="single"/>
                <w:vertAlign w:val="baseline"/>
                <w:lang w:val="en-US" w:eastAsia="zh-CN" w:bidi="zh-CN"/>
              </w:rPr>
            </w:pPr>
            <w:r>
              <w:rPr>
                <w:rFonts w:hint="default" w:ascii="Times New Roman" w:hAnsi="Times New Roman" w:cs="Times New Roman"/>
                <w:sz w:val="21"/>
                <w:szCs w:val="21"/>
                <w:u w:val="single"/>
                <w:lang w:eastAsia="zh-CN"/>
              </w:rPr>
              <w:t>废活性炭</w:t>
            </w:r>
          </w:p>
        </w:tc>
        <w:tc>
          <w:tcPr>
            <w:tcW w:w="672"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u w:val="single"/>
                <w:vertAlign w:val="baseline"/>
                <w:lang w:val="en-US" w:eastAsia="zh-CN" w:bidi="zh-CN"/>
              </w:rPr>
            </w:pPr>
            <w:r>
              <w:rPr>
                <w:rFonts w:hint="default" w:ascii="Times New Roman" w:hAnsi="Times New Roman" w:cs="Times New Roman"/>
                <w:b w:val="0"/>
                <w:bCs w:val="0"/>
                <w:color w:val="000000"/>
                <w:sz w:val="21"/>
                <w:szCs w:val="21"/>
                <w:u w:val="single"/>
                <w:vertAlign w:val="baseline"/>
                <w:lang w:val="en-US" w:eastAsia="zh-CN" w:bidi="zh-CN"/>
              </w:rPr>
              <w:t>900-039-49</w:t>
            </w:r>
          </w:p>
        </w:tc>
        <w:tc>
          <w:tcPr>
            <w:tcW w:w="414"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u w:val="single"/>
                <w:vertAlign w:val="baseline"/>
                <w:lang w:val="en-US" w:eastAsia="zh-CN" w:bidi="zh-CN"/>
              </w:rPr>
            </w:pPr>
            <w:r>
              <w:rPr>
                <w:rFonts w:hint="default" w:ascii="Times New Roman" w:hAnsi="Times New Roman" w:cs="Times New Roman"/>
                <w:b w:val="0"/>
                <w:bCs w:val="0"/>
                <w:color w:val="000000"/>
                <w:sz w:val="21"/>
                <w:szCs w:val="21"/>
                <w:u w:val="single"/>
                <w:vertAlign w:val="baseline"/>
                <w:lang w:val="en-US" w:eastAsia="zh-CN" w:bidi="zh-CN"/>
              </w:rPr>
              <w:t>HW49</w:t>
            </w:r>
          </w:p>
        </w:tc>
        <w:tc>
          <w:tcPr>
            <w:tcW w:w="2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rPr>
            </w:pPr>
          </w:p>
        </w:tc>
        <w:tc>
          <w:tcPr>
            <w:tcW w:w="292"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废气处理</w:t>
            </w:r>
          </w:p>
        </w:tc>
        <w:tc>
          <w:tcPr>
            <w:tcW w:w="25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固</w:t>
            </w:r>
          </w:p>
        </w:tc>
        <w:tc>
          <w:tcPr>
            <w:tcW w:w="386"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活性炭</w:t>
            </w:r>
          </w:p>
        </w:tc>
        <w:tc>
          <w:tcPr>
            <w:tcW w:w="36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活性炭</w:t>
            </w:r>
          </w:p>
        </w:tc>
        <w:tc>
          <w:tcPr>
            <w:tcW w:w="33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半年</w:t>
            </w:r>
          </w:p>
        </w:tc>
        <w:tc>
          <w:tcPr>
            <w:tcW w:w="37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lang w:val="en-US" w:eastAsia="zh-CN"/>
              </w:rPr>
              <w:t>T</w:t>
            </w:r>
          </w:p>
        </w:tc>
        <w:tc>
          <w:tcPr>
            <w:tcW w:w="3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3.06</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5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3</w:t>
            </w:r>
          </w:p>
        </w:tc>
        <w:tc>
          <w:tcPr>
            <w:tcW w:w="4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val="en-US" w:eastAsia="zh-CN"/>
              </w:rPr>
              <w:t>喷淋塔漂浮物及沉渣</w:t>
            </w:r>
          </w:p>
        </w:tc>
        <w:tc>
          <w:tcPr>
            <w:tcW w:w="672"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u w:val="single"/>
                <w:vertAlign w:val="baseline"/>
                <w:lang w:val="en-US" w:eastAsia="zh-CN" w:bidi="zh-CN"/>
              </w:rPr>
            </w:pPr>
            <w:r>
              <w:rPr>
                <w:rFonts w:hint="default" w:ascii="Times New Roman" w:hAnsi="Times New Roman"/>
                <w:color w:val="auto"/>
                <w:kern w:val="0"/>
                <w:sz w:val="21"/>
                <w:szCs w:val="21"/>
                <w:u w:val="single"/>
                <w:lang w:val="en-US" w:eastAsia="zh-CN"/>
              </w:rPr>
              <w:t>772-006-49</w:t>
            </w:r>
          </w:p>
        </w:tc>
        <w:tc>
          <w:tcPr>
            <w:tcW w:w="414"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val="0"/>
                <w:color w:val="000000"/>
                <w:sz w:val="21"/>
                <w:szCs w:val="21"/>
                <w:u w:val="single"/>
                <w:vertAlign w:val="baseline"/>
                <w:lang w:val="en-US" w:eastAsia="zh-CN" w:bidi="zh-CN"/>
              </w:rPr>
            </w:pPr>
            <w:r>
              <w:rPr>
                <w:rFonts w:hint="default" w:ascii="Times New Roman" w:hAnsi="Times New Roman" w:cs="Times New Roman"/>
                <w:b w:val="0"/>
                <w:bCs w:val="0"/>
                <w:color w:val="000000"/>
                <w:sz w:val="21"/>
                <w:szCs w:val="21"/>
                <w:u w:val="single"/>
                <w:vertAlign w:val="baseline"/>
                <w:lang w:val="en-US" w:eastAsia="zh-CN" w:bidi="zh-CN"/>
              </w:rPr>
              <w:t>HW49</w:t>
            </w:r>
          </w:p>
        </w:tc>
        <w:tc>
          <w:tcPr>
            <w:tcW w:w="2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rPr>
            </w:pPr>
          </w:p>
        </w:tc>
        <w:tc>
          <w:tcPr>
            <w:tcW w:w="292"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eastAsia="zh-CN"/>
              </w:rPr>
            </w:pPr>
          </w:p>
        </w:tc>
        <w:tc>
          <w:tcPr>
            <w:tcW w:w="25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固</w:t>
            </w:r>
          </w:p>
        </w:tc>
        <w:tc>
          <w:tcPr>
            <w:tcW w:w="386"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single"/>
                <w:lang w:eastAsia="zh-CN"/>
              </w:rPr>
            </w:pPr>
            <w:r>
              <w:rPr>
                <w:rFonts w:hint="eastAsia" w:cs="Times New Roman"/>
                <w:sz w:val="21"/>
                <w:szCs w:val="21"/>
                <w:u w:val="single"/>
                <w:lang w:eastAsia="zh-CN"/>
              </w:rPr>
              <w:t>沾染废物</w:t>
            </w:r>
          </w:p>
        </w:tc>
        <w:tc>
          <w:tcPr>
            <w:tcW w:w="36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single"/>
                <w:lang w:eastAsia="zh-CN"/>
              </w:rPr>
            </w:pPr>
            <w:r>
              <w:rPr>
                <w:rFonts w:hint="eastAsia" w:cs="Times New Roman"/>
                <w:sz w:val="21"/>
                <w:szCs w:val="21"/>
                <w:u w:val="single"/>
                <w:lang w:eastAsia="zh-CN"/>
              </w:rPr>
              <w:t>沾染废物</w:t>
            </w:r>
          </w:p>
        </w:tc>
        <w:tc>
          <w:tcPr>
            <w:tcW w:w="33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lang w:val="en-US" w:eastAsia="zh-CN"/>
              </w:rPr>
            </w:pPr>
            <w:r>
              <w:rPr>
                <w:rFonts w:hint="eastAsia" w:cs="Times New Roman"/>
                <w:sz w:val="21"/>
                <w:szCs w:val="21"/>
                <w:u w:val="single"/>
                <w:lang w:val="en-US" w:eastAsia="zh-CN"/>
              </w:rPr>
              <w:t>5d</w:t>
            </w:r>
          </w:p>
        </w:tc>
        <w:tc>
          <w:tcPr>
            <w:tcW w:w="37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T</w:t>
            </w:r>
          </w:p>
        </w:tc>
        <w:tc>
          <w:tcPr>
            <w:tcW w:w="34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lang w:val="en-US" w:eastAsia="zh-CN"/>
              </w:rPr>
            </w:pPr>
            <w:r>
              <w:rPr>
                <w:rFonts w:hint="eastAsia" w:cs="Times New Roman"/>
                <w:sz w:val="21"/>
                <w:szCs w:val="21"/>
                <w:u w:val="single"/>
                <w:lang w:val="en-US" w:eastAsia="zh-CN"/>
              </w:rPr>
              <w:t>0.14</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bl>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综上所述，项目固体废物产生情况汇总如下表</w:t>
      </w:r>
      <w:r>
        <w:rPr>
          <w:rFonts w:hint="eastAsia" w:cs="Times New Roman"/>
          <w:color w:val="auto"/>
          <w:sz w:val="24"/>
          <w:szCs w:val="24"/>
          <w:lang w:val="en-US" w:eastAsia="zh-CN"/>
        </w:rPr>
        <w:t>4.2-9</w:t>
      </w:r>
      <w:r>
        <w:rPr>
          <w:rFonts w:hint="default" w:ascii="Times New Roman" w:hAnsi="Times New Roman" w:eastAsia="宋体" w:cs="Times New Roman"/>
          <w:color w:val="auto"/>
          <w:sz w:val="24"/>
          <w:szCs w:val="24"/>
        </w:rPr>
        <w:t>所示。</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4.2-9</w:t>
      </w:r>
      <w:r>
        <w:rPr>
          <w:rFonts w:hint="default" w:ascii="Times New Roman" w:hAnsi="Times New Roman" w:eastAsia="宋体" w:cs="Times New Roman"/>
          <w:b/>
          <w:bCs/>
          <w:color w:val="auto"/>
          <w:kern w:val="2"/>
          <w:sz w:val="24"/>
          <w:szCs w:val="24"/>
          <w:lang w:val="en-US" w:eastAsia="zh-CN" w:bidi="ar-SA"/>
        </w:rPr>
        <w:t xml:space="preserve">  项目营运期固体废物分析结果汇总表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4"/>
        <w:gridCol w:w="865"/>
        <w:gridCol w:w="565"/>
        <w:gridCol w:w="989"/>
        <w:gridCol w:w="591"/>
        <w:gridCol w:w="714"/>
        <w:gridCol w:w="645"/>
        <w:gridCol w:w="644"/>
        <w:gridCol w:w="988"/>
        <w:gridCol w:w="1085"/>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bookmarkStart w:id="92" w:name="_Toc5888450"/>
            <w:bookmarkStart w:id="93" w:name="_Toc18366"/>
            <w:r>
              <w:rPr>
                <w:rFonts w:hint="default" w:ascii="Times New Roman" w:hAnsi="Times New Roman"/>
                <w:color w:val="auto"/>
                <w:kern w:val="0"/>
                <w:sz w:val="21"/>
                <w:szCs w:val="21"/>
              </w:rPr>
              <w:t>编号</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固废</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名称</w:t>
            </w:r>
          </w:p>
        </w:tc>
        <w:tc>
          <w:tcPr>
            <w:tcW w:w="3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属性</w:t>
            </w: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产生工序</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形态</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主要</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成分</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危险特性</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废物</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类别</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废物代码</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rPr>
              <w:t>产生量</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1</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ascii="Times New Roman" w:hAnsi="Times New Roman"/>
                <w:color w:val="auto"/>
                <w:kern w:val="0"/>
                <w:sz w:val="21"/>
                <w:szCs w:val="21"/>
              </w:rPr>
              <w:t>分拣固废</w:t>
            </w:r>
          </w:p>
        </w:tc>
        <w:tc>
          <w:tcPr>
            <w:tcW w:w="30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一般固废</w:t>
            </w: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分拣</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eastAsia="zh-CN"/>
              </w:rPr>
              <w:t>塑料、石子</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283.5</w:t>
            </w:r>
            <w:r>
              <w:rPr>
                <w:rFonts w:hint="default" w:ascii="Times New Roman" w:hAnsi="Times New Roman"/>
                <w:color w:val="auto"/>
                <w:kern w:val="0"/>
                <w:sz w:val="21"/>
                <w:szCs w:val="21"/>
                <w:lang w:val="en-US" w:eastAsia="zh-CN"/>
              </w:rPr>
              <w:t>t/a</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集中收集后送往当地垃圾填埋场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2</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废包装</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拆包</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塑料</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5</w:t>
            </w:r>
            <w:r>
              <w:rPr>
                <w:rFonts w:hint="default" w:ascii="Times New Roman" w:hAnsi="Times New Roman"/>
                <w:color w:val="auto"/>
                <w:kern w:val="0"/>
                <w:sz w:val="21"/>
                <w:szCs w:val="21"/>
                <w:lang w:val="en-US" w:eastAsia="zh-CN"/>
              </w:rPr>
              <w:t>t/a</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sz w:val="21"/>
                <w:szCs w:val="21"/>
                <w:lang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3</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清洗</w:t>
            </w:r>
            <w:r>
              <w:rPr>
                <w:rFonts w:hint="eastAsia" w:ascii="Times New Roman" w:hAnsi="Times New Roman"/>
                <w:color w:val="auto"/>
                <w:kern w:val="0"/>
                <w:sz w:val="21"/>
                <w:szCs w:val="21"/>
                <w:lang w:eastAsia="zh-CN"/>
              </w:rPr>
              <w:t>污泥</w:t>
            </w:r>
            <w:r>
              <w:rPr>
                <w:rFonts w:ascii="Times New Roman" w:hAnsi="Times New Roman"/>
                <w:color w:val="auto"/>
                <w:kern w:val="0"/>
                <w:sz w:val="21"/>
                <w:szCs w:val="21"/>
              </w:rPr>
              <w:t>废渣</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清洗</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污泥</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15.75</w:t>
            </w:r>
            <w:r>
              <w:rPr>
                <w:rFonts w:hint="default" w:ascii="Times New Roman" w:hAnsi="Times New Roman"/>
                <w:color w:val="auto"/>
                <w:kern w:val="0"/>
                <w:sz w:val="21"/>
                <w:szCs w:val="21"/>
                <w:lang w:val="en-US" w:eastAsia="zh-CN"/>
              </w:rPr>
              <w:t>t/a</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sz w:val="21"/>
                <w:szCs w:val="21"/>
              </w:rPr>
              <w:t>采用压滤机脱水后集中收集送至当地垃圾填埋场进行处置。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4</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除尘器卸灰</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粉尘处理</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塑料颗粒</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2.374</w:t>
            </w:r>
            <w:r>
              <w:rPr>
                <w:rFonts w:hint="default" w:ascii="Times New Roman" w:hAnsi="Times New Roman"/>
                <w:color w:val="auto"/>
                <w:kern w:val="0"/>
                <w:sz w:val="21"/>
                <w:szCs w:val="21"/>
                <w:lang w:val="en-US" w:eastAsia="zh-CN"/>
              </w:rPr>
              <w:t>t/a</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sz w:val="21"/>
                <w:szCs w:val="21"/>
                <w:lang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5</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废滤网</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挤塑</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color w:val="auto"/>
                <w:kern w:val="0"/>
                <w:sz w:val="21"/>
                <w:szCs w:val="21"/>
                <w:lang w:val="en-US" w:eastAsia="zh-CN"/>
              </w:rPr>
              <w:t>0.9t</w:t>
            </w:r>
            <w:r>
              <w:rPr>
                <w:rFonts w:ascii="Times New Roman" w:hAnsi="Times New Roman"/>
                <w:color w:val="auto"/>
                <w:kern w:val="0"/>
                <w:sz w:val="21"/>
                <w:szCs w:val="21"/>
              </w:rPr>
              <w:t>/a</w:t>
            </w:r>
          </w:p>
        </w:tc>
        <w:tc>
          <w:tcPr>
            <w:tcW w:w="91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集中收集后交由原厂家回收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6</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生活垃圾</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办公生活</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3.0</w:t>
            </w:r>
            <w:r>
              <w:rPr>
                <w:rFonts w:hint="default" w:ascii="Times New Roman" w:hAnsi="Times New Roman"/>
                <w:color w:val="auto"/>
                <w:kern w:val="0"/>
                <w:sz w:val="21"/>
                <w:szCs w:val="21"/>
                <w:lang w:val="en-US" w:eastAsia="zh-CN"/>
              </w:rPr>
              <w:t>t/a</w:t>
            </w:r>
          </w:p>
        </w:tc>
        <w:tc>
          <w:tcPr>
            <w:tcW w:w="917" w:type="pct"/>
            <w:noWrap w:val="0"/>
            <w:vAlign w:val="center"/>
          </w:tcPr>
          <w:p>
            <w:pPr>
              <w:pStyle w:val="26"/>
              <w:keepNext w:val="0"/>
              <w:keepLines w:val="0"/>
              <w:pageBreakBefore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Times New Roman" w:hAnsi="Times New Roman"/>
                <w:color w:val="auto"/>
                <w:kern w:val="0"/>
                <w:sz w:val="21"/>
                <w:szCs w:val="21"/>
                <w:lang w:eastAsia="zh-CN"/>
              </w:rPr>
            </w:pPr>
            <w:r>
              <w:rPr>
                <w:snapToGrid w:val="0"/>
                <w:color w:val="auto"/>
                <w:kern w:val="0"/>
                <w:sz w:val="21"/>
                <w:szCs w:val="21"/>
                <w:lang w:val="en-US" w:eastAsia="zh-CN"/>
              </w:rPr>
              <w:t>集中收集后交由环卫部门处理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eastAsia"/>
                <w:color w:val="auto"/>
                <w:kern w:val="0"/>
                <w:sz w:val="21"/>
                <w:szCs w:val="21"/>
                <w:u w:val="single"/>
                <w:lang w:val="en-US" w:eastAsia="zh-CN"/>
              </w:rPr>
              <w:t>7</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u w:val="single"/>
                <w:lang w:eastAsia="zh-CN"/>
              </w:rPr>
            </w:pPr>
            <w:r>
              <w:rPr>
                <w:rFonts w:hint="eastAsia"/>
                <w:color w:val="auto"/>
                <w:kern w:val="0"/>
                <w:sz w:val="21"/>
                <w:szCs w:val="21"/>
                <w:u w:val="single"/>
                <w:lang w:eastAsia="zh-CN"/>
              </w:rPr>
              <w:t>废催化剂</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kern w:val="0"/>
                <w:sz w:val="21"/>
                <w:szCs w:val="21"/>
                <w:u w:val="single"/>
                <w:lang w:eastAsia="zh-CN"/>
              </w:rPr>
            </w:pPr>
            <w:r>
              <w:rPr>
                <w:rFonts w:hint="eastAsia"/>
                <w:color w:val="auto"/>
                <w:kern w:val="0"/>
                <w:sz w:val="21"/>
                <w:szCs w:val="21"/>
                <w:u w:val="single"/>
                <w:lang w:eastAsia="zh-CN"/>
              </w:rPr>
              <w:t>废气处理</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eastAsia="zh-CN"/>
              </w:rPr>
            </w:pPr>
            <w:r>
              <w:rPr>
                <w:rFonts w:hint="default" w:ascii="Times New Roman" w:hAnsi="Times New Roman"/>
                <w:color w:val="auto"/>
                <w:kern w:val="0"/>
                <w:sz w:val="21"/>
                <w:szCs w:val="21"/>
                <w:u w:val="single"/>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val="en-US" w:eastAsia="zh-CN"/>
              </w:rPr>
            </w:pPr>
            <w:r>
              <w:rPr>
                <w:rFonts w:hint="eastAsia"/>
                <w:color w:val="auto"/>
                <w:kern w:val="0"/>
                <w:sz w:val="21"/>
                <w:szCs w:val="21"/>
                <w:u w:val="single"/>
                <w:lang w:val="en-US" w:eastAsia="zh-CN"/>
              </w:rPr>
              <w:t>贵金属</w:t>
            </w:r>
          </w:p>
        </w:tc>
        <w:tc>
          <w:tcPr>
            <w:tcW w:w="6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val="en-US" w:eastAsia="zh-CN"/>
              </w:rPr>
            </w:pPr>
            <w:r>
              <w:rPr>
                <w:rFonts w:hint="eastAsia" w:ascii="Times New Roman" w:hAnsi="Times New Roman"/>
                <w:color w:val="auto"/>
                <w:kern w:val="0"/>
                <w:sz w:val="21"/>
                <w:szCs w:val="21"/>
                <w:u w:val="single"/>
                <w:lang w:val="en-US" w:eastAsia="zh-CN"/>
              </w:rPr>
              <w:t>/</w:t>
            </w:r>
          </w:p>
        </w:tc>
        <w:tc>
          <w:tcPr>
            <w:tcW w:w="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val="en-US" w:eastAsia="zh-CN"/>
              </w:rPr>
            </w:pPr>
            <w:r>
              <w:rPr>
                <w:rFonts w:hint="eastAsia" w:ascii="Times New Roman" w:hAnsi="Times New Roman"/>
                <w:color w:val="auto"/>
                <w:kern w:val="0"/>
                <w:sz w:val="21"/>
                <w:szCs w:val="21"/>
                <w:u w:val="single"/>
                <w:lang w:val="en-US" w:eastAsia="zh-CN"/>
              </w:rPr>
              <w:t>/</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val="en-US" w:eastAsia="zh-CN"/>
              </w:rPr>
            </w:pPr>
            <w:r>
              <w:rPr>
                <w:rFonts w:hint="eastAsia" w:ascii="Times New Roman" w:hAnsi="Times New Roman"/>
                <w:color w:val="auto"/>
                <w:kern w:val="0"/>
                <w:sz w:val="21"/>
                <w:szCs w:val="21"/>
                <w:u w:val="single"/>
                <w:lang w:val="en-US" w:eastAsia="zh-CN"/>
              </w:rPr>
              <w:t>/</w:t>
            </w:r>
          </w:p>
        </w:tc>
        <w:tc>
          <w:tcPr>
            <w:tcW w:w="10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u w:val="single"/>
                <w:lang w:val="en-US" w:eastAsia="zh-CN"/>
              </w:rPr>
            </w:pPr>
            <w:r>
              <w:rPr>
                <w:rFonts w:hint="eastAsia" w:ascii="Times New Roman" w:hAnsi="Times New Roman"/>
                <w:color w:val="auto"/>
                <w:kern w:val="0"/>
                <w:sz w:val="21"/>
                <w:szCs w:val="21"/>
                <w:u w:val="single"/>
                <w:lang w:val="en-US" w:eastAsia="zh-CN"/>
              </w:rPr>
              <w:t>5</w:t>
            </w:r>
            <w:r>
              <w:rPr>
                <w:rFonts w:hint="default" w:ascii="Times New Roman" w:hAnsi="Times New Roman"/>
                <w:color w:val="auto"/>
                <w:kern w:val="0"/>
                <w:sz w:val="21"/>
                <w:szCs w:val="21"/>
                <w:u w:val="single"/>
                <w:lang w:val="en-US" w:eastAsia="zh-CN"/>
              </w:rPr>
              <w:t>t/</w:t>
            </w:r>
            <w:r>
              <w:rPr>
                <w:rFonts w:hint="eastAsia" w:ascii="Times New Roman" w:hAnsi="Times New Roman"/>
                <w:color w:val="auto"/>
                <w:kern w:val="0"/>
                <w:sz w:val="21"/>
                <w:szCs w:val="21"/>
                <w:u w:val="single"/>
                <w:lang w:val="en-US" w:eastAsia="zh-CN"/>
              </w:rPr>
              <w:t>（4~5）</w:t>
            </w:r>
            <w:r>
              <w:rPr>
                <w:rFonts w:hint="default" w:ascii="Times New Roman" w:hAnsi="Times New Roman"/>
                <w:color w:val="auto"/>
                <w:kern w:val="0"/>
                <w:sz w:val="21"/>
                <w:szCs w:val="21"/>
                <w:u w:val="single"/>
                <w:lang w:val="en-US" w:eastAsia="zh-CN"/>
              </w:rPr>
              <w:t>a</w:t>
            </w:r>
          </w:p>
        </w:tc>
        <w:tc>
          <w:tcPr>
            <w:tcW w:w="917" w:type="pct"/>
            <w:noWrap w:val="0"/>
            <w:vAlign w:val="center"/>
          </w:tcPr>
          <w:p>
            <w:pPr>
              <w:pStyle w:val="26"/>
              <w:keepNext w:val="0"/>
              <w:keepLines w:val="0"/>
              <w:pageBreakBefore w:val="0"/>
              <w:kinsoku/>
              <w:wordWrap/>
              <w:overflowPunct/>
              <w:topLinePunct w:val="0"/>
              <w:autoSpaceDE/>
              <w:autoSpaceDN/>
              <w:bidi w:val="0"/>
              <w:adjustRightInd/>
              <w:snapToGrid/>
              <w:spacing w:before="0" w:line="240" w:lineRule="auto"/>
              <w:ind w:left="0" w:leftChars="0" w:firstLine="0" w:firstLineChars="0"/>
              <w:jc w:val="center"/>
              <w:textAlignment w:val="auto"/>
              <w:rPr>
                <w:snapToGrid w:val="0"/>
                <w:color w:val="auto"/>
                <w:kern w:val="0"/>
                <w:sz w:val="21"/>
                <w:szCs w:val="21"/>
                <w:u w:val="single"/>
                <w:lang w:val="en-US" w:eastAsia="zh-CN"/>
              </w:rPr>
            </w:pPr>
            <w:r>
              <w:rPr>
                <w:rFonts w:hint="eastAsia"/>
                <w:snapToGrid w:val="0"/>
                <w:color w:val="auto"/>
                <w:kern w:val="0"/>
                <w:sz w:val="21"/>
                <w:szCs w:val="21"/>
                <w:u w:val="single"/>
                <w:lang w:val="en-US" w:eastAsia="zh-CN"/>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8</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val="en-US" w:eastAsia="zh-CN"/>
              </w:rPr>
              <w:t>废</w:t>
            </w:r>
            <w:r>
              <w:rPr>
                <w:rFonts w:hint="eastAsia" w:ascii="Times New Roman" w:hAnsi="Times New Roman"/>
                <w:color w:val="auto"/>
                <w:kern w:val="0"/>
                <w:sz w:val="21"/>
                <w:szCs w:val="21"/>
                <w:lang w:val="en-US" w:eastAsia="zh-CN"/>
              </w:rPr>
              <w:t>机油</w:t>
            </w:r>
          </w:p>
        </w:tc>
        <w:tc>
          <w:tcPr>
            <w:tcW w:w="30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危险废物</w:t>
            </w: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设备维修</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eastAsia="宋体" w:cs="Times New Roman"/>
                <w:sz w:val="21"/>
                <w:szCs w:val="21"/>
                <w:lang w:eastAsia="zh-CN"/>
              </w:rPr>
              <w:t>矿物质油</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kern w:val="0"/>
                <w:sz w:val="21"/>
                <w:szCs w:val="21"/>
                <w:lang w:val="en-US" w:eastAsia="zh-CN"/>
              </w:rPr>
            </w:pPr>
            <w:r>
              <w:rPr>
                <w:rFonts w:hint="default" w:ascii="Times New Roman" w:hAnsi="Times New Roman"/>
                <w:color w:val="auto"/>
                <w:kern w:val="0"/>
                <w:sz w:val="21"/>
                <w:szCs w:val="21"/>
              </w:rPr>
              <w:t>T</w:t>
            </w:r>
            <w:r>
              <w:rPr>
                <w:rFonts w:hint="eastAsia" w:ascii="Times New Roman" w:hAnsi="Times New Roman"/>
                <w:color w:val="auto"/>
                <w:kern w:val="0"/>
                <w:sz w:val="21"/>
                <w:szCs w:val="21"/>
                <w:lang w:eastAsia="zh-CN"/>
              </w:rPr>
              <w:t>，</w:t>
            </w:r>
            <w:r>
              <w:rPr>
                <w:rFonts w:hint="eastAsia" w:ascii="Times New Roman" w:hAnsi="Times New Roman"/>
                <w:color w:val="auto"/>
                <w:kern w:val="0"/>
                <w:sz w:val="21"/>
                <w:szCs w:val="21"/>
                <w:lang w:val="en-US" w:eastAsia="zh-CN"/>
              </w:rPr>
              <w:t>I</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HW</w:t>
            </w:r>
            <w:r>
              <w:rPr>
                <w:rFonts w:hint="eastAsia" w:ascii="Times New Roman" w:hAnsi="Times New Roman"/>
                <w:color w:val="auto"/>
                <w:kern w:val="0"/>
                <w:sz w:val="21"/>
                <w:szCs w:val="21"/>
                <w:lang w:val="en-US" w:eastAsia="zh-CN"/>
              </w:rPr>
              <w:t>08</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900-214-08</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0.</w:t>
            </w:r>
            <w:r>
              <w:rPr>
                <w:rFonts w:hint="eastAsia" w:ascii="Times New Roman" w:hAnsi="Times New Roman"/>
                <w:color w:val="auto"/>
                <w:kern w:val="0"/>
                <w:sz w:val="21"/>
                <w:szCs w:val="21"/>
                <w:lang w:val="en-US" w:eastAsia="zh-CN"/>
              </w:rPr>
              <w:t>01</w:t>
            </w:r>
            <w:r>
              <w:rPr>
                <w:rFonts w:hint="default" w:ascii="Times New Roman" w:hAnsi="Times New Roman"/>
                <w:color w:val="auto"/>
                <w:kern w:val="0"/>
                <w:sz w:val="21"/>
                <w:szCs w:val="21"/>
                <w:lang w:val="en-US" w:eastAsia="zh-CN"/>
              </w:rPr>
              <w:t>t/a</w:t>
            </w:r>
          </w:p>
        </w:tc>
        <w:tc>
          <w:tcPr>
            <w:tcW w:w="91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eastAsia"/>
                <w:color w:val="auto"/>
                <w:kern w:val="0"/>
                <w:sz w:val="21"/>
                <w:szCs w:val="21"/>
                <w:u w:val="single"/>
                <w:lang w:val="en-US" w:eastAsia="zh-CN"/>
              </w:rPr>
              <w:t>9</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eastAsia="zh-CN"/>
              </w:rPr>
              <w:t>废活性炭</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p>
        </w:tc>
        <w:tc>
          <w:tcPr>
            <w:tcW w:w="53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default" w:ascii="Times New Roman" w:hAnsi="Times New Roman"/>
                <w:color w:val="auto"/>
                <w:kern w:val="0"/>
                <w:sz w:val="21"/>
                <w:szCs w:val="21"/>
                <w:u w:val="single"/>
                <w:lang w:eastAsia="zh-CN"/>
              </w:rPr>
              <w:t>废气处理</w:t>
            </w:r>
          </w:p>
        </w:tc>
        <w:tc>
          <w:tcPr>
            <w:tcW w:w="32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rPr>
            </w:pPr>
            <w:r>
              <w:rPr>
                <w:rFonts w:hint="default" w:ascii="Times New Roman" w:hAnsi="Times New Roman"/>
                <w:color w:val="auto"/>
                <w:kern w:val="0"/>
                <w:sz w:val="21"/>
                <w:szCs w:val="21"/>
                <w:u w:val="single"/>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eastAsia="zh-CN"/>
              </w:rPr>
              <w:t>活性炭</w:t>
            </w:r>
          </w:p>
        </w:tc>
        <w:tc>
          <w:tcPr>
            <w:tcW w:w="35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rPr>
            </w:pPr>
            <w:r>
              <w:rPr>
                <w:rFonts w:hint="default" w:ascii="Times New Roman" w:hAnsi="Times New Roman"/>
                <w:color w:val="auto"/>
                <w:kern w:val="0"/>
                <w:sz w:val="21"/>
                <w:szCs w:val="21"/>
                <w:u w:val="single"/>
                <w:lang w:val="en-US" w:eastAsia="zh-CN"/>
              </w:rPr>
              <w:t>T</w:t>
            </w:r>
          </w:p>
        </w:tc>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val="en-US" w:eastAsia="zh-CN"/>
              </w:rPr>
              <w:t>HW49</w:t>
            </w:r>
          </w:p>
        </w:tc>
        <w:tc>
          <w:tcPr>
            <w:tcW w:w="53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val="en-US" w:eastAsia="zh-CN"/>
              </w:rPr>
              <w:t>900-039-49</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eastAsia"/>
                <w:color w:val="auto"/>
                <w:kern w:val="0"/>
                <w:sz w:val="21"/>
                <w:szCs w:val="21"/>
                <w:u w:val="single"/>
                <w:lang w:val="en-US" w:eastAsia="zh-CN"/>
              </w:rPr>
              <w:t>3.06</w:t>
            </w:r>
            <w:r>
              <w:rPr>
                <w:rFonts w:hint="default" w:ascii="Times New Roman" w:hAnsi="Times New Roman"/>
                <w:color w:val="auto"/>
                <w:kern w:val="0"/>
                <w:sz w:val="21"/>
                <w:szCs w:val="21"/>
                <w:u w:val="single"/>
                <w:lang w:val="en-US" w:eastAsia="zh-CN"/>
              </w:rPr>
              <w:t>t/a</w:t>
            </w:r>
          </w:p>
        </w:tc>
        <w:tc>
          <w:tcPr>
            <w:tcW w:w="91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2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u w:val="single"/>
                <w:lang w:val="en-US" w:eastAsia="zh-CN"/>
              </w:rPr>
            </w:pPr>
            <w:bookmarkStart w:id="94" w:name="_Toc2244"/>
            <w:r>
              <w:rPr>
                <w:rFonts w:hint="eastAsia"/>
                <w:color w:val="auto"/>
                <w:kern w:val="0"/>
                <w:sz w:val="21"/>
                <w:szCs w:val="21"/>
                <w:u w:val="single"/>
                <w:lang w:val="en-US" w:eastAsia="zh-CN"/>
              </w:rPr>
              <w:t>10</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default" w:ascii="Times New Roman" w:hAnsi="Times New Roman" w:cs="Times New Roman"/>
                <w:sz w:val="21"/>
                <w:szCs w:val="21"/>
                <w:u w:val="single"/>
                <w:lang w:val="en-US" w:eastAsia="zh-CN"/>
              </w:rPr>
              <w:t>喷淋塔漂浮物及沉渣</w:t>
            </w:r>
          </w:p>
        </w:tc>
        <w:tc>
          <w:tcPr>
            <w:tcW w:w="30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p>
        </w:tc>
        <w:tc>
          <w:tcPr>
            <w:tcW w:w="9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default" w:ascii="Times New Roman" w:hAnsi="Times New Roman"/>
                <w:color w:val="auto"/>
                <w:kern w:val="0"/>
                <w:sz w:val="21"/>
                <w:szCs w:val="21"/>
                <w:u w:val="single"/>
                <w:lang w:eastAsia="zh-CN"/>
              </w:rPr>
              <w:t>废气处理</w:t>
            </w:r>
          </w:p>
        </w:tc>
        <w:tc>
          <w:tcPr>
            <w:tcW w:w="59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default" w:ascii="Times New Roman" w:hAnsi="Times New Roman"/>
                <w:color w:val="auto"/>
                <w:kern w:val="0"/>
                <w:sz w:val="21"/>
                <w:szCs w:val="21"/>
                <w:u w:val="single"/>
                <w:lang w:eastAsia="zh-CN"/>
              </w:rPr>
              <w:t>固</w:t>
            </w:r>
          </w:p>
        </w:tc>
        <w:tc>
          <w:tcPr>
            <w:tcW w:w="38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eastAsia" w:cs="Times New Roman"/>
                <w:sz w:val="21"/>
                <w:szCs w:val="21"/>
                <w:u w:val="single"/>
                <w:lang w:eastAsia="zh-CN"/>
              </w:rPr>
              <w:t>沾染废物</w:t>
            </w:r>
          </w:p>
        </w:tc>
        <w:tc>
          <w:tcPr>
            <w:tcW w:w="6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val="en-US" w:eastAsia="zh-CN"/>
              </w:rPr>
              <w:t>T</w:t>
            </w:r>
          </w:p>
        </w:tc>
        <w:tc>
          <w:tcPr>
            <w:tcW w:w="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val="en-US" w:eastAsia="zh-CN"/>
              </w:rPr>
              <w:t>HW49</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val="en-US" w:eastAsia="zh-CN"/>
              </w:rPr>
            </w:pPr>
            <w:r>
              <w:rPr>
                <w:rFonts w:hint="default" w:ascii="Times New Roman" w:hAnsi="Times New Roman"/>
                <w:color w:val="auto"/>
                <w:kern w:val="0"/>
                <w:sz w:val="21"/>
                <w:szCs w:val="21"/>
                <w:u w:val="single"/>
                <w:lang w:val="en-US" w:eastAsia="zh-CN"/>
              </w:rPr>
              <w:t>772-006-49</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u w:val="single"/>
                <w:lang w:val="en-US" w:eastAsia="zh-CN"/>
              </w:rPr>
            </w:pPr>
            <w:r>
              <w:rPr>
                <w:rFonts w:hint="eastAsia"/>
                <w:color w:val="auto"/>
                <w:kern w:val="0"/>
                <w:sz w:val="21"/>
                <w:szCs w:val="21"/>
                <w:u w:val="single"/>
                <w:lang w:val="en-US" w:eastAsia="zh-CN"/>
              </w:rPr>
              <w:t>0.14</w:t>
            </w:r>
          </w:p>
        </w:tc>
        <w:tc>
          <w:tcPr>
            <w:tcW w:w="91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r>
    </w:tbl>
    <w:p>
      <w:pPr>
        <w:widowControl/>
        <w:ind w:firstLine="482"/>
        <w:rPr>
          <w:rFonts w:hint="eastAsia" w:cs="Times New Roman"/>
          <w:b/>
          <w:bCs/>
          <w:szCs w:val="24"/>
          <w:lang w:val="en-US"/>
        </w:rPr>
      </w:pPr>
      <w:bookmarkStart w:id="95" w:name="_Toc1780"/>
      <w:r>
        <w:rPr>
          <w:rFonts w:hint="eastAsia" w:cs="Times New Roman"/>
          <w:b/>
          <w:bCs/>
          <w:szCs w:val="24"/>
          <w:lang w:val="en-US"/>
        </w:rPr>
        <w:t>4.2.</w:t>
      </w:r>
      <w:r>
        <w:rPr>
          <w:rFonts w:hint="eastAsia" w:cs="Times New Roman"/>
          <w:b/>
          <w:bCs/>
          <w:szCs w:val="24"/>
          <w:lang w:val="en-US" w:eastAsia="zh-CN"/>
        </w:rPr>
        <w:t>2</w:t>
      </w:r>
      <w:r>
        <w:rPr>
          <w:rFonts w:hint="eastAsia" w:cs="Times New Roman"/>
          <w:b/>
          <w:bCs/>
          <w:szCs w:val="24"/>
          <w:lang w:val="en-US"/>
        </w:rPr>
        <w:t>.</w:t>
      </w:r>
      <w:r>
        <w:rPr>
          <w:rFonts w:hint="eastAsia" w:cs="Times New Roman"/>
          <w:b/>
          <w:bCs/>
          <w:szCs w:val="24"/>
          <w:lang w:val="en-US" w:eastAsia="zh-CN"/>
        </w:rPr>
        <w:t>5</w:t>
      </w:r>
      <w:r>
        <w:rPr>
          <w:rFonts w:hint="eastAsia" w:cs="Times New Roman"/>
          <w:b/>
          <w:bCs/>
          <w:szCs w:val="24"/>
          <w:lang w:val="en-US"/>
        </w:rPr>
        <w:t xml:space="preserve"> 非正常工况下污染源及污染物分析</w:t>
      </w:r>
      <w:bookmarkEnd w:id="92"/>
      <w:bookmarkEnd w:id="93"/>
      <w:bookmarkEnd w:id="94"/>
      <w:bookmarkEnd w:id="95"/>
    </w:p>
    <w:p>
      <w:pPr>
        <w:ind w:firstLine="480"/>
        <w:rPr>
          <w:rFonts w:ascii="Times New Roman" w:hAnsi="Times New Roman"/>
          <w:color w:val="auto"/>
          <w:sz w:val="24"/>
          <w:szCs w:val="32"/>
        </w:rPr>
      </w:pPr>
      <w:r>
        <w:rPr>
          <w:rFonts w:ascii="Times New Roman" w:hAnsi="Times New Roman"/>
          <w:color w:val="auto"/>
          <w:sz w:val="24"/>
          <w:szCs w:val="32"/>
        </w:rPr>
        <w:t>拟建项目非正常工况下的废气排放主要考虑生产设备在开、停车状态，检修状态或者部分设备未能完全运行的状态下的污染物排放情况，在非正常情况下废气处理系统不能达到正常处理效率时的排放情况。</w:t>
      </w:r>
    </w:p>
    <w:p>
      <w:pPr>
        <w:ind w:firstLine="480"/>
        <w:rPr>
          <w:rFonts w:ascii="Times New Roman" w:hAnsi="Times New Roman"/>
          <w:color w:val="auto"/>
          <w:sz w:val="24"/>
          <w:szCs w:val="32"/>
        </w:rPr>
      </w:pPr>
      <w:r>
        <w:rPr>
          <w:rFonts w:ascii="Times New Roman" w:hAnsi="Times New Roman"/>
          <w:color w:val="auto"/>
          <w:sz w:val="24"/>
          <w:szCs w:val="32"/>
        </w:rPr>
        <w:t>拟建项目生产线粉尘采用</w:t>
      </w:r>
      <w:r>
        <w:rPr>
          <w:rFonts w:hint="eastAsia"/>
          <w:color w:val="auto"/>
          <w:sz w:val="24"/>
          <w:szCs w:val="32"/>
          <w:lang w:eastAsia="zh-CN"/>
        </w:rPr>
        <w:t>“</w:t>
      </w:r>
      <w:r>
        <w:rPr>
          <w:rFonts w:ascii="Times New Roman" w:hAnsi="Times New Roman"/>
          <w:color w:val="auto"/>
          <w:sz w:val="24"/>
          <w:szCs w:val="32"/>
        </w:rPr>
        <w:t>滤袋式除尘机</w:t>
      </w:r>
      <w:r>
        <w:rPr>
          <w:rFonts w:hint="eastAsia"/>
          <w:color w:val="auto"/>
          <w:sz w:val="24"/>
          <w:szCs w:val="32"/>
          <w:lang w:eastAsia="zh-CN"/>
        </w:rPr>
        <w:t>”</w:t>
      </w:r>
      <w:r>
        <w:rPr>
          <w:rFonts w:ascii="Times New Roman" w:hAnsi="Times New Roman"/>
          <w:color w:val="auto"/>
          <w:sz w:val="24"/>
          <w:szCs w:val="32"/>
        </w:rPr>
        <w:t>进行处理，生产线有机废气采用</w:t>
      </w:r>
      <w:r>
        <w:rPr>
          <w:rFonts w:hint="eastAsia"/>
          <w:color w:val="auto"/>
          <w:sz w:val="24"/>
          <w:szCs w:val="32"/>
          <w:lang w:eastAsia="zh-CN"/>
        </w:rPr>
        <w:t>“催化燃烧”</w:t>
      </w:r>
      <w:r>
        <w:rPr>
          <w:rFonts w:ascii="Times New Roman" w:hAnsi="Times New Roman"/>
          <w:color w:val="auto"/>
          <w:sz w:val="24"/>
          <w:szCs w:val="32"/>
        </w:rPr>
        <w:t>进行处理</w:t>
      </w:r>
      <w:r>
        <w:rPr>
          <w:rFonts w:hint="eastAsia"/>
          <w:color w:val="auto"/>
          <w:sz w:val="24"/>
          <w:szCs w:val="32"/>
          <w:lang w:eastAsia="zh-CN"/>
        </w:rPr>
        <w:t>，</w:t>
      </w:r>
      <w:r>
        <w:rPr>
          <w:rFonts w:ascii="Times New Roman" w:hAnsi="Times New Roman"/>
          <w:color w:val="auto"/>
          <w:sz w:val="24"/>
          <w:szCs w:val="32"/>
        </w:rPr>
        <w:t>非正常工况主要考虑开停机时除尘设施未调试到最佳运行状态导致的除尘效率下降，保守计算非正常工况的影响，非正常工况以所有的除尘设备效率降至80%计，其他特征污染物处理效率降至0计。</w:t>
      </w:r>
    </w:p>
    <w:p>
      <w:pPr>
        <w:ind w:firstLine="480"/>
        <w:rPr>
          <w:rFonts w:ascii="Times New Roman" w:hAnsi="Times New Roman"/>
          <w:color w:val="auto"/>
          <w:sz w:val="24"/>
          <w:szCs w:val="32"/>
        </w:rPr>
      </w:pPr>
      <w:r>
        <w:rPr>
          <w:rFonts w:ascii="Times New Roman" w:hAnsi="Times New Roman"/>
          <w:color w:val="auto"/>
          <w:sz w:val="24"/>
          <w:szCs w:val="32"/>
        </w:rPr>
        <w:t>非正常工况下排放废气源强见表</w:t>
      </w:r>
      <w:r>
        <w:rPr>
          <w:rFonts w:hint="eastAsia"/>
          <w:color w:val="auto"/>
          <w:sz w:val="24"/>
          <w:szCs w:val="32"/>
          <w:lang w:val="en-US" w:eastAsia="zh-CN"/>
        </w:rPr>
        <w:t>4.2-10</w:t>
      </w:r>
      <w:r>
        <w:rPr>
          <w:rFonts w:ascii="Times New Roman" w:hAnsi="Times New Roman"/>
          <w:color w:val="auto"/>
          <w:sz w:val="24"/>
          <w:szCs w:val="32"/>
        </w:rPr>
        <w:t>，非正常排放时间取事故发生后30min。</w:t>
      </w:r>
    </w:p>
    <w:p>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heme="minorBidi"/>
          <w:b/>
          <w:bCs/>
          <w:color w:val="auto"/>
          <w:kern w:val="2"/>
          <w:sz w:val="24"/>
          <w:szCs w:val="32"/>
          <w:lang w:val="en-US" w:eastAsia="zh-CN" w:bidi="ar-SA"/>
        </w:rPr>
      </w:pPr>
      <w:r>
        <w:rPr>
          <w:rFonts w:ascii="Times New Roman" w:hAnsi="Times New Roman" w:eastAsia="宋体" w:cstheme="minorBidi"/>
          <w:b/>
          <w:bCs/>
          <w:color w:val="auto"/>
          <w:kern w:val="2"/>
          <w:sz w:val="24"/>
          <w:szCs w:val="32"/>
          <w:lang w:val="en-US" w:eastAsia="zh-CN" w:bidi="ar-SA"/>
        </w:rPr>
        <w:t>表</w:t>
      </w:r>
      <w:r>
        <w:rPr>
          <w:rFonts w:hint="eastAsia" w:ascii="Times New Roman" w:hAnsi="Times New Roman" w:cstheme="minorBidi"/>
          <w:b/>
          <w:bCs/>
          <w:color w:val="auto"/>
          <w:kern w:val="2"/>
          <w:sz w:val="24"/>
          <w:szCs w:val="32"/>
          <w:lang w:val="en-US" w:eastAsia="zh-CN" w:bidi="ar-SA"/>
        </w:rPr>
        <w:t>4.2-</w:t>
      </w:r>
      <w:r>
        <w:rPr>
          <w:rFonts w:hint="eastAsia" w:cstheme="minorBidi"/>
          <w:b/>
          <w:bCs/>
          <w:color w:val="auto"/>
          <w:kern w:val="2"/>
          <w:sz w:val="24"/>
          <w:szCs w:val="32"/>
          <w:lang w:val="en-US" w:eastAsia="zh-CN" w:bidi="ar-SA"/>
        </w:rPr>
        <w:t>10</w:t>
      </w:r>
      <w:r>
        <w:rPr>
          <w:rFonts w:ascii="Times New Roman" w:hAnsi="Times New Roman" w:eastAsia="宋体" w:cstheme="minorBidi"/>
          <w:b/>
          <w:bCs/>
          <w:color w:val="auto"/>
          <w:kern w:val="2"/>
          <w:sz w:val="24"/>
          <w:szCs w:val="32"/>
          <w:lang w:val="en-US" w:eastAsia="zh-CN" w:bidi="ar-SA"/>
        </w:rPr>
        <w:t xml:space="preserve"> 非正常工况下污染源汇总表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430"/>
        <w:gridCol w:w="820"/>
        <w:gridCol w:w="1050"/>
        <w:gridCol w:w="1063"/>
        <w:gridCol w:w="1082"/>
        <w:gridCol w:w="771"/>
        <w:gridCol w:w="804"/>
        <w:gridCol w:w="878"/>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restart"/>
            <w:vAlign w:val="center"/>
          </w:tcPr>
          <w:p>
            <w:pPr>
              <w:pStyle w:val="30"/>
              <w:rPr>
                <w:rFonts w:hint="default" w:ascii="Times New Roman" w:hAnsi="Times New Roman" w:cs="Times New Roman"/>
                <w:sz w:val="21"/>
                <w:szCs w:val="21"/>
              </w:rPr>
            </w:pPr>
            <w:bookmarkStart w:id="96" w:name="_Toc28710"/>
            <w:bookmarkStart w:id="97" w:name="_Toc5888451"/>
            <w:bookmarkStart w:id="98" w:name="_Toc28216"/>
            <w:r>
              <w:rPr>
                <w:rFonts w:hint="default" w:ascii="Times New Roman" w:hAnsi="Times New Roman" w:cs="Times New Roman"/>
                <w:sz w:val="21"/>
                <w:szCs w:val="21"/>
              </w:rPr>
              <w:t>来源</w:t>
            </w:r>
          </w:p>
        </w:tc>
        <w:tc>
          <w:tcPr>
            <w:tcW w:w="770" w:type="pct"/>
            <w:vMerge w:val="restart"/>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441" w:type="pct"/>
            <w:vMerge w:val="restart"/>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rPr>
              <w:t>废气量m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721" w:type="pct"/>
            <w:gridSpan w:val="3"/>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lang w:eastAsia="zh-CN"/>
              </w:rPr>
              <w:t>非正常排放</w:t>
            </w:r>
            <w:r>
              <w:rPr>
                <w:rFonts w:hint="default" w:ascii="Times New Roman" w:hAnsi="Times New Roman" w:cs="Times New Roman"/>
                <w:sz w:val="21"/>
                <w:szCs w:val="21"/>
              </w:rPr>
              <w:t>情况</w:t>
            </w:r>
          </w:p>
        </w:tc>
        <w:tc>
          <w:tcPr>
            <w:tcW w:w="415" w:type="pct"/>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单次持续时间/h</w:t>
            </w:r>
          </w:p>
        </w:tc>
        <w:tc>
          <w:tcPr>
            <w:tcW w:w="433" w:type="pct"/>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年发生频次</w:t>
            </w:r>
          </w:p>
        </w:tc>
        <w:tc>
          <w:tcPr>
            <w:tcW w:w="473" w:type="pct"/>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排气筒参数</w:t>
            </w:r>
          </w:p>
        </w:tc>
        <w:tc>
          <w:tcPr>
            <w:tcW w:w="392" w:type="pct"/>
            <w:vMerge w:val="restart"/>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continue"/>
            <w:vAlign w:val="center"/>
          </w:tcPr>
          <w:p>
            <w:pPr>
              <w:pStyle w:val="30"/>
              <w:rPr>
                <w:rFonts w:hint="default" w:ascii="Times New Roman" w:hAnsi="Times New Roman" w:cs="Times New Roman"/>
                <w:sz w:val="21"/>
                <w:szCs w:val="21"/>
              </w:rPr>
            </w:pPr>
          </w:p>
        </w:tc>
        <w:tc>
          <w:tcPr>
            <w:tcW w:w="770" w:type="pct"/>
            <w:vMerge w:val="continue"/>
            <w:vAlign w:val="center"/>
          </w:tcPr>
          <w:p>
            <w:pPr>
              <w:pStyle w:val="30"/>
              <w:rPr>
                <w:rFonts w:hint="default" w:ascii="Times New Roman" w:hAnsi="Times New Roman" w:cs="Times New Roman"/>
                <w:sz w:val="21"/>
                <w:szCs w:val="21"/>
              </w:rPr>
            </w:pPr>
          </w:p>
        </w:tc>
        <w:tc>
          <w:tcPr>
            <w:tcW w:w="441" w:type="pct"/>
            <w:vMerge w:val="continue"/>
            <w:vAlign w:val="center"/>
          </w:tcPr>
          <w:p>
            <w:pPr>
              <w:pStyle w:val="30"/>
              <w:rPr>
                <w:rFonts w:hint="default" w:ascii="Times New Roman" w:hAnsi="Times New Roman" w:cs="Times New Roman"/>
                <w:sz w:val="21"/>
                <w:szCs w:val="21"/>
              </w:rPr>
            </w:pPr>
          </w:p>
        </w:tc>
        <w:tc>
          <w:tcPr>
            <w:tcW w:w="565" w:type="pct"/>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浓度mg/m</w:t>
            </w:r>
            <w:r>
              <w:rPr>
                <w:rFonts w:hint="default" w:ascii="Times New Roman" w:hAnsi="Times New Roman" w:cs="Times New Roman"/>
                <w:sz w:val="21"/>
                <w:szCs w:val="21"/>
                <w:vertAlign w:val="superscript"/>
              </w:rPr>
              <w:t>3</w:t>
            </w:r>
          </w:p>
        </w:tc>
        <w:tc>
          <w:tcPr>
            <w:tcW w:w="572" w:type="pct"/>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速率kg/h</w:t>
            </w:r>
          </w:p>
        </w:tc>
        <w:tc>
          <w:tcPr>
            <w:tcW w:w="582" w:type="pct"/>
            <w:vAlign w:val="center"/>
          </w:tcPr>
          <w:p>
            <w:pPr>
              <w:pStyle w:val="30"/>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量t/a</w:t>
            </w:r>
          </w:p>
        </w:tc>
        <w:tc>
          <w:tcPr>
            <w:tcW w:w="415" w:type="pct"/>
            <w:vMerge w:val="continue"/>
            <w:vAlign w:val="center"/>
          </w:tcPr>
          <w:p>
            <w:pPr>
              <w:pStyle w:val="30"/>
              <w:ind w:firstLine="0" w:firstLineChars="0"/>
              <w:rPr>
                <w:rFonts w:hint="default" w:ascii="Times New Roman" w:hAnsi="Times New Roman" w:cs="Times New Roman"/>
                <w:sz w:val="21"/>
                <w:szCs w:val="21"/>
              </w:rPr>
            </w:pPr>
          </w:p>
        </w:tc>
        <w:tc>
          <w:tcPr>
            <w:tcW w:w="433" w:type="pct"/>
            <w:vMerge w:val="continue"/>
            <w:vAlign w:val="center"/>
          </w:tcPr>
          <w:p>
            <w:pPr>
              <w:pStyle w:val="30"/>
              <w:ind w:firstLine="0" w:firstLineChars="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Align w:val="center"/>
          </w:tcPr>
          <w:p>
            <w:pPr>
              <w:pStyle w:val="3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粉碎</w:t>
            </w:r>
          </w:p>
        </w:tc>
        <w:tc>
          <w:tcPr>
            <w:tcW w:w="770" w:type="pct"/>
            <w:vAlign w:val="center"/>
          </w:tcPr>
          <w:p>
            <w:pPr>
              <w:pStyle w:val="3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441" w:type="pc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10000</w:t>
            </w:r>
          </w:p>
        </w:tc>
        <w:tc>
          <w:tcPr>
            <w:tcW w:w="565" w:type="pc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21.26</w:t>
            </w:r>
          </w:p>
        </w:tc>
        <w:tc>
          <w:tcPr>
            <w:tcW w:w="572" w:type="pc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0.213</w:t>
            </w:r>
          </w:p>
        </w:tc>
        <w:tc>
          <w:tcPr>
            <w:tcW w:w="582" w:type="pc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0.51</w:t>
            </w:r>
          </w:p>
        </w:tc>
        <w:tc>
          <w:tcPr>
            <w:tcW w:w="415" w:type="pct"/>
            <w:vMerge w:val="restar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w:t>
            </w:r>
          </w:p>
        </w:tc>
        <w:tc>
          <w:tcPr>
            <w:tcW w:w="433" w:type="pct"/>
            <w:vMerge w:val="restar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473" w:type="pct"/>
            <w:vMerge w:val="restar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H:15m;</w:t>
            </w:r>
          </w:p>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r:0.3</w:t>
            </w:r>
          </w:p>
        </w:tc>
        <w:tc>
          <w:tcPr>
            <w:tcW w:w="392" w:type="pct"/>
            <w:vMerge w:val="restart"/>
            <w:vAlign w:val="center"/>
          </w:tcPr>
          <w:p>
            <w:pPr>
              <w:pStyle w:val="3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紧急停车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restart"/>
            <w:vAlign w:val="center"/>
          </w:tcPr>
          <w:p>
            <w:pPr>
              <w:pStyle w:val="30"/>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造粒</w:t>
            </w:r>
          </w:p>
        </w:tc>
        <w:tc>
          <w:tcPr>
            <w:tcW w:w="770" w:type="pct"/>
            <w:vAlign w:val="center"/>
          </w:tcPr>
          <w:p>
            <w:pPr>
              <w:pStyle w:val="30"/>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非甲烷总烃</w:t>
            </w:r>
          </w:p>
        </w:tc>
        <w:tc>
          <w:tcPr>
            <w:tcW w:w="441" w:type="pct"/>
            <w:vMerge w:val="restar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10000</w:t>
            </w:r>
          </w:p>
        </w:tc>
        <w:tc>
          <w:tcPr>
            <w:tcW w:w="565"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119.6</w:t>
            </w:r>
          </w:p>
        </w:tc>
        <w:tc>
          <w:tcPr>
            <w:tcW w:w="57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1.196</w:t>
            </w:r>
          </w:p>
        </w:tc>
        <w:tc>
          <w:tcPr>
            <w:tcW w:w="58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2.871</w:t>
            </w:r>
          </w:p>
        </w:tc>
        <w:tc>
          <w:tcPr>
            <w:tcW w:w="415" w:type="pct"/>
            <w:vMerge w:val="continue"/>
            <w:vAlign w:val="center"/>
          </w:tcPr>
          <w:p>
            <w:pPr>
              <w:pStyle w:val="30"/>
              <w:rPr>
                <w:rFonts w:hint="default" w:ascii="Times New Roman" w:hAnsi="Times New Roman" w:eastAsia="宋体" w:cs="Times New Roman"/>
                <w:sz w:val="21"/>
                <w:szCs w:val="21"/>
                <w:u w:val="single"/>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52" w:type="pct"/>
            <w:vMerge w:val="continue"/>
            <w:vAlign w:val="center"/>
          </w:tcPr>
          <w:p>
            <w:pPr>
              <w:pStyle w:val="30"/>
              <w:rPr>
                <w:rFonts w:hint="default" w:ascii="Times New Roman" w:hAnsi="Times New Roman" w:eastAsia="宋体" w:cs="Times New Roman"/>
                <w:sz w:val="21"/>
                <w:szCs w:val="21"/>
                <w:u w:val="single"/>
                <w:lang w:eastAsia="zh-CN"/>
              </w:rPr>
            </w:pPr>
          </w:p>
        </w:tc>
        <w:tc>
          <w:tcPr>
            <w:tcW w:w="770" w:type="pct"/>
            <w:vAlign w:val="center"/>
          </w:tcPr>
          <w:p>
            <w:pPr>
              <w:pStyle w:val="30"/>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苯乙烯</w:t>
            </w:r>
          </w:p>
        </w:tc>
        <w:tc>
          <w:tcPr>
            <w:tcW w:w="441" w:type="pct"/>
            <w:vMerge w:val="continue"/>
            <w:vAlign w:val="center"/>
          </w:tcPr>
          <w:p>
            <w:pPr>
              <w:pStyle w:val="30"/>
              <w:rPr>
                <w:rFonts w:hint="default" w:ascii="Times New Roman" w:hAnsi="Times New Roman" w:cs="Times New Roman"/>
                <w:sz w:val="21"/>
                <w:szCs w:val="21"/>
                <w:u w:val="single"/>
              </w:rPr>
            </w:pPr>
          </w:p>
        </w:tc>
        <w:tc>
          <w:tcPr>
            <w:tcW w:w="565"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87.5</w:t>
            </w:r>
          </w:p>
        </w:tc>
        <w:tc>
          <w:tcPr>
            <w:tcW w:w="57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0.875</w:t>
            </w:r>
          </w:p>
        </w:tc>
        <w:tc>
          <w:tcPr>
            <w:tcW w:w="58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2.1</w:t>
            </w:r>
          </w:p>
        </w:tc>
        <w:tc>
          <w:tcPr>
            <w:tcW w:w="415" w:type="pct"/>
            <w:vMerge w:val="continue"/>
            <w:vAlign w:val="center"/>
          </w:tcPr>
          <w:p>
            <w:pPr>
              <w:pStyle w:val="30"/>
              <w:rPr>
                <w:rFonts w:hint="default" w:ascii="Times New Roman" w:hAnsi="Times New Roman" w:eastAsia="宋体" w:cs="Times New Roman"/>
                <w:sz w:val="21"/>
                <w:szCs w:val="21"/>
                <w:u w:val="single"/>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52" w:type="pct"/>
            <w:vMerge w:val="continue"/>
            <w:vAlign w:val="center"/>
          </w:tcPr>
          <w:p>
            <w:pPr>
              <w:pStyle w:val="30"/>
              <w:rPr>
                <w:rFonts w:hint="default" w:ascii="Times New Roman" w:hAnsi="Times New Roman" w:eastAsia="宋体" w:cs="Times New Roman"/>
                <w:sz w:val="21"/>
                <w:szCs w:val="21"/>
                <w:u w:val="single"/>
                <w:lang w:eastAsia="zh-CN"/>
              </w:rPr>
            </w:pPr>
          </w:p>
        </w:tc>
        <w:tc>
          <w:tcPr>
            <w:tcW w:w="770" w:type="pct"/>
            <w:vAlign w:val="center"/>
          </w:tcPr>
          <w:p>
            <w:pPr>
              <w:pStyle w:val="30"/>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颗粒物</w:t>
            </w:r>
          </w:p>
        </w:tc>
        <w:tc>
          <w:tcPr>
            <w:tcW w:w="441" w:type="pct"/>
            <w:vMerge w:val="continue"/>
            <w:vAlign w:val="center"/>
          </w:tcPr>
          <w:p>
            <w:pPr>
              <w:pStyle w:val="30"/>
              <w:rPr>
                <w:rFonts w:hint="default" w:ascii="Times New Roman" w:hAnsi="Times New Roman" w:cs="Times New Roman"/>
                <w:sz w:val="21"/>
                <w:szCs w:val="21"/>
                <w:u w:val="single"/>
              </w:rPr>
            </w:pPr>
          </w:p>
        </w:tc>
        <w:tc>
          <w:tcPr>
            <w:tcW w:w="565" w:type="pct"/>
            <w:vAlign w:val="center"/>
          </w:tcPr>
          <w:p>
            <w:pPr>
              <w:pStyle w:val="30"/>
              <w:ind w:firstLine="0" w:firstLineChars="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6.25</w:t>
            </w:r>
          </w:p>
        </w:tc>
        <w:tc>
          <w:tcPr>
            <w:tcW w:w="572" w:type="pct"/>
            <w:vAlign w:val="center"/>
          </w:tcPr>
          <w:p>
            <w:pPr>
              <w:pStyle w:val="30"/>
              <w:ind w:firstLine="0" w:firstLineChars="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0.0625</w:t>
            </w:r>
          </w:p>
        </w:tc>
        <w:tc>
          <w:tcPr>
            <w:tcW w:w="582" w:type="pct"/>
            <w:vAlign w:val="center"/>
          </w:tcPr>
          <w:p>
            <w:pPr>
              <w:pStyle w:val="30"/>
              <w:ind w:firstLine="0" w:firstLineChars="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0.15</w:t>
            </w:r>
          </w:p>
        </w:tc>
        <w:tc>
          <w:tcPr>
            <w:tcW w:w="415" w:type="pct"/>
            <w:vMerge w:val="continue"/>
            <w:vAlign w:val="center"/>
          </w:tcPr>
          <w:p>
            <w:pPr>
              <w:pStyle w:val="30"/>
              <w:rPr>
                <w:rFonts w:hint="default" w:ascii="Times New Roman" w:hAnsi="Times New Roman" w:eastAsia="宋体" w:cs="Times New Roman"/>
                <w:sz w:val="21"/>
                <w:szCs w:val="21"/>
                <w:u w:val="single"/>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restart"/>
            <w:vAlign w:val="center"/>
          </w:tcPr>
          <w:p>
            <w:pPr>
              <w:pStyle w:val="30"/>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注塑</w:t>
            </w:r>
          </w:p>
        </w:tc>
        <w:tc>
          <w:tcPr>
            <w:tcW w:w="770" w:type="pct"/>
            <w:vAlign w:val="center"/>
          </w:tcPr>
          <w:p>
            <w:pPr>
              <w:pStyle w:val="30"/>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非甲烷总烃</w:t>
            </w:r>
          </w:p>
        </w:tc>
        <w:tc>
          <w:tcPr>
            <w:tcW w:w="441" w:type="pct"/>
            <w:vMerge w:val="restar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60000</w:t>
            </w:r>
          </w:p>
        </w:tc>
        <w:tc>
          <w:tcPr>
            <w:tcW w:w="565"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18.75</w:t>
            </w:r>
          </w:p>
        </w:tc>
        <w:tc>
          <w:tcPr>
            <w:tcW w:w="57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1.125</w:t>
            </w:r>
          </w:p>
        </w:tc>
        <w:tc>
          <w:tcPr>
            <w:tcW w:w="582" w:type="pct"/>
            <w:vAlign w:val="center"/>
          </w:tcPr>
          <w:p>
            <w:pPr>
              <w:pStyle w:val="30"/>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2.7</w:t>
            </w:r>
          </w:p>
        </w:tc>
        <w:tc>
          <w:tcPr>
            <w:tcW w:w="415" w:type="pct"/>
            <w:vMerge w:val="continue"/>
            <w:vAlign w:val="center"/>
          </w:tcPr>
          <w:p>
            <w:pPr>
              <w:pStyle w:val="30"/>
              <w:ind w:firstLine="0" w:firstLineChars="0"/>
              <w:rPr>
                <w:rFonts w:hint="default" w:ascii="Times New Roman" w:hAnsi="Times New Roman" w:eastAsia="宋体" w:cs="Times New Roman"/>
                <w:sz w:val="21"/>
                <w:szCs w:val="21"/>
                <w:u w:val="single"/>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continue"/>
            <w:vAlign w:val="center"/>
          </w:tcPr>
          <w:p>
            <w:pPr>
              <w:pStyle w:val="30"/>
              <w:rPr>
                <w:rFonts w:hint="default" w:ascii="Times New Roman" w:hAnsi="Times New Roman" w:cs="Times New Roman"/>
                <w:sz w:val="21"/>
                <w:szCs w:val="21"/>
                <w:u w:val="single"/>
                <w:lang w:eastAsia="zh-CN"/>
              </w:rPr>
            </w:pPr>
          </w:p>
        </w:tc>
        <w:tc>
          <w:tcPr>
            <w:tcW w:w="770" w:type="pct"/>
            <w:vAlign w:val="center"/>
          </w:tcPr>
          <w:p>
            <w:pPr>
              <w:pStyle w:val="30"/>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苯乙烯</w:t>
            </w:r>
          </w:p>
        </w:tc>
        <w:tc>
          <w:tcPr>
            <w:tcW w:w="441" w:type="pct"/>
            <w:vMerge w:val="continue"/>
            <w:vAlign w:val="center"/>
          </w:tcPr>
          <w:p>
            <w:pPr>
              <w:pStyle w:val="30"/>
              <w:rPr>
                <w:rFonts w:hint="default" w:ascii="Times New Roman" w:hAnsi="Times New Roman" w:cs="Times New Roman"/>
                <w:sz w:val="21"/>
                <w:szCs w:val="21"/>
                <w:u w:val="single"/>
                <w:lang w:val="en-US" w:eastAsia="zh-CN"/>
              </w:rPr>
            </w:pPr>
          </w:p>
        </w:tc>
        <w:tc>
          <w:tcPr>
            <w:tcW w:w="565" w:type="pct"/>
            <w:vAlign w:val="center"/>
          </w:tcPr>
          <w:p>
            <w:pPr>
              <w:pStyle w:val="3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4.86</w:t>
            </w:r>
          </w:p>
        </w:tc>
        <w:tc>
          <w:tcPr>
            <w:tcW w:w="572" w:type="pct"/>
            <w:vAlign w:val="center"/>
          </w:tcPr>
          <w:p>
            <w:pPr>
              <w:pStyle w:val="3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0.292</w:t>
            </w:r>
          </w:p>
        </w:tc>
        <w:tc>
          <w:tcPr>
            <w:tcW w:w="582" w:type="pct"/>
            <w:vAlign w:val="center"/>
          </w:tcPr>
          <w:p>
            <w:pPr>
              <w:pStyle w:val="30"/>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0.7</w:t>
            </w:r>
          </w:p>
        </w:tc>
        <w:tc>
          <w:tcPr>
            <w:tcW w:w="415" w:type="pct"/>
            <w:vMerge w:val="continue"/>
            <w:vAlign w:val="center"/>
          </w:tcPr>
          <w:p>
            <w:pPr>
              <w:pStyle w:val="30"/>
              <w:ind w:firstLine="0" w:firstLineChars="0"/>
              <w:rPr>
                <w:rFonts w:hint="default" w:ascii="Times New Roman" w:hAnsi="Times New Roman" w:cs="Times New Roman"/>
                <w:sz w:val="21"/>
                <w:szCs w:val="21"/>
                <w:u w:val="single"/>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restart"/>
            <w:vAlign w:val="center"/>
          </w:tcPr>
          <w:p>
            <w:pPr>
              <w:pStyle w:val="30"/>
              <w:rPr>
                <w:rFonts w:hint="default" w:ascii="Times New Roman" w:hAnsi="Times New Roman" w:cs="Times New Roman"/>
                <w:sz w:val="21"/>
                <w:szCs w:val="21"/>
              </w:rPr>
            </w:pPr>
            <w:r>
              <w:rPr>
                <w:rFonts w:hint="default" w:ascii="Times New Roman" w:hAnsi="Times New Roman" w:cs="Times New Roman"/>
                <w:snapToGrid w:val="0"/>
                <w:kern w:val="18"/>
                <w:sz w:val="21"/>
                <w:szCs w:val="21"/>
              </w:rPr>
              <w:t>污水处理站</w:t>
            </w:r>
          </w:p>
        </w:tc>
        <w:tc>
          <w:tcPr>
            <w:tcW w:w="770" w:type="pct"/>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napToGrid w:val="0"/>
                <w:kern w:val="18"/>
                <w:sz w:val="21"/>
                <w:szCs w:val="21"/>
              </w:rPr>
              <w:t>氨</w:t>
            </w:r>
          </w:p>
        </w:tc>
        <w:tc>
          <w:tcPr>
            <w:tcW w:w="441" w:type="pct"/>
            <w:vMerge w:val="restar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3000</w:t>
            </w:r>
          </w:p>
        </w:tc>
        <w:tc>
          <w:tcPr>
            <w:tcW w:w="565"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0.67</w:t>
            </w:r>
          </w:p>
        </w:tc>
        <w:tc>
          <w:tcPr>
            <w:tcW w:w="57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lang w:val="en-US" w:eastAsia="zh-CN"/>
              </w:rPr>
              <w:t>2×10</w:t>
            </w:r>
            <w:r>
              <w:rPr>
                <w:rFonts w:hint="default" w:ascii="Times New Roman" w:hAnsi="Times New Roman" w:cs="Times New Roman"/>
                <w:sz w:val="21"/>
                <w:szCs w:val="21"/>
                <w:u w:val="single"/>
                <w:vertAlign w:val="superscript"/>
                <w:lang w:val="en-US" w:eastAsia="zh-CN"/>
              </w:rPr>
              <w:t>-4</w:t>
            </w:r>
          </w:p>
        </w:tc>
        <w:tc>
          <w:tcPr>
            <w:tcW w:w="58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lang w:val="en-US" w:eastAsia="zh-CN"/>
              </w:rPr>
              <w:t>4.8×10</w:t>
            </w:r>
            <w:r>
              <w:rPr>
                <w:rFonts w:hint="default" w:ascii="Times New Roman" w:hAnsi="Times New Roman" w:cs="Times New Roman"/>
                <w:sz w:val="21"/>
                <w:szCs w:val="21"/>
                <w:u w:val="single"/>
                <w:vertAlign w:val="superscript"/>
                <w:lang w:val="en-US" w:eastAsia="zh-CN"/>
              </w:rPr>
              <w:t>-4</w:t>
            </w: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p>
        </w:tc>
        <w:tc>
          <w:tcPr>
            <w:tcW w:w="433" w:type="pct"/>
            <w:vMerge w:val="continue"/>
            <w:vAlign w:val="center"/>
          </w:tcPr>
          <w:p>
            <w:pPr>
              <w:pStyle w:val="30"/>
              <w:ind w:firstLine="0" w:firstLineChars="0"/>
              <w:rPr>
                <w:rFonts w:hint="default" w:ascii="Times New Roman" w:hAnsi="Times New Roman" w:cs="Times New Roman"/>
                <w:sz w:val="21"/>
                <w:szCs w:val="21"/>
              </w:rPr>
            </w:pPr>
          </w:p>
        </w:tc>
        <w:tc>
          <w:tcPr>
            <w:tcW w:w="473" w:type="pct"/>
            <w:vMerge w:val="continue"/>
            <w:vAlign w:val="center"/>
          </w:tcPr>
          <w:p>
            <w:pPr>
              <w:pStyle w:val="30"/>
              <w:ind w:firstLine="0" w:firstLineChars="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continue"/>
            <w:vAlign w:val="center"/>
          </w:tcPr>
          <w:p>
            <w:pPr>
              <w:pStyle w:val="30"/>
              <w:rPr>
                <w:rFonts w:hint="default" w:ascii="Times New Roman" w:hAnsi="Times New Roman" w:cs="Times New Roman"/>
                <w:sz w:val="21"/>
                <w:szCs w:val="21"/>
              </w:rPr>
            </w:pPr>
          </w:p>
        </w:tc>
        <w:tc>
          <w:tcPr>
            <w:tcW w:w="770" w:type="pct"/>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napToGrid w:val="0"/>
                <w:kern w:val="18"/>
                <w:sz w:val="21"/>
                <w:szCs w:val="21"/>
              </w:rPr>
              <w:t>硫化氢</w:t>
            </w:r>
          </w:p>
        </w:tc>
        <w:tc>
          <w:tcPr>
            <w:tcW w:w="441" w:type="pct"/>
            <w:vMerge w:val="continue"/>
            <w:vAlign w:val="center"/>
          </w:tcPr>
          <w:p>
            <w:pPr>
              <w:pStyle w:val="30"/>
              <w:rPr>
                <w:rFonts w:hint="default" w:ascii="Times New Roman" w:hAnsi="Times New Roman" w:cs="Times New Roman"/>
                <w:sz w:val="21"/>
                <w:szCs w:val="21"/>
                <w:lang w:val="en-US" w:eastAsia="zh-CN"/>
              </w:rPr>
            </w:pPr>
          </w:p>
        </w:tc>
        <w:tc>
          <w:tcPr>
            <w:tcW w:w="565"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0.0026</w:t>
            </w:r>
          </w:p>
        </w:tc>
        <w:tc>
          <w:tcPr>
            <w:tcW w:w="57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lang w:val="en-US" w:eastAsia="zh-CN"/>
              </w:rPr>
              <w:t>7.71</w:t>
            </w:r>
            <w:r>
              <w:rPr>
                <w:rFonts w:hint="default" w:ascii="Times New Roman" w:hAnsi="Times New Roman" w:cs="Times New Roman"/>
                <w:sz w:val="21"/>
                <w:szCs w:val="21"/>
                <w:u w:val="single"/>
              </w:rPr>
              <w:t>×10</w:t>
            </w:r>
            <w:r>
              <w:rPr>
                <w:rFonts w:hint="default" w:ascii="Times New Roman" w:hAnsi="Times New Roman" w:cs="Times New Roman"/>
                <w:sz w:val="21"/>
                <w:szCs w:val="21"/>
                <w:u w:val="single"/>
                <w:vertAlign w:val="superscript"/>
              </w:rPr>
              <w:t>-</w:t>
            </w:r>
            <w:r>
              <w:rPr>
                <w:rFonts w:hint="default" w:ascii="Times New Roman" w:hAnsi="Times New Roman" w:cs="Times New Roman"/>
                <w:sz w:val="21"/>
                <w:szCs w:val="21"/>
                <w:u w:val="single"/>
                <w:vertAlign w:val="superscript"/>
                <w:lang w:val="en-US" w:eastAsia="zh-CN"/>
              </w:rPr>
              <w:t>6</w:t>
            </w:r>
          </w:p>
        </w:tc>
        <w:tc>
          <w:tcPr>
            <w:tcW w:w="58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lang w:val="en-US" w:eastAsia="zh-CN"/>
              </w:rPr>
              <w:t>1.85</w:t>
            </w:r>
            <w:r>
              <w:rPr>
                <w:rFonts w:hint="default" w:ascii="Times New Roman" w:hAnsi="Times New Roman" w:cs="Times New Roman"/>
                <w:sz w:val="21"/>
                <w:szCs w:val="21"/>
                <w:u w:val="single"/>
              </w:rPr>
              <w:t>×10</w:t>
            </w:r>
            <w:r>
              <w:rPr>
                <w:rFonts w:hint="default" w:ascii="Times New Roman" w:hAnsi="Times New Roman" w:cs="Times New Roman"/>
                <w:sz w:val="21"/>
                <w:szCs w:val="21"/>
                <w:u w:val="single"/>
                <w:vertAlign w:val="superscript"/>
              </w:rPr>
              <w:t>-</w:t>
            </w:r>
            <w:r>
              <w:rPr>
                <w:rFonts w:hint="default" w:ascii="Times New Roman" w:hAnsi="Times New Roman" w:cs="Times New Roman"/>
                <w:sz w:val="21"/>
                <w:szCs w:val="21"/>
                <w:u w:val="single"/>
                <w:vertAlign w:val="superscript"/>
                <w:lang w:val="en-US" w:eastAsia="zh-CN"/>
              </w:rPr>
              <w:t>5</w:t>
            </w: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2" w:type="pct"/>
            <w:vMerge w:val="continue"/>
            <w:vAlign w:val="center"/>
          </w:tcPr>
          <w:p>
            <w:pPr>
              <w:pStyle w:val="30"/>
              <w:rPr>
                <w:rFonts w:hint="default" w:ascii="Times New Roman" w:hAnsi="Times New Roman" w:cs="Times New Roman"/>
                <w:sz w:val="21"/>
                <w:szCs w:val="21"/>
              </w:rPr>
            </w:pPr>
          </w:p>
        </w:tc>
        <w:tc>
          <w:tcPr>
            <w:tcW w:w="770" w:type="pct"/>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napToGrid w:val="0"/>
                <w:kern w:val="18"/>
                <w:sz w:val="21"/>
                <w:szCs w:val="21"/>
              </w:rPr>
              <w:t>非甲烷总烃</w:t>
            </w:r>
          </w:p>
        </w:tc>
        <w:tc>
          <w:tcPr>
            <w:tcW w:w="441" w:type="pct"/>
            <w:vMerge w:val="continue"/>
            <w:vAlign w:val="center"/>
          </w:tcPr>
          <w:p>
            <w:pPr>
              <w:pStyle w:val="30"/>
              <w:rPr>
                <w:rFonts w:hint="default" w:ascii="Times New Roman" w:hAnsi="Times New Roman" w:cs="Times New Roman"/>
                <w:sz w:val="21"/>
                <w:szCs w:val="21"/>
                <w:lang w:val="en-US" w:eastAsia="zh-CN"/>
              </w:rPr>
            </w:pPr>
          </w:p>
        </w:tc>
        <w:tc>
          <w:tcPr>
            <w:tcW w:w="565"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3.33</w:t>
            </w:r>
          </w:p>
        </w:tc>
        <w:tc>
          <w:tcPr>
            <w:tcW w:w="57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w:t>
            </w:r>
          </w:p>
        </w:tc>
        <w:tc>
          <w:tcPr>
            <w:tcW w:w="582" w:type="pct"/>
            <w:vAlign w:val="center"/>
          </w:tcPr>
          <w:p>
            <w:pPr>
              <w:pStyle w:val="30"/>
              <w:rPr>
                <w:rFonts w:hint="default" w:ascii="Times New Roman" w:hAnsi="Times New Roman" w:cs="Times New Roman"/>
                <w:sz w:val="21"/>
                <w:szCs w:val="21"/>
                <w:lang w:val="en-US" w:eastAsia="zh-CN"/>
              </w:rPr>
            </w:pPr>
            <w:r>
              <w:rPr>
                <w:rFonts w:hint="default" w:ascii="Times New Roman" w:hAnsi="Times New Roman" w:cs="Times New Roman"/>
                <w:sz w:val="21"/>
                <w:szCs w:val="21"/>
                <w:u w:val="single"/>
                <w:lang w:val="en-US" w:eastAsia="zh-CN"/>
              </w:rPr>
              <w:t>0.025</w:t>
            </w:r>
          </w:p>
        </w:tc>
        <w:tc>
          <w:tcPr>
            <w:tcW w:w="415" w:type="pct"/>
            <w:vMerge w:val="continue"/>
            <w:vAlign w:val="center"/>
          </w:tcPr>
          <w:p>
            <w:pPr>
              <w:pStyle w:val="30"/>
              <w:ind w:firstLine="0" w:firstLineChars="0"/>
              <w:rPr>
                <w:rFonts w:hint="default" w:ascii="Times New Roman" w:hAnsi="Times New Roman" w:cs="Times New Roman"/>
                <w:sz w:val="21"/>
                <w:szCs w:val="21"/>
              </w:rPr>
            </w:pPr>
          </w:p>
        </w:tc>
        <w:tc>
          <w:tcPr>
            <w:tcW w:w="433" w:type="pct"/>
            <w:vMerge w:val="continue"/>
            <w:vAlign w:val="center"/>
          </w:tcPr>
          <w:p>
            <w:pPr>
              <w:pStyle w:val="30"/>
              <w:rPr>
                <w:rFonts w:hint="default" w:ascii="Times New Roman" w:hAnsi="Times New Roman" w:cs="Times New Roman"/>
                <w:sz w:val="21"/>
                <w:szCs w:val="21"/>
              </w:rPr>
            </w:pPr>
          </w:p>
        </w:tc>
        <w:tc>
          <w:tcPr>
            <w:tcW w:w="473" w:type="pct"/>
            <w:vMerge w:val="continue"/>
            <w:vAlign w:val="center"/>
          </w:tcPr>
          <w:p>
            <w:pPr>
              <w:pStyle w:val="30"/>
              <w:rPr>
                <w:rFonts w:hint="default" w:ascii="Times New Roman" w:hAnsi="Times New Roman" w:cs="Times New Roman"/>
                <w:sz w:val="21"/>
                <w:szCs w:val="21"/>
              </w:rPr>
            </w:pPr>
          </w:p>
        </w:tc>
        <w:tc>
          <w:tcPr>
            <w:tcW w:w="392" w:type="pct"/>
            <w:vMerge w:val="continue"/>
            <w:vAlign w:val="center"/>
          </w:tcPr>
          <w:p>
            <w:pPr>
              <w:pStyle w:val="30"/>
              <w:rPr>
                <w:rFonts w:hint="default" w:ascii="Times New Roman" w:hAnsi="Times New Roman" w:cs="Times New Roman"/>
                <w:sz w:val="21"/>
                <w:szCs w:val="21"/>
              </w:rPr>
            </w:pPr>
          </w:p>
        </w:tc>
      </w:tr>
    </w:tbl>
    <w:p>
      <w:pPr>
        <w:widowControl/>
        <w:ind w:firstLine="482"/>
        <w:rPr>
          <w:rFonts w:hint="eastAsia" w:cs="Times New Roman"/>
          <w:b/>
          <w:bCs/>
          <w:szCs w:val="24"/>
          <w:lang w:val="en-US"/>
        </w:rPr>
      </w:pPr>
      <w:bookmarkStart w:id="99" w:name="_Toc3321"/>
      <w:r>
        <w:rPr>
          <w:rFonts w:hint="eastAsia" w:cs="Times New Roman"/>
          <w:b/>
          <w:bCs/>
          <w:szCs w:val="24"/>
          <w:lang w:val="en-US"/>
        </w:rPr>
        <w:t>4.2.</w:t>
      </w:r>
      <w:r>
        <w:rPr>
          <w:rFonts w:hint="eastAsia" w:cs="Times New Roman"/>
          <w:b/>
          <w:bCs/>
          <w:szCs w:val="24"/>
          <w:lang w:val="en-US" w:eastAsia="zh-CN"/>
        </w:rPr>
        <w:t>2</w:t>
      </w:r>
      <w:r>
        <w:rPr>
          <w:rFonts w:hint="eastAsia" w:cs="Times New Roman"/>
          <w:b/>
          <w:bCs/>
          <w:szCs w:val="24"/>
          <w:lang w:val="en-US"/>
        </w:rPr>
        <w:t>.</w:t>
      </w:r>
      <w:r>
        <w:rPr>
          <w:rFonts w:hint="eastAsia" w:cs="Times New Roman"/>
          <w:b/>
          <w:bCs/>
          <w:szCs w:val="24"/>
          <w:lang w:val="en-US" w:eastAsia="zh-CN"/>
        </w:rPr>
        <w:t>6</w:t>
      </w:r>
      <w:r>
        <w:rPr>
          <w:rFonts w:hint="eastAsia" w:cs="Times New Roman"/>
          <w:b/>
          <w:bCs/>
          <w:szCs w:val="24"/>
          <w:lang w:val="en-US"/>
        </w:rPr>
        <w:t>项目各污染源汇总</w:t>
      </w:r>
      <w:bookmarkEnd w:id="96"/>
      <w:bookmarkEnd w:id="97"/>
      <w:bookmarkEnd w:id="98"/>
      <w:bookmarkEnd w:id="99"/>
    </w:p>
    <w:p>
      <w:pPr>
        <w:widowControl/>
        <w:ind w:firstLine="480" w:firstLineChars="200"/>
        <w:jc w:val="left"/>
        <w:rPr>
          <w:rFonts w:ascii="Times New Roman" w:hAnsi="Times New Roman"/>
          <w:color w:val="auto"/>
          <w:sz w:val="24"/>
        </w:rPr>
      </w:pPr>
      <w:r>
        <w:rPr>
          <w:rFonts w:ascii="Times New Roman" w:hAnsi="Times New Roman"/>
          <w:color w:val="auto"/>
          <w:sz w:val="24"/>
        </w:rPr>
        <w:t>根据以上工程分析，拟建项目正常工况下</w:t>
      </w:r>
      <w:r>
        <w:rPr>
          <w:rFonts w:hint="eastAsia"/>
          <w:color w:val="auto"/>
          <w:sz w:val="24"/>
          <w:lang w:eastAsia="zh-CN"/>
        </w:rPr>
        <w:t>“</w:t>
      </w:r>
      <w:r>
        <w:rPr>
          <w:rFonts w:ascii="Times New Roman" w:hAnsi="Times New Roman"/>
          <w:color w:val="auto"/>
          <w:sz w:val="24"/>
        </w:rPr>
        <w:t>三废</w:t>
      </w:r>
      <w:r>
        <w:rPr>
          <w:rFonts w:hint="eastAsia"/>
          <w:color w:val="auto"/>
          <w:sz w:val="24"/>
          <w:lang w:eastAsia="zh-CN"/>
        </w:rPr>
        <w:t>”</w:t>
      </w:r>
      <w:r>
        <w:rPr>
          <w:rFonts w:ascii="Times New Roman" w:hAnsi="Times New Roman"/>
          <w:color w:val="auto"/>
          <w:sz w:val="24"/>
        </w:rPr>
        <w:t>产生及排放情况汇总见表，见表</w:t>
      </w:r>
      <w:r>
        <w:rPr>
          <w:rFonts w:hint="eastAsia" w:ascii="Times New Roman" w:hAnsi="Times New Roman"/>
          <w:color w:val="auto"/>
          <w:sz w:val="24"/>
          <w:lang w:val="en-US" w:eastAsia="zh-CN"/>
        </w:rPr>
        <w:t>4.2-</w:t>
      </w:r>
      <w:r>
        <w:rPr>
          <w:rFonts w:hint="eastAsia"/>
          <w:color w:val="auto"/>
          <w:sz w:val="24"/>
          <w:lang w:val="en-US" w:eastAsia="zh-CN"/>
        </w:rPr>
        <w:t>11</w:t>
      </w:r>
      <w:r>
        <w:rPr>
          <w:rFonts w:ascii="Times New Roman" w:hAnsi="Times New Roman"/>
          <w:color w:val="auto"/>
          <w:sz w:val="24"/>
        </w:rPr>
        <w:t>。</w:t>
      </w:r>
    </w:p>
    <w:p>
      <w:pPr>
        <w:pStyle w:val="19"/>
        <w:widowControl/>
        <w:spacing w:beforeAutospacing="0" w:afterAutospacing="0"/>
        <w:ind w:firstLine="482"/>
        <w:jc w:val="center"/>
        <w:rPr>
          <w:rFonts w:cs="宋体"/>
          <w:b/>
          <w:bCs/>
          <w:color w:val="000000" w:themeColor="text1"/>
          <w:szCs w:val="24"/>
          <w:lang w:bidi="zh-CN"/>
          <w14:textFill>
            <w14:solidFill>
              <w14:schemeClr w14:val="tx1"/>
            </w14:solidFill>
          </w14:textFill>
        </w:rPr>
      </w:pPr>
      <w:r>
        <w:rPr>
          <w:rFonts w:hint="eastAsia" w:cs="宋体"/>
          <w:b/>
          <w:bCs/>
          <w:color w:val="000000" w:themeColor="text1"/>
          <w:szCs w:val="24"/>
          <w:lang w:bidi="zh-CN"/>
          <w14:textFill>
            <w14:solidFill>
              <w14:schemeClr w14:val="tx1"/>
            </w14:solidFill>
          </w14:textFill>
        </w:rPr>
        <w:t>表4.</w:t>
      </w:r>
      <w:r>
        <w:rPr>
          <w:rFonts w:hint="eastAsia" w:cs="宋体"/>
          <w:b/>
          <w:bCs/>
          <w:color w:val="000000" w:themeColor="text1"/>
          <w:szCs w:val="24"/>
          <w:lang w:val="en-US" w:bidi="zh-CN"/>
          <w14:textFill>
            <w14:solidFill>
              <w14:schemeClr w14:val="tx1"/>
            </w14:solidFill>
          </w14:textFill>
        </w:rPr>
        <w:t>2</w:t>
      </w:r>
      <w:r>
        <w:rPr>
          <w:rFonts w:hint="eastAsia" w:cs="宋体"/>
          <w:b/>
          <w:bCs/>
          <w:color w:val="000000" w:themeColor="text1"/>
          <w:szCs w:val="24"/>
          <w:lang w:bidi="zh-CN"/>
          <w14:textFill>
            <w14:solidFill>
              <w14:schemeClr w14:val="tx1"/>
            </w14:solidFill>
          </w14:textFill>
        </w:rPr>
        <w:t>-</w:t>
      </w:r>
      <w:r>
        <w:rPr>
          <w:rFonts w:hint="eastAsia" w:cs="宋体"/>
          <w:b/>
          <w:bCs/>
          <w:color w:val="000000" w:themeColor="text1"/>
          <w:szCs w:val="24"/>
          <w:lang w:val="en-US" w:bidi="zh-CN"/>
          <w14:textFill>
            <w14:solidFill>
              <w14:schemeClr w14:val="tx1"/>
            </w14:solidFill>
          </w14:textFill>
        </w:rPr>
        <w:t>11</w:t>
      </w:r>
      <w:r>
        <w:rPr>
          <w:rFonts w:hint="eastAsia" w:cs="宋体"/>
          <w:b/>
          <w:bCs/>
          <w:color w:val="000000" w:themeColor="text1"/>
          <w:szCs w:val="24"/>
          <w:lang w:bidi="zh-CN"/>
          <w14:textFill>
            <w14:solidFill>
              <w14:schemeClr w14:val="tx1"/>
            </w14:solidFill>
          </w14:textFill>
        </w:rPr>
        <w:t xml:space="preserve">  拟建项目正常工况下“三废”产生及排放情况汇总见表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061"/>
        <w:gridCol w:w="819"/>
        <w:gridCol w:w="1281"/>
        <w:gridCol w:w="1429"/>
        <w:gridCol w:w="1632"/>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污染源</w:t>
            </w: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污染物</w:t>
            </w:r>
          </w:p>
        </w:tc>
        <w:tc>
          <w:tcPr>
            <w:tcW w:w="76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产生量t/a</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削减量t/a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废气</w:t>
            </w:r>
          </w:p>
        </w:tc>
        <w:tc>
          <w:tcPr>
            <w:tcW w:w="571"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eastAsia="zh-CN"/>
              </w:rPr>
            </w:pPr>
            <w:r>
              <w:rPr>
                <w:rFonts w:hint="eastAsia"/>
                <w:sz w:val="21"/>
                <w:szCs w:val="21"/>
                <w:lang w:eastAsia="zh-CN"/>
              </w:rPr>
              <w:t>有组织废气</w:t>
            </w: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cs="Times New Roman"/>
                <w:sz w:val="21"/>
                <w:szCs w:val="21"/>
              </w:rPr>
              <w:t>颗粒物</w:t>
            </w:r>
          </w:p>
        </w:tc>
        <w:tc>
          <w:tcPr>
            <w:tcW w:w="769"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eastAsia="宋体"/>
                <w:sz w:val="21"/>
                <w:szCs w:val="21"/>
                <w:u w:val="single"/>
                <w:lang w:val="en-US" w:eastAsia="zh-CN"/>
              </w:rPr>
            </w:pPr>
            <w:r>
              <w:rPr>
                <w:rFonts w:hint="eastAsia"/>
                <w:sz w:val="21"/>
                <w:szCs w:val="21"/>
                <w:u w:val="single"/>
                <w:lang w:val="en-US" w:eastAsia="zh-CN"/>
              </w:rPr>
              <w:t>2.7</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eastAsia="宋体"/>
                <w:sz w:val="21"/>
                <w:szCs w:val="21"/>
                <w:u w:val="single"/>
                <w:lang w:val="en-US" w:eastAsia="zh-CN"/>
              </w:rPr>
            </w:pPr>
            <w:r>
              <w:rPr>
                <w:rFonts w:hint="eastAsia"/>
                <w:sz w:val="21"/>
                <w:szCs w:val="21"/>
                <w:u w:val="single"/>
                <w:lang w:val="en-US" w:eastAsia="zh-CN"/>
              </w:rPr>
              <w:t>2.5603</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eastAsia" w:cs="Times New Roman"/>
                <w:sz w:val="21"/>
                <w:szCs w:val="21"/>
                <w:u w:val="single"/>
                <w:lang w:val="en-US" w:eastAsia="zh-CN"/>
              </w:rPr>
              <w:t>0.1397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cs="Times New Roman"/>
                <w:sz w:val="21"/>
                <w:szCs w:val="21"/>
              </w:rPr>
              <w:t>氨</w:t>
            </w:r>
          </w:p>
        </w:tc>
        <w:tc>
          <w:tcPr>
            <w:tcW w:w="769" w:type="pct"/>
            <w:vAlign w:val="center"/>
          </w:tcPr>
          <w:p>
            <w:pPr>
              <w:pStyle w:val="30"/>
              <w:ind w:firstLine="0" w:firstLineChars="0"/>
              <w:rPr>
                <w:rFonts w:hint="default" w:eastAsia="宋体"/>
                <w:sz w:val="21"/>
                <w:szCs w:val="21"/>
                <w:lang w:val="en-US" w:eastAsia="zh-CN"/>
              </w:rPr>
            </w:pPr>
            <w:r>
              <w:rPr>
                <w:rFonts w:hint="eastAsia"/>
                <w:sz w:val="21"/>
                <w:szCs w:val="21"/>
                <w:u w:val="single"/>
                <w:lang w:val="en-US" w:eastAsia="zh-CN"/>
              </w:rPr>
              <w:t>4.8×10</w:t>
            </w:r>
            <w:r>
              <w:rPr>
                <w:rFonts w:hint="eastAsia"/>
                <w:sz w:val="21"/>
                <w:szCs w:val="21"/>
                <w:u w:val="single"/>
                <w:vertAlign w:val="superscript"/>
                <w:lang w:val="en-US" w:eastAsia="zh-CN"/>
              </w:rPr>
              <w:t>-4</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eastAsia="宋体"/>
                <w:sz w:val="21"/>
                <w:szCs w:val="21"/>
                <w:lang w:val="en-US" w:eastAsia="zh-CN"/>
              </w:rPr>
            </w:pPr>
            <w:r>
              <w:rPr>
                <w:rFonts w:hint="eastAsia" w:cs="Times New Roman"/>
                <w:sz w:val="21"/>
                <w:szCs w:val="21"/>
                <w:u w:val="single"/>
                <w:lang w:val="en-US" w:eastAsia="zh-CN"/>
              </w:rPr>
              <w:t>3.07</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4</w:t>
            </w:r>
          </w:p>
        </w:tc>
        <w:tc>
          <w:tcPr>
            <w:tcW w:w="891"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lang w:val="en-US"/>
              </w:rPr>
            </w:pPr>
            <w:r>
              <w:rPr>
                <w:rFonts w:hint="eastAsia" w:cs="Times New Roman"/>
                <w:sz w:val="21"/>
                <w:szCs w:val="21"/>
                <w:u w:val="single"/>
                <w:lang w:val="en-US" w:eastAsia="zh-CN"/>
              </w:rPr>
              <w:t>1.73</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cs="Times New Roman"/>
                <w:sz w:val="21"/>
                <w:szCs w:val="21"/>
              </w:rPr>
              <w:t>硫化氢</w:t>
            </w:r>
          </w:p>
        </w:tc>
        <w:tc>
          <w:tcPr>
            <w:tcW w:w="769" w:type="pct"/>
            <w:vAlign w:val="center"/>
          </w:tcPr>
          <w:p>
            <w:pPr>
              <w:pStyle w:val="30"/>
              <w:ind w:firstLine="0" w:firstLineChars="0"/>
              <w:rPr>
                <w:sz w:val="21"/>
                <w:szCs w:val="21"/>
              </w:rPr>
            </w:pPr>
            <w:r>
              <w:rPr>
                <w:rFonts w:hint="eastAsia" w:cs="Times New Roman"/>
                <w:sz w:val="21"/>
                <w:szCs w:val="21"/>
                <w:u w:val="single"/>
                <w:lang w:val="en-US" w:eastAsia="zh-CN"/>
              </w:rPr>
              <w:t>1.85</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5</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val="en-US" w:eastAsia="zh-CN"/>
              </w:rPr>
            </w:pPr>
            <w:r>
              <w:rPr>
                <w:rFonts w:hint="eastAsia" w:cs="Times New Roman"/>
                <w:sz w:val="21"/>
                <w:szCs w:val="21"/>
                <w:u w:val="single"/>
                <w:lang w:val="en-US" w:eastAsia="zh-CN"/>
              </w:rPr>
              <w:t>1.18</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5</w:t>
            </w:r>
          </w:p>
        </w:tc>
        <w:tc>
          <w:tcPr>
            <w:tcW w:w="891"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sz w:val="21"/>
                <w:szCs w:val="21"/>
              </w:rPr>
            </w:pPr>
            <w:r>
              <w:rPr>
                <w:rFonts w:hint="eastAsia" w:cs="Times New Roman"/>
                <w:sz w:val="21"/>
                <w:szCs w:val="21"/>
                <w:u w:val="single"/>
                <w:lang w:val="en-US" w:eastAsia="zh-CN"/>
              </w:rPr>
              <w:t>6.66</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eastAsia="zh-CN"/>
              </w:rPr>
            </w:pPr>
          </w:p>
        </w:tc>
        <w:tc>
          <w:tcPr>
            <w:tcW w:w="441" w:type="pct"/>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cs="Times New Roman"/>
                <w:sz w:val="21"/>
                <w:szCs w:val="21"/>
              </w:rPr>
              <w:t>VOCs</w:t>
            </w:r>
          </w:p>
        </w:tc>
        <w:tc>
          <w:tcPr>
            <w:tcW w:w="6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非甲烷总烃</w:t>
            </w:r>
          </w:p>
        </w:tc>
        <w:tc>
          <w:tcPr>
            <w:tcW w:w="769"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sz w:val="21"/>
                <w:szCs w:val="21"/>
              </w:rPr>
            </w:pPr>
            <w:r>
              <w:rPr>
                <w:rFonts w:hint="eastAsia"/>
                <w:sz w:val="21"/>
                <w:szCs w:val="21"/>
                <w:lang w:val="en-US" w:eastAsia="zh-CN"/>
              </w:rPr>
              <w:t>5.571</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5.29125</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cs="Times New Roman"/>
                <w:sz w:val="21"/>
                <w:szCs w:val="21"/>
                <w:lang w:val="en-US" w:eastAsia="zh-CN"/>
              </w:rPr>
              <w:t>0.27975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441" w:type="pct"/>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rPr>
            </w:pPr>
            <w:r>
              <w:rPr>
                <w:rFonts w:cs="Times New Roman"/>
                <w:sz w:val="21"/>
                <w:szCs w:val="21"/>
              </w:rPr>
              <w:t>苯乙烯</w:t>
            </w:r>
          </w:p>
        </w:tc>
        <w:tc>
          <w:tcPr>
            <w:tcW w:w="769"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eastAsia="宋体"/>
                <w:sz w:val="21"/>
                <w:szCs w:val="21"/>
                <w:lang w:val="en-US" w:eastAsia="zh-CN"/>
              </w:rPr>
            </w:pPr>
            <w:r>
              <w:rPr>
                <w:rFonts w:hint="eastAsia"/>
                <w:sz w:val="21"/>
                <w:szCs w:val="21"/>
                <w:lang w:val="en-US" w:eastAsia="zh-CN"/>
              </w:rPr>
              <w:t>2.8</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2.724</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cs="Times New Roman"/>
                <w:sz w:val="21"/>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restar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r>
              <w:rPr>
                <w:rFonts w:hint="eastAsia"/>
                <w:sz w:val="21"/>
                <w:szCs w:val="21"/>
                <w:lang w:eastAsia="zh-CN"/>
              </w:rPr>
              <w:t>无组织废气</w:t>
            </w: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cs="Times New Roman"/>
                <w:sz w:val="21"/>
                <w:szCs w:val="21"/>
              </w:rPr>
              <w:t>颗粒物</w:t>
            </w:r>
          </w:p>
        </w:tc>
        <w:tc>
          <w:tcPr>
            <w:tcW w:w="769" w:type="pct"/>
            <w:vAlign w:val="center"/>
          </w:tcPr>
          <w:p>
            <w:pPr>
              <w:adjustRightInd w:val="0"/>
              <w:snapToGrid w:val="0"/>
              <w:spacing w:line="240" w:lineRule="auto"/>
              <w:ind w:firstLine="0" w:firstLineChars="0"/>
              <w:jc w:val="center"/>
              <w:rPr>
                <w:rFonts w:hint="default"/>
                <w:sz w:val="21"/>
                <w:szCs w:val="21"/>
                <w:lang w:val="en-US"/>
              </w:rPr>
            </w:pPr>
            <w:r>
              <w:rPr>
                <w:rFonts w:hint="eastAsia" w:cs="Times New Roman"/>
                <w:kern w:val="0"/>
                <w:sz w:val="21"/>
                <w:szCs w:val="21"/>
                <w:u w:val="single"/>
                <w:lang w:val="en-US" w:eastAsia="zh-CN"/>
              </w:rPr>
              <w:t>0.054</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lang w:val="en-US" w:eastAsia="zh-CN"/>
              </w:rPr>
            </w:pPr>
            <w:r>
              <w:rPr>
                <w:rFonts w:hint="eastAsia"/>
                <w:sz w:val="21"/>
                <w:szCs w:val="21"/>
                <w:lang w:val="en-US" w:eastAsia="zh-CN"/>
              </w:rPr>
              <w:t>0</w:t>
            </w:r>
          </w:p>
        </w:tc>
        <w:tc>
          <w:tcPr>
            <w:tcW w:w="891" w:type="pct"/>
            <w:vAlign w:val="center"/>
          </w:tcPr>
          <w:p>
            <w:pPr>
              <w:adjustRightInd w:val="0"/>
              <w:snapToGrid w:val="0"/>
              <w:spacing w:line="240" w:lineRule="auto"/>
              <w:ind w:firstLine="0" w:firstLineChars="0"/>
              <w:jc w:val="center"/>
              <w:rPr>
                <w:rFonts w:hint="default"/>
                <w:sz w:val="21"/>
                <w:szCs w:val="21"/>
                <w:lang w:val="en-US"/>
              </w:rPr>
            </w:pPr>
            <w:r>
              <w:rPr>
                <w:rFonts w:hint="eastAsia" w:cs="Times New Roman"/>
                <w:kern w:val="0"/>
                <w:sz w:val="21"/>
                <w:szCs w:val="21"/>
                <w:u w:val="singl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cs="Times New Roman"/>
                <w:sz w:val="21"/>
                <w:szCs w:val="21"/>
              </w:rPr>
              <w:t>氨</w:t>
            </w:r>
          </w:p>
        </w:tc>
        <w:tc>
          <w:tcPr>
            <w:tcW w:w="769" w:type="pct"/>
            <w:vAlign w:val="center"/>
          </w:tcPr>
          <w:p>
            <w:pPr>
              <w:adjustRightInd w:val="0"/>
              <w:snapToGrid w:val="0"/>
              <w:spacing w:line="240" w:lineRule="auto"/>
              <w:ind w:firstLine="0" w:firstLineChars="0"/>
              <w:jc w:val="center"/>
              <w:rPr>
                <w:sz w:val="21"/>
                <w:szCs w:val="21"/>
              </w:rPr>
            </w:pPr>
            <w:r>
              <w:rPr>
                <w:rFonts w:hint="eastAsia" w:cs="Times New Roman"/>
                <w:color w:val="auto"/>
                <w:sz w:val="21"/>
                <w:szCs w:val="21"/>
                <w:u w:val="single"/>
                <w:lang w:val="en-US" w:eastAsia="zh-CN"/>
              </w:rPr>
              <w:t>4.8</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lang w:val="en-US" w:eastAsia="zh-CN"/>
              </w:rPr>
            </w:pPr>
            <w:r>
              <w:rPr>
                <w:rFonts w:hint="eastAsia"/>
                <w:sz w:val="21"/>
                <w:szCs w:val="21"/>
                <w:lang w:val="en-US" w:eastAsia="zh-CN"/>
              </w:rPr>
              <w:t>0</w:t>
            </w:r>
          </w:p>
        </w:tc>
        <w:tc>
          <w:tcPr>
            <w:tcW w:w="891" w:type="pct"/>
            <w:vAlign w:val="center"/>
          </w:tcPr>
          <w:p>
            <w:pPr>
              <w:adjustRightInd w:val="0"/>
              <w:snapToGrid w:val="0"/>
              <w:spacing w:line="240" w:lineRule="auto"/>
              <w:ind w:firstLine="0" w:firstLineChars="0"/>
              <w:jc w:val="center"/>
              <w:rPr>
                <w:sz w:val="21"/>
                <w:szCs w:val="21"/>
              </w:rPr>
            </w:pPr>
            <w:r>
              <w:rPr>
                <w:rFonts w:hint="eastAsia" w:cs="Times New Roman"/>
                <w:color w:val="auto"/>
                <w:sz w:val="21"/>
                <w:szCs w:val="21"/>
                <w:u w:val="single"/>
                <w:lang w:val="en-US" w:eastAsia="zh-CN"/>
              </w:rPr>
              <w:t>4.8</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sz w:val="21"/>
                <w:szCs w:val="21"/>
              </w:rPr>
            </w:pPr>
          </w:p>
        </w:tc>
        <w:tc>
          <w:tcPr>
            <w:tcW w:w="1131"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cs="Times New Roman"/>
                <w:sz w:val="21"/>
                <w:szCs w:val="21"/>
              </w:rPr>
              <w:t>硫化氢</w:t>
            </w:r>
          </w:p>
        </w:tc>
        <w:tc>
          <w:tcPr>
            <w:tcW w:w="769" w:type="pct"/>
            <w:vAlign w:val="center"/>
          </w:tcPr>
          <w:p>
            <w:pPr>
              <w:adjustRightInd w:val="0"/>
              <w:snapToGrid w:val="0"/>
              <w:spacing w:line="240" w:lineRule="auto"/>
              <w:ind w:firstLine="0" w:firstLineChars="0"/>
              <w:jc w:val="center"/>
              <w:rPr>
                <w:sz w:val="21"/>
                <w:szCs w:val="21"/>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lang w:val="en-US" w:eastAsia="zh-CN"/>
              </w:rPr>
            </w:pPr>
            <w:r>
              <w:rPr>
                <w:rFonts w:hint="eastAsia"/>
                <w:sz w:val="21"/>
                <w:szCs w:val="21"/>
                <w:lang w:val="en-US" w:eastAsia="zh-CN"/>
              </w:rPr>
              <w:t>0</w:t>
            </w:r>
          </w:p>
        </w:tc>
        <w:tc>
          <w:tcPr>
            <w:tcW w:w="891" w:type="pct"/>
            <w:vAlign w:val="center"/>
          </w:tcPr>
          <w:p>
            <w:pPr>
              <w:adjustRightInd w:val="0"/>
              <w:snapToGrid w:val="0"/>
              <w:spacing w:line="240" w:lineRule="auto"/>
              <w:ind w:firstLine="0" w:firstLineChars="0"/>
              <w:jc w:val="center"/>
              <w:rPr>
                <w:sz w:val="21"/>
                <w:szCs w:val="21"/>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p>
        </w:tc>
        <w:tc>
          <w:tcPr>
            <w:tcW w:w="441" w:type="pct"/>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cs="Times New Roman"/>
                <w:sz w:val="21"/>
                <w:szCs w:val="21"/>
              </w:rPr>
              <w:t>VOCs</w:t>
            </w:r>
          </w:p>
        </w:tc>
        <w:tc>
          <w:tcPr>
            <w:tcW w:w="6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cs="Times New Roman"/>
                <w:sz w:val="21"/>
                <w:szCs w:val="21"/>
              </w:rPr>
              <w:t>非甲烷总烃</w:t>
            </w:r>
          </w:p>
        </w:tc>
        <w:tc>
          <w:tcPr>
            <w:tcW w:w="769" w:type="pct"/>
            <w:vAlign w:val="center"/>
          </w:tcPr>
          <w:p>
            <w:pPr>
              <w:adjustRightInd w:val="0"/>
              <w:snapToGrid w:val="0"/>
              <w:spacing w:line="240" w:lineRule="auto"/>
              <w:ind w:firstLine="0" w:firstLineChars="0"/>
              <w:jc w:val="center"/>
              <w:rPr>
                <w:rFonts w:hint="default"/>
                <w:sz w:val="21"/>
                <w:szCs w:val="21"/>
                <w:lang w:val="en-US"/>
              </w:rPr>
            </w:pPr>
            <w:r>
              <w:rPr>
                <w:rFonts w:hint="eastAsia" w:cs="Times New Roman"/>
                <w:color w:val="auto"/>
                <w:sz w:val="21"/>
                <w:szCs w:val="21"/>
                <w:u w:val="single"/>
                <w:lang w:val="en-US" w:eastAsia="zh-CN"/>
              </w:rPr>
              <w:t>0.111</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eastAsia="宋体"/>
                <w:sz w:val="21"/>
                <w:szCs w:val="21"/>
                <w:lang w:val="en-US" w:eastAsia="zh-CN"/>
              </w:rPr>
            </w:pPr>
            <w:r>
              <w:rPr>
                <w:rFonts w:hint="eastAsia"/>
                <w:sz w:val="21"/>
                <w:szCs w:val="21"/>
                <w:lang w:val="en-US" w:eastAsia="zh-CN"/>
              </w:rPr>
              <w:t>0</w:t>
            </w:r>
          </w:p>
        </w:tc>
        <w:tc>
          <w:tcPr>
            <w:tcW w:w="891" w:type="pct"/>
            <w:vAlign w:val="center"/>
          </w:tcPr>
          <w:p>
            <w:pPr>
              <w:adjustRightInd w:val="0"/>
              <w:snapToGrid w:val="0"/>
              <w:spacing w:line="240" w:lineRule="auto"/>
              <w:ind w:firstLine="0" w:firstLineChars="0"/>
              <w:jc w:val="center"/>
              <w:rPr>
                <w:rFonts w:hint="default"/>
                <w:sz w:val="21"/>
                <w:szCs w:val="21"/>
                <w:lang w:val="en-US"/>
              </w:rPr>
            </w:pPr>
            <w:r>
              <w:rPr>
                <w:rFonts w:hint="eastAsia" w:cs="Times New Roman"/>
                <w:color w:val="auto"/>
                <w:sz w:val="21"/>
                <w:szCs w:val="21"/>
                <w:u w:val="single"/>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571" w:type="pct"/>
            <w:vMerge w:val="continue"/>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eastAsia"/>
                <w:sz w:val="21"/>
                <w:szCs w:val="21"/>
                <w:lang w:eastAsia="zh-CN"/>
              </w:rPr>
            </w:pPr>
          </w:p>
        </w:tc>
        <w:tc>
          <w:tcPr>
            <w:tcW w:w="441" w:type="pct"/>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p>
        </w:tc>
        <w:tc>
          <w:tcPr>
            <w:tcW w:w="69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cs="Times New Roman"/>
                <w:sz w:val="21"/>
                <w:szCs w:val="21"/>
              </w:rPr>
              <w:t>苯乙烯</w:t>
            </w:r>
          </w:p>
        </w:tc>
        <w:tc>
          <w:tcPr>
            <w:tcW w:w="769" w:type="pct"/>
            <w:vAlign w:val="center"/>
          </w:tcPr>
          <w:p>
            <w:pPr>
              <w:adjustRightInd w:val="0"/>
              <w:snapToGrid w:val="0"/>
              <w:spacing w:line="240" w:lineRule="auto"/>
              <w:ind w:firstLine="0" w:firstLineChars="0"/>
              <w:jc w:val="center"/>
              <w:rPr>
                <w:rFonts w:hint="eastAsia"/>
                <w:sz w:val="21"/>
                <w:szCs w:val="21"/>
                <w:lang w:val="en-US" w:eastAsia="zh-CN"/>
              </w:rPr>
            </w:pPr>
            <w:r>
              <w:rPr>
                <w:rFonts w:hint="eastAsia" w:cs="Times New Roman"/>
                <w:color w:val="auto"/>
                <w:sz w:val="21"/>
                <w:szCs w:val="21"/>
                <w:u w:val="single"/>
                <w:lang w:val="en-US" w:eastAsia="zh-CN"/>
              </w:rPr>
              <w:t>0.056</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lang w:val="en-US" w:eastAsia="zh-CN"/>
              </w:rPr>
            </w:pPr>
            <w:r>
              <w:rPr>
                <w:rFonts w:hint="eastAsia"/>
                <w:sz w:val="21"/>
                <w:szCs w:val="21"/>
                <w:lang w:val="en-US" w:eastAsia="zh-CN"/>
              </w:rPr>
              <w:t>0</w:t>
            </w:r>
          </w:p>
        </w:tc>
        <w:tc>
          <w:tcPr>
            <w:tcW w:w="891" w:type="pct"/>
            <w:vAlign w:val="center"/>
          </w:tcPr>
          <w:p>
            <w:pPr>
              <w:adjustRightInd w:val="0"/>
              <w:snapToGrid w:val="0"/>
              <w:spacing w:line="240" w:lineRule="auto"/>
              <w:ind w:firstLine="0" w:firstLineChars="0"/>
              <w:jc w:val="center"/>
              <w:rPr>
                <w:rFonts w:hint="eastAsia"/>
                <w:sz w:val="21"/>
                <w:szCs w:val="21"/>
                <w:lang w:val="en-US" w:eastAsia="zh-CN"/>
              </w:rPr>
            </w:pPr>
            <w:r>
              <w:rPr>
                <w:rFonts w:hint="eastAsia" w:cs="Times New Roman"/>
                <w:color w:val="auto"/>
                <w:sz w:val="21"/>
                <w:szCs w:val="21"/>
                <w:u w:val="single"/>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571"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r>
              <w:rPr>
                <w:sz w:val="21"/>
                <w:szCs w:val="21"/>
              </w:rPr>
              <w:t>食堂</w:t>
            </w:r>
          </w:p>
        </w:tc>
        <w:tc>
          <w:tcPr>
            <w:tcW w:w="1131" w:type="pct"/>
            <w:gridSpan w:val="2"/>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r>
              <w:rPr>
                <w:sz w:val="21"/>
                <w:szCs w:val="21"/>
              </w:rPr>
              <w:t>饮食业油烟</w:t>
            </w:r>
          </w:p>
        </w:tc>
        <w:tc>
          <w:tcPr>
            <w:tcW w:w="769"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r>
              <w:rPr>
                <w:rFonts w:hint="eastAsia"/>
                <w:sz w:val="21"/>
                <w:szCs w:val="21"/>
                <w:lang w:val="en-US" w:eastAsia="zh-CN"/>
              </w:rPr>
              <w:t>0.0034</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w:t>
            </w:r>
          </w:p>
        </w:tc>
        <w:tc>
          <w:tcPr>
            <w:tcW w:w="891" w:type="pct"/>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hint="default"/>
                <w:sz w:val="21"/>
                <w:szCs w:val="21"/>
              </w:rPr>
            </w:pPr>
            <w:r>
              <w:rPr>
                <w:rFonts w:hint="eastAsia"/>
                <w:sz w:val="21"/>
                <w:szCs w:val="21"/>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rFonts w:hint="eastAsia"/>
                <w:sz w:val="21"/>
                <w:szCs w:val="21"/>
                <w:lang w:eastAsia="zh-CN"/>
              </w:rPr>
              <w:t>回用水</w:t>
            </w:r>
            <w:r>
              <w:rPr>
                <w:sz w:val="21"/>
                <w:szCs w:val="21"/>
              </w:rPr>
              <w:t>（</w:t>
            </w:r>
            <w:r>
              <w:rPr>
                <w:rFonts w:hint="eastAsia"/>
                <w:sz w:val="21"/>
                <w:szCs w:val="21"/>
                <w:lang w:val="en-US" w:eastAsia="zh-CN"/>
              </w:rPr>
              <w:t>5052</w:t>
            </w:r>
            <w:r>
              <w:rPr>
                <w:sz w:val="21"/>
                <w:szCs w:val="21"/>
              </w:rPr>
              <w:t>m</w:t>
            </w:r>
            <w:r>
              <w:rPr>
                <w:sz w:val="21"/>
                <w:szCs w:val="21"/>
                <w:vertAlign w:val="superscript"/>
              </w:rPr>
              <w:t>3</w:t>
            </w:r>
            <w:r>
              <w:rPr>
                <w:sz w:val="21"/>
                <w:szCs w:val="21"/>
              </w:rPr>
              <w:t>/a）</w:t>
            </w:r>
          </w:p>
        </w:tc>
        <w:tc>
          <w:tcPr>
            <w:tcW w:w="1702" w:type="pct"/>
            <w:gridSpan w:val="3"/>
            <w:vAlign w:val="center"/>
          </w:tcPr>
          <w:p>
            <w:pPr>
              <w:pStyle w:val="30"/>
              <w:ind w:firstLine="0" w:firstLineChars="0"/>
              <w:jc w:val="center"/>
              <w:rPr>
                <w:rFonts w:hint="default"/>
                <w:sz w:val="21"/>
                <w:szCs w:val="21"/>
              </w:rPr>
            </w:pPr>
            <w:r>
              <w:rPr>
                <w:rFonts w:hint="default" w:ascii="Times New Roman" w:hAnsi="Times New Roman"/>
                <w:sz w:val="21"/>
                <w:szCs w:val="21"/>
              </w:rPr>
              <w:t>COD</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0.573</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0.573</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ind w:firstLine="0" w:firstLineChars="0"/>
              <w:jc w:val="center"/>
              <w:rPr>
                <w:rFonts w:hint="default"/>
                <w:sz w:val="21"/>
                <w:szCs w:val="21"/>
              </w:rPr>
            </w:pPr>
            <w:r>
              <w:rPr>
                <w:rFonts w:hint="default" w:ascii="Times New Roman" w:hAnsi="Times New Roman"/>
                <w:sz w:val="21"/>
                <w:szCs w:val="21"/>
              </w:rPr>
              <w:t>SS</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7.967</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7.967</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ind w:firstLine="0" w:firstLineChars="0"/>
              <w:jc w:val="center"/>
              <w:rPr>
                <w:rFonts w:hint="default"/>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eastAsia"/>
                <w:sz w:val="21"/>
                <w:szCs w:val="21"/>
                <w:lang w:val="en-US" w:eastAsia="zh-CN"/>
              </w:rPr>
              <w:t>0.2194</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0.2194</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ind w:firstLine="0" w:firstLineChars="0"/>
              <w:jc w:val="center"/>
              <w:rPr>
                <w:rFonts w:hint="default"/>
                <w:sz w:val="21"/>
                <w:szCs w:val="21"/>
              </w:rPr>
            </w:pPr>
            <w:r>
              <w:rPr>
                <w:rFonts w:hint="default"/>
                <w:sz w:val="21"/>
                <w:szCs w:val="21"/>
              </w:rPr>
              <w:t>TN</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0.1514</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0.1514</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TP</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0.0161</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color w:val="auto"/>
                <w:sz w:val="21"/>
                <w:szCs w:val="21"/>
                <w:lang w:val="en-US" w:eastAsia="zh-CN"/>
              </w:rPr>
              <w:t>0.0161</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ind w:firstLine="0" w:firstLineChars="0"/>
              <w:jc w:val="center"/>
              <w:rPr>
                <w:rFonts w:ascii="Times New Roman" w:hAnsi="Times New Roman" w:eastAsia="宋体"/>
                <w:color w:val="auto"/>
                <w:sz w:val="21"/>
                <w:szCs w:val="21"/>
              </w:rPr>
            </w:pPr>
            <w:r>
              <w:rPr>
                <w:rFonts w:hint="default" w:ascii="Times New Roman" w:hAnsi="Times New Roman"/>
                <w:sz w:val="21"/>
                <w:szCs w:val="21"/>
              </w:rPr>
              <w:t>苯乙烯</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0.001</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color w:val="auto"/>
                <w:sz w:val="21"/>
                <w:szCs w:val="21"/>
                <w:lang w:val="en-US" w:eastAsia="zh-CN"/>
              </w:rPr>
              <w:t>0.001</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rFonts w:ascii="Times New Roman" w:hAnsi="Times New Roman" w:eastAsia="宋体"/>
                <w:color w:val="auto"/>
                <w:sz w:val="21"/>
                <w:szCs w:val="21"/>
              </w:rPr>
              <w:t>生活污水</w:t>
            </w:r>
            <w:r>
              <w:rPr>
                <w:sz w:val="21"/>
                <w:szCs w:val="21"/>
              </w:rPr>
              <w:t>（</w:t>
            </w:r>
            <w:r>
              <w:rPr>
                <w:rFonts w:hint="eastAsia"/>
                <w:sz w:val="21"/>
                <w:szCs w:val="21"/>
                <w:lang w:val="en-US" w:eastAsia="zh-CN"/>
              </w:rPr>
              <w:t>192</w:t>
            </w:r>
            <w:r>
              <w:rPr>
                <w:sz w:val="21"/>
                <w:szCs w:val="21"/>
              </w:rPr>
              <w:t>m</w:t>
            </w:r>
            <w:r>
              <w:rPr>
                <w:sz w:val="21"/>
                <w:szCs w:val="21"/>
                <w:vertAlign w:val="superscript"/>
              </w:rPr>
              <w:t>3</w:t>
            </w:r>
            <w:r>
              <w:rPr>
                <w:sz w:val="21"/>
                <w:szCs w:val="21"/>
              </w:rPr>
              <w:t>/a）</w:t>
            </w:r>
          </w:p>
        </w:tc>
        <w:tc>
          <w:tcPr>
            <w:tcW w:w="1702" w:type="pct"/>
            <w:gridSpan w:val="3"/>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0.0683</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0.0683</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0.0351</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0.0351</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0.0048</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0.0048</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SS</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0.0384</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0.0384</w:t>
            </w:r>
          </w:p>
        </w:tc>
        <w:tc>
          <w:tcPr>
            <w:tcW w:w="89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rFonts w:ascii="Times New Roman" w:hAnsi="Times New Roman" w:eastAsia="宋体"/>
                <w:color w:val="auto"/>
                <w:sz w:val="21"/>
                <w:szCs w:val="21"/>
              </w:rPr>
              <w:t>餐饮废水</w:t>
            </w:r>
            <w:r>
              <w:rPr>
                <w:sz w:val="21"/>
                <w:szCs w:val="21"/>
              </w:rPr>
              <w:t>（</w:t>
            </w:r>
            <w:r>
              <w:rPr>
                <w:rFonts w:hint="eastAsia"/>
                <w:sz w:val="21"/>
                <w:szCs w:val="21"/>
                <w:lang w:val="en-US" w:eastAsia="zh-CN"/>
              </w:rPr>
              <w:t>187.2</w:t>
            </w:r>
            <w:r>
              <w:rPr>
                <w:sz w:val="21"/>
                <w:szCs w:val="21"/>
              </w:rPr>
              <w:t>m</w:t>
            </w:r>
            <w:r>
              <w:rPr>
                <w:sz w:val="21"/>
                <w:szCs w:val="21"/>
                <w:vertAlign w:val="superscript"/>
              </w:rPr>
              <w:t>3</w:t>
            </w:r>
            <w:r>
              <w:rPr>
                <w:sz w:val="21"/>
                <w:szCs w:val="21"/>
              </w:rPr>
              <w:t>/a）</w:t>
            </w: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rFonts w:hint="default"/>
                <w:sz w:val="21"/>
                <w:szCs w:val="21"/>
              </w:rPr>
              <w:t>COD</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0.1498</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0.1498</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rFonts w:hint="default"/>
                <w:sz w:val="21"/>
                <w:szCs w:val="21"/>
              </w:rPr>
              <w:t>BOD</w:t>
            </w:r>
            <w:r>
              <w:rPr>
                <w:rFonts w:hint="default"/>
                <w:sz w:val="21"/>
                <w:szCs w:val="21"/>
                <w:vertAlign w:val="subscript"/>
              </w:rPr>
              <w:t>5</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0.0749</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0.0749</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rFonts w:hint="default"/>
                <w:sz w:val="21"/>
                <w:szCs w:val="21"/>
              </w:rPr>
              <w:t>SS</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0.0562</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0.0562</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0.0019</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0.0019</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rFonts w:hint="default"/>
                <w:sz w:val="21"/>
                <w:szCs w:val="21"/>
              </w:rPr>
              <w:t>TN</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0.0056</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0.0056</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ind w:firstLine="0" w:firstLineChars="0"/>
              <w:textAlignment w:val="auto"/>
              <w:rPr>
                <w:rFonts w:ascii="Times New Roman" w:hAnsi="Times New Roman" w:eastAsia="宋体"/>
                <w:color w:val="auto"/>
                <w:sz w:val="21"/>
                <w:szCs w:val="21"/>
              </w:rPr>
            </w:pPr>
            <w:r>
              <w:rPr>
                <w:sz w:val="21"/>
                <w:szCs w:val="21"/>
              </w:rPr>
              <w:t>动植物油</w:t>
            </w:r>
          </w:p>
        </w:tc>
        <w:tc>
          <w:tcPr>
            <w:tcW w:w="76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0.0187</w:t>
            </w:r>
          </w:p>
        </w:tc>
        <w:tc>
          <w:tcPr>
            <w:tcW w:w="879"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0.0187</w:t>
            </w:r>
          </w:p>
        </w:tc>
        <w:tc>
          <w:tcPr>
            <w:tcW w:w="8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噪声</w:t>
            </w:r>
          </w:p>
        </w:tc>
        <w:tc>
          <w:tcPr>
            <w:tcW w:w="1702" w:type="pct"/>
            <w:gridSpan w:val="3"/>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eastAsia="zh-CN"/>
              </w:rPr>
            </w:pPr>
            <w:r>
              <w:rPr>
                <w:rFonts w:hint="eastAsia"/>
                <w:sz w:val="21"/>
                <w:szCs w:val="21"/>
                <w:lang w:eastAsia="zh-CN"/>
              </w:rPr>
              <w:t>造粒机</w:t>
            </w:r>
            <w:r>
              <w:rPr>
                <w:sz w:val="21"/>
                <w:szCs w:val="21"/>
              </w:rPr>
              <w:t>、</w:t>
            </w:r>
            <w:r>
              <w:rPr>
                <w:rFonts w:hint="eastAsia"/>
                <w:sz w:val="21"/>
                <w:szCs w:val="21"/>
                <w:lang w:eastAsia="zh-CN"/>
              </w:rPr>
              <w:t>注塑机</w:t>
            </w:r>
            <w:r>
              <w:rPr>
                <w:sz w:val="21"/>
                <w:szCs w:val="21"/>
              </w:rPr>
              <w:t>、</w:t>
            </w:r>
            <w:r>
              <w:rPr>
                <w:rFonts w:hint="eastAsia"/>
                <w:sz w:val="21"/>
                <w:szCs w:val="21"/>
                <w:lang w:eastAsia="zh-CN"/>
              </w:rPr>
              <w:t>粉碎机</w:t>
            </w:r>
          </w:p>
        </w:tc>
        <w:tc>
          <w:tcPr>
            <w:tcW w:w="76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rFonts w:hint="eastAsia"/>
                <w:sz w:val="21"/>
                <w:szCs w:val="21"/>
                <w:lang w:val="en-US" w:eastAsia="zh-CN"/>
              </w:rPr>
              <w:t>80</w:t>
            </w:r>
            <w:r>
              <w:rPr>
                <w:sz w:val="21"/>
                <w:szCs w:val="21"/>
              </w:rPr>
              <w:t>-90dB(A)</w:t>
            </w:r>
          </w:p>
        </w:tc>
        <w:tc>
          <w:tcPr>
            <w:tcW w:w="879"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60-7</w:t>
            </w:r>
            <w:r>
              <w:rPr>
                <w:rFonts w:hint="eastAsia"/>
                <w:sz w:val="21"/>
                <w:szCs w:val="21"/>
                <w:lang w:val="en-US" w:eastAsia="zh-CN"/>
              </w:rPr>
              <w:t>0</w:t>
            </w:r>
            <w:r>
              <w:rPr>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restart"/>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eastAsia="zh-CN"/>
              </w:rPr>
            </w:pPr>
            <w:r>
              <w:rPr>
                <w:rFonts w:hint="eastAsia"/>
                <w:sz w:val="21"/>
                <w:szCs w:val="21"/>
                <w:lang w:eastAsia="zh-CN"/>
              </w:rPr>
              <w:t>固废</w:t>
            </w: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rPr>
            </w:pPr>
            <w:r>
              <w:rPr>
                <w:rFonts w:ascii="Times New Roman" w:hAnsi="Times New Roman"/>
                <w:color w:val="auto"/>
                <w:kern w:val="0"/>
                <w:sz w:val="21"/>
                <w:szCs w:val="21"/>
              </w:rPr>
              <w:t>分拣固废</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rPr>
            </w:pPr>
            <w:r>
              <w:rPr>
                <w:rFonts w:hint="eastAsia"/>
                <w:color w:val="auto"/>
                <w:kern w:val="0"/>
                <w:sz w:val="21"/>
                <w:szCs w:val="21"/>
                <w:u w:val="single"/>
                <w:lang w:val="en-US" w:eastAsia="zh-CN"/>
              </w:rPr>
              <w:t>283.5</w:t>
            </w:r>
            <w:r>
              <w:rPr>
                <w:rFonts w:hint="default" w:ascii="Times New Roman" w:hAnsi="Times New Roman"/>
                <w:color w:val="auto"/>
                <w:kern w:val="0"/>
                <w:sz w:val="21"/>
                <w:szCs w:val="21"/>
                <w:u w:val="single"/>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rPr>
            </w:pPr>
            <w:r>
              <w:rPr>
                <w:rFonts w:hint="eastAsia"/>
                <w:color w:val="auto"/>
                <w:kern w:val="0"/>
                <w:sz w:val="21"/>
                <w:szCs w:val="21"/>
                <w:u w:val="single"/>
                <w:lang w:val="en-US" w:eastAsia="zh-CN"/>
              </w:rPr>
              <w:t>283.5</w:t>
            </w:r>
            <w:r>
              <w:rPr>
                <w:rFonts w:hint="default" w:ascii="Times New Roman" w:hAnsi="Times New Roman"/>
                <w:color w:val="auto"/>
                <w:kern w:val="0"/>
                <w:sz w:val="21"/>
                <w:szCs w:val="21"/>
                <w:u w:val="single"/>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u w:val="single"/>
              </w:rPr>
            </w:pPr>
            <w:r>
              <w:rPr>
                <w:sz w:val="21"/>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ascii="Times New Roman" w:hAnsi="Times New Roman"/>
                <w:color w:val="auto"/>
                <w:kern w:val="0"/>
                <w:sz w:val="21"/>
                <w:szCs w:val="21"/>
                <w:lang w:eastAsia="zh-CN"/>
              </w:rPr>
              <w:t>废包装</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5</w:t>
            </w:r>
            <w:r>
              <w:rPr>
                <w:rFonts w:hint="default" w:ascii="Times New Roman" w:hAnsi="Times New Roman"/>
                <w:color w:val="auto"/>
                <w:kern w:val="0"/>
                <w:sz w:val="21"/>
                <w:szCs w:val="21"/>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5</w:t>
            </w:r>
            <w:r>
              <w:rPr>
                <w:rFonts w:hint="default" w:ascii="Times New Roman" w:hAnsi="Times New Roman"/>
                <w:color w:val="auto"/>
                <w:kern w:val="0"/>
                <w:sz w:val="21"/>
                <w:szCs w:val="21"/>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rPr>
            </w:pPr>
            <w:r>
              <w:rPr>
                <w:rFonts w:ascii="Times New Roman" w:hAnsi="Times New Roman"/>
                <w:color w:val="auto"/>
                <w:kern w:val="0"/>
                <w:sz w:val="21"/>
                <w:szCs w:val="21"/>
              </w:rPr>
              <w:t>清洗</w:t>
            </w:r>
            <w:r>
              <w:rPr>
                <w:rFonts w:hint="eastAsia" w:ascii="Times New Roman" w:hAnsi="Times New Roman"/>
                <w:color w:val="auto"/>
                <w:kern w:val="0"/>
                <w:sz w:val="21"/>
                <w:szCs w:val="21"/>
                <w:lang w:eastAsia="zh-CN"/>
              </w:rPr>
              <w:t>污泥</w:t>
            </w:r>
            <w:r>
              <w:rPr>
                <w:rFonts w:ascii="Times New Roman" w:hAnsi="Times New Roman"/>
                <w:color w:val="auto"/>
                <w:kern w:val="0"/>
                <w:sz w:val="21"/>
                <w:szCs w:val="21"/>
              </w:rPr>
              <w:t>废渣</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rPr>
            </w:pPr>
            <w:r>
              <w:rPr>
                <w:rFonts w:hint="eastAsia"/>
                <w:color w:val="auto"/>
                <w:kern w:val="0"/>
                <w:sz w:val="21"/>
                <w:szCs w:val="21"/>
                <w:u w:val="single"/>
                <w:lang w:val="en-US" w:eastAsia="zh-CN"/>
              </w:rPr>
              <w:t>15.75</w:t>
            </w:r>
            <w:r>
              <w:rPr>
                <w:rFonts w:hint="default" w:ascii="Times New Roman" w:hAnsi="Times New Roman"/>
                <w:color w:val="auto"/>
                <w:kern w:val="0"/>
                <w:sz w:val="21"/>
                <w:szCs w:val="21"/>
                <w:u w:val="single"/>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u w:val="single"/>
              </w:rPr>
            </w:pPr>
            <w:r>
              <w:rPr>
                <w:rFonts w:hint="eastAsia"/>
                <w:color w:val="auto"/>
                <w:kern w:val="0"/>
                <w:sz w:val="21"/>
                <w:szCs w:val="21"/>
                <w:u w:val="single"/>
                <w:lang w:val="en-US" w:eastAsia="zh-CN"/>
              </w:rPr>
              <w:t>15.75</w:t>
            </w:r>
            <w:r>
              <w:rPr>
                <w:rFonts w:hint="default" w:ascii="Times New Roman" w:hAnsi="Times New Roman"/>
                <w:color w:val="auto"/>
                <w:kern w:val="0"/>
                <w:sz w:val="21"/>
                <w:szCs w:val="21"/>
                <w:u w:val="single"/>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u w:val="single"/>
              </w:rPr>
            </w:pPr>
            <w:r>
              <w:rPr>
                <w:sz w:val="21"/>
                <w:szCs w:val="21"/>
                <w:u w:val="singl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ascii="Times New Roman" w:hAnsi="Times New Roman"/>
                <w:color w:val="auto"/>
                <w:kern w:val="0"/>
                <w:sz w:val="21"/>
                <w:szCs w:val="21"/>
                <w:lang w:eastAsia="zh-CN"/>
              </w:rPr>
              <w:t>除尘器卸灰</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2.374</w:t>
            </w:r>
            <w:r>
              <w:rPr>
                <w:rFonts w:hint="default" w:ascii="Times New Roman" w:hAnsi="Times New Roman"/>
                <w:color w:val="auto"/>
                <w:kern w:val="0"/>
                <w:sz w:val="21"/>
                <w:szCs w:val="21"/>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2.374</w:t>
            </w:r>
            <w:r>
              <w:rPr>
                <w:rFonts w:hint="default" w:ascii="Times New Roman" w:hAnsi="Times New Roman"/>
                <w:color w:val="auto"/>
                <w:kern w:val="0"/>
                <w:sz w:val="21"/>
                <w:szCs w:val="21"/>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废滤网</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color w:val="auto"/>
                <w:kern w:val="0"/>
                <w:sz w:val="21"/>
                <w:szCs w:val="21"/>
                <w:lang w:val="en-US" w:eastAsia="zh-CN"/>
              </w:rPr>
              <w:t>0.9t</w:t>
            </w:r>
            <w:r>
              <w:rPr>
                <w:rFonts w:ascii="Times New Roman" w:hAnsi="Times New Roman"/>
                <w:color w:val="auto"/>
                <w:kern w:val="0"/>
                <w:sz w:val="21"/>
                <w:szCs w:val="21"/>
              </w:rPr>
              <w: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color w:val="auto"/>
                <w:kern w:val="0"/>
                <w:sz w:val="21"/>
                <w:szCs w:val="21"/>
                <w:lang w:val="en-US" w:eastAsia="zh-CN"/>
              </w:rPr>
              <w:t>0.9t</w:t>
            </w:r>
            <w:r>
              <w:rPr>
                <w:rFonts w:ascii="Times New Roman" w:hAnsi="Times New Roman"/>
                <w:color w:val="auto"/>
                <w:kern w:val="0"/>
                <w:sz w:val="21"/>
                <w:szCs w:val="21"/>
              </w:rPr>
              <w: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ascii="Times New Roman" w:hAnsi="Times New Roman"/>
                <w:color w:val="auto"/>
                <w:kern w:val="0"/>
                <w:sz w:val="21"/>
                <w:szCs w:val="21"/>
              </w:rPr>
              <w:t>生活垃圾</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3.0</w:t>
            </w:r>
            <w:r>
              <w:rPr>
                <w:rFonts w:hint="default" w:ascii="Times New Roman" w:hAnsi="Times New Roman"/>
                <w:color w:val="auto"/>
                <w:kern w:val="0"/>
                <w:sz w:val="21"/>
                <w:szCs w:val="21"/>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lang w:val="en-US" w:eastAsia="zh-CN"/>
              </w:rPr>
              <w:t>3.0</w:t>
            </w:r>
            <w:r>
              <w:rPr>
                <w:rFonts w:hint="default" w:ascii="Times New Roman" w:hAnsi="Times New Roman"/>
                <w:color w:val="auto"/>
                <w:kern w:val="0"/>
                <w:sz w:val="21"/>
                <w:szCs w:val="21"/>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eastAsia"/>
                <w:color w:val="auto"/>
                <w:kern w:val="0"/>
                <w:sz w:val="21"/>
                <w:szCs w:val="21"/>
                <w:u w:val="single"/>
                <w:lang w:eastAsia="zh-CN"/>
              </w:rPr>
              <w:t>废催化剂</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u w:val="single"/>
                <w:lang w:val="en-US" w:eastAsia="zh-CN"/>
              </w:rPr>
              <w:t>5</w:t>
            </w:r>
            <w:r>
              <w:rPr>
                <w:rFonts w:hint="default" w:ascii="Times New Roman" w:hAnsi="Times New Roman"/>
                <w:color w:val="auto"/>
                <w:kern w:val="0"/>
                <w:sz w:val="21"/>
                <w:szCs w:val="21"/>
                <w:u w:val="single"/>
                <w:lang w:val="en-US" w:eastAsia="zh-CN"/>
              </w:rPr>
              <w:t>t/</w:t>
            </w:r>
            <w:r>
              <w:rPr>
                <w:rFonts w:hint="eastAsia" w:ascii="Times New Roman" w:hAnsi="Times New Roman"/>
                <w:color w:val="auto"/>
                <w:kern w:val="0"/>
                <w:sz w:val="21"/>
                <w:szCs w:val="21"/>
                <w:u w:val="single"/>
                <w:lang w:val="en-US" w:eastAsia="zh-CN"/>
              </w:rPr>
              <w:t>（4~5）</w:t>
            </w:r>
            <w:r>
              <w:rPr>
                <w:rFonts w:hint="default" w:ascii="Times New Roman" w:hAnsi="Times New Roman"/>
                <w:color w:val="auto"/>
                <w:kern w:val="0"/>
                <w:sz w:val="21"/>
                <w:szCs w:val="21"/>
                <w:u w:val="single"/>
                <w:lang w:val="en-US" w:eastAsia="zh-CN"/>
              </w:rPr>
              <w: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eastAsia" w:ascii="Times New Roman" w:hAnsi="Times New Roman"/>
                <w:color w:val="auto"/>
                <w:kern w:val="0"/>
                <w:sz w:val="21"/>
                <w:szCs w:val="21"/>
                <w:u w:val="single"/>
                <w:lang w:val="en-US" w:eastAsia="zh-CN"/>
              </w:rPr>
              <w:t>5</w:t>
            </w:r>
            <w:r>
              <w:rPr>
                <w:rFonts w:hint="default" w:ascii="Times New Roman" w:hAnsi="Times New Roman"/>
                <w:color w:val="auto"/>
                <w:kern w:val="0"/>
                <w:sz w:val="21"/>
                <w:szCs w:val="21"/>
                <w:u w:val="single"/>
                <w:lang w:val="en-US" w:eastAsia="zh-CN"/>
              </w:rPr>
              <w:t>t/</w:t>
            </w:r>
            <w:r>
              <w:rPr>
                <w:rFonts w:hint="eastAsia" w:ascii="Times New Roman" w:hAnsi="Times New Roman"/>
                <w:color w:val="auto"/>
                <w:kern w:val="0"/>
                <w:sz w:val="21"/>
                <w:szCs w:val="21"/>
                <w:u w:val="single"/>
                <w:lang w:val="en-US" w:eastAsia="zh-CN"/>
              </w:rPr>
              <w:t>（4~5）</w:t>
            </w:r>
            <w:r>
              <w:rPr>
                <w:rFonts w:hint="default" w:ascii="Times New Roman" w:hAnsi="Times New Roman"/>
                <w:color w:val="auto"/>
                <w:kern w:val="0"/>
                <w:sz w:val="21"/>
                <w:szCs w:val="21"/>
                <w:u w:val="single"/>
                <w:lang w:val="en-US" w:eastAsia="zh-CN"/>
              </w:rPr>
              <w: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rPr>
            </w:pPr>
            <w:r>
              <w:rPr>
                <w:rFonts w:hint="default" w:ascii="Times New Roman" w:hAnsi="Times New Roman"/>
                <w:color w:val="auto"/>
                <w:kern w:val="0"/>
                <w:sz w:val="21"/>
                <w:szCs w:val="21"/>
                <w:lang w:val="en-US" w:eastAsia="zh-CN"/>
              </w:rPr>
              <w:t>废</w:t>
            </w:r>
            <w:r>
              <w:rPr>
                <w:rFonts w:hint="eastAsia" w:ascii="Times New Roman" w:hAnsi="Times New Roman"/>
                <w:color w:val="auto"/>
                <w:kern w:val="0"/>
                <w:sz w:val="21"/>
                <w:szCs w:val="21"/>
                <w:lang w:val="en-US" w:eastAsia="zh-CN"/>
              </w:rPr>
              <w:t>机油</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default" w:ascii="Times New Roman" w:hAnsi="Times New Roman"/>
                <w:color w:val="auto"/>
                <w:kern w:val="0"/>
                <w:sz w:val="21"/>
                <w:szCs w:val="21"/>
                <w:lang w:val="en-US" w:eastAsia="zh-CN"/>
              </w:rPr>
              <w:t>0.</w:t>
            </w:r>
            <w:r>
              <w:rPr>
                <w:rFonts w:hint="eastAsia" w:ascii="Times New Roman" w:hAnsi="Times New Roman"/>
                <w:color w:val="auto"/>
                <w:kern w:val="0"/>
                <w:sz w:val="21"/>
                <w:szCs w:val="21"/>
                <w:lang w:val="en-US" w:eastAsia="zh-CN"/>
              </w:rPr>
              <w:t>01</w:t>
            </w:r>
            <w:r>
              <w:rPr>
                <w:rFonts w:hint="default" w:ascii="Times New Roman" w:hAnsi="Times New Roman"/>
                <w:color w:val="auto"/>
                <w:kern w:val="0"/>
                <w:sz w:val="21"/>
                <w:szCs w:val="21"/>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rPr>
            </w:pPr>
            <w:r>
              <w:rPr>
                <w:rFonts w:hint="default" w:ascii="Times New Roman" w:hAnsi="Times New Roman"/>
                <w:color w:val="auto"/>
                <w:kern w:val="0"/>
                <w:sz w:val="21"/>
                <w:szCs w:val="21"/>
                <w:lang w:val="en-US" w:eastAsia="zh-CN"/>
              </w:rPr>
              <w:t>0.</w:t>
            </w:r>
            <w:r>
              <w:rPr>
                <w:rFonts w:hint="eastAsia" w:ascii="Times New Roman" w:hAnsi="Times New Roman"/>
                <w:color w:val="auto"/>
                <w:kern w:val="0"/>
                <w:sz w:val="21"/>
                <w:szCs w:val="21"/>
                <w:lang w:val="en-US" w:eastAsia="zh-CN"/>
              </w:rPr>
              <w:t>01</w:t>
            </w:r>
            <w:r>
              <w:rPr>
                <w:rFonts w:hint="default" w:ascii="Times New Roman" w:hAnsi="Times New Roman"/>
                <w:color w:val="auto"/>
                <w:kern w:val="0"/>
                <w:sz w:val="21"/>
                <w:szCs w:val="21"/>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u w:val="single"/>
                <w:lang w:eastAsia="zh-CN"/>
              </w:rPr>
              <w:t>废活性炭</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u w:val="single"/>
                <w:lang w:val="en-US" w:eastAsia="zh-CN"/>
              </w:rPr>
              <w:t>3.06</w:t>
            </w:r>
            <w:r>
              <w:rPr>
                <w:rFonts w:hint="default" w:ascii="Times New Roman" w:hAnsi="Times New Roman"/>
                <w:color w:val="auto"/>
                <w:kern w:val="0"/>
                <w:sz w:val="21"/>
                <w:szCs w:val="21"/>
                <w:u w:val="single"/>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u w:val="single"/>
                <w:lang w:val="en-US" w:eastAsia="zh-CN"/>
              </w:rPr>
              <w:t>3.06</w:t>
            </w:r>
            <w:r>
              <w:rPr>
                <w:rFonts w:hint="default" w:ascii="Times New Roman" w:hAnsi="Times New Roman"/>
                <w:color w:val="auto"/>
                <w:kern w:val="0"/>
                <w:sz w:val="21"/>
                <w:szCs w:val="21"/>
                <w:u w:val="single"/>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56" w:type="pct"/>
            <w:vMerge w:val="continue"/>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rPr>
            </w:pPr>
          </w:p>
        </w:tc>
        <w:tc>
          <w:tcPr>
            <w:tcW w:w="1702"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u w:val="single"/>
                <w:lang w:eastAsia="zh-CN"/>
              </w:rPr>
            </w:pPr>
            <w:r>
              <w:rPr>
                <w:rFonts w:hint="default" w:ascii="Times New Roman" w:hAnsi="Times New Roman" w:cs="Times New Roman"/>
                <w:sz w:val="21"/>
                <w:szCs w:val="21"/>
                <w:u w:val="single"/>
                <w:lang w:val="en-US" w:eastAsia="zh-CN"/>
              </w:rPr>
              <w:t>喷淋塔漂浮物及沉渣</w:t>
            </w:r>
          </w:p>
        </w:tc>
        <w:tc>
          <w:tcPr>
            <w:tcW w:w="7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u w:val="single"/>
                <w:lang w:val="en-US" w:eastAsia="zh-CN"/>
              </w:rPr>
            </w:pPr>
            <w:r>
              <w:rPr>
                <w:rFonts w:hint="eastAsia"/>
                <w:color w:val="auto"/>
                <w:kern w:val="0"/>
                <w:sz w:val="21"/>
                <w:szCs w:val="21"/>
                <w:u w:val="single"/>
                <w:lang w:val="en-US" w:eastAsia="zh-CN"/>
              </w:rPr>
              <w:t>0.14</w:t>
            </w:r>
            <w:r>
              <w:rPr>
                <w:rFonts w:hint="default" w:ascii="Times New Roman" w:hAnsi="Times New Roman"/>
                <w:color w:val="auto"/>
                <w:kern w:val="0"/>
                <w:sz w:val="21"/>
                <w:szCs w:val="21"/>
                <w:u w:val="single"/>
                <w:lang w:val="en-US" w:eastAsia="zh-CN"/>
              </w:rPr>
              <w:t>t/a</w:t>
            </w:r>
          </w:p>
        </w:tc>
        <w:tc>
          <w:tcPr>
            <w:tcW w:w="87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u w:val="single"/>
                <w:lang w:val="en-US" w:eastAsia="zh-CN"/>
              </w:rPr>
            </w:pPr>
            <w:r>
              <w:rPr>
                <w:rFonts w:hint="eastAsia"/>
                <w:color w:val="auto"/>
                <w:kern w:val="0"/>
                <w:sz w:val="21"/>
                <w:szCs w:val="21"/>
                <w:u w:val="single"/>
                <w:lang w:val="en-US" w:eastAsia="zh-CN"/>
              </w:rPr>
              <w:t>0.14</w:t>
            </w:r>
            <w:r>
              <w:rPr>
                <w:rFonts w:hint="default" w:ascii="Times New Roman" w:hAnsi="Times New Roman"/>
                <w:color w:val="auto"/>
                <w:kern w:val="0"/>
                <w:sz w:val="21"/>
                <w:szCs w:val="21"/>
                <w:u w:val="single"/>
                <w:lang w:val="en-US" w:eastAsia="zh-CN"/>
              </w:rPr>
              <w:t>t/a</w:t>
            </w:r>
          </w:p>
        </w:tc>
        <w:tc>
          <w:tcPr>
            <w:tcW w:w="891" w:type="pct"/>
            <w:vAlign w:val="center"/>
          </w:tcPr>
          <w:p>
            <w:pPr>
              <w:pStyle w:val="30"/>
              <w:keepNext w:val="0"/>
              <w:keepLines w:val="0"/>
              <w:pageBreakBefore w:val="0"/>
              <w:kinsoku/>
              <w:wordWrap/>
              <w:overflowPunct/>
              <w:topLinePunct w:val="0"/>
              <w:autoSpaceDE/>
              <w:autoSpaceDN/>
              <w:bidi w:val="0"/>
              <w:adjustRightInd/>
              <w:snapToGrid/>
              <w:textAlignment w:val="auto"/>
              <w:rPr>
                <w:rFonts w:hint="default"/>
                <w:sz w:val="21"/>
                <w:szCs w:val="21"/>
                <w:lang w:val="en-US" w:eastAsia="zh-CN"/>
              </w:rPr>
            </w:pPr>
            <w:r>
              <w:rPr>
                <w:rFonts w:hint="eastAsia"/>
                <w:sz w:val="21"/>
                <w:szCs w:val="21"/>
                <w:lang w:val="en-US" w:eastAsia="zh-CN"/>
              </w:rPr>
              <w:t>0</w:t>
            </w:r>
          </w:p>
        </w:tc>
      </w:tr>
    </w:tbl>
    <w:p>
      <w:pPr>
        <w:pStyle w:val="19"/>
        <w:keepNext w:val="0"/>
        <w:keepLines w:val="0"/>
        <w:widowControl/>
        <w:suppressLineNumbers w:val="0"/>
        <w:spacing w:before="0" w:beforeAutospacing="0" w:after="0" w:afterAutospacing="0"/>
        <w:ind w:left="0" w:right="0" w:firstLine="0"/>
        <w:jc w:val="both"/>
      </w:pPr>
    </w:p>
    <w:p>
      <w:pPr>
        <w:pStyle w:val="19"/>
        <w:keepNext w:val="0"/>
        <w:keepLines w:val="0"/>
        <w:widowControl/>
        <w:suppressLineNumbers w:val="0"/>
        <w:spacing w:before="0" w:beforeAutospacing="0" w:after="0" w:afterAutospacing="0"/>
        <w:ind w:left="0" w:right="0" w:firstLine="0"/>
        <w:jc w:val="both"/>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bidi w:val="0"/>
      </w:pPr>
      <w:bookmarkStart w:id="100" w:name="_Toc30540"/>
      <w:bookmarkStart w:id="101" w:name="_Toc29413"/>
      <w:bookmarkStart w:id="102" w:name="_Toc15992"/>
      <w:r>
        <w:rPr>
          <w:lang w:val="en-US" w:eastAsia="zh-CN"/>
        </w:rPr>
        <w:t>第</w:t>
      </w:r>
      <w:r>
        <w:rPr>
          <w:rFonts w:hint="eastAsia"/>
          <w:lang w:val="en-US" w:eastAsia="zh-CN"/>
        </w:rPr>
        <w:t>五</w:t>
      </w:r>
      <w:r>
        <w:rPr>
          <w:lang w:val="en-US" w:eastAsia="zh-CN"/>
        </w:rPr>
        <w:t>章 环境现状调查与评价</w:t>
      </w:r>
      <w:bookmarkEnd w:id="100"/>
      <w:bookmarkEnd w:id="101"/>
      <w:bookmarkEnd w:id="102"/>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103" w:name="_Toc2540"/>
      <w:bookmarkStart w:id="104" w:name="_Toc14815"/>
      <w:bookmarkStart w:id="105" w:name="_Toc10721"/>
      <w:r>
        <w:rPr>
          <w:rFonts w:hint="eastAsia"/>
          <w:lang w:val="en-US" w:eastAsia="zh-CN"/>
        </w:rPr>
        <w:t>5</w:t>
      </w:r>
      <w:r>
        <w:rPr>
          <w:rFonts w:hint="default"/>
          <w:lang w:val="en-US" w:eastAsia="zh-CN"/>
        </w:rPr>
        <w:t xml:space="preserve">.1 </w:t>
      </w:r>
      <w:r>
        <w:rPr>
          <w:rFonts w:hint="eastAsia"/>
          <w:lang w:val="en-US" w:eastAsia="zh-CN"/>
        </w:rPr>
        <w:t>自然环境概况</w:t>
      </w:r>
      <w:bookmarkEnd w:id="103"/>
      <w:bookmarkEnd w:id="104"/>
      <w:bookmarkEnd w:id="105"/>
    </w:p>
    <w:p>
      <w:pPr>
        <w:pStyle w:val="4"/>
        <w:bidi w:val="0"/>
      </w:pPr>
      <w:r>
        <w:rPr>
          <w:rFonts w:hint="eastAsia"/>
          <w:lang w:val="en-US" w:eastAsia="zh-CN"/>
        </w:rPr>
        <w:t>5</w:t>
      </w:r>
      <w:r>
        <w:rPr>
          <w:rFonts w:hint="default"/>
          <w:lang w:val="en-US" w:eastAsia="zh-CN"/>
        </w:rPr>
        <w:t xml:space="preserve">.1.1 </w:t>
      </w:r>
      <w:r>
        <w:rPr>
          <w:lang w:val="en-US" w:eastAsia="zh-CN"/>
        </w:rPr>
        <w:t>地理位置</w:t>
      </w:r>
    </w:p>
    <w:p>
      <w:pPr>
        <w:bidi w:val="0"/>
      </w:pPr>
      <w:r>
        <w:rPr>
          <w:rFonts w:hint="eastAsia"/>
          <w:lang w:val="en-US" w:eastAsia="zh-CN"/>
        </w:rPr>
        <w:t>叶县位于河南省中部偏西南，地处黄淮平原与伏牛山余脉结合部，隶属平顶山市，总面积</w:t>
      </w:r>
      <w:r>
        <w:rPr>
          <w:rFonts w:hint="default"/>
          <w:lang w:val="en-US" w:eastAsia="zh-CN"/>
        </w:rPr>
        <w:t>1387</w:t>
      </w:r>
      <w:r>
        <w:rPr>
          <w:rFonts w:hint="eastAsia"/>
          <w:lang w:val="en-US" w:eastAsia="zh-CN"/>
        </w:rPr>
        <w:t>平方公里。叶县东邻舞阳县和舞钢市，西接鲁山县，南与方城县接壤，北靠平顶山市区和襄城县，距平顶山市中心</w:t>
      </w:r>
      <w:r>
        <w:rPr>
          <w:rFonts w:hint="default"/>
          <w:lang w:val="en-US" w:eastAsia="zh-CN"/>
        </w:rPr>
        <w:t>22</w:t>
      </w:r>
      <w:r>
        <w:rPr>
          <w:rFonts w:hint="eastAsia"/>
          <w:lang w:val="en-US" w:eastAsia="zh-CN"/>
        </w:rPr>
        <w:t>公里，距郑州市</w:t>
      </w:r>
      <w:r>
        <w:rPr>
          <w:rFonts w:hint="default"/>
          <w:lang w:val="en-US" w:eastAsia="zh-CN"/>
        </w:rPr>
        <w:t>145</w:t>
      </w:r>
      <w:r>
        <w:rPr>
          <w:rFonts w:hint="eastAsia"/>
          <w:lang w:val="en-US" w:eastAsia="zh-CN"/>
        </w:rPr>
        <w:t>公里，距洛阳市</w:t>
      </w:r>
      <w:r>
        <w:rPr>
          <w:rFonts w:hint="default"/>
          <w:lang w:val="en-US" w:eastAsia="zh-CN"/>
        </w:rPr>
        <w:t>150</w:t>
      </w:r>
      <w:r>
        <w:rPr>
          <w:rFonts w:hint="eastAsia"/>
          <w:lang w:val="en-US" w:eastAsia="zh-CN"/>
        </w:rPr>
        <w:t>公里，距南阳市</w:t>
      </w:r>
      <w:r>
        <w:rPr>
          <w:rFonts w:hint="default"/>
          <w:lang w:val="en-US" w:eastAsia="zh-CN"/>
        </w:rPr>
        <w:t>110</w:t>
      </w:r>
      <w:r>
        <w:rPr>
          <w:rFonts w:hint="eastAsia"/>
          <w:lang w:val="en-US" w:eastAsia="zh-CN"/>
        </w:rPr>
        <w:t>公里，距漯河市</w:t>
      </w:r>
      <w:r>
        <w:rPr>
          <w:rFonts w:hint="default"/>
          <w:lang w:val="en-US" w:eastAsia="zh-CN"/>
        </w:rPr>
        <w:t>65</w:t>
      </w:r>
      <w:r>
        <w:rPr>
          <w:rFonts w:hint="eastAsia"/>
          <w:lang w:val="en-US" w:eastAsia="zh-CN"/>
        </w:rPr>
        <w:t>公里。</w:t>
      </w:r>
    </w:p>
    <w:p>
      <w:pPr>
        <w:bidi w:val="0"/>
        <w:rPr>
          <w:rFonts w:hint="eastAsia"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本项目位于平顶山市叶县廉</w:t>
      </w:r>
      <w:r>
        <w:rPr>
          <w:rFonts w:hint="eastAsia"/>
          <w:color w:val="000000" w:themeColor="text1"/>
          <w:lang w:val="en-US" w:eastAsia="zh-CN"/>
          <w14:textFill>
            <w14:solidFill>
              <w14:schemeClr w14:val="tx1"/>
            </w14:solidFill>
          </w14:textFill>
        </w:rPr>
        <w:t>村镇二郎庙村村北200米路东，西北距叶县城区8.4</w:t>
      </w:r>
      <w:r>
        <w:rPr>
          <w:rFonts w:hint="default"/>
          <w:color w:val="000000" w:themeColor="text1"/>
          <w:lang w:val="en-US" w:eastAsia="zh-CN"/>
          <w14:textFill>
            <w14:solidFill>
              <w14:schemeClr w14:val="tx1"/>
            </w14:solidFill>
          </w14:textFill>
        </w:rPr>
        <w:t>km</w:t>
      </w:r>
      <w:r>
        <w:rPr>
          <w:rFonts w:hint="eastAsia"/>
          <w:color w:val="000000" w:themeColor="text1"/>
          <w:lang w:val="en-US" w:eastAsia="zh-CN"/>
          <w14:textFill>
            <w14:solidFill>
              <w14:schemeClr w14:val="tx1"/>
            </w14:solidFill>
          </w14:textFill>
        </w:rPr>
        <w:t>，西北距平顶山市区16.3</w:t>
      </w:r>
      <w:r>
        <w:rPr>
          <w:rFonts w:hint="default"/>
          <w:color w:val="000000" w:themeColor="text1"/>
          <w:lang w:val="en-US" w:eastAsia="zh-CN"/>
          <w14:textFill>
            <w14:solidFill>
              <w14:schemeClr w14:val="tx1"/>
            </w14:solidFill>
          </w14:textFill>
        </w:rPr>
        <w:t>km</w:t>
      </w:r>
      <w:r>
        <w:rPr>
          <w:rFonts w:hint="eastAsia"/>
          <w:color w:val="000000" w:themeColor="text1"/>
          <w:lang w:val="en-US" w:eastAsia="zh-CN"/>
          <w14:textFill>
            <w14:solidFill>
              <w14:schemeClr w14:val="tx1"/>
            </w14:solidFill>
          </w14:textFill>
        </w:rPr>
        <w:t>处。具体位置见附图一。</w:t>
      </w:r>
    </w:p>
    <w:p>
      <w:pPr>
        <w:bidi w:val="0"/>
        <w:rPr>
          <w:color w:val="000000" w:themeColor="text1"/>
          <w14:textFill>
            <w14:solidFill>
              <w14:schemeClr w14:val="tx1"/>
            </w14:solidFill>
          </w14:textFill>
        </w:rPr>
      </w:pPr>
      <w:r>
        <w:rPr>
          <w:rFonts w:hint="eastAsia"/>
          <w:lang w:val="en-US" w:eastAsia="zh-CN"/>
        </w:rPr>
        <w:t>其周围环</w:t>
      </w:r>
      <w:r>
        <w:rPr>
          <w:rFonts w:hint="eastAsia"/>
          <w:color w:val="000000" w:themeColor="text1"/>
          <w:lang w:val="en-US" w:eastAsia="zh-CN"/>
          <w14:textFill>
            <w14:solidFill>
              <w14:schemeClr w14:val="tx1"/>
            </w14:solidFill>
          </w14:textFill>
        </w:rPr>
        <w:t>境示意图见附图二。</w:t>
      </w:r>
    </w:p>
    <w:p>
      <w:pPr>
        <w:pStyle w:val="4"/>
        <w:bidi w:val="0"/>
      </w:pPr>
      <w:r>
        <w:rPr>
          <w:rFonts w:hint="eastAsia"/>
          <w:lang w:val="en-US" w:eastAsia="zh-CN"/>
        </w:rPr>
        <w:t>5.1</w:t>
      </w:r>
      <w:r>
        <w:rPr>
          <w:rFonts w:hint="default"/>
          <w:lang w:val="en-US" w:eastAsia="zh-CN"/>
        </w:rPr>
        <w:t xml:space="preserve">.2 </w:t>
      </w:r>
      <w:r>
        <w:rPr>
          <w:rFonts w:hint="eastAsia"/>
          <w:lang w:val="en-US" w:eastAsia="zh-CN"/>
        </w:rPr>
        <w:t>地形地貌</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地属外方山东麓浅山丘陵区，由西往东为山地向黄淮平原过渡的丘陵起伏地带，由北向南则是河川、岭岗相间；西、南、东三面环山，北面是临河的平原和岗丘，中部为丘陵、平原、洼地交错，县城及其附近属平原区，地势平坦开阔。其中山区占总面积的</w:t>
      </w:r>
      <w:r>
        <w:rPr>
          <w:rFonts w:hint="default" w:ascii="Times New Roman" w:hAnsi="Times New Roman" w:eastAsia="宋体" w:cs="Times New Roman"/>
          <w:color w:val="000000"/>
          <w:kern w:val="0"/>
          <w:sz w:val="24"/>
          <w:szCs w:val="24"/>
          <w:lang w:val="en-US" w:eastAsia="zh-CN" w:bidi="ar"/>
        </w:rPr>
        <w:t>19.4%</w:t>
      </w:r>
      <w:r>
        <w:rPr>
          <w:rFonts w:hint="eastAsia" w:ascii="宋体" w:hAnsi="宋体" w:eastAsia="宋体" w:cs="宋体"/>
          <w:color w:val="000000"/>
          <w:kern w:val="0"/>
          <w:sz w:val="24"/>
          <w:szCs w:val="24"/>
          <w:lang w:val="en-US" w:eastAsia="zh-CN" w:bidi="ar"/>
        </w:rPr>
        <w:t>，丘陵占</w:t>
      </w:r>
      <w:r>
        <w:rPr>
          <w:rFonts w:hint="default" w:ascii="Times New Roman" w:hAnsi="Times New Roman" w:eastAsia="宋体" w:cs="Times New Roman"/>
          <w:color w:val="000000"/>
          <w:kern w:val="0"/>
          <w:sz w:val="24"/>
          <w:szCs w:val="24"/>
          <w:lang w:val="en-US" w:eastAsia="zh-CN" w:bidi="ar"/>
        </w:rPr>
        <w:t>42.0%</w:t>
      </w:r>
      <w:r>
        <w:rPr>
          <w:rFonts w:hint="eastAsia" w:ascii="宋体" w:hAnsi="宋体" w:eastAsia="宋体" w:cs="宋体"/>
          <w:color w:val="000000"/>
          <w:kern w:val="0"/>
          <w:sz w:val="24"/>
          <w:szCs w:val="24"/>
          <w:lang w:val="en-US" w:eastAsia="zh-CN" w:bidi="ar"/>
        </w:rPr>
        <w:t>，平原占</w:t>
      </w:r>
      <w:r>
        <w:rPr>
          <w:rFonts w:hint="default" w:ascii="Times New Roman" w:hAnsi="Times New Roman" w:eastAsia="宋体" w:cs="Times New Roman"/>
          <w:color w:val="000000"/>
          <w:kern w:val="0"/>
          <w:sz w:val="24"/>
          <w:szCs w:val="24"/>
          <w:lang w:val="en-US" w:eastAsia="zh-CN" w:bidi="ar"/>
        </w:rPr>
        <w:t>38.6%</w:t>
      </w:r>
      <w:r>
        <w:rPr>
          <w:rFonts w:hint="eastAsia" w:ascii="宋体" w:hAnsi="宋体" w:eastAsia="宋体" w:cs="宋体"/>
          <w:color w:val="000000"/>
          <w:kern w:val="0"/>
          <w:sz w:val="24"/>
          <w:szCs w:val="24"/>
          <w:lang w:val="en-US" w:eastAsia="zh-CN" w:bidi="ar"/>
        </w:rPr>
        <w:t>。全县地势西北高东南低，境内有山峰</w:t>
      </w:r>
      <w:r>
        <w:rPr>
          <w:rFonts w:hint="default" w:ascii="Times New Roman" w:hAnsi="Times New Roman" w:eastAsia="宋体" w:cs="Times New Roman"/>
          <w:color w:val="000000"/>
          <w:kern w:val="0"/>
          <w:sz w:val="24"/>
          <w:szCs w:val="24"/>
          <w:lang w:val="en-US" w:eastAsia="zh-CN" w:bidi="ar"/>
        </w:rPr>
        <w:t>85</w:t>
      </w:r>
      <w:r>
        <w:rPr>
          <w:rFonts w:hint="eastAsia" w:ascii="宋体" w:hAnsi="宋体" w:eastAsia="宋体" w:cs="宋体"/>
          <w:color w:val="000000"/>
          <w:kern w:val="0"/>
          <w:sz w:val="24"/>
          <w:szCs w:val="24"/>
          <w:lang w:val="en-US" w:eastAsia="zh-CN" w:bidi="ar"/>
        </w:rPr>
        <w:t>个，平均海拔</w:t>
      </w:r>
      <w:r>
        <w:rPr>
          <w:rFonts w:hint="default" w:ascii="Times New Roman" w:hAnsi="Times New Roman" w:eastAsia="宋体" w:cs="Times New Roman"/>
          <w:color w:val="000000"/>
          <w:kern w:val="0"/>
          <w:sz w:val="24"/>
          <w:szCs w:val="24"/>
          <w:lang w:val="en-US" w:eastAsia="zh-CN" w:bidi="ar"/>
        </w:rPr>
        <w:t>167m</w:t>
      </w:r>
      <w:r>
        <w:rPr>
          <w:rFonts w:hint="eastAsia" w:ascii="宋体" w:hAnsi="宋体" w:eastAsia="宋体" w:cs="宋体"/>
          <w:color w:val="000000"/>
          <w:kern w:val="0"/>
          <w:sz w:val="24"/>
          <w:szCs w:val="24"/>
          <w:lang w:val="en-US" w:eastAsia="zh-CN" w:bidi="ar"/>
        </w:rPr>
        <w:t>，最高处为西部观音堂乡的无名山，海拔</w:t>
      </w:r>
      <w:r>
        <w:rPr>
          <w:rFonts w:hint="default" w:ascii="Times New Roman" w:hAnsi="Times New Roman" w:eastAsia="宋体" w:cs="Times New Roman"/>
          <w:color w:val="000000"/>
          <w:kern w:val="0"/>
          <w:sz w:val="24"/>
          <w:szCs w:val="24"/>
          <w:lang w:val="en-US" w:eastAsia="zh-CN" w:bidi="ar"/>
        </w:rPr>
        <w:t>740m</w:t>
      </w:r>
      <w:r>
        <w:rPr>
          <w:rFonts w:hint="eastAsia" w:ascii="宋体" w:hAnsi="宋体" w:eastAsia="宋体" w:cs="宋体"/>
          <w:color w:val="000000"/>
          <w:kern w:val="0"/>
          <w:sz w:val="24"/>
          <w:szCs w:val="24"/>
          <w:lang w:val="en-US" w:eastAsia="zh-CN" w:bidi="ar"/>
        </w:rPr>
        <w:t>，东部最高山峰为擂鼓台，海拔</w:t>
      </w:r>
      <w:r>
        <w:rPr>
          <w:rFonts w:hint="default" w:ascii="Times New Roman" w:hAnsi="Times New Roman" w:eastAsia="宋体" w:cs="Times New Roman"/>
          <w:color w:val="000000"/>
          <w:kern w:val="0"/>
          <w:sz w:val="24"/>
          <w:szCs w:val="24"/>
          <w:lang w:val="en-US" w:eastAsia="zh-CN" w:bidi="ar"/>
        </w:rPr>
        <w:t>505m</w:t>
      </w:r>
      <w:r>
        <w:rPr>
          <w:rFonts w:hint="eastAsia" w:ascii="宋体" w:hAnsi="宋体" w:eastAsia="宋体" w:cs="宋体"/>
          <w:color w:val="000000"/>
          <w:kern w:val="0"/>
          <w:sz w:val="24"/>
          <w:szCs w:val="24"/>
          <w:lang w:val="en-US" w:eastAsia="zh-CN" w:bidi="ar"/>
        </w:rPr>
        <w:t>，最低处为东部闹店乡洪寺营村，海拔</w:t>
      </w:r>
      <w:r>
        <w:rPr>
          <w:rFonts w:hint="default" w:ascii="Times New Roman" w:hAnsi="Times New Roman" w:eastAsia="宋体" w:cs="Times New Roman"/>
          <w:color w:val="000000"/>
          <w:kern w:val="0"/>
          <w:sz w:val="24"/>
          <w:szCs w:val="24"/>
          <w:lang w:val="en-US" w:eastAsia="zh-CN" w:bidi="ar"/>
        </w:rPr>
        <w:t>98m</w:t>
      </w:r>
      <w:r>
        <w:rPr>
          <w:rFonts w:hint="eastAsia" w:ascii="宋体" w:hAnsi="宋体" w:eastAsia="宋体" w:cs="宋体"/>
          <w:color w:val="000000"/>
          <w:kern w:val="0"/>
          <w:sz w:val="24"/>
          <w:szCs w:val="24"/>
          <w:lang w:val="en-US" w:eastAsia="zh-CN" w:bidi="ar"/>
        </w:rPr>
        <w:t>，一般地面坡降为</w:t>
      </w:r>
      <w:r>
        <w:rPr>
          <w:rFonts w:hint="default" w:ascii="Times New Roman" w:hAnsi="Times New Roman" w:eastAsia="宋体" w:cs="Times New Roman"/>
          <w:color w:val="000000"/>
          <w:kern w:val="0"/>
          <w:sz w:val="24"/>
          <w:szCs w:val="24"/>
          <w:lang w:val="en-US" w:eastAsia="zh-CN" w:bidi="ar"/>
        </w:rPr>
        <w:t>1/400</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本项目场地较平坦，利于项目建设。</w:t>
      </w:r>
    </w:p>
    <w:p>
      <w:pPr>
        <w:pStyle w:val="4"/>
        <w:bidi w:val="0"/>
      </w:pPr>
      <w:r>
        <w:rPr>
          <w:rFonts w:hint="eastAsia"/>
          <w:lang w:val="en-US" w:eastAsia="zh-CN"/>
        </w:rPr>
        <w:t>5</w:t>
      </w:r>
      <w:r>
        <w:rPr>
          <w:rFonts w:hint="default"/>
          <w:lang w:val="en-US" w:eastAsia="zh-CN"/>
        </w:rPr>
        <w:t xml:space="preserve">.1.3 </w:t>
      </w:r>
      <w:r>
        <w:rPr>
          <w:lang w:val="en-US" w:eastAsia="zh-CN"/>
        </w:rPr>
        <w:t>气候气象</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属暖温带大陆性季风气候，四季分明，降雨量年际变率大，形成了以干旱为主的气候特点。夏季常处于太平洋副热带高压后部，多吹偏东北风，暖湿气流势力较强，容易产生阵性降水，为全年的主要降水季节；冬季常受西伯利亚冷空气团南下影响，多吹偏西风，气候寒冷，空气干燥，降水稀少。根据叶县气象站提供的近</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年气象资料统计，叶县主要气象气候参数列于表</w:t>
      </w:r>
      <w:r>
        <w:rPr>
          <w:rFonts w:hint="default" w:ascii="Times New Roman" w:hAnsi="Times New Roman" w:eastAsia="宋体" w:cs="Times New Roman"/>
          <w:color w:val="000000"/>
          <w:kern w:val="0"/>
          <w:sz w:val="24"/>
          <w:szCs w:val="24"/>
          <w:lang w:val="en-US" w:eastAsia="zh-CN" w:bidi="ar"/>
        </w:rPr>
        <w:t>5.1-1</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b/>
          <w:bCs/>
          <w:lang w:val="en-US" w:eastAsia="zh-CN"/>
        </w:rPr>
        <w:t>表</w:t>
      </w:r>
      <w:r>
        <w:rPr>
          <w:rFonts w:hint="default"/>
          <w:b/>
          <w:bCs/>
          <w:lang w:val="en-US" w:eastAsia="zh-CN"/>
        </w:rPr>
        <w:t xml:space="preserve">5.1-1 </w:t>
      </w:r>
      <w:r>
        <w:rPr>
          <w:rFonts w:hint="eastAsia"/>
          <w:b/>
          <w:bCs/>
          <w:lang w:val="en-US" w:eastAsia="zh-CN"/>
        </w:rPr>
        <w:t xml:space="preserve"> 区域气象气候参数一览表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类别</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参数</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单位</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气温</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年平均气温</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rPr>
            </w:pP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极端最高气温</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极端最低气温</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气压</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年平均气压</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hPa</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1008.7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降水量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年平均降水量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mm</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rPr>
            </w:pP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年最大降水量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mm</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1323.6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年最小降水量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mm</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蒸发量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年平均蒸发量</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mm</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湿度</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年相对湿度</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vertAlign w:val="baseline"/>
                <w:lang w:eastAsia="zh-CN"/>
              </w:rPr>
            </w:pPr>
            <w:r>
              <w:rPr>
                <w:rFonts w:hint="eastAsia"/>
                <w:sz w:val="21"/>
                <w:szCs w:val="21"/>
                <w:vertAlign w:val="baseline"/>
                <w:lang w:eastAsia="zh-CN"/>
              </w:rPr>
              <w:t>%</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日照</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年平均年日照时数</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h</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2145.9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风速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多年平均风速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m/s</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rPr>
            </w:pP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年最大风速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m/s</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风向</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年主导风向</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vertAlign w:val="baseline"/>
                <w:lang w:val="en-US" w:eastAsia="zh-CN"/>
              </w:rPr>
            </w:pPr>
            <w:r>
              <w:rPr>
                <w:rFonts w:hint="eastAsia"/>
                <w:sz w:val="21"/>
                <w:szCs w:val="21"/>
                <w:vertAlign w:val="baseline"/>
                <w:lang w:val="en-US" w:eastAsia="zh-CN"/>
              </w:rPr>
              <w:t>/</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无霜期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年平均无霜期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d</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冰冻期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eastAsia" w:ascii="Times New Roman" w:hAnsi="Times New Roman" w:eastAsia="宋体" w:cs="宋体"/>
                <w:color w:val="000000"/>
                <w:kern w:val="0"/>
                <w:sz w:val="21"/>
                <w:szCs w:val="21"/>
                <w:lang w:val="en-US" w:eastAsia="zh-CN" w:bidi="ar"/>
              </w:rPr>
              <w:t>年平均冰冻期</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d</w:t>
            </w:r>
          </w:p>
        </w:tc>
        <w:tc>
          <w:tcPr>
            <w:tcW w:w="125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sz w:val="21"/>
                <w:szCs w:val="21"/>
                <w:vertAlign w:val="baseline"/>
              </w:rPr>
            </w:pPr>
            <w:r>
              <w:rPr>
                <w:rFonts w:hint="default" w:ascii="Times New Roman" w:hAnsi="Times New Roman" w:eastAsia="宋体" w:cs="Times New Roman"/>
                <w:color w:val="000000"/>
                <w:kern w:val="0"/>
                <w:sz w:val="21"/>
                <w:szCs w:val="21"/>
                <w:lang w:val="en-US" w:eastAsia="zh-CN" w:bidi="ar"/>
              </w:rPr>
              <w:t>70</w:t>
            </w:r>
          </w:p>
        </w:tc>
      </w:tr>
    </w:tbl>
    <w:p>
      <w:pPr>
        <w:pStyle w:val="4"/>
        <w:bidi w:val="0"/>
      </w:pPr>
      <w:r>
        <w:rPr>
          <w:rFonts w:hint="eastAsia"/>
          <w:lang w:val="en-US" w:eastAsia="zh-CN"/>
        </w:rPr>
        <w:t>5</w:t>
      </w:r>
      <w:r>
        <w:rPr>
          <w:rFonts w:hint="default"/>
          <w:lang w:val="en-US" w:eastAsia="zh-CN"/>
        </w:rPr>
        <w:t xml:space="preserve">.1.4 </w:t>
      </w:r>
      <w:r>
        <w:rPr>
          <w:lang w:val="en-US" w:eastAsia="zh-CN"/>
        </w:rPr>
        <w:t>水文水系</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）地表水</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叶县境内河流均属于淮河流域，颍河水系，较大的河流有汝河、湛河、沙河、灰河、澧河、甘江河</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条河流。境内总流长</w:t>
      </w:r>
      <w:r>
        <w:rPr>
          <w:rFonts w:hint="default" w:ascii="Times New Roman" w:hAnsi="Times New Roman" w:eastAsia="宋体" w:cs="Times New Roman"/>
          <w:color w:val="000000"/>
          <w:kern w:val="0"/>
          <w:sz w:val="24"/>
          <w:szCs w:val="24"/>
          <w:lang w:val="en-US" w:eastAsia="zh-CN" w:bidi="ar"/>
        </w:rPr>
        <w:t>191km</w:t>
      </w:r>
      <w:r>
        <w:rPr>
          <w:rFonts w:hint="eastAsia" w:ascii="宋体" w:hAnsi="宋体" w:eastAsia="宋体" w:cs="宋体"/>
          <w:color w:val="000000"/>
          <w:kern w:val="0"/>
          <w:sz w:val="24"/>
          <w:szCs w:val="24"/>
          <w:lang w:val="en-US" w:eastAsia="zh-CN" w:bidi="ar"/>
        </w:rPr>
        <w:t>，流域面积</w:t>
      </w:r>
      <w:r>
        <w:rPr>
          <w:rFonts w:hint="default" w:ascii="Times New Roman" w:hAnsi="Times New Roman" w:eastAsia="宋体" w:cs="Times New Roman"/>
          <w:color w:val="000000"/>
          <w:kern w:val="0"/>
          <w:sz w:val="24"/>
          <w:szCs w:val="24"/>
          <w:lang w:val="en-US" w:eastAsia="zh-CN" w:bidi="ar"/>
        </w:rPr>
        <w:t>1203km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，全县径流量</w:t>
      </w:r>
      <w:r>
        <w:rPr>
          <w:rFonts w:hint="default" w:ascii="Times New Roman" w:hAnsi="Times New Roman" w:eastAsia="宋体" w:cs="Times New Roman"/>
          <w:color w:val="000000"/>
          <w:kern w:val="0"/>
          <w:sz w:val="24"/>
          <w:szCs w:val="24"/>
          <w:lang w:val="en-US" w:eastAsia="zh-CN" w:bidi="ar"/>
        </w:rPr>
        <w:t>4.92</w:t>
      </w:r>
      <w:r>
        <w:rPr>
          <w:rFonts w:hint="eastAsia" w:ascii="宋体" w:hAnsi="宋体" w:eastAsia="宋体" w:cs="宋体"/>
          <w:color w:val="000000"/>
          <w:kern w:val="0"/>
          <w:sz w:val="24"/>
          <w:szCs w:val="24"/>
          <w:lang w:val="en-US" w:eastAsia="zh-CN" w:bidi="ar"/>
        </w:rPr>
        <w:t>亿</w:t>
      </w:r>
      <w:r>
        <w:rPr>
          <w:rFonts w:hint="default" w:ascii="Times New Roman" w:hAnsi="Times New Roman" w:eastAsia="宋体" w:cs="Times New Roman"/>
          <w:color w:val="000000"/>
          <w:kern w:val="0"/>
          <w:sz w:val="24"/>
          <w:szCs w:val="24"/>
          <w:lang w:val="en-US" w:eastAsia="zh-CN" w:bidi="ar"/>
        </w:rPr>
        <w:t>m</w:t>
      </w:r>
      <w:r>
        <w:rPr>
          <w:rFonts w:hint="eastAsia"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沙河是流经叶县境内的一条大河，发源于河南省鲁山县木达岭，流经鲁山、宝丰、叶县、舞阳等县市，在周口注入颍河，最大流量</w:t>
      </w:r>
      <w:r>
        <w:rPr>
          <w:rFonts w:hint="default" w:ascii="Times New Roman" w:hAnsi="Times New Roman" w:eastAsia="宋体" w:cs="Times New Roman"/>
          <w:color w:val="000000"/>
          <w:kern w:val="0"/>
          <w:sz w:val="24"/>
          <w:szCs w:val="24"/>
          <w:lang w:val="en-US" w:eastAsia="zh-CN" w:bidi="ar"/>
        </w:rPr>
        <w:t>3000m</w:t>
      </w:r>
      <w:r>
        <w:rPr>
          <w:rFonts w:hint="eastAsia"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，干流长度</w:t>
      </w:r>
      <w:r>
        <w:rPr>
          <w:rFonts w:hint="default" w:ascii="Times New Roman" w:hAnsi="Times New Roman" w:eastAsia="宋体" w:cs="Times New Roman"/>
          <w:color w:val="000000"/>
          <w:kern w:val="0"/>
          <w:sz w:val="24"/>
          <w:szCs w:val="24"/>
          <w:lang w:val="en-US" w:eastAsia="zh-CN" w:bidi="ar"/>
        </w:rPr>
        <w:t>326km</w:t>
      </w:r>
      <w:r>
        <w:rPr>
          <w:rFonts w:hint="eastAsia" w:ascii="宋体" w:hAnsi="宋体" w:eastAsia="宋体" w:cs="宋体"/>
          <w:color w:val="000000"/>
          <w:kern w:val="0"/>
          <w:sz w:val="24"/>
          <w:szCs w:val="24"/>
          <w:lang w:val="en-US" w:eastAsia="zh-CN" w:bidi="ar"/>
        </w:rPr>
        <w:t>，汇流面积</w:t>
      </w:r>
      <w:r>
        <w:rPr>
          <w:rFonts w:hint="default" w:ascii="Times New Roman" w:hAnsi="Times New Roman" w:eastAsia="宋体" w:cs="Times New Roman"/>
          <w:color w:val="000000"/>
          <w:kern w:val="0"/>
          <w:sz w:val="24"/>
          <w:szCs w:val="24"/>
          <w:lang w:val="en-US" w:eastAsia="zh-CN" w:bidi="ar"/>
        </w:rPr>
        <w:t>12150km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，境内长约</w:t>
      </w:r>
      <w:r>
        <w:rPr>
          <w:rFonts w:hint="default" w:ascii="Times New Roman" w:hAnsi="Times New Roman" w:eastAsia="宋体" w:cs="Times New Roman"/>
          <w:color w:val="000000"/>
          <w:kern w:val="0"/>
          <w:sz w:val="24"/>
          <w:szCs w:val="24"/>
          <w:lang w:val="en-US" w:eastAsia="zh-CN" w:bidi="ar"/>
        </w:rPr>
        <w:t>55.6km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灰河距城区最近，是城区生活污水和工业废水的接纳河流，灰河在叶县境内分南北两条河，北为老灰河，南为新灰河。该河发源于鲁山县樱桃山，流经叶县、舞阳，干流长</w:t>
      </w:r>
      <w:r>
        <w:rPr>
          <w:rFonts w:hint="default" w:ascii="Times New Roman" w:hAnsi="Times New Roman" w:eastAsia="宋体" w:cs="Times New Roman"/>
          <w:color w:val="000000"/>
          <w:kern w:val="0"/>
          <w:sz w:val="24"/>
          <w:szCs w:val="24"/>
          <w:lang w:val="en-US" w:eastAsia="zh-CN" w:bidi="ar"/>
        </w:rPr>
        <w:t>81.9km</w:t>
      </w:r>
      <w:r>
        <w:rPr>
          <w:rFonts w:hint="eastAsia" w:ascii="宋体" w:hAnsi="宋体" w:eastAsia="宋体" w:cs="宋体"/>
          <w:color w:val="000000"/>
          <w:kern w:val="0"/>
          <w:sz w:val="24"/>
          <w:szCs w:val="24"/>
          <w:lang w:val="en-US" w:eastAsia="zh-CN" w:bidi="ar"/>
        </w:rPr>
        <w:t>，总流域面积</w:t>
      </w:r>
      <w:r>
        <w:rPr>
          <w:rFonts w:hint="default" w:ascii="Times New Roman" w:hAnsi="Times New Roman" w:eastAsia="宋体" w:cs="Times New Roman"/>
          <w:color w:val="000000"/>
          <w:kern w:val="0"/>
          <w:sz w:val="24"/>
          <w:szCs w:val="24"/>
          <w:lang w:val="en-US" w:eastAsia="zh-CN" w:bidi="ar"/>
        </w:rPr>
        <w:t>505km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，在叶县境内自西向东长约</w:t>
      </w:r>
      <w:r>
        <w:rPr>
          <w:rFonts w:hint="default" w:ascii="Times New Roman" w:hAnsi="Times New Roman" w:eastAsia="宋体" w:cs="Times New Roman"/>
          <w:color w:val="000000"/>
          <w:kern w:val="0"/>
          <w:sz w:val="24"/>
          <w:szCs w:val="24"/>
          <w:lang w:val="en-US" w:eastAsia="zh-CN" w:bidi="ar"/>
        </w:rPr>
        <w:t>42km</w:t>
      </w:r>
      <w:r>
        <w:rPr>
          <w:rFonts w:hint="eastAsia" w:ascii="宋体" w:hAnsi="宋体" w:eastAsia="宋体" w:cs="宋体"/>
          <w:color w:val="000000"/>
          <w:kern w:val="0"/>
          <w:sz w:val="24"/>
          <w:szCs w:val="24"/>
          <w:lang w:val="en-US" w:eastAsia="zh-CN" w:bidi="ar"/>
        </w:rPr>
        <w:t>，最终在漯河市舞阳北舞渡镇注入沙河。</w:t>
      </w:r>
    </w:p>
    <w:p>
      <w:pPr>
        <w:keepNext w:val="0"/>
        <w:keepLines w:val="0"/>
        <w:widowControl/>
        <w:suppressLineNumbers w:val="0"/>
        <w:jc w:val="both"/>
        <w:rPr>
          <w:rFonts w:hint="eastAsia" w:ascii="宋体" w:hAnsi="宋体" w:cs="宋体"/>
          <w:color w:val="000000" w:themeColor="text1"/>
          <w:kern w:val="0"/>
          <w:sz w:val="24"/>
          <w:szCs w:val="24"/>
          <w:u w:val="single"/>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bidi="ar"/>
          <w14:textFill>
            <w14:solidFill>
              <w14:schemeClr w14:val="tx1"/>
            </w14:solidFill>
          </w14:textFill>
        </w:rPr>
        <w:t>本项目</w:t>
      </w:r>
      <w:r>
        <w:rPr>
          <w:rFonts w:hint="eastAsia" w:ascii="宋体" w:hAnsi="宋体" w:cs="宋体"/>
          <w:color w:val="000000" w:themeColor="text1"/>
          <w:kern w:val="0"/>
          <w:sz w:val="24"/>
          <w:szCs w:val="24"/>
          <w:u w:val="single"/>
          <w:lang w:val="en-US" w:eastAsia="zh-CN" w:bidi="ar"/>
          <w14:textFill>
            <w14:solidFill>
              <w14:schemeClr w14:val="tx1"/>
            </w14:solidFill>
          </w14:textFill>
        </w:rPr>
        <w:t>生活污水化粪池处理后定期清掏肥田，生产废水经厂区污水处理站处理后回用于生产清洗，不外排。</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）地下水</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叶县地下水属第三、第四孔隙潜水和承压水，在</w:t>
      </w:r>
      <w:r>
        <w:rPr>
          <w:rFonts w:hint="default" w:ascii="Times New Roman" w:hAnsi="Times New Roman" w:eastAsia="宋体" w:cs="Times New Roman"/>
          <w:color w:val="000000"/>
          <w:kern w:val="0"/>
          <w:sz w:val="24"/>
          <w:szCs w:val="24"/>
          <w:lang w:val="en-US" w:eastAsia="zh-CN" w:bidi="ar"/>
        </w:rPr>
        <w:t>340m</w:t>
      </w:r>
      <w:r>
        <w:rPr>
          <w:rFonts w:hint="eastAsia" w:ascii="宋体" w:hAnsi="宋体" w:eastAsia="宋体" w:cs="宋体"/>
          <w:color w:val="000000"/>
          <w:kern w:val="0"/>
          <w:sz w:val="24"/>
          <w:szCs w:val="24"/>
          <w:lang w:val="en-US" w:eastAsia="zh-CN" w:bidi="ar"/>
        </w:rPr>
        <w:t xml:space="preserve">范围内，分为浅（埋深 </w:t>
      </w:r>
      <w:r>
        <w:rPr>
          <w:rFonts w:hint="default" w:ascii="Times New Roman" w:hAnsi="Times New Roman" w:eastAsia="宋体" w:cs="Times New Roman"/>
          <w:color w:val="000000"/>
          <w:kern w:val="0"/>
          <w:sz w:val="24"/>
          <w:szCs w:val="24"/>
          <w:lang w:val="en-US" w:eastAsia="zh-CN" w:bidi="ar"/>
        </w:rPr>
        <w:t>40m</w:t>
      </w:r>
      <w:r>
        <w:rPr>
          <w:rFonts w:hint="eastAsia" w:ascii="宋体" w:hAnsi="宋体" w:eastAsia="宋体" w:cs="宋体"/>
          <w:color w:val="000000"/>
          <w:kern w:val="0"/>
          <w:sz w:val="24"/>
          <w:szCs w:val="24"/>
          <w:lang w:val="en-US" w:eastAsia="zh-CN" w:bidi="ar"/>
        </w:rPr>
        <w:t>）、中（埋深</w:t>
      </w:r>
      <w:r>
        <w:rPr>
          <w:rFonts w:hint="default" w:ascii="Times New Roman" w:hAnsi="Times New Roman" w:eastAsia="宋体" w:cs="Times New Roman"/>
          <w:color w:val="000000"/>
          <w:kern w:val="0"/>
          <w:sz w:val="24"/>
          <w:szCs w:val="24"/>
          <w:lang w:val="en-US" w:eastAsia="zh-CN" w:bidi="ar"/>
        </w:rPr>
        <w:t>40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130m</w:t>
      </w:r>
      <w:r>
        <w:rPr>
          <w:rFonts w:hint="eastAsia" w:ascii="宋体" w:hAnsi="宋体" w:eastAsia="宋体" w:cs="宋体"/>
          <w:color w:val="000000"/>
          <w:kern w:val="0"/>
          <w:sz w:val="24"/>
          <w:szCs w:val="24"/>
          <w:lang w:val="en-US" w:eastAsia="zh-CN" w:bidi="ar"/>
        </w:rPr>
        <w:t>）、深（埋深</w:t>
      </w:r>
      <w:r>
        <w:rPr>
          <w:rFonts w:hint="default" w:ascii="Times New Roman" w:hAnsi="Times New Roman" w:eastAsia="宋体" w:cs="Times New Roman"/>
          <w:color w:val="000000"/>
          <w:kern w:val="0"/>
          <w:sz w:val="24"/>
          <w:szCs w:val="24"/>
          <w:lang w:val="en-US" w:eastAsia="zh-CN" w:bidi="ar"/>
        </w:rPr>
        <w:t>130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340m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个含水层；地下水流向与地表水基本一致，由于地下水坡降小，横向流动微弱。浅层地下水资源比较丰富，水质淡、埋藏浅、开采容易、补给迅速，是最主要的水资源。</w:t>
      </w:r>
    </w:p>
    <w:p>
      <w:pPr>
        <w:pStyle w:val="4"/>
        <w:bidi w:val="0"/>
      </w:pPr>
      <w:r>
        <w:rPr>
          <w:rFonts w:hint="eastAsia"/>
          <w:lang w:val="en-US" w:eastAsia="zh-CN"/>
        </w:rPr>
        <w:t>5</w:t>
      </w:r>
      <w:r>
        <w:rPr>
          <w:rFonts w:hint="default"/>
          <w:lang w:val="en-US" w:eastAsia="zh-CN"/>
        </w:rPr>
        <w:t xml:space="preserve">.1.5 </w:t>
      </w:r>
      <w:r>
        <w:rPr>
          <w:lang w:val="en-US" w:eastAsia="zh-CN"/>
        </w:rPr>
        <w:t>土壤及动植物</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叶县土地总面积</w:t>
      </w:r>
      <w:r>
        <w:rPr>
          <w:rFonts w:hint="default" w:ascii="Times New Roman" w:hAnsi="Times New Roman" w:eastAsia="宋体" w:cs="Times New Roman"/>
          <w:color w:val="000000"/>
          <w:kern w:val="0"/>
          <w:sz w:val="24"/>
          <w:szCs w:val="24"/>
          <w:lang w:val="en-US" w:eastAsia="zh-CN" w:bidi="ar"/>
        </w:rPr>
        <w:t>208</w:t>
      </w:r>
      <w:r>
        <w:rPr>
          <w:rFonts w:hint="eastAsia" w:ascii="宋体" w:hAnsi="宋体" w:eastAsia="宋体" w:cs="宋体"/>
          <w:color w:val="000000"/>
          <w:kern w:val="0"/>
          <w:sz w:val="24"/>
          <w:szCs w:val="24"/>
          <w:lang w:val="en-US" w:eastAsia="zh-CN" w:bidi="ar"/>
        </w:rPr>
        <w:t>万亩，县内土壤主要有三个土类，其中黄棕壤土类</w:t>
      </w:r>
      <w:r>
        <w:rPr>
          <w:rFonts w:hint="default" w:ascii="Times New Roman" w:hAnsi="Times New Roman" w:eastAsia="宋体" w:cs="Times New Roman"/>
          <w:color w:val="000000"/>
          <w:kern w:val="0"/>
          <w:sz w:val="24"/>
          <w:szCs w:val="24"/>
          <w:lang w:val="en-US" w:eastAsia="zh-CN" w:bidi="ar"/>
        </w:rPr>
        <w:t>169.5</w:t>
      </w:r>
      <w:r>
        <w:rPr>
          <w:rFonts w:hint="eastAsia" w:ascii="宋体" w:hAnsi="宋体" w:eastAsia="宋体" w:cs="宋体"/>
          <w:color w:val="000000"/>
          <w:kern w:val="0"/>
          <w:sz w:val="24"/>
          <w:szCs w:val="24"/>
          <w:lang w:val="en-US" w:eastAsia="zh-CN" w:bidi="ar"/>
        </w:rPr>
        <w:t>，占总面积的</w:t>
      </w:r>
      <w:r>
        <w:rPr>
          <w:rFonts w:hint="default" w:ascii="Times New Roman" w:hAnsi="Times New Roman" w:eastAsia="宋体" w:cs="Times New Roman"/>
          <w:color w:val="000000"/>
          <w:kern w:val="0"/>
          <w:sz w:val="24"/>
          <w:szCs w:val="24"/>
          <w:lang w:val="en-US" w:eastAsia="zh-CN" w:bidi="ar"/>
        </w:rPr>
        <w:t>81%</w:t>
      </w:r>
      <w:r>
        <w:rPr>
          <w:rFonts w:hint="eastAsia" w:ascii="宋体" w:hAnsi="宋体" w:eastAsia="宋体" w:cs="宋体"/>
          <w:color w:val="000000"/>
          <w:kern w:val="0"/>
          <w:sz w:val="24"/>
          <w:szCs w:val="24"/>
          <w:lang w:val="en-US" w:eastAsia="zh-CN" w:bidi="ar"/>
        </w:rPr>
        <w:t>；砂姜黑土类</w:t>
      </w:r>
      <w:r>
        <w:rPr>
          <w:rFonts w:hint="default" w:ascii="Times New Roman" w:hAnsi="Times New Roman" w:eastAsia="宋体" w:cs="Times New Roman"/>
          <w:color w:val="000000"/>
          <w:kern w:val="0"/>
          <w:sz w:val="24"/>
          <w:szCs w:val="24"/>
          <w:lang w:val="en-US" w:eastAsia="zh-CN" w:bidi="ar"/>
        </w:rPr>
        <w:t>14.2</w:t>
      </w:r>
      <w:r>
        <w:rPr>
          <w:rFonts w:hint="eastAsia" w:ascii="宋体" w:hAnsi="宋体" w:eastAsia="宋体" w:cs="宋体"/>
          <w:color w:val="000000"/>
          <w:kern w:val="0"/>
          <w:sz w:val="24"/>
          <w:szCs w:val="24"/>
          <w:lang w:val="en-US" w:eastAsia="zh-CN" w:bidi="ar"/>
        </w:rPr>
        <w:t>万亩，占总面积的</w:t>
      </w:r>
      <w:r>
        <w:rPr>
          <w:rFonts w:hint="default" w:ascii="Times New Roman" w:hAnsi="Times New Roman" w:eastAsia="宋体" w:cs="Times New Roman"/>
          <w:color w:val="000000"/>
          <w:kern w:val="0"/>
          <w:sz w:val="24"/>
          <w:szCs w:val="24"/>
          <w:lang w:val="en-US" w:eastAsia="zh-CN" w:bidi="ar"/>
        </w:rPr>
        <w:t>6.9%</w:t>
      </w:r>
      <w:r>
        <w:rPr>
          <w:rFonts w:hint="eastAsia" w:ascii="宋体" w:hAnsi="宋体" w:eastAsia="宋体" w:cs="宋体"/>
          <w:color w:val="000000"/>
          <w:kern w:val="0"/>
          <w:sz w:val="24"/>
          <w:szCs w:val="24"/>
          <w:lang w:val="en-US" w:eastAsia="zh-CN" w:bidi="ar"/>
        </w:rPr>
        <w:t>；潮土类</w:t>
      </w:r>
      <w:r>
        <w:rPr>
          <w:rFonts w:hint="default" w:ascii="Times New Roman" w:hAnsi="Times New Roman" w:eastAsia="宋体" w:cs="Times New Roman"/>
          <w:color w:val="000000"/>
          <w:kern w:val="0"/>
          <w:sz w:val="24"/>
          <w:szCs w:val="24"/>
          <w:lang w:val="en-US" w:eastAsia="zh-CN" w:bidi="ar"/>
        </w:rPr>
        <w:t>21.75</w:t>
      </w:r>
      <w:r>
        <w:rPr>
          <w:rFonts w:hint="eastAsia" w:ascii="宋体" w:hAnsi="宋体" w:eastAsia="宋体" w:cs="宋体"/>
          <w:color w:val="000000"/>
          <w:kern w:val="0"/>
          <w:sz w:val="24"/>
          <w:szCs w:val="24"/>
          <w:lang w:val="en-US" w:eastAsia="zh-CN" w:bidi="ar"/>
        </w:rPr>
        <w:t>万亩，占</w:t>
      </w:r>
      <w:r>
        <w:rPr>
          <w:rFonts w:hint="default" w:ascii="Times New Roman" w:hAnsi="Times New Roman" w:eastAsia="宋体" w:cs="Times New Roman"/>
          <w:color w:val="000000"/>
          <w:kern w:val="0"/>
          <w:sz w:val="24"/>
          <w:szCs w:val="24"/>
          <w:lang w:val="en-US" w:eastAsia="zh-CN" w:bidi="ar"/>
        </w:rPr>
        <w:t>10.6%</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叶县地处暖温带，动植物适生面广，生物资源种类繁多，主要林木植物有杨、柳、榆、槐等以及小麦、玉米、常见杂草等。由于工业生产和人类频繁活动，区域内野生爬行动物迹象罕见，常见野生动物有猫头鹰、啄木鸟、麻雀、燕子等鸟类。</w:t>
      </w:r>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拟建项目位于</w:t>
      </w:r>
      <w:r>
        <w:rPr>
          <w:rFonts w:hint="eastAsia"/>
          <w:lang w:val="en-US" w:eastAsia="zh-CN"/>
        </w:rPr>
        <w:t>平顶山市叶县廉村镇二郎庙村村北200米路东</w:t>
      </w:r>
      <w:r>
        <w:rPr>
          <w:rFonts w:hint="eastAsia" w:ascii="宋体" w:hAnsi="宋体" w:eastAsia="宋体" w:cs="宋体"/>
          <w:color w:val="000000"/>
          <w:kern w:val="0"/>
          <w:sz w:val="24"/>
          <w:szCs w:val="24"/>
          <w:lang w:val="en-US" w:eastAsia="zh-CN" w:bidi="ar"/>
        </w:rPr>
        <w:t>，受人为影响，区域内无大型野生动物，植物主要为常见小麦、玉米、常见杂草和人工绿化植物。项目周边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范围内无列入《国家重点保护野生植物名录》和《国家重点保护野生动物名录》的动植物。</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106" w:name="_Toc20445"/>
      <w:bookmarkStart w:id="107" w:name="_Toc6973"/>
      <w:bookmarkStart w:id="108" w:name="_Toc32414"/>
      <w:r>
        <w:rPr>
          <w:rFonts w:hint="default"/>
          <w:lang w:val="en-US" w:eastAsia="zh-CN"/>
        </w:rPr>
        <w:t xml:space="preserve">5.2 </w:t>
      </w:r>
      <w:r>
        <w:rPr>
          <w:lang w:val="en-US" w:eastAsia="zh-CN"/>
        </w:rPr>
        <w:t>环境空气质量现状</w:t>
      </w:r>
      <w:bookmarkEnd w:id="106"/>
      <w:bookmarkEnd w:id="107"/>
      <w:bookmarkEnd w:id="108"/>
    </w:p>
    <w:p>
      <w:pPr>
        <w:pStyle w:val="4"/>
        <w:bidi w:val="0"/>
      </w:pPr>
      <w:r>
        <w:rPr>
          <w:rFonts w:hint="default"/>
          <w:lang w:val="en-US" w:eastAsia="zh-CN"/>
        </w:rPr>
        <w:t xml:space="preserve">5.2.1 </w:t>
      </w:r>
      <w:r>
        <w:rPr>
          <w:lang w:val="en-US" w:eastAsia="zh-CN"/>
        </w:rPr>
        <w:t>常规检测数据</w:t>
      </w:r>
    </w:p>
    <w:p>
      <w:pPr>
        <w:keepNext w:val="0"/>
        <w:keepLines w:val="0"/>
        <w:pageBreakBefore w:val="0"/>
        <w:kinsoku/>
        <w:wordWrap/>
        <w:overflowPunct/>
        <w:topLinePunct w:val="0"/>
        <w:autoSpaceDE w:val="0"/>
        <w:autoSpaceDN w:val="0"/>
        <w:bidi w:val="0"/>
        <w:adjustRightInd/>
        <w:snapToGrid/>
        <w:spacing w:beforeAutospacing="0" w:afterAutospacing="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根据《环境影响评价技术导则 大气环境》（HJ2.2-2018），项目所在区域达标情况判定优先采用国家或地方生态环境主管部门公开发布的环境质量公告或环境质量报告中的数据或结论。本次评价采用平顶山市2020年环境空气质量监测数据，进行区域达标判断。2020年，我市大气环境状况显著改善，八项指标实现</w:t>
      </w:r>
      <w:r>
        <w:rPr>
          <w:rFonts w:hint="eastAsia" w:cs="Times New Roman"/>
          <w:sz w:val="24"/>
          <w:szCs w:val="24"/>
          <w:u w:val="single"/>
          <w:lang w:eastAsia="zh-CN"/>
        </w:rPr>
        <w:t>“</w:t>
      </w:r>
      <w:r>
        <w:rPr>
          <w:rFonts w:hint="default" w:ascii="Times New Roman" w:hAnsi="Times New Roman" w:eastAsia="宋体" w:cs="Times New Roman"/>
          <w:sz w:val="24"/>
          <w:szCs w:val="24"/>
          <w:u w:val="single"/>
        </w:rPr>
        <w:t>七降一增</w:t>
      </w:r>
      <w:r>
        <w:rPr>
          <w:rFonts w:hint="eastAsia" w:cs="Times New Roman"/>
          <w:sz w:val="24"/>
          <w:szCs w:val="24"/>
          <w:u w:val="single"/>
          <w:lang w:eastAsia="zh-CN"/>
        </w:rPr>
        <w:t>”</w:t>
      </w:r>
      <w:r>
        <w:rPr>
          <w:rFonts w:hint="default" w:ascii="Times New Roman" w:hAnsi="Times New Roman" w:eastAsia="宋体" w:cs="Times New Roman"/>
          <w:sz w:val="24"/>
          <w:szCs w:val="24"/>
          <w:u w:val="single"/>
        </w:rPr>
        <w:t>，PM</w:t>
      </w:r>
      <w:r>
        <w:rPr>
          <w:rFonts w:hint="default" w:ascii="Times New Roman" w:hAnsi="Times New Roman" w:eastAsia="宋体" w:cs="Times New Roman"/>
          <w:sz w:val="24"/>
          <w:szCs w:val="24"/>
          <w:u w:val="single"/>
          <w:vertAlign w:val="subscript"/>
        </w:rPr>
        <w:t>10</w:t>
      </w:r>
      <w:r>
        <w:rPr>
          <w:rFonts w:hint="default" w:ascii="Times New Roman" w:hAnsi="Times New Roman" w:eastAsia="宋体" w:cs="Times New Roman"/>
          <w:sz w:val="24"/>
          <w:szCs w:val="24"/>
          <w:u w:val="single"/>
        </w:rPr>
        <w:t>、PM</w:t>
      </w:r>
      <w:r>
        <w:rPr>
          <w:rFonts w:hint="default" w:ascii="Times New Roman" w:hAnsi="Times New Roman" w:eastAsia="宋体" w:cs="Times New Roman"/>
          <w:sz w:val="24"/>
          <w:szCs w:val="24"/>
          <w:u w:val="single"/>
          <w:vertAlign w:val="subscript"/>
        </w:rPr>
        <w:t>2.5</w:t>
      </w:r>
      <w:r>
        <w:rPr>
          <w:rFonts w:hint="default" w:ascii="Times New Roman" w:hAnsi="Times New Roman" w:eastAsia="宋体" w:cs="Times New Roman"/>
          <w:sz w:val="24"/>
          <w:szCs w:val="24"/>
          <w:u w:val="single"/>
        </w:rPr>
        <w:t>、优良天均达到历史最优值。PM</w:t>
      </w:r>
      <w:r>
        <w:rPr>
          <w:rFonts w:hint="default" w:ascii="Times New Roman" w:hAnsi="Times New Roman" w:eastAsia="宋体" w:cs="Times New Roman"/>
          <w:sz w:val="24"/>
          <w:szCs w:val="24"/>
          <w:u w:val="single"/>
          <w:vertAlign w:val="subscript"/>
        </w:rPr>
        <w:t>10</w:t>
      </w:r>
      <w:r>
        <w:rPr>
          <w:rFonts w:hint="default" w:ascii="Times New Roman" w:hAnsi="Times New Roman" w:eastAsia="宋体" w:cs="Times New Roman"/>
          <w:sz w:val="24"/>
          <w:szCs w:val="24"/>
          <w:u w:val="single"/>
        </w:rPr>
        <w:t>、PM</w:t>
      </w:r>
      <w:r>
        <w:rPr>
          <w:rFonts w:hint="default" w:ascii="Times New Roman" w:hAnsi="Times New Roman" w:eastAsia="宋体" w:cs="Times New Roman"/>
          <w:sz w:val="24"/>
          <w:szCs w:val="24"/>
          <w:u w:val="single"/>
          <w:vertAlign w:val="subscript"/>
        </w:rPr>
        <w:t>2.5</w:t>
      </w:r>
      <w:r>
        <w:rPr>
          <w:rFonts w:hint="default" w:ascii="Times New Roman" w:hAnsi="Times New Roman" w:eastAsia="宋体" w:cs="Times New Roman"/>
          <w:sz w:val="24"/>
          <w:szCs w:val="24"/>
          <w:u w:val="single"/>
        </w:rPr>
        <w:t>累计浓度实现历史同期最低，分别为82、51微克/立方米，同比下降11.8%、13.6%；二氧化硫（SO</w:t>
      </w:r>
      <w:r>
        <w:rPr>
          <w:rFonts w:hint="default" w:ascii="Times New Roman" w:hAnsi="Times New Roman" w:eastAsia="宋体" w:cs="Times New Roman"/>
          <w:sz w:val="24"/>
          <w:szCs w:val="24"/>
          <w:u w:val="single"/>
          <w:vertAlign w:val="subscript"/>
        </w:rPr>
        <w:t>2</w:t>
      </w:r>
      <w:r>
        <w:rPr>
          <w:rFonts w:hint="default" w:ascii="Times New Roman" w:hAnsi="Times New Roman" w:eastAsia="宋体" w:cs="Times New Roman"/>
          <w:sz w:val="24"/>
          <w:szCs w:val="24"/>
          <w:u w:val="single"/>
        </w:rPr>
        <w:t>）年均浓度12微克/立方米，同比下降20%；二氧化氮（NO</w:t>
      </w:r>
      <w:r>
        <w:rPr>
          <w:rFonts w:hint="default" w:ascii="Times New Roman" w:hAnsi="Times New Roman" w:eastAsia="宋体" w:cs="Times New Roman"/>
          <w:sz w:val="24"/>
          <w:szCs w:val="24"/>
          <w:u w:val="single"/>
          <w:vertAlign w:val="subscript"/>
        </w:rPr>
        <w:t>2</w:t>
      </w:r>
      <w:r>
        <w:rPr>
          <w:rFonts w:hint="default" w:ascii="Times New Roman" w:hAnsi="Times New Roman" w:eastAsia="宋体" w:cs="Times New Roman"/>
          <w:sz w:val="24"/>
          <w:szCs w:val="24"/>
          <w:u w:val="single"/>
        </w:rPr>
        <w:t>）年均浓度31微克/立方米，同比下降8.8%；一氧化碳（CO）浓度为1.3微克/立方米，同比下降18.8%；臭氧8小时（O3-8h-90per）浓度160微克/立方米，同比下降13.5%；年综合指数4.93，同比下降13.1%</w:t>
      </w:r>
      <w:r>
        <w:rPr>
          <w:rFonts w:hint="eastAsia" w:cs="Times New Roman"/>
          <w:sz w:val="24"/>
          <w:szCs w:val="24"/>
          <w:u w:val="single"/>
          <w:lang w:eastAsia="zh-CN"/>
        </w:rPr>
        <w:t>；</w:t>
      </w:r>
      <w:r>
        <w:rPr>
          <w:rFonts w:hint="default" w:ascii="Times New Roman" w:hAnsi="Times New Roman" w:eastAsia="宋体" w:cs="Times New Roman"/>
          <w:sz w:val="24"/>
          <w:szCs w:val="24"/>
          <w:u w:val="single"/>
        </w:rPr>
        <w:t>优良天数达到历史新高，全年累计264天，同比增加77天，同比上升20.9%，优良天数改善率、净增加天数均居全国第1位，是我市单项指标首次排名全国第一。为此，省污染防治攻坚战领导小组两次在全省通报表扬，两次专程向市委、市政府发贺信祝贺。因改善成效明显，省政府、省生态环境厅双向推荐我市为国务院督查激励对象。</w:t>
      </w:r>
    </w:p>
    <w:p>
      <w:pPr>
        <w:pStyle w:val="19"/>
        <w:keepNext w:val="0"/>
        <w:keepLines w:val="0"/>
        <w:pageBreakBefore w:val="0"/>
        <w:widowControl/>
        <w:suppressLineNumbers w:val="0"/>
        <w:kinsoku/>
        <w:wordWrap/>
        <w:overflowPunct/>
        <w:topLinePunct w:val="0"/>
        <w:autoSpaceDE w:val="0"/>
        <w:autoSpaceDN w:val="0"/>
        <w:bidi w:val="0"/>
        <w:adjustRightInd/>
        <w:snapToGrid/>
        <w:spacing w:beforeAutospacing="0" w:afterAutospacing="0" w:line="360" w:lineRule="auto"/>
        <w:ind w:left="0" w:firstLine="6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在提高优良天数数量的同时，我市优良天数的质量也大幅提升。2020年，我市“优”天36天，同比增加14天，增幅63.6%；</w:t>
      </w:r>
      <w:r>
        <w:rPr>
          <w:rFonts w:hint="eastAsia" w:cs="Times New Roman"/>
          <w:sz w:val="24"/>
          <w:szCs w:val="24"/>
          <w:u w:val="single"/>
          <w:lang w:eastAsia="zh-CN"/>
        </w:rPr>
        <w:t>“</w:t>
      </w:r>
      <w:r>
        <w:rPr>
          <w:rFonts w:hint="default" w:ascii="Times New Roman" w:hAnsi="Times New Roman" w:eastAsia="宋体" w:cs="Times New Roman"/>
          <w:sz w:val="24"/>
          <w:szCs w:val="24"/>
          <w:u w:val="single"/>
        </w:rPr>
        <w:t>良</w:t>
      </w:r>
      <w:r>
        <w:rPr>
          <w:rFonts w:hint="eastAsia" w:cs="Times New Roman"/>
          <w:sz w:val="24"/>
          <w:szCs w:val="24"/>
          <w:u w:val="single"/>
          <w:lang w:eastAsia="zh-CN"/>
        </w:rPr>
        <w:t>”</w:t>
      </w:r>
      <w:r>
        <w:rPr>
          <w:rFonts w:hint="default" w:ascii="Times New Roman" w:hAnsi="Times New Roman" w:eastAsia="宋体" w:cs="Times New Roman"/>
          <w:sz w:val="24"/>
          <w:szCs w:val="24"/>
          <w:u w:val="single"/>
        </w:rPr>
        <w:t>天228天，同比增加63天，增幅38.2%；污染天数显著减少，其中</w:t>
      </w:r>
      <w:r>
        <w:rPr>
          <w:rFonts w:hint="eastAsia" w:cs="Times New Roman"/>
          <w:sz w:val="24"/>
          <w:szCs w:val="24"/>
          <w:u w:val="single"/>
          <w:lang w:eastAsia="zh-CN"/>
        </w:rPr>
        <w:t>：</w:t>
      </w:r>
      <w:r>
        <w:rPr>
          <w:rFonts w:hint="default" w:ascii="Times New Roman" w:hAnsi="Times New Roman" w:eastAsia="宋体" w:cs="Times New Roman"/>
          <w:sz w:val="24"/>
          <w:szCs w:val="24"/>
          <w:u w:val="single"/>
        </w:rPr>
        <w:t>轻中度污染天数94天，同比减少64天，降幅40.5%</w:t>
      </w:r>
      <w:r>
        <w:rPr>
          <w:rFonts w:hint="eastAsia" w:cs="Times New Roman"/>
          <w:sz w:val="24"/>
          <w:szCs w:val="24"/>
          <w:u w:val="single"/>
          <w:lang w:eastAsia="zh-CN"/>
        </w:rPr>
        <w:t>；</w:t>
      </w:r>
      <w:r>
        <w:rPr>
          <w:rFonts w:hint="default" w:ascii="Times New Roman" w:hAnsi="Times New Roman" w:eastAsia="宋体" w:cs="Times New Roman"/>
          <w:sz w:val="24"/>
          <w:szCs w:val="24"/>
          <w:u w:val="single"/>
        </w:rPr>
        <w:t>重度污染天数8天，同比减少12天，降幅60%，且全年无严重污染天。</w:t>
      </w:r>
    </w:p>
    <w:p>
      <w:pPr>
        <w:bidi w:val="0"/>
        <w:rPr>
          <w:rFonts w:hint="eastAsia"/>
          <w:u w:val="single"/>
          <w:lang w:val="en-US" w:eastAsia="zh-CN"/>
        </w:rPr>
      </w:pPr>
      <w:r>
        <w:rPr>
          <w:rFonts w:hint="eastAsia"/>
          <w:u w:val="single"/>
          <w:lang w:val="en-US" w:eastAsia="zh-CN"/>
        </w:rPr>
        <w:t>同时本次评价委托河南宜信检测技术服务有限公司于</w:t>
      </w:r>
      <w:r>
        <w:rPr>
          <w:rFonts w:hint="default"/>
          <w:u w:val="single"/>
          <w:lang w:val="en-US" w:eastAsia="zh-CN"/>
        </w:rPr>
        <w:t>202</w:t>
      </w:r>
      <w:r>
        <w:rPr>
          <w:rFonts w:hint="eastAsia"/>
          <w:u w:val="single"/>
          <w:lang w:val="en-US" w:eastAsia="zh-CN"/>
        </w:rPr>
        <w:t>1年07月14日</w:t>
      </w:r>
      <w:r>
        <w:rPr>
          <w:rFonts w:hint="default"/>
          <w:u w:val="single"/>
          <w:lang w:val="en-US" w:eastAsia="zh-CN"/>
        </w:rPr>
        <w:t>~202</w:t>
      </w:r>
      <w:r>
        <w:rPr>
          <w:rFonts w:hint="eastAsia"/>
          <w:u w:val="single"/>
          <w:lang w:val="en-US" w:eastAsia="zh-CN"/>
        </w:rPr>
        <w:t>1年07月20日对本项目特征因子非甲烷总烃、苯乙烯、氨和硫化氢进行环境质量现状监测。</w:t>
      </w:r>
    </w:p>
    <w:p>
      <w:pPr>
        <w:pStyle w:val="4"/>
        <w:numPr>
          <w:ilvl w:val="0"/>
          <w:numId w:val="0"/>
        </w:numPr>
        <w:bidi w:val="0"/>
        <w:spacing w:line="360" w:lineRule="auto"/>
        <w:ind w:left="439" w:leftChars="0" w:right="0" w:rightChars="0"/>
      </w:pPr>
      <w:r>
        <w:rPr>
          <w:rFonts w:hint="eastAsia"/>
          <w:lang w:val="en-US" w:eastAsia="zh-CN"/>
        </w:rPr>
        <w:t xml:space="preserve">5.2.1 </w:t>
      </w:r>
      <w:r>
        <w:t>监测布点</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both"/>
        <w:textAlignment w:val="auto"/>
        <w:rPr>
          <w:rFonts w:ascii="Times New Roman" w:hAnsi="Times New Roman"/>
          <w:color w:val="C00000"/>
          <w:sz w:val="24"/>
          <w:lang w:val="en-US" w:eastAsia="zh-CN"/>
        </w:rPr>
      </w:pPr>
      <w:r>
        <w:rPr>
          <w:rFonts w:ascii="Times New Roman" w:hAnsi="Times New Roman"/>
          <w:sz w:val="24"/>
          <w:lang w:val="en-US" w:eastAsia="zh-CN"/>
        </w:rPr>
        <w:t>根据本项目所处位置、项目初步工程分析结果、周边敏感点分布情况和当地气象条件（主导风向NE）等因素，并结合HJ2.2-2018要求，本次环境空气现状监测共布设1个点位，详见表5.2-</w:t>
      </w:r>
      <w:r>
        <w:rPr>
          <w:rFonts w:hint="eastAsia" w:ascii="Times New Roman" w:hAnsi="Times New Roman"/>
          <w:sz w:val="24"/>
          <w:lang w:val="en-US" w:eastAsia="zh-CN"/>
        </w:rPr>
        <w:t>1</w:t>
      </w:r>
      <w:r>
        <w:rPr>
          <w:rFonts w:ascii="Times New Roman" w:hAnsi="Times New Roman"/>
          <w:color w:val="auto"/>
          <w:sz w:val="24"/>
          <w:lang w:val="en-US" w:eastAsia="zh-CN"/>
        </w:rPr>
        <w:t>及附图</w:t>
      </w:r>
      <w:r>
        <w:rPr>
          <w:rFonts w:hint="eastAsia" w:ascii="Times New Roman" w:hAnsi="Times New Roman"/>
          <w:color w:val="auto"/>
          <w:sz w:val="24"/>
          <w:lang w:val="en-US" w:eastAsia="zh-CN"/>
        </w:rPr>
        <w:t>4</w:t>
      </w:r>
      <w:r>
        <w:rPr>
          <w:rFonts w:ascii="Times New Roman" w:hAnsi="Times New Roman"/>
          <w:color w:val="auto"/>
          <w:sz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2" w:firstLineChars="200"/>
        <w:jc w:val="center"/>
        <w:textAlignment w:val="auto"/>
        <w:rPr>
          <w:rFonts w:hint="eastAsia" w:ascii="Times New Roman" w:hAnsi="Times New Roman"/>
          <w:b/>
          <w:bCs/>
          <w:sz w:val="24"/>
          <w:lang w:val="en-US" w:eastAsia="zh-CN"/>
        </w:rPr>
      </w:pPr>
      <w:r>
        <w:rPr>
          <w:rFonts w:hint="eastAsia" w:ascii="Times New Roman" w:hAnsi="Times New Roman"/>
          <w:b/>
          <w:bCs/>
          <w:sz w:val="24"/>
          <w:lang w:val="en-US" w:eastAsia="zh-CN"/>
        </w:rPr>
        <w:t>表</w:t>
      </w:r>
      <w:r>
        <w:rPr>
          <w:rFonts w:ascii="Times New Roman" w:hAnsi="Times New Roman"/>
          <w:b/>
          <w:bCs/>
          <w:sz w:val="24"/>
          <w:lang w:val="en-US" w:eastAsia="zh-CN"/>
        </w:rPr>
        <w:t>5.2-</w:t>
      </w:r>
      <w:r>
        <w:rPr>
          <w:rFonts w:hint="eastAsia" w:ascii="Times New Roman" w:hAnsi="Times New Roman"/>
          <w:b/>
          <w:bCs/>
          <w:sz w:val="24"/>
          <w:lang w:val="en-US" w:eastAsia="zh-CN"/>
        </w:rPr>
        <w:t>1  环境空气现状监测点情况表</w:t>
      </w:r>
    </w:p>
    <w:tbl>
      <w:tblPr>
        <w:tblStyle w:val="2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9"/>
        <w:gridCol w:w="1614"/>
        <w:gridCol w:w="2044"/>
        <w:gridCol w:w="2231"/>
        <w:gridCol w:w="2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21"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序号</w:t>
            </w:r>
          </w:p>
        </w:tc>
        <w:tc>
          <w:tcPr>
            <w:tcW w:w="1634"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位置</w:t>
            </w:r>
          </w:p>
        </w:tc>
        <w:tc>
          <w:tcPr>
            <w:tcW w:w="2068"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与厂址相对方位</w:t>
            </w:r>
          </w:p>
        </w:tc>
        <w:tc>
          <w:tcPr>
            <w:tcW w:w="2257"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距厂址距离（m）</w:t>
            </w:r>
          </w:p>
        </w:tc>
        <w:tc>
          <w:tcPr>
            <w:tcW w:w="222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21"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163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常宋村</w:t>
            </w:r>
          </w:p>
        </w:tc>
        <w:tc>
          <w:tcPr>
            <w:tcW w:w="206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NE</w:t>
            </w:r>
          </w:p>
        </w:tc>
        <w:tc>
          <w:tcPr>
            <w:tcW w:w="2257"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405</w:t>
            </w:r>
          </w:p>
        </w:tc>
        <w:tc>
          <w:tcPr>
            <w:tcW w:w="222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居民区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21"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w:t>
            </w:r>
          </w:p>
        </w:tc>
        <w:tc>
          <w:tcPr>
            <w:tcW w:w="163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项目点位置</w:t>
            </w:r>
          </w:p>
        </w:tc>
        <w:tc>
          <w:tcPr>
            <w:tcW w:w="206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vertAlign w:val="baseline"/>
                <w:lang w:val="en-US" w:eastAsia="zh-CN"/>
              </w:rPr>
              <w:t>/</w:t>
            </w:r>
          </w:p>
        </w:tc>
        <w:tc>
          <w:tcPr>
            <w:tcW w:w="2257"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w:t>
            </w:r>
          </w:p>
        </w:tc>
        <w:tc>
          <w:tcPr>
            <w:tcW w:w="222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eastAsia="zh-CN"/>
              </w:rPr>
              <w:t>项目地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1021"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w:t>
            </w:r>
          </w:p>
        </w:tc>
        <w:tc>
          <w:tcPr>
            <w:tcW w:w="163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后王庄</w:t>
            </w:r>
          </w:p>
        </w:tc>
        <w:tc>
          <w:tcPr>
            <w:tcW w:w="206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SW</w:t>
            </w:r>
          </w:p>
        </w:tc>
        <w:tc>
          <w:tcPr>
            <w:tcW w:w="2257"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120</w:t>
            </w:r>
          </w:p>
        </w:tc>
        <w:tc>
          <w:tcPr>
            <w:tcW w:w="222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eastAsia="zh-CN"/>
              </w:rPr>
            </w:pPr>
            <w:r>
              <w:rPr>
                <w:rFonts w:hint="eastAsia"/>
                <w:sz w:val="21"/>
                <w:szCs w:val="21"/>
                <w:lang w:eastAsia="zh-CN"/>
              </w:rPr>
              <w:t>居民区</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textAlignment w:val="auto"/>
      </w:pPr>
      <w:r>
        <w:rPr>
          <w:rFonts w:hint="eastAsia"/>
          <w:lang w:val="en-US" w:eastAsia="zh-CN"/>
        </w:rPr>
        <w:t xml:space="preserve">5.2.2 </w:t>
      </w:r>
      <w:r>
        <w:t>监测项目及监测频率</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both"/>
        <w:textAlignment w:val="auto"/>
        <w:rPr>
          <w:rFonts w:ascii="Times New Roman" w:hAnsi="Times New Roman"/>
          <w:sz w:val="24"/>
          <w:u w:val="single"/>
          <w:lang w:val="en-US" w:eastAsia="zh-CN"/>
        </w:rPr>
      </w:pPr>
      <w:r>
        <w:rPr>
          <w:rFonts w:ascii="Times New Roman" w:hAnsi="Times New Roman"/>
          <w:sz w:val="24"/>
          <w:u w:val="single"/>
          <w:lang w:val="en-US" w:eastAsia="zh-CN"/>
        </w:rPr>
        <w:t>现场监测，连续采样7天，监测时间为</w:t>
      </w:r>
      <w:r>
        <w:rPr>
          <w:rFonts w:hint="eastAsia" w:ascii="Times New Roman" w:hAnsi="Times New Roman"/>
          <w:sz w:val="24"/>
          <w:u w:val="single"/>
          <w:lang w:val="en-US" w:eastAsia="zh-CN"/>
        </w:rPr>
        <w:t>2021</w:t>
      </w:r>
      <w:r>
        <w:rPr>
          <w:rFonts w:ascii="Times New Roman" w:hAnsi="Times New Roman"/>
          <w:sz w:val="24"/>
          <w:u w:val="single"/>
          <w:lang w:val="en-US" w:eastAsia="zh-CN"/>
        </w:rPr>
        <w:t>年</w:t>
      </w:r>
      <w:r>
        <w:rPr>
          <w:rFonts w:hint="eastAsia" w:ascii="Times New Roman" w:hAnsi="Times New Roman"/>
          <w:sz w:val="24"/>
          <w:u w:val="single"/>
          <w:lang w:val="en-US" w:eastAsia="zh-CN"/>
        </w:rPr>
        <w:t>07</w:t>
      </w:r>
      <w:r>
        <w:rPr>
          <w:rFonts w:ascii="Times New Roman" w:hAnsi="Times New Roman"/>
          <w:sz w:val="24"/>
          <w:u w:val="single"/>
          <w:lang w:val="en-US" w:eastAsia="zh-CN"/>
        </w:rPr>
        <w:t>月</w:t>
      </w:r>
      <w:r>
        <w:rPr>
          <w:rFonts w:hint="eastAsia" w:ascii="Times New Roman" w:hAnsi="Times New Roman"/>
          <w:sz w:val="24"/>
          <w:u w:val="single"/>
          <w:lang w:val="en-US" w:eastAsia="zh-CN"/>
        </w:rPr>
        <w:t>14</w:t>
      </w:r>
      <w:r>
        <w:rPr>
          <w:rFonts w:ascii="Times New Roman" w:hAnsi="Times New Roman"/>
          <w:sz w:val="24"/>
          <w:u w:val="single"/>
          <w:lang w:val="en-US" w:eastAsia="zh-CN"/>
        </w:rPr>
        <w:t>日~</w:t>
      </w:r>
      <w:r>
        <w:rPr>
          <w:rFonts w:hint="eastAsia" w:ascii="Times New Roman" w:hAnsi="Times New Roman"/>
          <w:sz w:val="24"/>
          <w:u w:val="single"/>
          <w:lang w:val="en-US" w:eastAsia="zh-CN"/>
        </w:rPr>
        <w:t>2021</w:t>
      </w:r>
      <w:r>
        <w:rPr>
          <w:rFonts w:ascii="Times New Roman" w:hAnsi="Times New Roman"/>
          <w:sz w:val="24"/>
          <w:u w:val="single"/>
          <w:lang w:val="en-US" w:eastAsia="zh-CN"/>
        </w:rPr>
        <w:t>年</w:t>
      </w:r>
      <w:r>
        <w:rPr>
          <w:rFonts w:hint="eastAsia" w:ascii="Times New Roman" w:hAnsi="Times New Roman"/>
          <w:sz w:val="24"/>
          <w:u w:val="single"/>
          <w:lang w:val="en-US" w:eastAsia="zh-CN"/>
        </w:rPr>
        <w:t>07</w:t>
      </w:r>
      <w:r>
        <w:rPr>
          <w:rFonts w:ascii="Times New Roman" w:hAnsi="Times New Roman"/>
          <w:sz w:val="24"/>
          <w:u w:val="single"/>
          <w:lang w:val="en-US" w:eastAsia="zh-CN"/>
        </w:rPr>
        <w:t>月</w:t>
      </w:r>
      <w:r>
        <w:rPr>
          <w:rFonts w:hint="eastAsia" w:ascii="Times New Roman" w:hAnsi="Times New Roman"/>
          <w:sz w:val="24"/>
          <w:u w:val="single"/>
          <w:lang w:val="en-US" w:eastAsia="zh-CN"/>
        </w:rPr>
        <w:t>20</w:t>
      </w:r>
      <w:r>
        <w:rPr>
          <w:rFonts w:ascii="Times New Roman" w:hAnsi="Times New Roman"/>
          <w:sz w:val="24"/>
          <w:u w:val="single"/>
          <w:lang w:val="en-US" w:eastAsia="zh-CN"/>
        </w:rPr>
        <w:t>日。结合工程和环境特点，初步确定监测因子及监测频率见表5.2-</w:t>
      </w:r>
      <w:r>
        <w:rPr>
          <w:rFonts w:hint="eastAsia" w:ascii="Times New Roman" w:hAnsi="Times New Roman"/>
          <w:sz w:val="24"/>
          <w:u w:val="single"/>
          <w:lang w:val="en-US" w:eastAsia="zh-CN"/>
        </w:rPr>
        <w:t>2</w:t>
      </w:r>
      <w:r>
        <w:rPr>
          <w:rFonts w:ascii="Times New Roman" w:hAnsi="Times New Roman"/>
          <w:sz w:val="24"/>
          <w:u w:val="single"/>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2" w:firstLineChars="200"/>
        <w:jc w:val="center"/>
        <w:textAlignment w:val="auto"/>
        <w:rPr>
          <w:rFonts w:hint="eastAsia" w:ascii="Times New Roman" w:hAnsi="Times New Roman"/>
          <w:b/>
          <w:bCs/>
          <w:sz w:val="24"/>
          <w:lang w:val="en-US" w:eastAsia="zh-CN"/>
        </w:rPr>
      </w:pPr>
      <w:r>
        <w:rPr>
          <w:rFonts w:hint="eastAsia" w:ascii="Times New Roman" w:hAnsi="Times New Roman"/>
          <w:b/>
          <w:bCs/>
          <w:sz w:val="24"/>
          <w:lang w:val="en-US" w:eastAsia="zh-CN"/>
        </w:rPr>
        <w:t>表5.2-2  监测因子及频率一览表</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1"/>
        <w:gridCol w:w="1907"/>
        <w:gridCol w:w="4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2779" w:type="dxa"/>
            <w:vAlign w:val="center"/>
          </w:tcPr>
          <w:p>
            <w:pPr>
              <w:pStyle w:val="30"/>
              <w:bidi w:val="0"/>
            </w:pPr>
            <w:r>
              <w:t>监测因子</w:t>
            </w:r>
          </w:p>
        </w:tc>
        <w:tc>
          <w:tcPr>
            <w:tcW w:w="1934" w:type="dxa"/>
            <w:vAlign w:val="center"/>
          </w:tcPr>
          <w:p>
            <w:pPr>
              <w:pStyle w:val="30"/>
              <w:bidi w:val="0"/>
            </w:pPr>
            <w:r>
              <w:t>监测类型</w:t>
            </w:r>
          </w:p>
        </w:tc>
        <w:tc>
          <w:tcPr>
            <w:tcW w:w="4496" w:type="dxa"/>
            <w:vAlign w:val="center"/>
          </w:tcPr>
          <w:p>
            <w:pPr>
              <w:pStyle w:val="30"/>
              <w:bidi w:val="0"/>
            </w:pPr>
            <w: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79" w:type="dxa"/>
            <w:vAlign w:val="center"/>
          </w:tcPr>
          <w:p>
            <w:pPr>
              <w:pStyle w:val="30"/>
              <w:bidi w:val="0"/>
              <w:rPr>
                <w:rFonts w:hint="eastAsia" w:eastAsia="宋体"/>
                <w:u w:val="single"/>
                <w:lang w:val="en-US" w:eastAsia="zh-CN"/>
              </w:rPr>
            </w:pPr>
            <w:r>
              <w:rPr>
                <w:rFonts w:hint="eastAsia"/>
                <w:u w:val="single"/>
                <w:lang w:val="en-US" w:eastAsia="zh-CN"/>
              </w:rPr>
              <w:t>非甲烷总烃、苯乙烯、硫化氢、氨</w:t>
            </w:r>
          </w:p>
        </w:tc>
        <w:tc>
          <w:tcPr>
            <w:tcW w:w="1934" w:type="dxa"/>
            <w:vAlign w:val="center"/>
          </w:tcPr>
          <w:p>
            <w:pPr>
              <w:pStyle w:val="30"/>
              <w:bidi w:val="0"/>
              <w:rPr>
                <w:u w:val="single"/>
              </w:rPr>
            </w:pPr>
            <w:r>
              <w:rPr>
                <w:u w:val="single"/>
              </w:rPr>
              <w:t>1小时平均</w:t>
            </w:r>
          </w:p>
        </w:tc>
        <w:tc>
          <w:tcPr>
            <w:tcW w:w="4496" w:type="dxa"/>
            <w:vAlign w:val="center"/>
          </w:tcPr>
          <w:p>
            <w:pPr>
              <w:pStyle w:val="30"/>
              <w:bidi w:val="0"/>
              <w:rPr>
                <w:u w:val="single"/>
              </w:rPr>
            </w:pPr>
            <w:r>
              <w:rPr>
                <w:u w:val="single"/>
              </w:rPr>
              <w:t>连续监测7天，每天采样4次（02、08、14、20时各1次），每次45min的采样时间</w:t>
            </w:r>
          </w:p>
        </w:tc>
      </w:tr>
    </w:tbl>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both"/>
        <w:textAlignment w:val="auto"/>
        <w:rPr>
          <w:rFonts w:ascii="Times New Roman" w:hAnsi="Times New Roman"/>
          <w:sz w:val="24"/>
          <w:lang w:val="en-US" w:eastAsia="zh-CN"/>
        </w:rPr>
      </w:pPr>
      <w:r>
        <w:rPr>
          <w:rFonts w:ascii="Times New Roman" w:hAnsi="Times New Roman"/>
          <w:sz w:val="24"/>
          <w:lang w:val="en-US" w:eastAsia="zh-CN"/>
        </w:rPr>
        <w:t>监测期间同时对地面风向、风速、气温、气压等常规气象因素进行观测和记录。</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5.2.3 监测与分析方法</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pPr>
      <w:r>
        <w:t>环境空气质量监测按《环境空气质量标准》（</w:t>
      </w:r>
      <w:r>
        <w:rPr>
          <w:rFonts w:ascii="Times New Roman" w:eastAsia="Times New Roman"/>
        </w:rPr>
        <w:t>GB3095-2012</w:t>
      </w:r>
      <w:r>
        <w:t>）中规定进行。具体采样及分析方法见表</w:t>
      </w:r>
      <w:r>
        <w:rPr>
          <w:rFonts w:ascii="Times New Roman" w:eastAsia="Times New Roman"/>
        </w:rPr>
        <w:t>5.2-</w:t>
      </w:r>
      <w:r>
        <w:rPr>
          <w:rFonts w:hint="eastAsia" w:ascii="Times New Roman" w:eastAsia="宋体"/>
          <w:lang w:val="en-US" w:eastAsia="zh-CN"/>
        </w:rPr>
        <w:t>3</w:t>
      </w:r>
      <w: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2" w:firstLineChars="200"/>
        <w:jc w:val="center"/>
        <w:textAlignment w:val="auto"/>
        <w:rPr>
          <w:rFonts w:hint="eastAsia" w:ascii="Times New Roman" w:hAnsi="Times New Roman" w:eastAsia="宋体" w:cs="宋体"/>
          <w:b/>
          <w:bCs/>
          <w:sz w:val="24"/>
          <w:lang w:val="en-US" w:eastAsia="zh-CN"/>
        </w:rPr>
      </w:pPr>
      <w:r>
        <w:rPr>
          <w:rFonts w:hint="eastAsia" w:ascii="Times New Roman" w:hAnsi="Times New Roman" w:eastAsia="宋体" w:cs="宋体"/>
          <w:b/>
          <w:bCs/>
          <w:sz w:val="24"/>
          <w:lang w:val="en-US" w:eastAsia="zh-CN"/>
        </w:rPr>
        <w:t>表5.2-</w:t>
      </w:r>
      <w:r>
        <w:rPr>
          <w:rFonts w:hint="eastAsia" w:ascii="Times New Roman" w:hAnsi="Times New Roman" w:cs="宋体"/>
          <w:b/>
          <w:bCs/>
          <w:sz w:val="24"/>
          <w:lang w:val="en-US" w:eastAsia="zh-CN"/>
        </w:rPr>
        <w:t>3</w:t>
      </w:r>
      <w:r>
        <w:rPr>
          <w:rFonts w:hint="eastAsia" w:ascii="Times New Roman" w:hAnsi="Times New Roman" w:eastAsia="宋体" w:cs="宋体"/>
          <w:b/>
          <w:bCs/>
          <w:sz w:val="24"/>
          <w:lang w:val="en-US" w:eastAsia="zh-CN"/>
        </w:rPr>
        <w:t xml:space="preserve">  监测分析方法及使用仪器一览表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5"/>
        <w:gridCol w:w="2398"/>
        <w:gridCol w:w="1782"/>
        <w:gridCol w:w="2316"/>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检测因子</w:t>
            </w:r>
          </w:p>
        </w:tc>
        <w:tc>
          <w:tcPr>
            <w:tcW w:w="1320"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检测方法</w:t>
            </w:r>
          </w:p>
        </w:tc>
        <w:tc>
          <w:tcPr>
            <w:tcW w:w="981"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检测方法标准号或来源</w:t>
            </w:r>
          </w:p>
        </w:tc>
        <w:tc>
          <w:tcPr>
            <w:tcW w:w="1275"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使用仪器</w:t>
            </w:r>
          </w:p>
        </w:tc>
        <w:tc>
          <w:tcPr>
            <w:tcW w:w="802"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检出限或最低检出浓度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颗粒物</w:t>
            </w:r>
          </w:p>
        </w:tc>
        <w:tc>
          <w:tcPr>
            <w:tcW w:w="1320"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环境空气 总悬浮颗粒物的测定重量法</w:t>
            </w:r>
          </w:p>
        </w:tc>
        <w:tc>
          <w:tcPr>
            <w:tcW w:w="981"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default" w:ascii="Times New Roman" w:hAnsi="Times New Roman" w:eastAsia="宋体"/>
                <w:sz w:val="21"/>
                <w:szCs w:val="21"/>
                <w:lang w:val="en-US" w:eastAsia="zh-CN"/>
              </w:rPr>
              <w:t>GB/T15432-1995</w:t>
            </w:r>
            <w:r>
              <w:rPr>
                <w:rFonts w:hint="eastAsia" w:ascii="Times New Roman" w:hAnsi="Times New Roman" w:eastAsia="宋体"/>
                <w:sz w:val="21"/>
                <w:szCs w:val="21"/>
                <w:lang w:val="en-US" w:eastAsia="zh-CN"/>
              </w:rPr>
              <w:t>及修改单</w:t>
            </w:r>
          </w:p>
        </w:tc>
        <w:tc>
          <w:tcPr>
            <w:tcW w:w="1275"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eastAsia" w:ascii="Times New Roman" w:hAnsi="Times New Roman" w:eastAsia="宋体"/>
                <w:sz w:val="21"/>
                <w:szCs w:val="21"/>
                <w:lang w:val="en-US" w:eastAsia="zh-CN"/>
              </w:rPr>
              <w:t>众瑞</w:t>
            </w:r>
            <w:r>
              <w:rPr>
                <w:rFonts w:hint="default" w:ascii="Times New Roman" w:hAnsi="Times New Roman" w:eastAsia="宋体"/>
                <w:sz w:val="21"/>
                <w:szCs w:val="21"/>
                <w:lang w:val="en-US" w:eastAsia="zh-CN"/>
              </w:rPr>
              <w:t xml:space="preserve">ZR-3922 </w:t>
            </w:r>
            <w:r>
              <w:rPr>
                <w:rFonts w:hint="eastAsia" w:ascii="Times New Roman" w:hAnsi="Times New Roman" w:eastAsia="宋体"/>
                <w:sz w:val="21"/>
                <w:szCs w:val="21"/>
                <w:lang w:val="en-US" w:eastAsia="zh-CN"/>
              </w:rPr>
              <w:t>型环境空气颗粒物综合采样、</w:t>
            </w:r>
            <w:r>
              <w:rPr>
                <w:rFonts w:hint="default" w:ascii="Times New Roman" w:hAnsi="Times New Roman" w:eastAsia="宋体"/>
                <w:sz w:val="21"/>
                <w:szCs w:val="21"/>
                <w:lang w:val="en-US" w:eastAsia="zh-CN"/>
              </w:rPr>
              <w:t>FA2004B</w:t>
            </w:r>
            <w:r>
              <w:rPr>
                <w:rFonts w:hint="eastAsia" w:ascii="Times New Roman" w:hAnsi="Times New Roman" w:eastAsia="宋体"/>
                <w:sz w:val="21"/>
                <w:szCs w:val="21"/>
                <w:lang w:val="en-US" w:eastAsia="zh-CN"/>
              </w:rPr>
              <w:t>万分之一电子天平</w:t>
            </w:r>
          </w:p>
        </w:tc>
        <w:tc>
          <w:tcPr>
            <w:tcW w:w="802" w:type="pct"/>
            <w:vAlign w:val="center"/>
          </w:tcPr>
          <w:p>
            <w:pPr>
              <w:pStyle w:val="31"/>
              <w:keepNext w:val="0"/>
              <w:keepLines w:val="0"/>
              <w:pageBreakBefore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default" w:ascii="Times New Roman" w:hAnsi="Times New Roman" w:eastAsia="宋体"/>
                <w:sz w:val="21"/>
                <w:szCs w:val="21"/>
                <w:lang w:val="en-US" w:eastAsia="zh-CN"/>
              </w:rPr>
              <w:t>0.001mg/m</w:t>
            </w:r>
            <w:r>
              <w:rPr>
                <w:rFonts w:hint="default" w:ascii="Times New Roman" w:hAnsi="Times New Roman" w:eastAsia="宋体"/>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hAnsi="Times New Roman" w:eastAsia="宋体"/>
                <w:sz w:val="21"/>
                <w:szCs w:val="21"/>
              </w:rPr>
            </w:pPr>
            <w:r>
              <w:rPr>
                <w:rFonts w:hint="eastAsia" w:ascii="Times New Roman" w:hAnsi="Times New Roman" w:eastAsia="宋体" w:cs="宋体"/>
                <w:color w:val="000000"/>
                <w:kern w:val="0"/>
                <w:sz w:val="21"/>
                <w:szCs w:val="21"/>
                <w:lang w:val="en-US" w:eastAsia="zh-CN" w:bidi="ar"/>
              </w:rPr>
              <w:t>非甲烷总烃</w:t>
            </w:r>
          </w:p>
        </w:tc>
        <w:tc>
          <w:tcPr>
            <w:tcW w:w="1320"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eastAsia" w:ascii="宋体" w:hAnsi="宋体" w:eastAsia="宋体" w:cs="宋体"/>
                <w:color w:val="000000"/>
                <w:kern w:val="0"/>
                <w:sz w:val="21"/>
                <w:szCs w:val="21"/>
                <w:lang w:val="en-US" w:eastAsia="zh-CN" w:bidi="ar"/>
              </w:rPr>
              <w:t>环境空气 总烃、甲烷和非甲烷总烃的测定直接进样</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气相色谱法</w:t>
            </w:r>
          </w:p>
        </w:tc>
        <w:tc>
          <w:tcPr>
            <w:tcW w:w="981"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default" w:ascii="Times New Roman" w:hAnsi="Times New Roman" w:eastAsia="宋体" w:cs="Times New Roman"/>
                <w:color w:val="000000"/>
                <w:kern w:val="0"/>
                <w:sz w:val="21"/>
                <w:szCs w:val="21"/>
                <w:lang w:val="en-US" w:eastAsia="zh-CN" w:bidi="ar"/>
              </w:rPr>
              <w:t>HJ 604-2017</w:t>
            </w:r>
          </w:p>
        </w:tc>
        <w:tc>
          <w:tcPr>
            <w:tcW w:w="1275"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default" w:ascii="Times New Roman" w:hAnsi="Times New Roman" w:eastAsia="宋体" w:cs="Times New Roman"/>
                <w:color w:val="000000"/>
                <w:kern w:val="0"/>
                <w:sz w:val="21"/>
                <w:szCs w:val="21"/>
                <w:lang w:val="en-US" w:eastAsia="zh-CN" w:bidi="ar"/>
              </w:rPr>
              <w:t>GC9790II</w:t>
            </w:r>
            <w:r>
              <w:rPr>
                <w:rFonts w:hint="eastAsia" w:ascii="宋体" w:hAnsi="宋体" w:eastAsia="宋体" w:cs="宋体"/>
                <w:color w:val="000000"/>
                <w:kern w:val="0"/>
                <w:sz w:val="21"/>
                <w:szCs w:val="21"/>
                <w:lang w:val="en-US" w:eastAsia="zh-CN" w:bidi="ar"/>
              </w:rPr>
              <w:t>气相色谱仪</w:t>
            </w:r>
          </w:p>
        </w:tc>
        <w:tc>
          <w:tcPr>
            <w:tcW w:w="802"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sz w:val="21"/>
                <w:szCs w:val="21"/>
                <w:lang w:val="en-US"/>
              </w:rPr>
            </w:pPr>
            <w:r>
              <w:rPr>
                <w:rFonts w:hint="default" w:ascii="Times New Roman" w:hAnsi="Times New Roman" w:eastAsia="宋体" w:cs="Times New Roman"/>
                <w:color w:val="000000"/>
                <w:kern w:val="0"/>
                <w:sz w:val="21"/>
                <w:szCs w:val="21"/>
                <w:lang w:val="en-US" w:eastAsia="zh-CN" w:bidi="ar"/>
              </w:rPr>
              <w:t>0.07mg/m</w:t>
            </w:r>
            <w:r>
              <w:rPr>
                <w:rFonts w:hint="eastAsia" w:ascii="Times New Roman" w:hAnsi="Times New Roman" w:eastAsia="宋体" w:cs="Times New Roman"/>
                <w:color w:val="000000"/>
                <w:kern w:val="0"/>
                <w:sz w:val="21"/>
                <w:szCs w:val="21"/>
                <w:vertAlign w:val="superscript"/>
                <w:lang w:val="en-US" w:eastAsia="zh-CN" w:bidi="ar"/>
              </w:rPr>
              <w:t>3</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以碳计</w:t>
            </w:r>
            <w:r>
              <w:rPr>
                <w:rFonts w:hint="default" w:ascii="Times New Roman" w:hAnsi="Times New Roman" w:eastAsia="宋体" w:cs="Times New Roman"/>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cs="宋体"/>
                <w:color w:val="000000"/>
                <w:kern w:val="0"/>
                <w:sz w:val="21"/>
                <w:szCs w:val="21"/>
                <w:u w:val="single"/>
                <w:lang w:val="en-US" w:eastAsia="zh-CN" w:bidi="ar"/>
              </w:rPr>
            </w:pPr>
            <w:r>
              <w:rPr>
                <w:rFonts w:hint="eastAsia" w:cs="宋体"/>
                <w:color w:val="000000"/>
                <w:kern w:val="0"/>
                <w:sz w:val="21"/>
                <w:szCs w:val="21"/>
                <w:u w:val="single"/>
                <w:lang w:val="en-US" w:eastAsia="zh-CN" w:bidi="ar"/>
              </w:rPr>
              <w:t>苯乙烯</w:t>
            </w:r>
          </w:p>
        </w:tc>
        <w:tc>
          <w:tcPr>
            <w:tcW w:w="1320"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u w:val="single"/>
                <w:lang w:val="en-US" w:eastAsia="zh-CN" w:bidi="ar"/>
              </w:rPr>
            </w:pPr>
            <w:r>
              <w:rPr>
                <w:rFonts w:hint="eastAsia" w:ascii="宋体" w:hAnsi="宋体" w:eastAsia="宋体" w:cs="宋体"/>
                <w:color w:val="000000"/>
                <w:kern w:val="0"/>
                <w:sz w:val="21"/>
                <w:szCs w:val="21"/>
                <w:u w:val="single"/>
                <w:lang w:val="en-US" w:eastAsia="zh-CN" w:bidi="ar"/>
              </w:rPr>
              <w:t>环境空气</w:t>
            </w:r>
            <w:r>
              <w:rPr>
                <w:rFonts w:hint="eastAsia" w:ascii="宋体" w:hAnsi="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u w:val="single"/>
                <w:lang w:val="en-US" w:eastAsia="zh-CN" w:bidi="ar"/>
              </w:rPr>
              <w:t>苯系物的测定活性炭吸附/二硫化碳</w:t>
            </w:r>
            <w:r>
              <w:rPr>
                <w:rFonts w:hint="eastAsia" w:ascii="宋体" w:hAnsi="宋体" w:cs="宋体"/>
                <w:color w:val="000000"/>
                <w:kern w:val="0"/>
                <w:sz w:val="21"/>
                <w:szCs w:val="21"/>
                <w:u w:val="single"/>
                <w:lang w:val="en-US" w:eastAsia="zh-CN" w:bidi="ar"/>
              </w:rPr>
              <w:t>解析</w:t>
            </w:r>
            <w:r>
              <w:rPr>
                <w:rFonts w:hint="eastAsia" w:ascii="宋体" w:hAnsi="宋体" w:eastAsia="宋体" w:cs="宋体"/>
                <w:color w:val="000000"/>
                <w:kern w:val="0"/>
                <w:sz w:val="21"/>
                <w:szCs w:val="21"/>
                <w:u w:val="single"/>
                <w:lang w:val="en-US" w:eastAsia="zh-CN" w:bidi="ar"/>
              </w:rPr>
              <w:t>-气相色谱法</w:t>
            </w:r>
          </w:p>
        </w:tc>
        <w:tc>
          <w:tcPr>
            <w:tcW w:w="981"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HJ 584-2010</w:t>
            </w:r>
          </w:p>
        </w:tc>
        <w:tc>
          <w:tcPr>
            <w:tcW w:w="1275"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GC9790II</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气相色谱仪</w:t>
            </w:r>
          </w:p>
        </w:tc>
        <w:tc>
          <w:tcPr>
            <w:tcW w:w="802"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sz w:val="21"/>
                <w:szCs w:val="21"/>
                <w:u w:val="single"/>
                <w:lang w:val="en-US" w:eastAsia="zh-CN"/>
              </w:rPr>
              <w:t>0.001</w:t>
            </w:r>
            <w:r>
              <w:rPr>
                <w:rFonts w:hint="eastAsia" w:ascii="Times New Roman" w:hAnsi="Times New Roman"/>
                <w:sz w:val="21"/>
                <w:szCs w:val="21"/>
                <w:u w:val="single"/>
                <w:lang w:val="en-US" w:eastAsia="zh-CN"/>
              </w:rPr>
              <w:t>5</w:t>
            </w:r>
            <w:r>
              <w:rPr>
                <w:rFonts w:hint="default" w:ascii="Times New Roman" w:hAnsi="Times New Roman" w:eastAsia="宋体"/>
                <w:sz w:val="21"/>
                <w:szCs w:val="21"/>
                <w:u w:val="single"/>
                <w:lang w:val="en-US" w:eastAsia="zh-CN"/>
              </w:rPr>
              <w:t>mg/m</w:t>
            </w:r>
            <w:r>
              <w:rPr>
                <w:rFonts w:hint="default" w:ascii="Times New Roman" w:hAnsi="Times New Roman" w:eastAsia="宋体"/>
                <w:sz w:val="21"/>
                <w:szCs w:val="21"/>
                <w:u w:val="single"/>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cs="宋体"/>
                <w:color w:val="000000"/>
                <w:kern w:val="0"/>
                <w:sz w:val="21"/>
                <w:szCs w:val="21"/>
                <w:u w:val="single"/>
                <w:lang w:val="en-US" w:eastAsia="zh-CN" w:bidi="ar"/>
              </w:rPr>
            </w:pPr>
            <w:r>
              <w:rPr>
                <w:rFonts w:hint="eastAsia" w:cs="宋体"/>
                <w:color w:val="000000"/>
                <w:kern w:val="0"/>
                <w:sz w:val="21"/>
                <w:szCs w:val="21"/>
                <w:u w:val="single"/>
                <w:lang w:val="en-US" w:eastAsia="zh-CN" w:bidi="ar"/>
              </w:rPr>
              <w:t>氨</w:t>
            </w:r>
          </w:p>
        </w:tc>
        <w:tc>
          <w:tcPr>
            <w:tcW w:w="1320"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u w:val="single"/>
                <w:lang w:val="en-US" w:eastAsia="zh-CN" w:bidi="ar"/>
              </w:rPr>
            </w:pPr>
            <w:r>
              <w:rPr>
                <w:rFonts w:hint="eastAsia" w:ascii="宋体" w:hAnsi="宋体" w:eastAsia="宋体" w:cs="宋体"/>
                <w:color w:val="000000"/>
                <w:kern w:val="0"/>
                <w:sz w:val="21"/>
                <w:szCs w:val="21"/>
                <w:u w:val="single"/>
                <w:lang w:val="en-US" w:eastAsia="zh-CN" w:bidi="ar"/>
              </w:rPr>
              <w:t>环境空气 氨的测定次氯酸 钠-水杨酸分光光度法</w:t>
            </w:r>
          </w:p>
        </w:tc>
        <w:tc>
          <w:tcPr>
            <w:tcW w:w="981"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HJ 534-2009</w:t>
            </w:r>
          </w:p>
        </w:tc>
        <w:tc>
          <w:tcPr>
            <w:tcW w:w="1275"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紫外可见分光光度计</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TU-1810</w:t>
            </w:r>
          </w:p>
        </w:tc>
        <w:tc>
          <w:tcPr>
            <w:tcW w:w="802"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sz w:val="21"/>
                <w:szCs w:val="21"/>
                <w:u w:val="single"/>
                <w:lang w:val="en-US" w:eastAsia="zh-CN"/>
              </w:rPr>
              <w:t>0.00</w:t>
            </w:r>
            <w:r>
              <w:rPr>
                <w:rFonts w:hint="eastAsia" w:ascii="Times New Roman" w:hAnsi="Times New Roman"/>
                <w:sz w:val="21"/>
                <w:szCs w:val="21"/>
                <w:u w:val="single"/>
                <w:lang w:val="en-US" w:eastAsia="zh-CN"/>
              </w:rPr>
              <w:t>04</w:t>
            </w:r>
            <w:r>
              <w:rPr>
                <w:rFonts w:hint="default" w:ascii="Times New Roman" w:hAnsi="Times New Roman" w:eastAsia="宋体"/>
                <w:sz w:val="21"/>
                <w:szCs w:val="21"/>
                <w:u w:val="single"/>
                <w:lang w:val="en-US" w:eastAsia="zh-CN"/>
              </w:rPr>
              <w:t>mg/m</w:t>
            </w:r>
            <w:r>
              <w:rPr>
                <w:rFonts w:hint="default" w:ascii="Times New Roman" w:hAnsi="Times New Roman" w:eastAsia="宋体"/>
                <w:sz w:val="21"/>
                <w:szCs w:val="21"/>
                <w:u w:val="single"/>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cs="宋体"/>
                <w:color w:val="000000"/>
                <w:kern w:val="0"/>
                <w:sz w:val="21"/>
                <w:szCs w:val="21"/>
                <w:u w:val="single"/>
                <w:lang w:val="en-US" w:eastAsia="zh-CN" w:bidi="ar"/>
              </w:rPr>
            </w:pPr>
            <w:r>
              <w:rPr>
                <w:rFonts w:hint="eastAsia" w:cs="宋体"/>
                <w:color w:val="000000"/>
                <w:kern w:val="0"/>
                <w:sz w:val="21"/>
                <w:szCs w:val="21"/>
                <w:u w:val="single"/>
                <w:lang w:val="en-US" w:eastAsia="zh-CN" w:bidi="ar"/>
              </w:rPr>
              <w:t>硫化氢</w:t>
            </w:r>
          </w:p>
        </w:tc>
        <w:tc>
          <w:tcPr>
            <w:tcW w:w="1320"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u w:val="single"/>
                <w:lang w:val="en-US" w:eastAsia="zh-CN" w:bidi="ar"/>
              </w:rPr>
            </w:pPr>
            <w:r>
              <w:rPr>
                <w:rFonts w:hint="eastAsia" w:ascii="宋体" w:hAnsi="宋体" w:eastAsia="宋体" w:cs="宋体"/>
                <w:color w:val="000000"/>
                <w:kern w:val="0"/>
                <w:sz w:val="21"/>
                <w:szCs w:val="21"/>
                <w:u w:val="single"/>
                <w:lang w:val="en-US" w:eastAsia="zh-CN" w:bidi="ar"/>
              </w:rPr>
              <w:t>空气中硫化氢 气相色谱法</w:t>
            </w:r>
          </w:p>
        </w:tc>
        <w:tc>
          <w:tcPr>
            <w:tcW w:w="981"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《空气和废气监测分析方法》(第四版增补版)第六篇 第五章二国家环境保护总局(2003年)</w:t>
            </w:r>
          </w:p>
        </w:tc>
        <w:tc>
          <w:tcPr>
            <w:tcW w:w="1275"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紫外可见分光光度计</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T6-新世纪</w:t>
            </w:r>
          </w:p>
        </w:tc>
        <w:tc>
          <w:tcPr>
            <w:tcW w:w="802" w:type="pct"/>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sz w:val="21"/>
                <w:szCs w:val="21"/>
                <w:u w:val="single"/>
                <w:lang w:val="en-US" w:eastAsia="zh-CN"/>
              </w:rPr>
              <w:t>0.001mg/m</w:t>
            </w:r>
            <w:r>
              <w:rPr>
                <w:rFonts w:hint="default" w:ascii="Times New Roman" w:hAnsi="Times New Roman" w:eastAsia="宋体"/>
                <w:sz w:val="21"/>
                <w:szCs w:val="21"/>
                <w:u w:val="single"/>
                <w:vertAlign w:val="superscript"/>
                <w:lang w:val="en-US" w:eastAsia="zh-CN"/>
              </w:rPr>
              <w:t>3</w:t>
            </w:r>
          </w:p>
        </w:tc>
      </w:tr>
    </w:tbl>
    <w:p>
      <w:pPr>
        <w:pStyle w:val="10"/>
        <w:spacing w:line="360" w:lineRule="auto"/>
        <w:ind w:right="410" w:firstLine="480" w:firstLineChars="200"/>
        <w:rPr>
          <w:rFonts w:ascii="Times New Roman" w:hAnsi="Times New Roman" w:eastAsia="宋体" w:cs="宋体"/>
          <w:sz w:val="24"/>
        </w:rPr>
      </w:pPr>
      <w:r>
        <w:rPr>
          <w:rFonts w:hint="eastAsia" w:ascii="Times New Roman" w:hAnsi="Times New Roman" w:eastAsia="宋体" w:cs="宋体"/>
          <w:sz w:val="24"/>
          <w:lang w:val="en-US" w:eastAsia="zh-CN"/>
        </w:rPr>
        <w:t>监测期间气象资料见表</w:t>
      </w:r>
      <w:r>
        <w:rPr>
          <w:rFonts w:hint="default" w:ascii="Times New Roman" w:hAnsi="Times New Roman" w:eastAsia="宋体" w:cs="宋体"/>
          <w:sz w:val="24"/>
          <w:lang w:val="en-US" w:eastAsia="zh-CN"/>
        </w:rPr>
        <w:t>5.2-</w:t>
      </w:r>
      <w:r>
        <w:rPr>
          <w:rFonts w:hint="eastAsia" w:ascii="Times New Roman" w:hAnsi="Times New Roman" w:cs="宋体"/>
          <w:sz w:val="24"/>
          <w:lang w:val="en-US" w:eastAsia="zh-CN"/>
        </w:rPr>
        <w:t>4</w:t>
      </w:r>
      <w:r>
        <w:rPr>
          <w:rFonts w:hint="eastAsia" w:ascii="Times New Roman" w:hAnsi="Times New Roman" w:eastAsia="宋体" w:cs="宋体"/>
          <w:sz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right="0" w:firstLine="482" w:firstLineChars="200"/>
        <w:jc w:val="center"/>
        <w:textAlignment w:val="auto"/>
        <w:rPr>
          <w:rFonts w:hint="eastAsia" w:ascii="Times New Roman" w:hAnsi="Times New Roman" w:eastAsia="宋体" w:cs="宋体"/>
          <w:b/>
          <w:bCs/>
          <w:sz w:val="24"/>
          <w:lang w:val="en-US" w:eastAsia="zh-CN"/>
        </w:rPr>
      </w:pPr>
      <w:r>
        <w:rPr>
          <w:rFonts w:hint="eastAsia" w:ascii="Times New Roman" w:hAnsi="Times New Roman" w:eastAsia="宋体" w:cs="宋体"/>
          <w:b/>
          <w:bCs/>
          <w:sz w:val="24"/>
          <w:lang w:val="en-US" w:eastAsia="zh-CN"/>
        </w:rPr>
        <w:t>表5.2-</w:t>
      </w:r>
      <w:r>
        <w:rPr>
          <w:rFonts w:hint="eastAsia" w:ascii="Times New Roman" w:hAnsi="Times New Roman" w:cs="宋体"/>
          <w:b/>
          <w:bCs/>
          <w:sz w:val="24"/>
          <w:lang w:val="en-US" w:eastAsia="zh-CN"/>
        </w:rPr>
        <w:t>4</w:t>
      </w:r>
      <w:r>
        <w:rPr>
          <w:rFonts w:hint="eastAsia" w:ascii="Times New Roman" w:hAnsi="Times New Roman" w:eastAsia="宋体" w:cs="宋体"/>
          <w:b/>
          <w:bCs/>
          <w:sz w:val="24"/>
          <w:lang w:val="en-US" w:eastAsia="zh-CN"/>
        </w:rPr>
        <w:t xml:space="preserve">  监测期间气象资料</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8"/>
        <w:gridCol w:w="1335"/>
        <w:gridCol w:w="1223"/>
        <w:gridCol w:w="996"/>
        <w:gridCol w:w="890"/>
        <w:gridCol w:w="970"/>
        <w:gridCol w:w="838"/>
        <w:gridCol w:w="89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11" w:type="pct"/>
            <w:gridSpan w:val="2"/>
            <w:vAlign w:val="center"/>
          </w:tcPr>
          <w:p>
            <w:pPr>
              <w:pStyle w:val="30"/>
              <w:bidi w:val="0"/>
              <w:rPr>
                <w:sz w:val="21"/>
                <w:szCs w:val="21"/>
              </w:rPr>
            </w:pPr>
            <w:r>
              <w:rPr>
                <w:sz w:val="21"/>
                <w:szCs w:val="21"/>
              </w:rPr>
              <w:t>测量时间</w:t>
            </w:r>
          </w:p>
        </w:tc>
        <w:tc>
          <w:tcPr>
            <w:tcW w:w="673" w:type="pct"/>
            <w:vAlign w:val="center"/>
          </w:tcPr>
          <w:p>
            <w:pPr>
              <w:pStyle w:val="30"/>
              <w:bidi w:val="0"/>
              <w:rPr>
                <w:sz w:val="21"/>
                <w:szCs w:val="21"/>
              </w:rPr>
            </w:pPr>
            <w:r>
              <w:rPr>
                <w:sz w:val="21"/>
                <w:szCs w:val="21"/>
              </w:rPr>
              <w:t>温度</w:t>
            </w:r>
          </w:p>
          <w:p>
            <w:pPr>
              <w:pStyle w:val="30"/>
              <w:bidi w:val="0"/>
              <w:rPr>
                <w:sz w:val="21"/>
                <w:szCs w:val="21"/>
              </w:rPr>
            </w:pPr>
            <w:r>
              <w:rPr>
                <w:sz w:val="21"/>
                <w:szCs w:val="21"/>
              </w:rPr>
              <w:t>(℃)</w:t>
            </w:r>
          </w:p>
        </w:tc>
        <w:tc>
          <w:tcPr>
            <w:tcW w:w="548" w:type="pct"/>
            <w:vAlign w:val="center"/>
          </w:tcPr>
          <w:p>
            <w:pPr>
              <w:pStyle w:val="30"/>
              <w:bidi w:val="0"/>
              <w:rPr>
                <w:sz w:val="21"/>
                <w:szCs w:val="21"/>
              </w:rPr>
            </w:pPr>
            <w:r>
              <w:rPr>
                <w:sz w:val="21"/>
                <w:szCs w:val="21"/>
              </w:rPr>
              <w:t>大气压(kPa)</w:t>
            </w:r>
          </w:p>
        </w:tc>
        <w:tc>
          <w:tcPr>
            <w:tcW w:w="490" w:type="pct"/>
            <w:vAlign w:val="center"/>
          </w:tcPr>
          <w:p>
            <w:pPr>
              <w:pStyle w:val="30"/>
              <w:bidi w:val="0"/>
              <w:rPr>
                <w:sz w:val="21"/>
                <w:szCs w:val="21"/>
              </w:rPr>
            </w:pPr>
            <w:r>
              <w:rPr>
                <w:sz w:val="21"/>
                <w:szCs w:val="21"/>
              </w:rPr>
              <w:t>风速</w:t>
            </w:r>
          </w:p>
          <w:p>
            <w:pPr>
              <w:pStyle w:val="30"/>
              <w:bidi w:val="0"/>
              <w:rPr>
                <w:sz w:val="21"/>
                <w:szCs w:val="21"/>
              </w:rPr>
            </w:pPr>
            <w:r>
              <w:rPr>
                <w:sz w:val="21"/>
                <w:szCs w:val="21"/>
              </w:rPr>
              <w:t>(m/s)</w:t>
            </w:r>
          </w:p>
        </w:tc>
        <w:tc>
          <w:tcPr>
            <w:tcW w:w="534" w:type="pct"/>
            <w:vAlign w:val="center"/>
          </w:tcPr>
          <w:p>
            <w:pPr>
              <w:pStyle w:val="30"/>
              <w:bidi w:val="0"/>
              <w:rPr>
                <w:sz w:val="21"/>
                <w:szCs w:val="21"/>
              </w:rPr>
            </w:pPr>
            <w:r>
              <w:rPr>
                <w:sz w:val="21"/>
                <w:szCs w:val="21"/>
              </w:rPr>
              <w:t>风向</w:t>
            </w:r>
          </w:p>
        </w:tc>
        <w:tc>
          <w:tcPr>
            <w:tcW w:w="461" w:type="pct"/>
            <w:vAlign w:val="center"/>
          </w:tcPr>
          <w:p>
            <w:pPr>
              <w:pStyle w:val="30"/>
              <w:bidi w:val="0"/>
              <w:rPr>
                <w:sz w:val="21"/>
                <w:szCs w:val="21"/>
              </w:rPr>
            </w:pPr>
            <w:r>
              <w:rPr>
                <w:sz w:val="21"/>
                <w:szCs w:val="21"/>
              </w:rPr>
              <w:t>低云量</w:t>
            </w:r>
          </w:p>
        </w:tc>
        <w:tc>
          <w:tcPr>
            <w:tcW w:w="490" w:type="pct"/>
            <w:vAlign w:val="center"/>
          </w:tcPr>
          <w:p>
            <w:pPr>
              <w:pStyle w:val="30"/>
              <w:bidi w:val="0"/>
              <w:rPr>
                <w:sz w:val="21"/>
                <w:szCs w:val="21"/>
              </w:rPr>
            </w:pPr>
            <w:r>
              <w:rPr>
                <w:sz w:val="21"/>
                <w:szCs w:val="21"/>
              </w:rPr>
              <w:t>总云量</w:t>
            </w:r>
          </w:p>
        </w:tc>
        <w:tc>
          <w:tcPr>
            <w:tcW w:w="389" w:type="pct"/>
            <w:vAlign w:val="center"/>
          </w:tcPr>
          <w:p>
            <w:pPr>
              <w:pStyle w:val="30"/>
              <w:bidi w:val="0"/>
              <w:rPr>
                <w:sz w:val="21"/>
                <w:szCs w:val="21"/>
              </w:rPr>
            </w:pPr>
            <w:r>
              <w:rPr>
                <w:sz w:val="21"/>
                <w:szCs w:val="21"/>
              </w:rPr>
              <w:t>天气</w:t>
            </w:r>
          </w:p>
          <w:p>
            <w:pPr>
              <w:pStyle w:val="30"/>
              <w:bidi w:val="0"/>
              <w:rPr>
                <w:sz w:val="21"/>
                <w:szCs w:val="21"/>
              </w:rPr>
            </w:pPr>
            <w:r>
              <w:rPr>
                <w:sz w:val="21"/>
                <w:szCs w:val="21"/>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2021.07.14</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23.9</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99.8</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4"/>
                <w:sz w:val="21"/>
                <w:szCs w:val="21"/>
              </w:rPr>
              <w:t>1.8</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30.7</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1.6</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33.2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99.4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1.6</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27.2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99.7</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1.7</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2021.07.15</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24.2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99.6</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102"/>
                <w:sz w:val="21"/>
                <w:szCs w:val="21"/>
              </w:rPr>
              <w:t>2.1</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1</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31.2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99.4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2.0</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34.</w:t>
            </w:r>
            <w:r>
              <w:rPr>
                <w:rFonts w:ascii="Times New Roman" w:hAnsi="Times New Roman" w:eastAsia="Times New Roman" w:cs="Times New Roman"/>
                <w:b w:val="0"/>
                <w:bCs w:val="0"/>
                <w:spacing w:val="-28"/>
                <w:sz w:val="21"/>
                <w:szCs w:val="21"/>
              </w:rPr>
              <w:t xml:space="preserve"> </w:t>
            </w:r>
            <w:r>
              <w:rPr>
                <w:rFonts w:ascii="Times New Roman" w:hAnsi="Times New Roman" w:eastAsia="Times New Roman" w:cs="Times New Roman"/>
                <w:b w:val="0"/>
                <w:bCs w:val="0"/>
                <w:spacing w:val="-2"/>
                <w:sz w:val="21"/>
                <w:szCs w:val="21"/>
              </w:rPr>
              <w:t>1</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2.2</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29.6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2.2</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2021.07.16</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23.2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99.9</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1.6</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29.6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99.8</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1.5</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32.6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1.7</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2</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30.4</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99.7</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1.7</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NW</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2021.07.17</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24.3</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99.9</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1.9</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29.0</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99.6</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102"/>
                <w:sz w:val="21"/>
                <w:szCs w:val="21"/>
              </w:rPr>
              <w:t>2.1</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31.8</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98.9</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1.6</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30.7</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2.0</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2021.07.18</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22.4</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99.8</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6"/>
                <w:sz w:val="21"/>
                <w:szCs w:val="21"/>
              </w:rPr>
              <w:t>1.4</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1</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29.5</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99.6</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1.5</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5</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31.7</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99.4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4"/>
                <w:sz w:val="21"/>
                <w:szCs w:val="21"/>
              </w:rPr>
              <w:t>1.8</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2</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27.2</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99.7</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1.7</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N</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z w:val="21"/>
                <w:szCs w:val="21"/>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3"/>
                <w:sz w:val="21"/>
                <w:szCs w:val="21"/>
              </w:rPr>
              <w:t>2021.07.19</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23.</w:t>
            </w:r>
            <w:r>
              <w:rPr>
                <w:rFonts w:ascii="Times New Roman" w:hAnsi="Times New Roman" w:eastAsia="Times New Roman" w:cs="Times New Roman"/>
                <w:b w:val="0"/>
                <w:bCs w:val="0"/>
                <w:spacing w:val="-27"/>
                <w:sz w:val="21"/>
                <w:szCs w:val="21"/>
              </w:rPr>
              <w:t xml:space="preserve"> </w:t>
            </w:r>
            <w:r>
              <w:rPr>
                <w:rFonts w:ascii="Times New Roman" w:hAnsi="Times New Roman" w:eastAsia="Times New Roman" w:cs="Times New Roman"/>
                <w:b w:val="0"/>
                <w:bCs w:val="0"/>
                <w:spacing w:val="-1"/>
                <w:sz w:val="21"/>
                <w:szCs w:val="21"/>
              </w:rPr>
              <w:t>1</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99.9</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4"/>
                <w:sz w:val="21"/>
                <w:szCs w:val="21"/>
              </w:rPr>
              <w:t>1.8</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29.6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99.6</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1.9</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31.9</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99"/>
                <w:sz w:val="21"/>
                <w:szCs w:val="21"/>
              </w:rPr>
              <w:t>1.7</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27.4</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99.7</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2.2</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2</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67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2021.07.20</w:t>
            </w: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02:00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23.6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99.8</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1.6</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7</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08:00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28.6</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99.6</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w w:val="102"/>
                <w:sz w:val="21"/>
                <w:szCs w:val="21"/>
              </w:rPr>
              <w:t>2.1</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5"/>
                <w:sz w:val="21"/>
                <w:szCs w:val="21"/>
              </w:rPr>
              <w:t>14:00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32.9</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99.4</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2.4</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3</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6</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67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b w:val="0"/>
                <w:bCs w:val="0"/>
                <w:sz w:val="21"/>
                <w:szCs w:val="21"/>
              </w:rPr>
            </w:pPr>
          </w:p>
        </w:tc>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2"/>
                <w:sz w:val="21"/>
                <w:szCs w:val="21"/>
              </w:rPr>
              <w:t>20:00</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1"/>
                <w:sz w:val="21"/>
                <w:szCs w:val="21"/>
              </w:rPr>
              <w:t>31.8</w:t>
            </w:r>
          </w:p>
        </w:tc>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99.5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pacing w:val="-4"/>
                <w:sz w:val="21"/>
                <w:szCs w:val="21"/>
              </w:rPr>
              <w:t>1.8</w:t>
            </w:r>
          </w:p>
        </w:tc>
        <w:tc>
          <w:tcPr>
            <w:tcW w:w="5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NE</w:t>
            </w:r>
          </w:p>
        </w:tc>
        <w:tc>
          <w:tcPr>
            <w:tcW w:w="46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5</w:t>
            </w:r>
          </w:p>
        </w:tc>
        <w:tc>
          <w:tcPr>
            <w:tcW w:w="4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b w:val="0"/>
                <w:bCs w:val="0"/>
                <w:sz w:val="21"/>
                <w:szCs w:val="21"/>
              </w:rPr>
            </w:pPr>
            <w:r>
              <w:rPr>
                <w:rFonts w:ascii="Times New Roman" w:hAnsi="Times New Roman" w:eastAsia="Times New Roman" w:cs="Times New Roman"/>
                <w:b w:val="0"/>
                <w:bCs w:val="0"/>
                <w:sz w:val="21"/>
                <w:szCs w:val="21"/>
              </w:rPr>
              <w:t>8</w:t>
            </w:r>
          </w:p>
        </w:tc>
        <w:tc>
          <w:tcPr>
            <w:tcW w:w="3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b w:val="0"/>
                <w:bCs w:val="0"/>
                <w:sz w:val="21"/>
                <w:szCs w:val="21"/>
              </w:rPr>
            </w:pPr>
            <w:r>
              <w:rPr>
                <w:rFonts w:ascii="宋体" w:hAnsi="宋体" w:eastAsia="宋体" w:cs="宋体"/>
                <w:b w:val="0"/>
                <w:bCs w:val="0"/>
                <w:spacing w:val="-10"/>
                <w:sz w:val="21"/>
                <w:szCs w:val="21"/>
              </w:rPr>
              <w:t>多云</w:t>
            </w:r>
          </w:p>
        </w:tc>
      </w:tr>
    </w:tbl>
    <w:p>
      <w:pPr>
        <w:pStyle w:val="4"/>
        <w:bidi w:val="0"/>
        <w:spacing w:line="360" w:lineRule="auto"/>
      </w:pPr>
      <w:r>
        <w:rPr>
          <w:rFonts w:hint="eastAsia"/>
          <w:lang w:val="en-US" w:eastAsia="zh-CN"/>
        </w:rPr>
        <w:t xml:space="preserve">5.2.4 </w:t>
      </w:r>
      <w:r>
        <w:t>环境空气质量现状评价标准</w:t>
      </w:r>
    </w:p>
    <w:p>
      <w:pPr>
        <w:bidi w:val="0"/>
      </w:pPr>
      <w:r>
        <w:rPr>
          <w:rFonts w:hint="default"/>
        </w:rPr>
        <w:t>（1）</w:t>
      </w:r>
      <w:r>
        <w:t>环境空气质量标准</w:t>
      </w:r>
    </w:p>
    <w:p>
      <w:pPr>
        <w:bidi w:val="0"/>
      </w:pPr>
      <w:r>
        <w:t>各环境质量标准限值见表5.2-</w:t>
      </w:r>
      <w:r>
        <w:rPr>
          <w:rFonts w:hint="eastAsia"/>
          <w:lang w:val="en-US" w:eastAsia="zh-CN"/>
        </w:rPr>
        <w:t>5</w:t>
      </w:r>
      <w:r>
        <w:t>。</w:t>
      </w:r>
    </w:p>
    <w:p>
      <w:pPr>
        <w:pStyle w:val="10"/>
        <w:spacing w:line="360" w:lineRule="auto"/>
        <w:ind w:left="440" w:right="410" w:firstLine="479"/>
        <w:jc w:val="center"/>
        <w:rPr>
          <w:rFonts w:hint="eastAsia" w:ascii="Times New Roman" w:hAnsi="Times New Roman" w:eastAsia="宋体" w:cs="宋体"/>
          <w:b/>
          <w:bCs/>
          <w:sz w:val="24"/>
        </w:rPr>
      </w:pPr>
      <w:r>
        <w:rPr>
          <w:rFonts w:hint="eastAsia" w:ascii="Times New Roman" w:hAnsi="Times New Roman" w:eastAsia="宋体" w:cs="宋体"/>
          <w:b/>
          <w:bCs/>
          <w:sz w:val="24"/>
        </w:rPr>
        <w:t>表</w:t>
      </w:r>
      <w:r>
        <w:rPr>
          <w:rFonts w:ascii="Times New Roman" w:hAnsi="Times New Roman" w:eastAsia="宋体" w:cs="宋体"/>
          <w:b/>
          <w:bCs/>
          <w:sz w:val="24"/>
        </w:rPr>
        <w:t>5.2-</w:t>
      </w:r>
      <w:r>
        <w:rPr>
          <w:rFonts w:hint="eastAsia" w:ascii="Times New Roman" w:hAnsi="Times New Roman" w:cs="宋体"/>
          <w:b/>
          <w:bCs/>
          <w:sz w:val="24"/>
          <w:lang w:val="en-US" w:eastAsia="zh-CN"/>
        </w:rPr>
        <w:t>5</w:t>
      </w:r>
      <w:r>
        <w:rPr>
          <w:rFonts w:hint="eastAsia" w:ascii="Times New Roman" w:hAnsi="Times New Roman" w:eastAsia="宋体" w:cs="宋体"/>
          <w:b/>
          <w:bCs/>
          <w:sz w:val="24"/>
          <w:lang w:val="en-US" w:eastAsia="zh-CN"/>
        </w:rPr>
        <w:t xml:space="preserve">  </w:t>
      </w:r>
      <w:r>
        <w:rPr>
          <w:rFonts w:hint="eastAsia" w:ascii="Times New Roman" w:hAnsi="Times New Roman" w:eastAsia="宋体" w:cs="宋体"/>
          <w:b/>
          <w:bCs/>
          <w:sz w:val="24"/>
        </w:rPr>
        <w:t>环境空气质量标准</w:t>
      </w:r>
    </w:p>
    <w:tbl>
      <w:tblPr>
        <w:tblStyle w:val="21"/>
        <w:tblW w:w="50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0"/>
        <w:gridCol w:w="1095"/>
        <w:gridCol w:w="1213"/>
        <w:gridCol w:w="5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szCs w:val="21"/>
              </w:rPr>
            </w:pPr>
            <w:r>
              <w:rPr>
                <w:sz w:val="21"/>
                <w:szCs w:val="21"/>
              </w:rPr>
              <w:t>污染物名称</w:t>
            </w:r>
          </w:p>
        </w:tc>
        <w:tc>
          <w:tcPr>
            <w:tcW w:w="1094"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szCs w:val="21"/>
              </w:rPr>
            </w:pPr>
            <w:r>
              <w:rPr>
                <w:sz w:val="21"/>
                <w:szCs w:val="21"/>
              </w:rPr>
              <w:t>取值时间</w:t>
            </w:r>
          </w:p>
        </w:tc>
        <w:tc>
          <w:tcPr>
            <w:tcW w:w="1212"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szCs w:val="21"/>
              </w:rPr>
            </w:pPr>
            <w:r>
              <w:rPr>
                <w:sz w:val="21"/>
                <w:szCs w:val="21"/>
              </w:rPr>
              <w:t>浓度限值</w:t>
            </w:r>
          </w:p>
        </w:tc>
        <w:tc>
          <w:tcPr>
            <w:tcW w:w="5600"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1"/>
                <w:szCs w:val="21"/>
              </w:rPr>
            </w:pPr>
            <w:r>
              <w:rPr>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rPr>
            </w:pPr>
            <w:r>
              <w:rPr>
                <w:rFonts w:hint="eastAsia" w:ascii="Times New Roman" w:hAnsi="Times New Roman" w:eastAsia="宋体" w:cs="Times New Roman"/>
                <w:color w:val="000000"/>
                <w:kern w:val="0"/>
                <w:sz w:val="21"/>
                <w:szCs w:val="21"/>
                <w:lang w:val="en-US" w:eastAsia="zh-CN" w:bidi="ar"/>
              </w:rPr>
              <w:t>非甲烷总烃</w:t>
            </w:r>
          </w:p>
        </w:tc>
        <w:tc>
          <w:tcPr>
            <w:tcW w:w="1094"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rPr>
            </w:pPr>
            <w:r>
              <w:rPr>
                <w:sz w:val="21"/>
                <w:szCs w:val="21"/>
              </w:rPr>
              <w:t>小时平均</w:t>
            </w:r>
          </w:p>
        </w:tc>
        <w:tc>
          <w:tcPr>
            <w:tcW w:w="1212"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eastAsia="宋体"/>
                <w:sz w:val="21"/>
                <w:szCs w:val="21"/>
                <w:lang w:val="en-US" w:eastAsia="zh-CN"/>
              </w:rPr>
            </w:pPr>
            <w:r>
              <w:rPr>
                <w:rFonts w:hint="eastAsia" w:ascii="Times New Roman" w:hAnsi="Times New Roman" w:cs="Times New Roman"/>
                <w:color w:val="000000"/>
                <w:kern w:val="0"/>
                <w:sz w:val="21"/>
                <w:szCs w:val="21"/>
                <w:lang w:val="en-US" w:eastAsia="zh-CN" w:bidi="ar"/>
              </w:rPr>
              <w:t>2.0m</w:t>
            </w:r>
            <w:r>
              <w:rPr>
                <w:rFonts w:ascii="Times New Roman" w:hAnsi="Times New Roman"/>
                <w:sz w:val="21"/>
                <w:szCs w:val="21"/>
              </w:rPr>
              <w:t>g/m</w:t>
            </w:r>
            <w:r>
              <w:rPr>
                <w:rFonts w:hint="eastAsia" w:ascii="Times New Roman" w:hAnsi="Times New Roman"/>
                <w:sz w:val="21"/>
                <w:szCs w:val="21"/>
                <w:vertAlign w:val="superscript"/>
                <w:lang w:val="en-US" w:eastAsia="zh-CN"/>
              </w:rPr>
              <w:t>3</w:t>
            </w:r>
          </w:p>
        </w:tc>
        <w:tc>
          <w:tcPr>
            <w:tcW w:w="5600"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ascii="Times New Roman" w:eastAsia="Times New Roman"/>
                <w:sz w:val="21"/>
                <w:szCs w:val="21"/>
              </w:rPr>
            </w:pPr>
            <w:r>
              <w:rPr>
                <w:rFonts w:hint="eastAsia" w:ascii="Times New Roman" w:eastAsia="Times New Roman"/>
                <w:sz w:val="21"/>
                <w:szCs w:val="21"/>
                <w:lang w:val="en-US" w:eastAsia="zh-CN"/>
              </w:rPr>
              <w:t>《大气污染物综合排放标准详解》（中国环境科学出版社出版）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苯乙烯</w:t>
            </w:r>
          </w:p>
        </w:tc>
        <w:tc>
          <w:tcPr>
            <w:tcW w:w="1094"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u w:val="single"/>
              </w:rPr>
            </w:pPr>
            <w:r>
              <w:rPr>
                <w:sz w:val="21"/>
                <w:szCs w:val="21"/>
                <w:u w:val="single"/>
              </w:rPr>
              <w:t>小时平均</w:t>
            </w:r>
          </w:p>
        </w:tc>
        <w:tc>
          <w:tcPr>
            <w:tcW w:w="1212" w:type="dxa"/>
            <w:vAlign w:val="center"/>
          </w:tcPr>
          <w:p>
            <w:pPr>
              <w:widowControl/>
              <w:adjustRightInd w:val="0"/>
              <w:snapToGrid w:val="0"/>
              <w:spacing w:line="240" w:lineRule="auto"/>
              <w:ind w:firstLine="0" w:firstLineChars="0"/>
              <w:jc w:val="center"/>
              <w:rPr>
                <w:rFonts w:hint="eastAsia" w:ascii="Times New Roman" w:hAnsi="Times New Roman" w:cs="Times New Roman"/>
                <w:color w:val="000000"/>
                <w:kern w:val="0"/>
                <w:sz w:val="21"/>
                <w:szCs w:val="21"/>
                <w:u w:val="single"/>
                <w:lang w:val="en-US" w:eastAsia="zh-CN" w:bidi="ar"/>
              </w:rPr>
            </w:pPr>
            <w:r>
              <w:rPr>
                <w:rFonts w:cs="Times New Roman"/>
                <w:spacing w:val="-4"/>
                <w:sz w:val="21"/>
                <w:szCs w:val="21"/>
                <w:u w:val="single"/>
              </w:rPr>
              <w:t>10</w:t>
            </w:r>
            <w:r>
              <w:rPr>
                <w:rFonts w:cs="Times New Roman"/>
                <w:bCs/>
                <w:sz w:val="21"/>
                <w:szCs w:val="21"/>
                <w:u w:val="single"/>
              </w:rPr>
              <w:t>μg/m</w:t>
            </w:r>
            <w:r>
              <w:rPr>
                <w:rFonts w:cs="Times New Roman"/>
                <w:bCs/>
                <w:sz w:val="21"/>
                <w:szCs w:val="21"/>
                <w:u w:val="single"/>
                <w:vertAlign w:val="superscript"/>
              </w:rPr>
              <w:t>3</w:t>
            </w:r>
          </w:p>
        </w:tc>
        <w:tc>
          <w:tcPr>
            <w:tcW w:w="5600" w:type="dxa"/>
            <w:vMerge w:val="restart"/>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eastAsia="Times New Roman"/>
                <w:sz w:val="21"/>
                <w:szCs w:val="21"/>
                <w:lang w:val="en-US" w:eastAsia="zh-CN"/>
              </w:rPr>
            </w:pPr>
            <w:r>
              <w:rPr>
                <w:rFonts w:hint="eastAsia" w:ascii="Times New Roman" w:eastAsia="Times New Roman"/>
                <w:sz w:val="21"/>
                <w:szCs w:val="21"/>
                <w:lang w:val="en-US" w:eastAsia="zh-CN"/>
              </w:rPr>
              <w:t>《环境影响评价技术导则大气环境》（HJ 2.2-2008）附录D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硫化氢</w:t>
            </w:r>
          </w:p>
        </w:tc>
        <w:tc>
          <w:tcPr>
            <w:tcW w:w="1094"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u w:val="single"/>
              </w:rPr>
            </w:pPr>
            <w:r>
              <w:rPr>
                <w:sz w:val="21"/>
                <w:szCs w:val="21"/>
                <w:u w:val="single"/>
              </w:rPr>
              <w:t>小时平均</w:t>
            </w:r>
          </w:p>
        </w:tc>
        <w:tc>
          <w:tcPr>
            <w:tcW w:w="1212"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1"/>
                <w:u w:val="single"/>
                <w:lang w:val="en-US" w:eastAsia="zh-CN" w:bidi="ar"/>
              </w:rPr>
            </w:pPr>
            <w:r>
              <w:rPr>
                <w:rFonts w:hint="default" w:ascii="Times New Roman" w:hAnsi="Times New Roman" w:cs="Times New Roman"/>
                <w:color w:val="000000"/>
                <w:kern w:val="0"/>
                <w:sz w:val="21"/>
                <w:szCs w:val="21"/>
                <w:u w:val="single"/>
                <w:lang w:val="en-US" w:eastAsia="zh-CN" w:bidi="ar"/>
              </w:rPr>
              <w:t>10</w:t>
            </w:r>
            <w:r>
              <w:rPr>
                <w:rFonts w:hint="default" w:ascii="Times New Roman" w:hAnsi="Times New Roman" w:cs="Times New Roman"/>
                <w:bCs/>
                <w:sz w:val="21"/>
                <w:szCs w:val="21"/>
                <w:u w:val="single"/>
              </w:rPr>
              <w:t>μg/m</w:t>
            </w:r>
            <w:r>
              <w:rPr>
                <w:rFonts w:hint="default" w:ascii="Times New Roman" w:hAnsi="Times New Roman" w:cs="Times New Roman"/>
                <w:bCs/>
                <w:sz w:val="21"/>
                <w:szCs w:val="21"/>
                <w:u w:val="single"/>
                <w:vertAlign w:val="superscript"/>
              </w:rPr>
              <w:t>3</w:t>
            </w:r>
          </w:p>
        </w:tc>
        <w:tc>
          <w:tcPr>
            <w:tcW w:w="5600" w:type="dxa"/>
            <w:vMerge w:val="continue"/>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eastAsia="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ascii="Times New Roman" w:hAnsi="Times New Roman" w:cs="Times New Roman"/>
                <w:color w:val="000000"/>
                <w:kern w:val="0"/>
                <w:sz w:val="21"/>
                <w:szCs w:val="21"/>
                <w:u w:val="single"/>
                <w:lang w:val="en-US" w:eastAsia="zh-CN" w:bidi="ar"/>
              </w:rPr>
              <w:t>氨</w:t>
            </w:r>
          </w:p>
        </w:tc>
        <w:tc>
          <w:tcPr>
            <w:tcW w:w="1094"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u w:val="single"/>
              </w:rPr>
            </w:pPr>
            <w:r>
              <w:rPr>
                <w:sz w:val="21"/>
                <w:szCs w:val="21"/>
                <w:u w:val="single"/>
              </w:rPr>
              <w:t>小时平均</w:t>
            </w:r>
          </w:p>
        </w:tc>
        <w:tc>
          <w:tcPr>
            <w:tcW w:w="1212"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1"/>
                <w:u w:val="single"/>
                <w:lang w:val="en-US" w:eastAsia="zh-CN" w:bidi="ar"/>
              </w:rPr>
            </w:pPr>
            <w:r>
              <w:rPr>
                <w:rFonts w:hint="default" w:ascii="Times New Roman" w:hAnsi="Times New Roman" w:cs="Times New Roman"/>
                <w:color w:val="000000"/>
                <w:kern w:val="0"/>
                <w:sz w:val="21"/>
                <w:szCs w:val="21"/>
                <w:u w:val="single"/>
                <w:lang w:val="en-US" w:eastAsia="zh-CN" w:bidi="ar"/>
              </w:rPr>
              <w:t>200</w:t>
            </w:r>
            <w:r>
              <w:rPr>
                <w:rFonts w:hint="default" w:ascii="Times New Roman" w:hAnsi="Times New Roman" w:cs="Times New Roman"/>
                <w:bCs/>
                <w:sz w:val="21"/>
                <w:szCs w:val="21"/>
                <w:u w:val="single"/>
              </w:rPr>
              <w:t>μg/m</w:t>
            </w:r>
            <w:r>
              <w:rPr>
                <w:rFonts w:hint="default" w:ascii="Times New Roman" w:hAnsi="Times New Roman" w:cs="Times New Roman"/>
                <w:bCs/>
                <w:sz w:val="21"/>
                <w:szCs w:val="21"/>
                <w:u w:val="single"/>
                <w:vertAlign w:val="superscript"/>
              </w:rPr>
              <w:t>3</w:t>
            </w:r>
          </w:p>
        </w:tc>
        <w:tc>
          <w:tcPr>
            <w:tcW w:w="5600" w:type="dxa"/>
            <w:vMerge w:val="continue"/>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eastAsia="Times New Roman"/>
                <w:sz w:val="21"/>
                <w:szCs w:val="21"/>
                <w:lang w:val="en-US" w:eastAsia="zh-CN"/>
              </w:rPr>
            </w:pPr>
          </w:p>
        </w:tc>
      </w:tr>
    </w:tbl>
    <w:p>
      <w:pPr>
        <w:pStyle w:val="4"/>
        <w:bidi w:val="0"/>
        <w:spacing w:line="360" w:lineRule="auto"/>
        <w:rPr>
          <w:rFonts w:hint="eastAsia"/>
          <w:lang w:val="en-US" w:eastAsia="zh-CN"/>
        </w:rPr>
      </w:pPr>
      <w:r>
        <w:rPr>
          <w:rFonts w:hint="eastAsia"/>
          <w:lang w:val="en-US" w:eastAsia="zh-CN"/>
        </w:rPr>
        <w:t>5.2.5 评价方法</w:t>
      </w:r>
    </w:p>
    <w:p>
      <w:pPr>
        <w:bidi w:val="0"/>
      </w:pPr>
      <w:r>
        <w:rPr>
          <w:rFonts w:hint="eastAsia"/>
          <w:lang w:val="en-US" w:eastAsia="zh-CN"/>
        </w:rPr>
        <w:t>环境空气质量评价采用占标百分比评价法，数学表达式：</w:t>
      </w:r>
    </w:p>
    <w:p>
      <w:pPr>
        <w:bidi w:val="0"/>
      </w:pPr>
      <w:r>
        <w:rPr>
          <w:rFonts w:hint="default"/>
          <w:lang w:val="en-US" w:eastAsia="zh-CN"/>
        </w:rPr>
        <w:t>Pi=Ci/Coi×100%</w:t>
      </w:r>
    </w:p>
    <w:p>
      <w:pPr>
        <w:bidi w:val="0"/>
      </w:pPr>
      <w:r>
        <w:rPr>
          <w:rFonts w:hint="eastAsia"/>
          <w:lang w:val="en-US" w:eastAsia="zh-CN"/>
        </w:rPr>
        <w:t>式中：</w:t>
      </w:r>
      <w:r>
        <w:rPr>
          <w:rFonts w:hint="default"/>
          <w:lang w:val="en-US" w:eastAsia="zh-CN"/>
        </w:rPr>
        <w:t>Pi——</w:t>
      </w:r>
      <w:r>
        <w:rPr>
          <w:rFonts w:hint="eastAsia"/>
          <w:lang w:val="en-US" w:eastAsia="zh-CN"/>
        </w:rPr>
        <w:t>第</w:t>
      </w:r>
      <w:r>
        <w:rPr>
          <w:rFonts w:hint="default"/>
          <w:lang w:val="en-US" w:eastAsia="zh-CN"/>
        </w:rPr>
        <w:t>i</w:t>
      </w:r>
      <w:r>
        <w:rPr>
          <w:rFonts w:hint="eastAsia"/>
          <w:lang w:val="en-US" w:eastAsia="zh-CN"/>
        </w:rPr>
        <w:t>种污染污染物的占标百分比；</w:t>
      </w:r>
    </w:p>
    <w:p>
      <w:pPr>
        <w:bidi w:val="0"/>
      </w:pPr>
      <w:r>
        <w:rPr>
          <w:rFonts w:hint="default"/>
          <w:lang w:val="en-US" w:eastAsia="zh-CN"/>
        </w:rPr>
        <w:t>Ci——</w:t>
      </w:r>
      <w:r>
        <w:rPr>
          <w:rFonts w:hint="eastAsia"/>
          <w:lang w:val="en-US" w:eastAsia="zh-CN"/>
        </w:rPr>
        <w:t>第</w:t>
      </w:r>
      <w:r>
        <w:rPr>
          <w:rFonts w:hint="default"/>
          <w:lang w:val="en-US" w:eastAsia="zh-CN"/>
        </w:rPr>
        <w:t>i</w:t>
      </w:r>
      <w:r>
        <w:rPr>
          <w:rFonts w:hint="eastAsia"/>
          <w:lang w:val="en-US" w:eastAsia="zh-CN"/>
        </w:rPr>
        <w:t>种污染因子的监测值，</w:t>
      </w:r>
      <w:r>
        <w:rPr>
          <w:rFonts w:hint="default" w:ascii="Times New Roman" w:hAnsi="Times New Roman" w:cs="Times New Roman"/>
          <w:lang w:val="en-US" w:eastAsia="zh-CN"/>
        </w:rPr>
        <w:t>μg/m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p>
      <w:pPr>
        <w:bidi w:val="0"/>
      </w:pPr>
      <w:r>
        <w:rPr>
          <w:rFonts w:hint="default"/>
          <w:lang w:val="en-US" w:eastAsia="zh-CN"/>
        </w:rPr>
        <w:t>Coi——</w:t>
      </w:r>
      <w:r>
        <w:rPr>
          <w:rFonts w:hint="eastAsia"/>
          <w:lang w:val="en-US" w:eastAsia="zh-CN"/>
        </w:rPr>
        <w:t>第</w:t>
      </w:r>
      <w:r>
        <w:rPr>
          <w:rFonts w:hint="default"/>
          <w:lang w:val="en-US" w:eastAsia="zh-CN"/>
        </w:rPr>
        <w:t>i</w:t>
      </w:r>
      <w:r>
        <w:rPr>
          <w:rFonts w:hint="eastAsia"/>
          <w:lang w:val="en-US" w:eastAsia="zh-CN"/>
        </w:rPr>
        <w:t>种污染因子的环境空气质量标准值</w:t>
      </w:r>
      <w:r>
        <w:rPr>
          <w:rFonts w:hint="default" w:ascii="Times New Roman" w:hAnsi="Times New Roman" w:cs="Times New Roman"/>
          <w:lang w:val="en-US" w:eastAsia="zh-CN"/>
        </w:rPr>
        <w:t>μg/m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p>
      <w:pPr>
        <w:bidi w:val="0"/>
      </w:pPr>
      <w:r>
        <w:rPr>
          <w:rFonts w:hint="eastAsia"/>
          <w:lang w:val="en-US" w:eastAsia="zh-CN"/>
        </w:rPr>
        <w:t>凡是占标百分比</w:t>
      </w:r>
      <w:r>
        <w:rPr>
          <w:rFonts w:hint="default"/>
          <w:lang w:val="en-US" w:eastAsia="zh-CN"/>
        </w:rPr>
        <w:t>Pi</w:t>
      </w:r>
      <w:r>
        <w:rPr>
          <w:rFonts w:hint="eastAsia"/>
          <w:lang w:val="en-US" w:eastAsia="zh-CN"/>
        </w:rPr>
        <w:t>大于</w:t>
      </w:r>
      <w:r>
        <w:rPr>
          <w:rFonts w:hint="default"/>
          <w:lang w:val="en-US" w:eastAsia="zh-CN"/>
        </w:rPr>
        <w:t>100%</w:t>
      </w:r>
      <w:r>
        <w:rPr>
          <w:rFonts w:hint="eastAsia"/>
          <w:lang w:val="en-US" w:eastAsia="zh-CN"/>
        </w:rPr>
        <w:t>，表明该点环境质量劣于评价标准等级，反之则满足标准等级。补充监测数据的现状评价内容，分别对各监测点位不同污染物的短期浓度进行环境质量现状评价，对于超标的污染物，计算其超标倍数及超标率。</w:t>
      </w:r>
    </w:p>
    <w:p>
      <w:pPr>
        <w:pStyle w:val="4"/>
        <w:bidi w:val="0"/>
        <w:spacing w:line="360" w:lineRule="auto"/>
        <w:rPr>
          <w:rFonts w:hint="eastAsia" w:ascii="Times New Roman" w:hAnsi="Times New Roman" w:eastAsia="宋体" w:cs="宋体"/>
          <w:lang w:val="en-US" w:eastAsia="zh-CN"/>
        </w:rPr>
      </w:pPr>
      <w:r>
        <w:rPr>
          <w:rFonts w:hint="eastAsia" w:ascii="Times New Roman" w:hAnsi="Times New Roman" w:eastAsia="宋体" w:cs="宋体"/>
          <w:lang w:val="en-US" w:eastAsia="zh-CN"/>
        </w:rPr>
        <w:t>5.2.6 监测结果统计与分析</w:t>
      </w:r>
    </w:p>
    <w:p>
      <w:pPr>
        <w:bidi w:val="0"/>
      </w:pPr>
      <w:r>
        <w:t>本次评价环境空气质量现状监测结果统计见表5.2-</w:t>
      </w:r>
      <w:r>
        <w:rPr>
          <w:rFonts w:hint="eastAsia"/>
          <w:lang w:val="en-US" w:eastAsia="zh-CN"/>
        </w:rPr>
        <w:t>6</w:t>
      </w:r>
      <w:r>
        <w:t>。</w:t>
      </w:r>
    </w:p>
    <w:p>
      <w:pPr>
        <w:pStyle w:val="10"/>
        <w:spacing w:line="360" w:lineRule="auto"/>
        <w:ind w:left="440" w:right="410" w:firstLine="479"/>
        <w:jc w:val="center"/>
        <w:rPr>
          <w:rFonts w:hint="eastAsia"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表5.2-</w:t>
      </w:r>
      <w:r>
        <w:rPr>
          <w:rFonts w:hint="eastAsia" w:ascii="Times New Roman" w:hAnsi="Times New Roman" w:cs="宋体"/>
          <w:b/>
          <w:bCs/>
          <w:color w:val="000000" w:themeColor="text1"/>
          <w:sz w:val="24"/>
          <w:lang w:val="en-US" w:eastAsia="zh-CN"/>
          <w14:textFill>
            <w14:solidFill>
              <w14:schemeClr w14:val="tx1"/>
            </w14:solidFill>
          </w14:textFill>
        </w:rPr>
        <w:t>6</w:t>
      </w:r>
      <w:r>
        <w:rPr>
          <w:rFonts w:hint="eastAsia" w:ascii="Times New Roman" w:hAnsi="Times New Roman" w:eastAsia="宋体" w:cs="宋体"/>
          <w:b/>
          <w:bCs/>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14:textFill>
            <w14:solidFill>
              <w14:schemeClr w14:val="tx1"/>
            </w14:solidFill>
          </w14:textFill>
        </w:rPr>
        <w:t>环境空气质量现状监测统计结果</w:t>
      </w:r>
    </w:p>
    <w:tbl>
      <w:tblPr>
        <w:tblStyle w:val="22"/>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305"/>
        <w:gridCol w:w="1073"/>
        <w:gridCol w:w="1185"/>
        <w:gridCol w:w="900"/>
        <w:gridCol w:w="900"/>
        <w:gridCol w:w="1350"/>
        <w:gridCol w:w="832"/>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068"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点位名称</w:t>
            </w:r>
          </w:p>
        </w:tc>
        <w:tc>
          <w:tcPr>
            <w:tcW w:w="130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污染物</w:t>
            </w:r>
          </w:p>
        </w:tc>
        <w:tc>
          <w:tcPr>
            <w:tcW w:w="1073"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评价指标</w:t>
            </w:r>
          </w:p>
        </w:tc>
        <w:tc>
          <w:tcPr>
            <w:tcW w:w="118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评价标准（</w:t>
            </w:r>
            <w:r>
              <w:rPr>
                <w:rFonts w:ascii="Times New Roman" w:hAnsi="Times New Roman" w:eastAsia="宋体" w:cs="TimesNewRomanPS-BoldMT"/>
                <w:b w:val="0"/>
                <w:bCs w:val="0"/>
                <w:color w:val="000000" w:themeColor="text1"/>
                <w:kern w:val="0"/>
                <w:sz w:val="21"/>
                <w:szCs w:val="21"/>
                <w:u w:val="single"/>
                <w:lang w:val="en-US" w:eastAsia="zh-CN" w:bidi="ar"/>
                <w14:textFill>
                  <w14:solidFill>
                    <w14:schemeClr w14:val="tx1"/>
                  </w14:solidFill>
                </w14:textFill>
              </w:rPr>
              <w:t>mg/m</w:t>
            </w:r>
            <w:r>
              <w:rPr>
                <w:rFonts w:hint="eastAsia" w:ascii="Times New Roman" w:hAnsi="Times New Roman" w:eastAsia="宋体" w:cs="宋体"/>
                <w:b w:val="0"/>
                <w:bCs w:val="0"/>
                <w:color w:val="000000" w:themeColor="text1"/>
                <w:kern w:val="0"/>
                <w:sz w:val="21"/>
                <w:szCs w:val="21"/>
                <w:u w:val="single"/>
                <w:vertAlign w:val="superscript"/>
                <w:lang w:val="en-US" w:eastAsia="zh-CN" w:bidi="ar"/>
                <w14:textFill>
                  <w14:solidFill>
                    <w14:schemeClr w14:val="tx1"/>
                  </w14:solidFill>
                </w14:textFill>
              </w:rPr>
              <w:t>3</w:t>
            </w: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w:t>
            </w:r>
          </w:p>
        </w:tc>
        <w:tc>
          <w:tcPr>
            <w:tcW w:w="180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现状浓度</w:t>
            </w:r>
            <w:r>
              <w:rPr>
                <w:rFonts w:ascii="Times New Roman" w:hAnsi="Times New Roman" w:eastAsia="宋体" w:cs="TimesNewRomanPS-BoldMT"/>
                <w:b w:val="0"/>
                <w:bCs w:val="0"/>
                <w:color w:val="000000" w:themeColor="text1"/>
                <w:kern w:val="0"/>
                <w:sz w:val="21"/>
                <w:szCs w:val="21"/>
                <w:u w:val="single"/>
                <w:lang w:val="en-US" w:eastAsia="zh-CN" w:bidi="ar"/>
                <w14:textFill>
                  <w14:solidFill>
                    <w14:schemeClr w14:val="tx1"/>
                  </w14:solidFill>
                </w14:textFill>
              </w:rPr>
              <w:t>(mg/m</w:t>
            </w:r>
            <w:r>
              <w:rPr>
                <w:rFonts w:hint="eastAsia" w:ascii="Times New Roman" w:hAnsi="Times New Roman" w:eastAsia="宋体" w:cs="宋体"/>
                <w:b w:val="0"/>
                <w:bCs w:val="0"/>
                <w:color w:val="000000" w:themeColor="text1"/>
                <w:kern w:val="0"/>
                <w:sz w:val="21"/>
                <w:szCs w:val="21"/>
                <w:u w:val="single"/>
                <w:vertAlign w:val="superscript"/>
                <w:lang w:val="en-US" w:eastAsia="zh-CN" w:bidi="ar"/>
                <w14:textFill>
                  <w14:solidFill>
                    <w14:schemeClr w14:val="tx1"/>
                  </w14:solidFill>
                </w14:textFill>
              </w:rPr>
              <w:t>3</w:t>
            </w: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w:t>
            </w:r>
          </w:p>
        </w:tc>
        <w:tc>
          <w:tcPr>
            <w:tcW w:w="135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最大浓度占标率</w:t>
            </w:r>
            <w:r>
              <w:rPr>
                <w:rFonts w:ascii="Times New Roman" w:hAnsi="Times New Roman" w:eastAsia="宋体" w:cs="TimesNewRomanPS-BoldMT"/>
                <w:b w:val="0"/>
                <w:bCs w:val="0"/>
                <w:color w:val="000000" w:themeColor="text1"/>
                <w:kern w:val="0"/>
                <w:sz w:val="21"/>
                <w:szCs w:val="21"/>
                <w:u w:val="single"/>
                <w:lang w:val="en-US" w:eastAsia="zh-CN" w:bidi="ar"/>
                <w14:textFill>
                  <w14:solidFill>
                    <w14:schemeClr w14:val="tx1"/>
                  </w14:solidFill>
                </w14:textFill>
              </w:rPr>
              <w:t>%</w:t>
            </w:r>
          </w:p>
        </w:tc>
        <w:tc>
          <w:tcPr>
            <w:tcW w:w="832"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超标频率</w:t>
            </w:r>
            <w:r>
              <w:rPr>
                <w:rFonts w:ascii="Times New Roman" w:hAnsi="Times New Roman" w:eastAsia="宋体" w:cs="TimesNewRomanPS-BoldMT"/>
                <w:b w:val="0"/>
                <w:bCs w:val="0"/>
                <w:color w:val="000000" w:themeColor="text1"/>
                <w:kern w:val="0"/>
                <w:sz w:val="21"/>
                <w:szCs w:val="21"/>
                <w:u w:val="single"/>
                <w:lang w:val="en-US" w:eastAsia="zh-CN" w:bidi="ar"/>
                <w14:textFill>
                  <w14:solidFill>
                    <w14:schemeClr w14:val="tx1"/>
                  </w14:solidFill>
                </w14:textFill>
              </w:rPr>
              <w:t>%</w:t>
            </w:r>
          </w:p>
        </w:tc>
        <w:tc>
          <w:tcPr>
            <w:tcW w:w="677"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14:textFill>
                  <w14:solidFill>
                    <w14:schemeClr w14:val="tx1"/>
                  </w14:solidFill>
                </w14:textFill>
              </w:rPr>
            </w:pPr>
          </w:p>
        </w:tc>
        <w:tc>
          <w:tcPr>
            <w:tcW w:w="1305"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14:textFill>
                  <w14:solidFill>
                    <w14:schemeClr w14:val="tx1"/>
                  </w14:solidFill>
                </w14:textFill>
              </w:rPr>
            </w:pPr>
          </w:p>
        </w:tc>
        <w:tc>
          <w:tcPr>
            <w:tcW w:w="1073"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14:textFill>
                  <w14:solidFill>
                    <w14:schemeClr w14:val="tx1"/>
                  </w14:solidFill>
                </w14:textFill>
              </w:rPr>
            </w:pPr>
          </w:p>
        </w:tc>
        <w:tc>
          <w:tcPr>
            <w:tcW w:w="1185"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14:textFill>
                  <w14:solidFill>
                    <w14:schemeClr w14:val="tx1"/>
                  </w14:solidFill>
                </w14:textFill>
              </w:rPr>
            </w:pPr>
          </w:p>
        </w:tc>
        <w:tc>
          <w:tcPr>
            <w:tcW w:w="9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最大值</w:t>
            </w:r>
          </w:p>
        </w:tc>
        <w:tc>
          <w:tcPr>
            <w:tcW w:w="9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lang w:val="en-US" w:eastAsia="zh-CN" w:bidi="ar"/>
                <w14:textFill>
                  <w14:solidFill>
                    <w14:schemeClr w14:val="tx1"/>
                  </w14:solidFill>
                </w14:textFill>
              </w:rPr>
              <w:t>最小值</w:t>
            </w:r>
          </w:p>
        </w:tc>
        <w:tc>
          <w:tcPr>
            <w:tcW w:w="1350"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832"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677"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常宋村</w:t>
            </w: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苯乙烯</w:t>
            </w:r>
          </w:p>
        </w:tc>
        <w:tc>
          <w:tcPr>
            <w:tcW w:w="1073"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非甲烷总烃</w:t>
            </w:r>
          </w:p>
        </w:tc>
        <w:tc>
          <w:tcPr>
            <w:tcW w:w="1073"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2.0</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0.81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0.52</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40.5</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氨</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0.2</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硫化氢</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项目地</w:t>
            </w: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苯乙烯</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非甲烷总烃</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2.0</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0.97</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0.71</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48.5</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氨</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0.2</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硫化氢</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后王庄</w:t>
            </w: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苯乙烯</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非甲烷总烃</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2.0</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0.80</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0.50</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40.0</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0</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氨</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0.2</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68" w:type="dxa"/>
            <w:vMerge w:val="continue"/>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b w:val="0"/>
                <w:bCs w:val="0"/>
                <w:color w:val="000000" w:themeColor="text1"/>
                <w:sz w:val="21"/>
                <w:szCs w:val="21"/>
                <w:u w:val="single"/>
                <w:vertAlign w:val="baseline"/>
                <w14:textFill>
                  <w14:solidFill>
                    <w14:schemeClr w14:val="tx1"/>
                  </w14:solidFill>
                </w14:textFill>
              </w:rPr>
            </w:pPr>
          </w:p>
        </w:tc>
        <w:tc>
          <w:tcPr>
            <w:tcW w:w="130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硫化氢</w:t>
            </w:r>
          </w:p>
        </w:tc>
        <w:tc>
          <w:tcPr>
            <w:tcW w:w="1073" w:type="dxa"/>
            <w:vAlign w:val="center"/>
          </w:tcPr>
          <w:p>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eastAsia="zh-CN"/>
                <w14:textFill>
                  <w14:solidFill>
                    <w14:schemeClr w14:val="tx1"/>
                  </w14:solidFill>
                </w14:textFill>
              </w:rPr>
              <w:t>小时值</w:t>
            </w:r>
          </w:p>
        </w:tc>
        <w:tc>
          <w:tcPr>
            <w:tcW w:w="1185"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0.01</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90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ND</w:t>
            </w:r>
          </w:p>
        </w:tc>
        <w:tc>
          <w:tcPr>
            <w:tcW w:w="1350"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832"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b w:val="0"/>
                <w:bCs w:val="0"/>
                <w:color w:val="000000" w:themeColor="text1"/>
                <w:sz w:val="21"/>
                <w:szCs w:val="21"/>
                <w:u w:val="single"/>
                <w:vertAlign w:val="baseline"/>
                <w:lang w:val="en-US" w:eastAsia="zh-CN"/>
                <w14:textFill>
                  <w14:solidFill>
                    <w14:schemeClr w14:val="tx1"/>
                  </w14:solidFill>
                </w14:textFill>
              </w:rPr>
              <w:t>/</w:t>
            </w:r>
          </w:p>
        </w:tc>
        <w:tc>
          <w:tcPr>
            <w:tcW w:w="677" w:type="dxa"/>
            <w:vAlign w:val="center"/>
          </w:tcPr>
          <w:p>
            <w:pPr>
              <w:pStyle w:val="10"/>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u w:val="single"/>
                <w:vertAlign w:val="baseline"/>
                <w:lang w:val="en-US" w:eastAsia="zh-CN"/>
                <w14:textFill>
                  <w14:solidFill>
                    <w14:schemeClr w14:val="tx1"/>
                  </w14:solidFill>
                </w14:textFill>
              </w:rPr>
              <w:t>达标</w:t>
            </w:r>
          </w:p>
        </w:tc>
      </w:tr>
    </w:tbl>
    <w:p>
      <w:pPr>
        <w:bidi w:val="0"/>
        <w:rPr>
          <w:rFonts w:hint="eastAsia" w:ascii="Times New Roman" w:hAnsi="Times New Roman" w:eastAsia="宋体"/>
          <w:lang w:eastAsia="zh-CN"/>
        </w:rPr>
      </w:pPr>
      <w:r>
        <w:rPr>
          <w:rFonts w:ascii="Times New Roman" w:hAnsi="Times New Roman" w:eastAsia="宋体"/>
        </w:rPr>
        <w:t>由上表可知：</w:t>
      </w:r>
      <w:r>
        <w:rPr>
          <w:rFonts w:hint="eastAsia" w:ascii="Times New Roman" w:hAnsi="Times New Roman" w:eastAsia="宋体"/>
          <w:lang w:eastAsia="zh-CN"/>
        </w:rPr>
        <w:t>颗粒物满足</w:t>
      </w:r>
      <w:r>
        <w:rPr>
          <w:rFonts w:hint="eastAsia" w:ascii="Times New Roman" w:hAnsi="Times New Roman" w:eastAsia="宋体"/>
          <w:lang w:val="en-US" w:eastAsia="zh-CN"/>
        </w:rPr>
        <w:t>《环境空气质量标准》（</w:t>
      </w:r>
      <w:r>
        <w:rPr>
          <w:rFonts w:hint="default" w:ascii="Times New Roman" w:hAnsi="Times New Roman" w:eastAsia="宋体"/>
          <w:lang w:val="en-US" w:eastAsia="zh-CN"/>
        </w:rPr>
        <w:t>GB3095-2012</w:t>
      </w:r>
      <w:r>
        <w:rPr>
          <w:rFonts w:hint="eastAsia" w:ascii="Times New Roman" w:hAnsi="Times New Roman" w:eastAsia="宋体"/>
          <w:lang w:val="en-US" w:eastAsia="zh-CN"/>
        </w:rPr>
        <w:t>）二级标准，非甲烷总烃满足《大气污染物综合排放标准详解》</w:t>
      </w:r>
      <w:r>
        <w:rPr>
          <w:rFonts w:ascii="Times New Roman" w:hAnsi="Times New Roman" w:eastAsia="宋体"/>
        </w:rPr>
        <w:t>空气质量浓度参考限值</w:t>
      </w:r>
      <w:r>
        <w:rPr>
          <w:rFonts w:hint="eastAsia"/>
          <w:lang w:eastAsia="zh-CN"/>
        </w:rPr>
        <w:t>，氨、苯乙烯和硫化氢满足</w:t>
      </w:r>
      <w:r>
        <w:rPr>
          <w:rFonts w:hint="eastAsia"/>
          <w:lang w:val="en-US" w:eastAsia="zh-CN"/>
        </w:rPr>
        <w:t>《环境影响评价技术导则大气环境》（HJ2.2-2008）附录D标准。</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lang w:val="en-US" w:eastAsia="zh-CN"/>
        </w:rPr>
      </w:pPr>
      <w:bookmarkStart w:id="109" w:name="_Toc22067"/>
      <w:bookmarkStart w:id="110" w:name="_Toc14448"/>
      <w:bookmarkStart w:id="111" w:name="_Toc4549"/>
      <w:r>
        <w:rPr>
          <w:rFonts w:hint="eastAsia" w:ascii="Times New Roman" w:hAnsi="Times New Roman"/>
          <w:lang w:val="en-US" w:eastAsia="zh-CN"/>
        </w:rPr>
        <w:t>5.3 地表水环境质量现状</w:t>
      </w:r>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lang w:eastAsia="zh-CN"/>
        </w:rPr>
      </w:pPr>
      <w:r>
        <w:rPr>
          <w:rFonts w:hint="eastAsia"/>
          <w:sz w:val="24"/>
          <w:lang w:eastAsia="zh-CN"/>
        </w:rPr>
        <w:t>本</w:t>
      </w:r>
      <w:r>
        <w:rPr>
          <w:rFonts w:hint="eastAsia" w:hAnsi="宋体"/>
          <w:sz w:val="24"/>
          <w:lang w:eastAsia="zh-CN"/>
        </w:rPr>
        <w:t>评价</w:t>
      </w:r>
      <w:r>
        <w:rPr>
          <w:rFonts w:hint="eastAsia" w:hAnsi="宋体"/>
          <w:sz w:val="24"/>
          <w:lang w:val="en-US" w:eastAsia="zh-CN"/>
        </w:rPr>
        <w:t>平顶山市生态环境局发布的灰河屈庄断面（2019年1月～12月），COD、氨氮、总氮、总磷因子常规监测数据，经过统计分析，灰河屈庄断面四项因子浓度趋势变化详见图5.3-1～图5.3-4。</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drawing>
          <wp:anchor distT="0" distB="0" distL="114300" distR="114300" simplePos="0" relativeHeight="251708416" behindDoc="0" locked="0" layoutInCell="1" allowOverlap="1">
            <wp:simplePos x="0" y="0"/>
            <wp:positionH relativeFrom="column">
              <wp:posOffset>561340</wp:posOffset>
            </wp:positionH>
            <wp:positionV relativeFrom="paragraph">
              <wp:posOffset>121285</wp:posOffset>
            </wp:positionV>
            <wp:extent cx="4638675" cy="2762250"/>
            <wp:effectExtent l="0" t="0" r="9525" b="0"/>
            <wp:wrapTopAndBottom/>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2"/>
                    <a:stretch>
                      <a:fillRect/>
                    </a:stretch>
                  </pic:blipFill>
                  <pic:spPr>
                    <a:xfrm>
                      <a:off x="0" y="0"/>
                      <a:ext cx="4638675" cy="2762250"/>
                    </a:xfrm>
                    <a:prstGeom prst="rect">
                      <a:avLst/>
                    </a:prstGeom>
                    <a:noFill/>
                    <a:ln>
                      <a:noFill/>
                    </a:ln>
                  </pic:spPr>
                </pic:pic>
              </a:graphicData>
            </a:graphic>
          </wp:anchor>
        </w:drawing>
      </w:r>
      <w:r>
        <w:rPr>
          <w:rFonts w:hint="default" w:ascii="Times New Roman" w:hAnsi="Times New Roman" w:eastAsia="宋体" w:cs="Times New Roman"/>
          <w:b/>
          <w:bCs/>
          <w:color w:val="000000"/>
          <w:kern w:val="0"/>
          <w:sz w:val="24"/>
          <w:szCs w:val="24"/>
          <w:lang w:val="en-US" w:eastAsia="zh-CN" w:bidi="ar"/>
        </w:rPr>
        <w:t xml:space="preserve">图5.3-1 </w:t>
      </w:r>
      <w:r>
        <w:rPr>
          <w:rFonts w:hint="eastAsia"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屈庄断面COD浓度变化趋势图（2019年1～12月）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lang w:eastAsia="zh-CN"/>
        </w:rPr>
      </w:pPr>
      <w:r>
        <w:drawing>
          <wp:inline distT="0" distB="0" distL="114300" distR="114300">
            <wp:extent cx="4600575" cy="2771775"/>
            <wp:effectExtent l="0" t="0" r="9525" b="952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33"/>
                    <a:stretch>
                      <a:fillRect/>
                    </a:stretch>
                  </pic:blipFill>
                  <pic:spPr>
                    <a:xfrm>
                      <a:off x="0" y="0"/>
                      <a:ext cx="4600575" cy="2771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lang w:eastAsia="zh-CN"/>
        </w:rPr>
      </w:pPr>
      <w:r>
        <w:rPr>
          <w:rFonts w:hint="default" w:ascii="Times New Roman" w:hAnsi="Times New Roman" w:eastAsia="宋体" w:cs="Times New Roman"/>
          <w:b/>
          <w:bCs/>
          <w:color w:val="000000"/>
          <w:kern w:val="0"/>
          <w:sz w:val="24"/>
          <w:szCs w:val="24"/>
          <w:lang w:val="en-US" w:eastAsia="zh-CN" w:bidi="ar"/>
        </w:rPr>
        <w:t>图5.3-</w:t>
      </w:r>
      <w:r>
        <w:rPr>
          <w:rFonts w:hint="eastAsia"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屈庄断面</w:t>
      </w:r>
      <w:r>
        <w:rPr>
          <w:rFonts w:hint="eastAsia" w:ascii="Times New Roman" w:hAnsi="Times New Roman" w:cs="Times New Roman"/>
          <w:b/>
          <w:bCs/>
          <w:color w:val="000000"/>
          <w:kern w:val="0"/>
          <w:sz w:val="24"/>
          <w:szCs w:val="24"/>
          <w:lang w:val="en-US" w:eastAsia="zh-CN" w:bidi="ar"/>
        </w:rPr>
        <w:t>氨氮</w:t>
      </w:r>
      <w:r>
        <w:rPr>
          <w:rFonts w:hint="default" w:ascii="Times New Roman" w:hAnsi="Times New Roman" w:eastAsia="宋体" w:cs="Times New Roman"/>
          <w:b/>
          <w:bCs/>
          <w:color w:val="000000"/>
          <w:kern w:val="0"/>
          <w:sz w:val="24"/>
          <w:szCs w:val="24"/>
          <w:lang w:val="en-US" w:eastAsia="zh-CN" w:bidi="ar"/>
        </w:rPr>
        <w:t>浓度变化趋势图（2019年1～12月</w:t>
      </w:r>
      <w:r>
        <w:rPr>
          <w:rFonts w:hint="eastAsia" w:ascii="Times New Roman" w:hAnsi="Times New Roman" w:cs="Times New Roman"/>
          <w:b/>
          <w:bCs/>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lang w:eastAsia="zh-CN"/>
        </w:rPr>
      </w:pPr>
      <w:r>
        <w:drawing>
          <wp:inline distT="0" distB="0" distL="114300" distR="114300">
            <wp:extent cx="4600575" cy="2771775"/>
            <wp:effectExtent l="0" t="0" r="9525" b="952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34"/>
                    <a:stretch>
                      <a:fillRect/>
                    </a:stretch>
                  </pic:blipFill>
                  <pic:spPr>
                    <a:xfrm>
                      <a:off x="0" y="0"/>
                      <a:ext cx="4600575" cy="2771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lang w:eastAsia="zh-CN"/>
        </w:rPr>
      </w:pPr>
      <w:r>
        <w:rPr>
          <w:rFonts w:hint="default" w:ascii="Times New Roman" w:hAnsi="Times New Roman" w:eastAsia="宋体" w:cs="Times New Roman"/>
          <w:b/>
          <w:bCs/>
          <w:color w:val="000000"/>
          <w:kern w:val="0"/>
          <w:sz w:val="24"/>
          <w:szCs w:val="24"/>
          <w:lang w:val="en-US" w:eastAsia="zh-CN" w:bidi="ar"/>
        </w:rPr>
        <w:t>图5.3-</w:t>
      </w: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屈庄断面</w:t>
      </w:r>
      <w:r>
        <w:rPr>
          <w:rFonts w:hint="eastAsia" w:ascii="Times New Roman" w:hAnsi="Times New Roman" w:cs="Times New Roman"/>
          <w:b/>
          <w:bCs/>
          <w:color w:val="000000"/>
          <w:kern w:val="0"/>
          <w:sz w:val="24"/>
          <w:szCs w:val="24"/>
          <w:lang w:val="en-US" w:eastAsia="zh-CN" w:bidi="ar"/>
        </w:rPr>
        <w:t>总氮</w:t>
      </w:r>
      <w:r>
        <w:rPr>
          <w:rFonts w:hint="default" w:ascii="Times New Roman" w:hAnsi="Times New Roman" w:eastAsia="宋体" w:cs="Times New Roman"/>
          <w:b/>
          <w:bCs/>
          <w:color w:val="000000"/>
          <w:kern w:val="0"/>
          <w:sz w:val="24"/>
          <w:szCs w:val="24"/>
          <w:lang w:val="en-US" w:eastAsia="zh-CN" w:bidi="ar"/>
        </w:rPr>
        <w:t>浓度变化趋势图（2019年1～12月</w:t>
      </w:r>
      <w:r>
        <w:rPr>
          <w:rFonts w:hint="eastAsia" w:ascii="Times New Roman" w:hAnsi="Times New Roman" w:cs="Times New Roman"/>
          <w:b/>
          <w:bCs/>
          <w:color w:val="000000"/>
          <w:kern w:val="0"/>
          <w:sz w:val="24"/>
          <w:szCs w:val="24"/>
          <w:lang w:val="en-US" w:eastAsia="zh-CN" w:bidi="ar"/>
        </w:rPr>
        <w:t>）</w:t>
      </w:r>
    </w:p>
    <w:p>
      <w:pPr>
        <w:spacing w:line="520" w:lineRule="exact"/>
        <w:ind w:firstLine="482" w:firstLineChars="200"/>
        <w:jc w:val="center"/>
        <w:rPr>
          <w:rFonts w:hint="eastAsia" w:ascii="Times New Roman" w:hAnsi="Times New Roman" w:eastAsia="宋体"/>
          <w:b/>
          <w:bCs/>
          <w:sz w:val="24"/>
          <w:lang w:eastAsia="zh-CN"/>
        </w:rPr>
      </w:pPr>
      <w:r>
        <w:rPr>
          <w:rFonts w:hint="default" w:ascii="Times New Roman" w:hAnsi="Times New Roman" w:eastAsia="宋体" w:cs="Times New Roman"/>
          <w:b/>
          <w:bCs/>
          <w:color w:val="000000"/>
          <w:kern w:val="0"/>
          <w:sz w:val="24"/>
          <w:szCs w:val="24"/>
          <w:lang w:val="en-US" w:eastAsia="zh-CN" w:bidi="ar"/>
        </w:rPr>
        <w:t>图5.3-</w:t>
      </w:r>
      <w:r>
        <w:rPr>
          <w:rFonts w:hint="eastAsia" w:ascii="Times New Roman" w:hAnsi="Times New Roman"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 xml:space="preserve"> </w:t>
      </w:r>
      <w:r>
        <w:rPr>
          <w:rFonts w:hint="eastAsia" w:cs="Times New Roman"/>
          <w:b/>
          <w:bCs/>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屈庄断面</w:t>
      </w:r>
      <w:r>
        <w:rPr>
          <w:rFonts w:hint="eastAsia" w:ascii="Times New Roman" w:hAnsi="Times New Roman" w:cs="Times New Roman"/>
          <w:b/>
          <w:bCs/>
          <w:color w:val="000000"/>
          <w:kern w:val="0"/>
          <w:sz w:val="24"/>
          <w:szCs w:val="24"/>
          <w:lang w:val="en-US" w:eastAsia="zh-CN" w:bidi="ar"/>
        </w:rPr>
        <w:t>总磷</w:t>
      </w:r>
      <w:r>
        <w:rPr>
          <w:rFonts w:hint="default" w:ascii="Times New Roman" w:hAnsi="Times New Roman" w:eastAsia="宋体" w:cs="Times New Roman"/>
          <w:b/>
          <w:bCs/>
          <w:color w:val="000000"/>
          <w:kern w:val="0"/>
          <w:sz w:val="24"/>
          <w:szCs w:val="24"/>
          <w:lang w:val="en-US" w:eastAsia="zh-CN" w:bidi="ar"/>
        </w:rPr>
        <w:t>浓度变化趋势图（2019年1～12月</w:t>
      </w:r>
      <w:r>
        <w:rPr>
          <w:rFonts w:hint="eastAsia" w:ascii="Times New Roman" w:hAnsi="Times New Roman" w:cs="Times New Roman"/>
          <w:b/>
          <w:bCs/>
          <w:color w:val="000000"/>
          <w:kern w:val="0"/>
          <w:sz w:val="24"/>
          <w:szCs w:val="24"/>
          <w:lang w:val="en-US" w:eastAsia="zh-CN" w:bidi="ar"/>
        </w:rPr>
        <w:t>）</w:t>
      </w:r>
      <w:r>
        <w:drawing>
          <wp:anchor distT="0" distB="0" distL="114300" distR="114300" simplePos="0" relativeHeight="251709440" behindDoc="0" locked="0" layoutInCell="1" allowOverlap="1">
            <wp:simplePos x="0" y="0"/>
            <wp:positionH relativeFrom="column">
              <wp:posOffset>698500</wp:posOffset>
            </wp:positionH>
            <wp:positionV relativeFrom="paragraph">
              <wp:posOffset>104140</wp:posOffset>
            </wp:positionV>
            <wp:extent cx="4600575" cy="2771775"/>
            <wp:effectExtent l="0" t="0" r="9525" b="9525"/>
            <wp:wrapTopAndBottom/>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35"/>
                    <a:stretch>
                      <a:fillRect/>
                    </a:stretch>
                  </pic:blipFill>
                  <pic:spPr>
                    <a:xfrm>
                      <a:off x="0" y="0"/>
                      <a:ext cx="4600575" cy="2771775"/>
                    </a:xfrm>
                    <a:prstGeom prst="rect">
                      <a:avLst/>
                    </a:prstGeom>
                    <a:noFill/>
                    <a:ln>
                      <a:noFill/>
                    </a:ln>
                  </pic:spPr>
                </pic:pic>
              </a:graphicData>
            </a:graphic>
          </wp:anchor>
        </w:drawing>
      </w:r>
    </w:p>
    <w:p>
      <w:pPr>
        <w:pageBreakBefore w:val="0"/>
        <w:widowControl w:val="0"/>
        <w:kinsoku/>
        <w:wordWrap/>
        <w:overflowPunct/>
        <w:topLinePunct w:val="0"/>
        <w:autoSpaceDE/>
        <w:autoSpaceDN/>
        <w:bidi w:val="0"/>
        <w:spacing w:line="360" w:lineRule="auto"/>
        <w:textAlignment w:val="auto"/>
        <w:rPr>
          <w:rFonts w:hint="eastAsia" w:ascii="Times New Roman" w:hAnsi="Times New Roman"/>
          <w:u w:val="single"/>
          <w:lang w:val="en-US" w:eastAsia="zh-CN"/>
        </w:rPr>
      </w:pPr>
      <w:r>
        <w:rPr>
          <w:rFonts w:hint="eastAsia" w:ascii="Times New Roman" w:hAnsi="Times New Roman"/>
          <w:u w:val="single"/>
          <w:lang w:val="en-US" w:eastAsia="zh-CN"/>
        </w:rPr>
        <w:t>从图5.3-1～图5.3-4可以看出，地表水环境灰河屈庄断面2019年内COD、总氮、总磷因子常规监测数据不能稳定达标，氨氮因子能够满足《地表水环境质量标准》（GB3838-2002）Ⅲ类标准要求。</w:t>
      </w:r>
    </w:p>
    <w:p>
      <w:pPr>
        <w:pageBreakBefore w:val="0"/>
        <w:widowControl w:val="0"/>
        <w:kinsoku/>
        <w:wordWrap/>
        <w:overflowPunct/>
        <w:topLinePunct w:val="0"/>
        <w:autoSpaceDE/>
        <w:autoSpaceDN/>
        <w:bidi w:val="0"/>
        <w:spacing w:line="360" w:lineRule="auto"/>
        <w:textAlignment w:val="auto"/>
        <w:rPr>
          <w:rFonts w:hint="eastAsia" w:ascii="Times New Roman" w:hAnsi="Times New Roman"/>
          <w:u w:val="single"/>
          <w:lang w:val="en-US" w:eastAsia="zh-CN"/>
        </w:rPr>
      </w:pPr>
      <w:r>
        <w:rPr>
          <w:rFonts w:hint="eastAsia" w:ascii="Times New Roman" w:hAnsi="Times New Roman"/>
          <w:u w:val="single"/>
          <w:lang w:val="en-US" w:eastAsia="zh-CN"/>
        </w:rPr>
        <w:t>根据《平顶山市</w:t>
      </w:r>
      <w:r>
        <w:rPr>
          <w:rFonts w:hint="default" w:ascii="Times New Roman" w:hAnsi="Times New Roman"/>
          <w:u w:val="single"/>
          <w:lang w:val="en-US" w:eastAsia="zh-CN"/>
        </w:rPr>
        <w:t>2020</w:t>
      </w:r>
      <w:r>
        <w:rPr>
          <w:rFonts w:hint="eastAsia" w:ascii="Times New Roman" w:hAnsi="Times New Roman"/>
          <w:u w:val="single"/>
          <w:lang w:val="en-US" w:eastAsia="zh-CN"/>
        </w:rPr>
        <w:t>年水污染防治攻坚战实施方案》，通过采取</w:t>
      </w:r>
      <w:r>
        <w:rPr>
          <w:rFonts w:hint="default" w:ascii="Times New Roman" w:hAnsi="Times New Roman"/>
          <w:u w:val="single"/>
          <w:lang w:val="en-US" w:eastAsia="zh-CN"/>
        </w:rPr>
        <w:t>“</w:t>
      </w:r>
      <w:r>
        <w:rPr>
          <w:rFonts w:hint="eastAsia" w:ascii="Times New Roman" w:hAnsi="Times New Roman"/>
          <w:u w:val="single"/>
          <w:lang w:val="en-US" w:eastAsia="zh-CN"/>
        </w:rPr>
        <w:t>明确持续打好河流清洁行动攻坚战役，加快河湖综合治理与水生态修复。全面落实河长制，持续实施</w:t>
      </w:r>
      <w:r>
        <w:rPr>
          <w:rFonts w:hint="default" w:ascii="Times New Roman" w:hAnsi="Times New Roman"/>
          <w:u w:val="single"/>
          <w:lang w:val="en-US" w:eastAsia="zh-CN"/>
        </w:rPr>
        <w:t>“</w:t>
      </w:r>
      <w:r>
        <w:rPr>
          <w:rFonts w:hint="eastAsia" w:ascii="Times New Roman" w:hAnsi="Times New Roman"/>
          <w:u w:val="single"/>
          <w:lang w:val="en-US" w:eastAsia="zh-CN"/>
        </w:rPr>
        <w:t>一河一策</w:t>
      </w:r>
      <w:r>
        <w:rPr>
          <w:rFonts w:hint="default" w:ascii="Times New Roman" w:hAnsi="Times New Roman"/>
          <w:u w:val="single"/>
          <w:lang w:val="en-US" w:eastAsia="zh-CN"/>
        </w:rPr>
        <w:t>”</w:t>
      </w:r>
      <w:r>
        <w:rPr>
          <w:rFonts w:hint="eastAsia" w:ascii="Times New Roman" w:hAnsi="Times New Roman"/>
          <w:u w:val="single"/>
          <w:lang w:val="en-US" w:eastAsia="zh-CN"/>
        </w:rPr>
        <w:t>治理措施，持续开展清河行动及水域岸线综合整治。加大水环境治理和水生态修复力度，完成宝丰东湖等</w:t>
      </w:r>
      <w:r>
        <w:rPr>
          <w:rFonts w:hint="default" w:ascii="Times New Roman" w:hAnsi="Times New Roman"/>
          <w:u w:val="single"/>
          <w:lang w:val="en-US" w:eastAsia="zh-CN"/>
        </w:rPr>
        <w:t>5</w:t>
      </w:r>
      <w:r>
        <w:rPr>
          <w:rFonts w:hint="eastAsia" w:ascii="Times New Roman" w:hAnsi="Times New Roman"/>
          <w:u w:val="single"/>
          <w:lang w:val="en-US" w:eastAsia="zh-CN"/>
        </w:rPr>
        <w:t>家河道综合整治（包括叶县灰河生态治理：通过建设人工湿地，改善灰河水生态环境）和郏县北汝河省级湿地公园等</w:t>
      </w:r>
      <w:r>
        <w:rPr>
          <w:rFonts w:hint="default" w:ascii="Times New Roman" w:hAnsi="Times New Roman"/>
          <w:u w:val="single"/>
          <w:lang w:val="en-US" w:eastAsia="zh-CN"/>
        </w:rPr>
        <w:t>5</w:t>
      </w:r>
      <w:r>
        <w:rPr>
          <w:rFonts w:hint="eastAsia" w:ascii="Times New Roman" w:hAnsi="Times New Roman"/>
          <w:u w:val="single"/>
          <w:lang w:val="en-US" w:eastAsia="zh-CN"/>
        </w:rPr>
        <w:t>家生态湿地建设工程，进一步提升全市水环境质量</w:t>
      </w:r>
      <w:r>
        <w:rPr>
          <w:rFonts w:hint="default" w:ascii="Times New Roman" w:hAnsi="Times New Roman"/>
          <w:u w:val="single"/>
          <w:lang w:val="en-US" w:eastAsia="zh-CN"/>
        </w:rPr>
        <w:t>”</w:t>
      </w:r>
      <w:r>
        <w:rPr>
          <w:rFonts w:hint="eastAsia" w:ascii="Times New Roman" w:hAnsi="Times New Roman"/>
          <w:u w:val="single"/>
          <w:lang w:val="en-US" w:eastAsia="zh-CN"/>
        </w:rPr>
        <w:t>等手段，实现如下目标：</w:t>
      </w:r>
      <w:r>
        <w:rPr>
          <w:rFonts w:hint="default" w:ascii="Times New Roman" w:hAnsi="Times New Roman"/>
          <w:u w:val="single"/>
          <w:lang w:val="en-US" w:eastAsia="zh-CN"/>
        </w:rPr>
        <w:t>2020</w:t>
      </w:r>
      <w:r>
        <w:rPr>
          <w:rFonts w:hint="eastAsia" w:ascii="Times New Roman" w:hAnsi="Times New Roman"/>
          <w:u w:val="single"/>
          <w:lang w:val="en-US" w:eastAsia="zh-CN"/>
        </w:rPr>
        <w:t>年工作目标，全市地表水质量达到或优于</w:t>
      </w:r>
      <w:r>
        <w:rPr>
          <w:rFonts w:hint="default" w:ascii="Times New Roman" w:hAnsi="Times New Roman"/>
          <w:u w:val="single"/>
          <w:lang w:val="en-US" w:eastAsia="zh-CN"/>
        </w:rPr>
        <w:t>Ⅲ</w:t>
      </w:r>
      <w:r>
        <w:rPr>
          <w:rFonts w:hint="eastAsia" w:ascii="Times New Roman" w:hAnsi="Times New Roman"/>
          <w:u w:val="single"/>
          <w:lang w:val="en-US" w:eastAsia="zh-CN"/>
        </w:rPr>
        <w:t>类水质断面比例总体达到</w:t>
      </w:r>
      <w:r>
        <w:rPr>
          <w:rFonts w:hint="default" w:ascii="Times New Roman" w:hAnsi="Times New Roman"/>
          <w:u w:val="single"/>
          <w:lang w:val="en-US" w:eastAsia="zh-CN"/>
        </w:rPr>
        <w:t>65%</w:t>
      </w:r>
      <w:r>
        <w:rPr>
          <w:rFonts w:hint="eastAsia" w:ascii="Times New Roman" w:hAnsi="Times New Roman"/>
          <w:u w:val="single"/>
          <w:lang w:val="en-US" w:eastAsia="zh-CN"/>
        </w:rPr>
        <w:t>以上，劣</w:t>
      </w:r>
      <w:r>
        <w:rPr>
          <w:rFonts w:hint="default" w:ascii="Times New Roman" w:hAnsi="Times New Roman"/>
          <w:u w:val="single"/>
          <w:lang w:val="en-US" w:eastAsia="zh-CN"/>
        </w:rPr>
        <w:t>V</w:t>
      </w:r>
      <w:r>
        <w:rPr>
          <w:rFonts w:hint="eastAsia" w:ascii="Times New Roman" w:hAnsi="Times New Roman"/>
          <w:u w:val="single"/>
          <w:lang w:val="en-US" w:eastAsia="zh-CN"/>
        </w:rPr>
        <w:t>类水质断面比例控制在</w:t>
      </w:r>
      <w:r>
        <w:rPr>
          <w:rFonts w:hint="default" w:ascii="Times New Roman" w:hAnsi="Times New Roman"/>
          <w:u w:val="single"/>
          <w:lang w:val="en-US" w:eastAsia="zh-CN"/>
        </w:rPr>
        <w:t>9.6%</w:t>
      </w:r>
      <w:r>
        <w:rPr>
          <w:rFonts w:hint="eastAsia" w:ascii="Times New Roman" w:hAnsi="Times New Roman"/>
          <w:u w:val="single"/>
          <w:lang w:val="en-US" w:eastAsia="zh-CN"/>
        </w:rPr>
        <w:t>以下；城市集中式饮用水水源地取水水质达标率达到</w:t>
      </w:r>
      <w:r>
        <w:rPr>
          <w:rFonts w:hint="default" w:ascii="Times New Roman" w:hAnsi="Times New Roman"/>
          <w:u w:val="single"/>
          <w:lang w:val="en-US" w:eastAsia="zh-CN"/>
        </w:rPr>
        <w:t>100%</w:t>
      </w:r>
      <w:r>
        <w:rPr>
          <w:rFonts w:hint="eastAsia" w:ascii="Times New Roman" w:hAnsi="Times New Roman"/>
          <w:u w:val="single"/>
          <w:lang w:val="en-US" w:eastAsia="zh-CN"/>
        </w:rPr>
        <w:t>；市区建成区全面消除黑臭水体，其余县（市、区）完成黑臭水体整治任务。</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lang w:val="en-US" w:eastAsia="zh-CN"/>
        </w:rPr>
      </w:pPr>
      <w:bookmarkStart w:id="112" w:name="_Toc1922"/>
      <w:bookmarkStart w:id="113" w:name="_Toc12381"/>
      <w:bookmarkStart w:id="114" w:name="_Toc24522"/>
      <w:r>
        <w:rPr>
          <w:rFonts w:hint="eastAsia" w:ascii="Times New Roman" w:hAnsi="Times New Roman"/>
          <w:lang w:val="en-US" w:eastAsia="zh-CN"/>
        </w:rPr>
        <w:t>5.4 地下水环境质量现状调查与评价</w:t>
      </w:r>
      <w:bookmarkEnd w:id="112"/>
      <w:bookmarkEnd w:id="113"/>
      <w:bookmarkEnd w:id="114"/>
    </w:p>
    <w:p>
      <w:pPr>
        <w:pStyle w:val="4"/>
        <w:pageBreakBefore w:val="0"/>
        <w:widowControl w:val="0"/>
        <w:kinsoku/>
        <w:wordWrap/>
        <w:overflowPunct/>
        <w:topLinePunct w:val="0"/>
        <w:autoSpaceDE/>
        <w:autoSpaceDN/>
        <w:bidi w:val="0"/>
        <w:spacing w:beforeLines="0" w:afterLines="0" w:line="360" w:lineRule="auto"/>
        <w:textAlignment w:val="auto"/>
        <w:rPr>
          <w:rFonts w:hint="eastAsia"/>
        </w:rPr>
      </w:pPr>
      <w:r>
        <w:rPr>
          <w:rFonts w:hint="eastAsia"/>
          <w:lang w:val="en-US" w:eastAsia="zh-CN"/>
        </w:rPr>
        <w:t xml:space="preserve">5.4.1 </w:t>
      </w:r>
      <w:r>
        <w:rPr>
          <w:rFonts w:hint="eastAsia"/>
        </w:rPr>
        <w:t>监测点位及监测因子</w:t>
      </w:r>
    </w:p>
    <w:p>
      <w:pPr>
        <w:pageBreakBefore w:val="0"/>
        <w:widowControl w:val="0"/>
        <w:kinsoku/>
        <w:wordWrap/>
        <w:overflowPunct/>
        <w:topLinePunct w:val="0"/>
        <w:autoSpaceDE/>
        <w:autoSpaceDN/>
        <w:bidi w:val="0"/>
        <w:spacing w:line="360" w:lineRule="auto"/>
        <w:textAlignment w:val="auto"/>
        <w:rPr>
          <w:rFonts w:hint="eastAsia"/>
          <w:lang w:val="en-US" w:eastAsia="zh-CN"/>
        </w:rPr>
      </w:pPr>
      <w:r>
        <w:rPr>
          <w:rFonts w:hint="eastAsia"/>
          <w:lang w:val="en-US" w:eastAsia="zh-CN"/>
        </w:rPr>
        <w:t>（</w:t>
      </w:r>
      <w:r>
        <w:rPr>
          <w:rFonts w:hint="default"/>
          <w:lang w:val="en-US" w:eastAsia="zh-CN"/>
        </w:rPr>
        <w:t>1</w:t>
      </w:r>
      <w:r>
        <w:rPr>
          <w:rFonts w:hint="eastAsia"/>
          <w:lang w:val="en-US" w:eastAsia="zh-CN"/>
        </w:rPr>
        <w:t>）监测因子：</w:t>
      </w:r>
      <w:r>
        <w:rPr>
          <w:rFonts w:hint="default"/>
          <w:lang w:val="en-US" w:eastAsia="zh-CN"/>
        </w:rPr>
        <w:t>pH</w:t>
      </w:r>
      <w:r>
        <w:rPr>
          <w:rFonts w:hint="eastAsia"/>
          <w:lang w:val="en-US" w:eastAsia="zh-CN"/>
        </w:rPr>
        <w:t>值、总硬度、溶解性总固体、硫酸盐、氯化物、铁、锰、锌、挥发酚、耗氧量、硝酸盐、亚硝酸盐、氨氮、氟化物、氰化物、汞、砷、镉、铬(六价)、铅、总大肠菌群、菌落总数、井深、水位、水温。</w:t>
      </w:r>
    </w:p>
    <w:p>
      <w:pPr>
        <w:pageBreakBefore w:val="0"/>
        <w:widowControl w:val="0"/>
        <w:kinsoku/>
        <w:wordWrap/>
        <w:overflowPunct/>
        <w:topLinePunct w:val="0"/>
        <w:autoSpaceDE/>
        <w:autoSpaceDN/>
        <w:bidi w:val="0"/>
        <w:spacing w:line="360" w:lineRule="auto"/>
        <w:textAlignment w:val="auto"/>
        <w:rPr>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）监测时间及频次：</w:t>
      </w:r>
      <w:r>
        <w:rPr>
          <w:rFonts w:hint="default"/>
          <w:color w:val="000000" w:themeColor="text1"/>
          <w:lang w:val="en-US" w:eastAsia="zh-CN"/>
          <w14:textFill>
            <w14:solidFill>
              <w14:schemeClr w14:val="tx1"/>
            </w14:solidFill>
          </w14:textFill>
        </w:rPr>
        <w:t>202</w:t>
      </w:r>
      <w:r>
        <w:rPr>
          <w:rFonts w:hint="eastAsia"/>
          <w:color w:val="000000" w:themeColor="text1"/>
          <w:lang w:val="en-US" w:eastAsia="zh-CN"/>
          <w14:textFill>
            <w14:solidFill>
              <w14:schemeClr w14:val="tx1"/>
            </w14:solidFill>
          </w14:textFill>
        </w:rPr>
        <w:t>1年07月15日~2021年07月16日，监测2天，每天采样</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次。</w:t>
      </w:r>
    </w:p>
    <w:p>
      <w:pPr>
        <w:bidi w:val="0"/>
        <w:rPr>
          <w:u w:val="single"/>
          <w:lang w:val="zh-CN" w:eastAsia="zh-CN"/>
        </w:rPr>
      </w:pPr>
      <w:r>
        <w:rPr>
          <w:rFonts w:hint="eastAsia"/>
          <w:u w:val="single"/>
          <w:lang w:val="en-US" w:eastAsia="zh-CN"/>
        </w:rPr>
        <w:t>（</w:t>
      </w:r>
      <w:r>
        <w:rPr>
          <w:rFonts w:hint="default"/>
          <w:u w:val="single"/>
          <w:lang w:val="en-US" w:eastAsia="zh-CN"/>
        </w:rPr>
        <w:t>3</w:t>
      </w:r>
      <w:r>
        <w:rPr>
          <w:rFonts w:hint="eastAsia"/>
          <w:u w:val="single"/>
          <w:lang w:val="en-US" w:eastAsia="zh-CN"/>
        </w:rPr>
        <w:t>）监测点位置：共设7个监测点，具体见表</w:t>
      </w:r>
      <w:r>
        <w:rPr>
          <w:rFonts w:hint="default"/>
          <w:color w:val="auto"/>
          <w:u w:val="single"/>
          <w:lang w:val="en-US" w:eastAsia="zh-CN"/>
        </w:rPr>
        <w:t>5.</w:t>
      </w:r>
      <w:r>
        <w:rPr>
          <w:rFonts w:hint="eastAsia"/>
          <w:color w:val="auto"/>
          <w:u w:val="single"/>
          <w:lang w:val="en-US" w:eastAsia="zh-CN"/>
        </w:rPr>
        <w:t>4</w:t>
      </w:r>
      <w:r>
        <w:rPr>
          <w:rFonts w:hint="default"/>
          <w:color w:val="auto"/>
          <w:u w:val="single"/>
          <w:lang w:val="en-US" w:eastAsia="zh-CN"/>
        </w:rPr>
        <w:t>-</w:t>
      </w:r>
      <w:r>
        <w:rPr>
          <w:rFonts w:hint="eastAsia"/>
          <w:color w:val="auto"/>
          <w:u w:val="single"/>
          <w:lang w:val="en-US" w:eastAsia="zh-CN"/>
        </w:rPr>
        <w:t>1和附图4。</w:t>
      </w:r>
    </w:p>
    <w:p>
      <w:pPr>
        <w:bidi w:val="0"/>
        <w:rPr>
          <w:rFonts w:hint="eastAsia"/>
          <w:u w:val="single"/>
          <w:lang w:val="en-US" w:eastAsia="zh-CN"/>
        </w:rPr>
      </w:pPr>
      <w:r>
        <w:rPr>
          <w:rFonts w:hint="eastAsia"/>
          <w:u w:val="single"/>
          <w:lang w:val="en-US" w:eastAsia="zh-CN"/>
        </w:rPr>
        <w:t>（</w:t>
      </w:r>
      <w:r>
        <w:rPr>
          <w:rFonts w:hint="default"/>
          <w:u w:val="single"/>
          <w:lang w:val="en-US" w:eastAsia="zh-CN"/>
        </w:rPr>
        <w:t>4</w:t>
      </w:r>
      <w:r>
        <w:rPr>
          <w:rFonts w:hint="eastAsia"/>
          <w:u w:val="single"/>
          <w:lang w:val="en-US" w:eastAsia="zh-CN"/>
        </w:rPr>
        <w:t>）监测取样要求：一般情况下，只取一个水质样品，取样点深度宜在地下水位以下1.0m左右。</w:t>
      </w:r>
    </w:p>
    <w:p>
      <w:pPr>
        <w:keepNext w:val="0"/>
        <w:keepLines w:val="0"/>
        <w:widowControl/>
        <w:suppressLineNumbers w:val="0"/>
        <w:spacing w:line="360" w:lineRule="auto"/>
        <w:jc w:val="center"/>
        <w:rPr>
          <w:rFonts w:hint="eastAsia" w:ascii="Times New Roman" w:hAnsi="Times New Roman" w:eastAsia="宋体" w:cs="宋体"/>
          <w:b/>
          <w:bCs/>
          <w:spacing w:val="-11"/>
          <w:sz w:val="24"/>
          <w:szCs w:val="24"/>
          <w:lang w:val="en-US" w:eastAsia="zh-CN" w:bidi="zh-CN"/>
        </w:rPr>
      </w:pPr>
      <w:r>
        <w:rPr>
          <w:rFonts w:hint="eastAsia" w:ascii="Times New Roman" w:hAnsi="Times New Roman" w:eastAsia="宋体" w:cs="宋体"/>
          <w:b/>
          <w:bCs/>
          <w:spacing w:val="-11"/>
          <w:sz w:val="24"/>
          <w:szCs w:val="24"/>
          <w:lang w:val="en-US" w:eastAsia="zh-CN" w:bidi="zh-CN"/>
        </w:rPr>
        <w:t xml:space="preserve">表5.4-1 </w:t>
      </w:r>
      <w:r>
        <w:rPr>
          <w:rFonts w:ascii="Times New Roman" w:hAnsi="Times New Roman" w:eastAsia="宋体" w:cs="宋体"/>
          <w:b/>
          <w:bCs/>
          <w:spacing w:val="-11"/>
          <w:sz w:val="24"/>
          <w:szCs w:val="24"/>
          <w:lang w:val="en-US" w:eastAsia="zh-CN" w:bidi="zh-CN"/>
        </w:rPr>
        <w:t xml:space="preserve"> </w:t>
      </w:r>
      <w:r>
        <w:rPr>
          <w:rFonts w:hint="eastAsia" w:ascii="Times New Roman" w:hAnsi="Times New Roman" w:eastAsia="宋体" w:cs="宋体"/>
          <w:b/>
          <w:bCs/>
          <w:spacing w:val="-11"/>
          <w:sz w:val="24"/>
          <w:szCs w:val="24"/>
          <w:lang w:val="en-US" w:eastAsia="zh-CN" w:bidi="zh-CN"/>
        </w:rPr>
        <w:t>地下水水质监测点位表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011"/>
        <w:gridCol w:w="1871"/>
        <w:gridCol w:w="4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r>
              <w:rPr>
                <w:rFonts w:hint="eastAsia"/>
                <w:sz w:val="21"/>
                <w:szCs w:val="21"/>
                <w:lang w:val="en-US" w:eastAsia="zh-CN"/>
              </w:rPr>
              <w:t>测点位置</w:t>
            </w:r>
          </w:p>
        </w:tc>
        <w:tc>
          <w:tcPr>
            <w:tcW w:w="544"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r>
              <w:rPr>
                <w:rFonts w:hint="eastAsia"/>
                <w:sz w:val="21"/>
                <w:szCs w:val="21"/>
                <w:lang w:val="en-US" w:eastAsia="zh-CN"/>
              </w:rPr>
              <w:t>方位</w:t>
            </w:r>
          </w:p>
        </w:tc>
        <w:tc>
          <w:tcPr>
            <w:tcW w:w="1007"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r>
              <w:rPr>
                <w:rFonts w:hint="eastAsia"/>
                <w:sz w:val="21"/>
                <w:szCs w:val="21"/>
                <w:lang w:val="en-US" w:eastAsia="zh-CN"/>
              </w:rPr>
              <w:t>距离本项目（</w:t>
            </w:r>
            <w:r>
              <w:rPr>
                <w:sz w:val="21"/>
                <w:szCs w:val="21"/>
                <w:lang w:val="en-US" w:eastAsia="zh-CN"/>
              </w:rPr>
              <w:t>m</w:t>
            </w:r>
            <w:r>
              <w:rPr>
                <w:rFonts w:hint="eastAsia"/>
                <w:sz w:val="21"/>
                <w:szCs w:val="21"/>
                <w:lang w:val="en-US" w:eastAsia="zh-CN"/>
              </w:rPr>
              <w:t>）</w:t>
            </w:r>
          </w:p>
        </w:tc>
        <w:tc>
          <w:tcPr>
            <w:tcW w:w="2386"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sz w:val="21"/>
                <w:szCs w:val="21"/>
                <w:lang w:val="zh-CN" w:eastAsia="zh-CN"/>
              </w:rPr>
            </w:pPr>
            <w:r>
              <w:rPr>
                <w:rFonts w:hint="eastAsia"/>
                <w:sz w:val="21"/>
                <w:szCs w:val="21"/>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zh-CN" w:eastAsia="zh-CN"/>
              </w:rPr>
            </w:pPr>
            <w:r>
              <w:rPr>
                <w:rFonts w:hint="eastAsia"/>
                <w:sz w:val="21"/>
                <w:szCs w:val="21"/>
                <w:vertAlign w:val="baseline"/>
                <w:lang w:val="en-US" w:eastAsia="zh-CN"/>
              </w:rPr>
              <w:t>项目所在地</w:t>
            </w:r>
          </w:p>
        </w:tc>
        <w:tc>
          <w:tcPr>
            <w:tcW w:w="544"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vertAlign w:val="baseline"/>
                <w:lang w:val="en-US" w:eastAsia="zh-CN"/>
              </w:rPr>
              <w:t>/</w:t>
            </w:r>
          </w:p>
        </w:tc>
        <w:tc>
          <w:tcPr>
            <w:tcW w:w="1007"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w:t>
            </w:r>
          </w:p>
        </w:tc>
        <w:tc>
          <w:tcPr>
            <w:tcW w:w="2386" w:type="pct"/>
            <w:vMerge w:val="restar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sz w:val="21"/>
                <w:szCs w:val="21"/>
                <w:lang w:val="zh-CN" w:eastAsia="zh-CN"/>
              </w:rPr>
            </w:pPr>
            <w:r>
              <w:rPr>
                <w:rFonts w:hint="default"/>
                <w:sz w:val="21"/>
                <w:szCs w:val="21"/>
                <w:lang w:val="en-US" w:eastAsia="zh-CN"/>
              </w:rPr>
              <w:t>pH</w:t>
            </w:r>
            <w:r>
              <w:rPr>
                <w:rFonts w:hint="eastAsia"/>
                <w:sz w:val="21"/>
                <w:szCs w:val="21"/>
                <w:lang w:val="en-US" w:eastAsia="zh-CN"/>
              </w:rPr>
              <w:t>值、总硬度、溶解性总固体、硫酸盐、氯化物、铁、锰、锌、挥发酚、耗氧量、硝酸盐、亚硝酸盐、氨氮、氟化物、氰化物、汞、砷、镉、铬(六价)、铅、总大肠菌群、菌落总数、井深、水位、水温。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张窖</w:t>
            </w:r>
          </w:p>
        </w:tc>
        <w:tc>
          <w:tcPr>
            <w:tcW w:w="544"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vertAlign w:val="baseline"/>
                <w:lang w:val="en-US" w:eastAsia="zh-CN"/>
              </w:rPr>
              <w:t>SE</w:t>
            </w:r>
          </w:p>
        </w:tc>
        <w:tc>
          <w:tcPr>
            <w:tcW w:w="1007"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1073</w:t>
            </w:r>
          </w:p>
        </w:tc>
        <w:tc>
          <w:tcPr>
            <w:tcW w:w="2386" w:type="pct"/>
            <w:vMerge w:val="continue"/>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老龚庄村</w:t>
            </w:r>
          </w:p>
        </w:tc>
        <w:tc>
          <w:tcPr>
            <w:tcW w:w="544"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vertAlign w:val="baseline"/>
                <w:lang w:val="en-US" w:eastAsia="zh-CN"/>
              </w:rPr>
              <w:t>NW</w:t>
            </w:r>
          </w:p>
        </w:tc>
        <w:tc>
          <w:tcPr>
            <w:tcW w:w="1007" w:type="pc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710</w:t>
            </w:r>
          </w:p>
        </w:tc>
        <w:tc>
          <w:tcPr>
            <w:tcW w:w="2386" w:type="pct"/>
            <w:vMerge w:val="continue"/>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zh-CN" w:eastAsia="zh-CN"/>
              </w:rPr>
            </w:pPr>
            <w:r>
              <w:rPr>
                <w:rFonts w:hint="eastAsia"/>
                <w:sz w:val="21"/>
                <w:szCs w:val="21"/>
                <w:lang w:val="en-US" w:eastAsia="zh-CN"/>
              </w:rPr>
              <w:t>二郎庙</w:t>
            </w:r>
          </w:p>
        </w:tc>
        <w:tc>
          <w:tcPr>
            <w:tcW w:w="544" w:type="pct"/>
            <w:vAlign w:val="center"/>
          </w:tcPr>
          <w:p>
            <w:pPr>
              <w:pStyle w:val="30"/>
              <w:bidi w:val="0"/>
              <w:ind w:firstLine="0" w:firstLineChars="0"/>
              <w:rPr>
                <w:sz w:val="21"/>
                <w:szCs w:val="21"/>
                <w:lang w:val="zh-CN" w:eastAsia="zh-CN"/>
              </w:rPr>
            </w:pPr>
            <w:r>
              <w:rPr>
                <w:rFonts w:hint="eastAsia"/>
                <w:sz w:val="21"/>
                <w:szCs w:val="21"/>
                <w:lang w:val="en-US" w:eastAsia="zh-CN"/>
              </w:rPr>
              <w:t>SW</w:t>
            </w:r>
          </w:p>
        </w:tc>
        <w:tc>
          <w:tcPr>
            <w:tcW w:w="1007" w:type="pct"/>
            <w:vAlign w:val="center"/>
          </w:tcPr>
          <w:p>
            <w:pPr>
              <w:pStyle w:val="30"/>
              <w:bidi w:val="0"/>
              <w:ind w:firstLine="0" w:firstLineChars="0"/>
              <w:rPr>
                <w:sz w:val="21"/>
                <w:szCs w:val="21"/>
                <w:lang w:val="zh-CN" w:eastAsia="zh-CN"/>
              </w:rPr>
            </w:pPr>
            <w:r>
              <w:rPr>
                <w:rFonts w:hint="eastAsia"/>
                <w:sz w:val="21"/>
                <w:szCs w:val="21"/>
                <w:lang w:val="en-US" w:eastAsia="zh-CN"/>
              </w:rPr>
              <w:t>550</w:t>
            </w:r>
          </w:p>
        </w:tc>
        <w:tc>
          <w:tcPr>
            <w:tcW w:w="2386" w:type="pct"/>
            <w:vMerge w:val="restar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r>
              <w:rPr>
                <w:rFonts w:hint="eastAsia"/>
                <w:sz w:val="21"/>
                <w:szCs w:val="21"/>
                <w:lang w:val="en-US" w:eastAsia="zh-CN"/>
              </w:rPr>
              <w:t>井深、水位、水温。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zh-CN" w:eastAsia="zh-CN"/>
              </w:rPr>
            </w:pPr>
            <w:r>
              <w:rPr>
                <w:rFonts w:hint="eastAsia"/>
                <w:sz w:val="21"/>
                <w:szCs w:val="21"/>
                <w:lang w:val="en-US" w:eastAsia="zh-CN"/>
              </w:rPr>
              <w:t>常宋村</w:t>
            </w:r>
          </w:p>
        </w:tc>
        <w:tc>
          <w:tcPr>
            <w:tcW w:w="544" w:type="pct"/>
            <w:vAlign w:val="center"/>
          </w:tcPr>
          <w:p>
            <w:pPr>
              <w:pStyle w:val="30"/>
              <w:bidi w:val="0"/>
              <w:ind w:firstLine="0" w:firstLineChars="0"/>
              <w:rPr>
                <w:sz w:val="21"/>
                <w:szCs w:val="21"/>
                <w:lang w:val="zh-CN" w:eastAsia="zh-CN"/>
              </w:rPr>
            </w:pPr>
            <w:r>
              <w:rPr>
                <w:rFonts w:hint="eastAsia"/>
                <w:sz w:val="21"/>
                <w:szCs w:val="21"/>
                <w:lang w:val="en-US" w:eastAsia="zh-CN"/>
              </w:rPr>
              <w:t>NE</w:t>
            </w:r>
          </w:p>
        </w:tc>
        <w:tc>
          <w:tcPr>
            <w:tcW w:w="1007" w:type="pct"/>
            <w:vAlign w:val="center"/>
          </w:tcPr>
          <w:p>
            <w:pPr>
              <w:pStyle w:val="30"/>
              <w:bidi w:val="0"/>
              <w:ind w:firstLine="0" w:firstLineChars="0"/>
              <w:rPr>
                <w:sz w:val="21"/>
                <w:szCs w:val="21"/>
                <w:lang w:val="zh-CN" w:eastAsia="zh-CN"/>
              </w:rPr>
            </w:pPr>
            <w:r>
              <w:rPr>
                <w:rFonts w:hint="eastAsia"/>
                <w:sz w:val="21"/>
                <w:szCs w:val="21"/>
                <w:lang w:val="en-US" w:eastAsia="zh-CN"/>
              </w:rPr>
              <w:t>405</w:t>
            </w:r>
          </w:p>
        </w:tc>
        <w:tc>
          <w:tcPr>
            <w:tcW w:w="2386" w:type="pct"/>
            <w:vMerge w:val="continue"/>
            <w:vAlign w:val="top"/>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zh-CN" w:eastAsia="zh-CN"/>
              </w:rPr>
            </w:pPr>
            <w:r>
              <w:rPr>
                <w:rFonts w:hint="eastAsia"/>
                <w:sz w:val="21"/>
                <w:szCs w:val="21"/>
                <w:lang w:val="en-US" w:eastAsia="zh-CN"/>
              </w:rPr>
              <w:t>后王庄</w:t>
            </w:r>
          </w:p>
        </w:tc>
        <w:tc>
          <w:tcPr>
            <w:tcW w:w="544" w:type="pct"/>
            <w:vAlign w:val="center"/>
          </w:tcPr>
          <w:p>
            <w:pPr>
              <w:pStyle w:val="30"/>
              <w:bidi w:val="0"/>
              <w:ind w:firstLine="0" w:firstLineChars="0"/>
              <w:rPr>
                <w:sz w:val="21"/>
                <w:szCs w:val="21"/>
                <w:lang w:val="zh-CN" w:eastAsia="zh-CN"/>
              </w:rPr>
            </w:pPr>
            <w:r>
              <w:rPr>
                <w:rFonts w:hint="eastAsia"/>
                <w:sz w:val="21"/>
                <w:szCs w:val="21"/>
                <w:lang w:val="en-US" w:eastAsia="zh-CN"/>
              </w:rPr>
              <w:t>SW</w:t>
            </w:r>
          </w:p>
        </w:tc>
        <w:tc>
          <w:tcPr>
            <w:tcW w:w="1007" w:type="pct"/>
            <w:vAlign w:val="center"/>
          </w:tcPr>
          <w:p>
            <w:pPr>
              <w:pStyle w:val="30"/>
              <w:bidi w:val="0"/>
              <w:ind w:firstLine="0" w:firstLineChars="0"/>
              <w:rPr>
                <w:rFonts w:hint="default"/>
                <w:sz w:val="21"/>
                <w:szCs w:val="21"/>
                <w:lang w:val="en-US" w:eastAsia="zh-CN"/>
              </w:rPr>
            </w:pPr>
            <w:r>
              <w:rPr>
                <w:rFonts w:hint="eastAsia"/>
                <w:sz w:val="21"/>
                <w:szCs w:val="21"/>
                <w:lang w:val="en-US" w:eastAsia="zh-CN"/>
              </w:rPr>
              <w:t>120</w:t>
            </w:r>
          </w:p>
        </w:tc>
        <w:tc>
          <w:tcPr>
            <w:tcW w:w="2386" w:type="pct"/>
            <w:vMerge w:val="continue"/>
            <w:vAlign w:val="top"/>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61"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齐庄村</w:t>
            </w:r>
          </w:p>
        </w:tc>
        <w:tc>
          <w:tcPr>
            <w:tcW w:w="544" w:type="pct"/>
            <w:vAlign w:val="center"/>
          </w:tcPr>
          <w:p>
            <w:pPr>
              <w:pStyle w:val="30"/>
              <w:bidi w:val="0"/>
              <w:ind w:firstLine="0" w:firstLineChars="0"/>
              <w:rPr>
                <w:rFonts w:hint="eastAsia"/>
                <w:sz w:val="21"/>
                <w:szCs w:val="21"/>
                <w:lang w:val="en-US" w:eastAsia="zh-CN"/>
              </w:rPr>
            </w:pPr>
            <w:r>
              <w:rPr>
                <w:rFonts w:hint="eastAsia"/>
                <w:sz w:val="21"/>
                <w:szCs w:val="21"/>
                <w:lang w:val="en-US" w:eastAsia="zh-CN"/>
              </w:rPr>
              <w:t>S</w:t>
            </w:r>
          </w:p>
        </w:tc>
        <w:tc>
          <w:tcPr>
            <w:tcW w:w="1007" w:type="pct"/>
            <w:vAlign w:val="center"/>
          </w:tcPr>
          <w:p>
            <w:pPr>
              <w:pStyle w:val="30"/>
              <w:bidi w:val="0"/>
              <w:ind w:firstLine="0" w:firstLineChars="0"/>
              <w:rPr>
                <w:rFonts w:hint="eastAsia"/>
                <w:sz w:val="21"/>
                <w:szCs w:val="21"/>
                <w:lang w:val="en-US" w:eastAsia="zh-CN"/>
              </w:rPr>
            </w:pPr>
            <w:r>
              <w:rPr>
                <w:rFonts w:hint="eastAsia"/>
                <w:sz w:val="21"/>
                <w:szCs w:val="21"/>
                <w:lang w:val="en-US" w:eastAsia="zh-CN"/>
              </w:rPr>
              <w:t>670</w:t>
            </w:r>
          </w:p>
        </w:tc>
        <w:tc>
          <w:tcPr>
            <w:tcW w:w="2386" w:type="pct"/>
            <w:vMerge w:val="continue"/>
            <w:vAlign w:val="top"/>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zh-CN" w:eastAsia="zh-CN"/>
              </w:rPr>
            </w:pPr>
          </w:p>
        </w:tc>
      </w:tr>
    </w:tbl>
    <w:p>
      <w:pPr>
        <w:pStyle w:val="4"/>
        <w:bidi w:val="0"/>
        <w:rPr>
          <w:rFonts w:hint="eastAsia"/>
          <w:lang w:val="en-US" w:eastAsia="zh-CN"/>
        </w:rPr>
      </w:pPr>
      <w:r>
        <w:rPr>
          <w:rFonts w:hint="eastAsia"/>
          <w:lang w:val="en-US" w:eastAsia="zh-CN"/>
        </w:rPr>
        <w:t>5.4.2 监测分析方法</w:t>
      </w:r>
    </w:p>
    <w:p>
      <w:pPr>
        <w:keepNext w:val="0"/>
        <w:keepLines w:val="0"/>
        <w:widowControl/>
        <w:suppressLineNumbers w:val="0"/>
        <w:spacing w:line="360" w:lineRule="auto"/>
        <w:jc w:val="center"/>
        <w:rPr>
          <w:rFonts w:hint="eastAsia" w:ascii="Times New Roman" w:hAnsi="Times New Roman" w:eastAsia="宋体" w:cs="宋体"/>
          <w:b/>
          <w:bCs/>
          <w:spacing w:val="-11"/>
          <w:sz w:val="24"/>
          <w:szCs w:val="24"/>
          <w:lang w:val="en-US" w:eastAsia="zh-CN" w:bidi="zh-CN"/>
        </w:rPr>
      </w:pPr>
      <w:r>
        <w:rPr>
          <w:rFonts w:hint="eastAsia" w:ascii="Times New Roman" w:hAnsi="Times New Roman" w:eastAsia="宋体" w:cs="宋体"/>
          <w:b/>
          <w:bCs/>
          <w:spacing w:val="-11"/>
          <w:sz w:val="24"/>
          <w:szCs w:val="24"/>
          <w:lang w:val="en-US" w:eastAsia="zh-CN" w:bidi="zh-CN"/>
        </w:rPr>
        <w:t>表5.4-2  地下水环境质量现状监测分析方法</w:t>
      </w:r>
    </w:p>
    <w:tbl>
      <w:tblPr>
        <w:tblStyle w:val="21"/>
        <w:tblW w:w="5019"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0"/>
        <w:gridCol w:w="1078"/>
        <w:gridCol w:w="3907"/>
        <w:gridCol w:w="2259"/>
        <w:gridCol w:w="13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检测类别</w:t>
            </w: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检测项目</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检测标准</w:t>
            </w:r>
            <w:r>
              <w:t>(</w:t>
            </w:r>
            <w:r>
              <w:rPr>
                <w:rFonts w:hint="eastAsia"/>
              </w:rPr>
              <w:t>方法</w:t>
            </w:r>
            <w:r>
              <w:t>)</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检测仪器</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检出限</w:t>
            </w:r>
            <w:r>
              <w:t>/</w:t>
            </w:r>
          </w:p>
          <w:p>
            <w:pPr>
              <w:pStyle w:val="30"/>
              <w:bidi w:val="0"/>
              <w:rPr>
                <w:rFonts w:hint="eastAsia"/>
              </w:rPr>
            </w:pPr>
            <w:r>
              <w:rPr>
                <w:rFonts w:hint="eastAsia"/>
              </w:rPr>
              <w:t>最低检出浓度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restart"/>
            <w:tcBorders>
              <w:top w:val="single" w:color="auto" w:sz="4" w:space="0"/>
              <w:left w:val="single" w:color="auto" w:sz="4" w:space="0"/>
              <w:right w:val="single" w:color="auto" w:sz="4" w:space="0"/>
            </w:tcBorders>
            <w:vAlign w:val="center"/>
          </w:tcPr>
          <w:p>
            <w:pPr>
              <w:pStyle w:val="30"/>
              <w:bidi w:val="0"/>
              <w:rPr>
                <w:rFonts w:hint="eastAsia"/>
              </w:rPr>
            </w:pPr>
            <w:r>
              <w:rPr>
                <w:rFonts w:hint="eastAsia"/>
              </w:rPr>
              <w:t>地下水</w:t>
            </w: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pH</w:t>
            </w:r>
            <w:r>
              <w:rPr>
                <w:rFonts w:hint="eastAsia"/>
              </w:rPr>
              <w:t>值</w:t>
            </w:r>
          </w:p>
          <w:p>
            <w:pPr>
              <w:pStyle w:val="30"/>
              <w:bidi w:val="0"/>
            </w:pPr>
            <w:r>
              <w:t>(</w:t>
            </w:r>
            <w:r>
              <w:rPr>
                <w:rFonts w:hint="eastAsia"/>
              </w:rPr>
              <w:t>无量纲</w:t>
            </w:r>
            <w:r>
              <w:t>)</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t>pH</w:t>
            </w:r>
            <w:r>
              <w:rPr>
                <w:rFonts w:hint="eastAsia"/>
              </w:rPr>
              <w:t>值 便携式</w:t>
            </w:r>
            <w:r>
              <w:t>pH</w:t>
            </w:r>
            <w:r>
              <w:rPr>
                <w:rFonts w:hint="eastAsia"/>
              </w:rPr>
              <w:t>计法《水和废水监测分析方法》</w:t>
            </w:r>
            <w:r>
              <w:t>(</w:t>
            </w:r>
            <w:r>
              <w:rPr>
                <w:rFonts w:hint="eastAsia"/>
              </w:rPr>
              <w:t>第四版增补版</w:t>
            </w:r>
            <w:r>
              <w:t xml:space="preserve">) </w:t>
            </w:r>
            <w:r>
              <w:rPr>
                <w:rFonts w:hint="eastAsia"/>
              </w:rPr>
              <w:t>第三篇 第一章 六</w:t>
            </w:r>
            <w:r>
              <w:t>(</w:t>
            </w:r>
            <w:r>
              <w:rPr>
                <w:rFonts w:hint="eastAsia"/>
              </w:rPr>
              <w:t>二</w:t>
            </w:r>
            <w:r>
              <w:t>)</w:t>
            </w:r>
            <w:r>
              <w:rPr>
                <w:rFonts w:hint="eastAsia"/>
              </w:rPr>
              <w:t>国家环境保护总局</w:t>
            </w:r>
            <w:r>
              <w:t xml:space="preserve">(2002 </w:t>
            </w:r>
            <w:r>
              <w:rPr>
                <w:rFonts w:hint="eastAsia"/>
              </w:rPr>
              <w:t>年</w:t>
            </w:r>
            <w:r>
              <w:t>)</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PHB-4 </w:t>
            </w:r>
            <w:r>
              <w:rPr>
                <w:rFonts w:hint="eastAsia"/>
              </w:rPr>
              <w:t>便携式酸度计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总硬度</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感官性状和物理指标</w:t>
            </w:r>
            <w:r>
              <w:t xml:space="preserve">(7.1 </w:t>
            </w:r>
            <w:r>
              <w:rPr>
                <w:rFonts w:hint="eastAsia"/>
              </w:rPr>
              <w:t>总硬度 乙二胺四乙酸二钠滴定法</w:t>
            </w:r>
            <w:r>
              <w:t>)GB/T 5750.4-2006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25ml </w:t>
            </w:r>
            <w:r>
              <w:rPr>
                <w:rFonts w:hint="eastAsia"/>
              </w:rPr>
              <w:t>酸式滴定管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1.0mg/L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溶解性总固体</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感官性状和物理指标</w:t>
            </w:r>
            <w:r>
              <w:t xml:space="preserve">(8.1 </w:t>
            </w:r>
            <w:r>
              <w:rPr>
                <w:rFonts w:hint="eastAsia"/>
              </w:rPr>
              <w:t>溶解性总固体称量法</w:t>
            </w:r>
            <w:r>
              <w:t>)GB/T 5750.4-2006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default"/>
                <w:lang w:val="en-US" w:eastAsia="zh-CN"/>
              </w:rPr>
              <w:t xml:space="preserve">BSA224S </w:t>
            </w:r>
            <w:r>
              <w:rPr>
                <w:rFonts w:hint="eastAsia"/>
                <w:lang w:val="en-US" w:eastAsia="zh-CN"/>
              </w:rPr>
              <w:t>万分之一电子天平</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硫酸盐</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水质 无机阴离子</w:t>
            </w:r>
            <w:r>
              <w:t>(F</w:t>
            </w:r>
            <w:r>
              <w:rPr>
                <w:rFonts w:hint="eastAsia"/>
                <w:vertAlign w:val="superscript"/>
                <w:lang w:val="en-US" w:eastAsia="zh-CN"/>
              </w:rPr>
              <w:t>-</w:t>
            </w:r>
            <w:r>
              <w:rPr>
                <w:rFonts w:hint="eastAsia"/>
              </w:rPr>
              <w:t>、</w:t>
            </w:r>
            <w:r>
              <w:t>Cl</w:t>
            </w:r>
            <w:r>
              <w:rPr>
                <w:rFonts w:hint="eastAsia"/>
                <w:vertAlign w:val="superscript"/>
                <w:lang w:val="en-US" w:eastAsia="zh-CN"/>
              </w:rPr>
              <w:t>-</w:t>
            </w:r>
            <w:r>
              <w:rPr>
                <w:rFonts w:hint="eastAsia"/>
              </w:rPr>
              <w:t>、</w:t>
            </w:r>
            <w:r>
              <w:t>NO</w:t>
            </w:r>
            <w:r>
              <w:rPr>
                <w:rFonts w:hint="eastAsia"/>
                <w:vertAlign w:val="subscript"/>
                <w:lang w:val="en-US" w:eastAsia="zh-CN"/>
              </w:rPr>
              <w:t>2</w:t>
            </w:r>
            <w:r>
              <w:rPr>
                <w:rFonts w:hint="eastAsia"/>
                <w:vertAlign w:val="superscript"/>
                <w:lang w:val="en-US" w:eastAsia="zh-CN"/>
              </w:rPr>
              <w:t>-</w:t>
            </w:r>
            <w:r>
              <w:rPr>
                <w:rFonts w:hint="eastAsia"/>
              </w:rPr>
              <w:t>、</w:t>
            </w:r>
            <w:r>
              <w:t>Br</w:t>
            </w:r>
            <w:r>
              <w:rPr>
                <w:rFonts w:hint="eastAsia"/>
                <w:vertAlign w:val="superscript"/>
                <w:lang w:val="en-US" w:eastAsia="zh-CN"/>
              </w:rPr>
              <w:t>-</w:t>
            </w:r>
            <w:r>
              <w:rPr>
                <w:rFonts w:hint="eastAsia"/>
              </w:rPr>
              <w:t>、</w:t>
            </w:r>
            <w:r>
              <w:t>NO</w:t>
            </w:r>
            <w:r>
              <w:rPr>
                <w:rFonts w:hint="eastAsia"/>
                <w:vertAlign w:val="subscript"/>
                <w:lang w:val="en-US" w:eastAsia="zh-CN"/>
              </w:rPr>
              <w:t>3</w:t>
            </w:r>
            <w:r>
              <w:rPr>
                <w:rFonts w:hint="eastAsia"/>
                <w:vertAlign w:val="superscript"/>
                <w:lang w:val="en-US" w:eastAsia="zh-CN"/>
              </w:rPr>
              <w:t>-</w:t>
            </w:r>
            <w:r>
              <w:rPr>
                <w:rFonts w:hint="eastAsia"/>
              </w:rPr>
              <w:t>、</w:t>
            </w:r>
            <w:r>
              <w:t>PO</w:t>
            </w:r>
            <w:r>
              <w:rPr>
                <w:rFonts w:hint="eastAsia"/>
                <w:vertAlign w:val="subscript"/>
                <w:lang w:val="en-US" w:eastAsia="zh-CN"/>
              </w:rPr>
              <w:t>4</w:t>
            </w:r>
            <w:r>
              <w:rPr>
                <w:vertAlign w:val="superscript"/>
              </w:rPr>
              <w:t>3-</w:t>
            </w:r>
            <w:r>
              <w:rPr>
                <w:rFonts w:hint="eastAsia"/>
              </w:rPr>
              <w:t>、</w:t>
            </w:r>
            <w:r>
              <w:t>SO</w:t>
            </w:r>
            <w:r>
              <w:rPr>
                <w:rFonts w:hint="eastAsia"/>
                <w:vertAlign w:val="subscript"/>
                <w:lang w:val="en-US" w:eastAsia="zh-CN"/>
              </w:rPr>
              <w:t>3</w:t>
            </w:r>
            <w:r>
              <w:rPr>
                <w:vertAlign w:val="superscript"/>
              </w:rPr>
              <w:t>2-</w:t>
            </w:r>
            <w:r>
              <w:rPr>
                <w:rFonts w:hint="eastAsia"/>
              </w:rPr>
              <w:t>、</w:t>
            </w:r>
            <w:r>
              <w:t>SO</w:t>
            </w:r>
            <w:r>
              <w:rPr>
                <w:vertAlign w:val="subscript"/>
              </w:rPr>
              <w:t>4</w:t>
            </w:r>
            <w:r>
              <w:rPr>
                <w:vertAlign w:val="superscript"/>
              </w:rPr>
              <w:t>2-</w:t>
            </w:r>
            <w:r>
              <w:t>)</w:t>
            </w:r>
            <w:r>
              <w:rPr>
                <w:rFonts w:hint="eastAsia"/>
              </w:rPr>
              <w:t xml:space="preserve">的测定 离子色谱法 </w:t>
            </w:r>
            <w:r>
              <w:t>HJ 84-2016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IC6000 </w:t>
            </w:r>
            <w:r>
              <w:rPr>
                <w:rFonts w:hint="eastAsia"/>
              </w:rPr>
              <w:t>离子色谱仪</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0.018mg/L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氯化物</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水质 无机阴离子</w:t>
            </w:r>
            <w:r>
              <w:t>(F</w:t>
            </w:r>
            <w:r>
              <w:rPr>
                <w:rFonts w:hint="eastAsia"/>
                <w:vertAlign w:val="superscript"/>
                <w:lang w:val="en-US" w:eastAsia="zh-CN"/>
              </w:rPr>
              <w:t>-</w:t>
            </w:r>
            <w:r>
              <w:rPr>
                <w:rFonts w:hint="eastAsia"/>
              </w:rPr>
              <w:t>、</w:t>
            </w:r>
            <w:r>
              <w:t>Cl</w:t>
            </w:r>
            <w:r>
              <w:rPr>
                <w:rFonts w:hint="eastAsia"/>
                <w:vertAlign w:val="superscript"/>
                <w:lang w:val="en-US" w:eastAsia="zh-CN"/>
              </w:rPr>
              <w:t>-</w:t>
            </w:r>
            <w:r>
              <w:rPr>
                <w:rFonts w:hint="eastAsia"/>
              </w:rPr>
              <w:t>、</w:t>
            </w:r>
            <w:r>
              <w:t>NO</w:t>
            </w:r>
            <w:r>
              <w:rPr>
                <w:rFonts w:hint="eastAsia"/>
                <w:vertAlign w:val="subscript"/>
                <w:lang w:val="en-US" w:eastAsia="zh-CN"/>
              </w:rPr>
              <w:t>2</w:t>
            </w:r>
            <w:r>
              <w:rPr>
                <w:rFonts w:hint="eastAsia"/>
                <w:vertAlign w:val="superscript"/>
                <w:lang w:val="en-US" w:eastAsia="zh-CN"/>
              </w:rPr>
              <w:t>-</w:t>
            </w:r>
            <w:r>
              <w:rPr>
                <w:rFonts w:hint="eastAsia"/>
              </w:rPr>
              <w:t>、</w:t>
            </w:r>
            <w:r>
              <w:t>Br</w:t>
            </w:r>
            <w:r>
              <w:rPr>
                <w:rFonts w:hint="eastAsia"/>
                <w:vertAlign w:val="superscript"/>
                <w:lang w:val="en-US" w:eastAsia="zh-CN"/>
              </w:rPr>
              <w:t>-</w:t>
            </w:r>
            <w:r>
              <w:rPr>
                <w:rFonts w:hint="eastAsia"/>
              </w:rPr>
              <w:t>、</w:t>
            </w:r>
            <w:r>
              <w:t>NO</w:t>
            </w:r>
            <w:r>
              <w:rPr>
                <w:rFonts w:hint="eastAsia"/>
                <w:vertAlign w:val="subscript"/>
                <w:lang w:val="en-US" w:eastAsia="zh-CN"/>
              </w:rPr>
              <w:t>3</w:t>
            </w:r>
            <w:r>
              <w:rPr>
                <w:rFonts w:hint="eastAsia"/>
                <w:vertAlign w:val="superscript"/>
                <w:lang w:val="en-US" w:eastAsia="zh-CN"/>
              </w:rPr>
              <w:t>-</w:t>
            </w:r>
            <w:r>
              <w:rPr>
                <w:rFonts w:hint="eastAsia"/>
              </w:rPr>
              <w:t>、</w:t>
            </w:r>
            <w:r>
              <w:t>PO</w:t>
            </w:r>
            <w:r>
              <w:rPr>
                <w:rFonts w:hint="eastAsia"/>
                <w:vertAlign w:val="subscript"/>
                <w:lang w:val="en-US" w:eastAsia="zh-CN"/>
              </w:rPr>
              <w:t>4</w:t>
            </w:r>
            <w:r>
              <w:rPr>
                <w:vertAlign w:val="superscript"/>
              </w:rPr>
              <w:t>3-</w:t>
            </w:r>
            <w:r>
              <w:rPr>
                <w:rFonts w:hint="eastAsia"/>
              </w:rPr>
              <w:t>、</w:t>
            </w:r>
            <w:r>
              <w:t>SO</w:t>
            </w:r>
            <w:r>
              <w:rPr>
                <w:rFonts w:hint="eastAsia"/>
                <w:vertAlign w:val="subscript"/>
                <w:lang w:val="en-US" w:eastAsia="zh-CN"/>
              </w:rPr>
              <w:t>3</w:t>
            </w:r>
            <w:r>
              <w:rPr>
                <w:vertAlign w:val="superscript"/>
              </w:rPr>
              <w:t>2-</w:t>
            </w:r>
            <w:r>
              <w:rPr>
                <w:rFonts w:hint="eastAsia"/>
              </w:rPr>
              <w:t>、</w:t>
            </w:r>
            <w:r>
              <w:t>SO</w:t>
            </w:r>
            <w:r>
              <w:rPr>
                <w:vertAlign w:val="subscript"/>
              </w:rPr>
              <w:t>4</w:t>
            </w:r>
            <w:r>
              <w:rPr>
                <w:vertAlign w:val="superscript"/>
              </w:rPr>
              <w:t>2-</w:t>
            </w:r>
            <w:r>
              <w:t>)</w:t>
            </w:r>
            <w:r>
              <w:rPr>
                <w:rFonts w:hint="eastAsia"/>
              </w:rPr>
              <w:t xml:space="preserve">的测定 离子色谱法 </w:t>
            </w:r>
            <w:r>
              <w:t>HJ 84-2016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IC6000 </w:t>
            </w:r>
            <w:r>
              <w:rPr>
                <w:rFonts w:hint="eastAsia"/>
              </w:rPr>
              <w:t>离子色谱仪</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0.007mg/L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铁</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w:t>
            </w:r>
            <w:r>
              <w:t xml:space="preserve">(2.1 </w:t>
            </w:r>
            <w:r>
              <w:rPr>
                <w:rFonts w:hint="eastAsia"/>
              </w:rPr>
              <w:t>铁 原子吸收分光光度法</w:t>
            </w:r>
            <w:r>
              <w:t>) GB/T 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WYS2200</w:t>
            </w:r>
            <w:r>
              <w:rPr>
                <w:rFonts w:hint="eastAsia"/>
              </w:rPr>
              <w:t>原子吸收分光光度计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0.3mg/L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锰</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w:t>
            </w:r>
            <w:r>
              <w:t xml:space="preserve">(3.1 </w:t>
            </w:r>
            <w:r>
              <w:rPr>
                <w:rFonts w:hint="eastAsia"/>
              </w:rPr>
              <w:t>锰 原子吸收分光光度法</w:t>
            </w:r>
            <w:r>
              <w:t>) GB/T 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WYS2200</w:t>
            </w:r>
            <w:r>
              <w:rPr>
                <w:rFonts w:hint="eastAsia"/>
              </w:rPr>
              <w:t>原子吸收分光光度计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0.1mg/L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锌</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w:t>
            </w:r>
            <w:r>
              <w:t xml:space="preserve">(5.1 </w:t>
            </w:r>
            <w:r>
              <w:rPr>
                <w:rFonts w:hint="eastAsia"/>
              </w:rPr>
              <w:t>锌 原子吸收分光光度法</w:t>
            </w:r>
            <w:r>
              <w:t>)</w:t>
            </w:r>
            <w:bookmarkStart w:id="115" w:name="GB/T 5750.6-2006"/>
            <w:bookmarkEnd w:id="115"/>
            <w:r>
              <w:t xml:space="preserve"> GB/T 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WYS2200</w:t>
            </w:r>
            <w:r>
              <w:rPr>
                <w:rFonts w:hint="eastAsia"/>
              </w:rPr>
              <w:t>原子吸收分光光度计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0.05mg/L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挥发酚</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 xml:space="preserve">水质 挥发酚的测定 </w:t>
            </w:r>
            <w:r>
              <w:t>4-</w:t>
            </w:r>
            <w:r>
              <w:rPr>
                <w:rFonts w:hint="eastAsia"/>
              </w:rPr>
              <w:t xml:space="preserve">氨基安替比林分光光度法 </w:t>
            </w:r>
            <w:r>
              <w:t>HJ 503-2009</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752N</w:t>
            </w:r>
            <w:r>
              <w:rPr>
                <w:rFonts w:hint="eastAsia"/>
              </w:rPr>
              <w:t>紫外可见分光光度计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0.0003mg/L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rPr>
                <w:rFonts w:hint="eastAsia"/>
              </w:rPr>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eastAsia="宋体"/>
                <w:lang w:eastAsia="zh-CN"/>
              </w:rPr>
            </w:pPr>
            <w:r>
              <w:rPr>
                <w:rFonts w:hint="eastAsia"/>
                <w:lang w:eastAsia="zh-CN"/>
              </w:rPr>
              <w:t>耗氧量</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生活饮用水标准检验方法 有机物综合指标(1.1 耗氧量 酸性高锰酸钾滴定法) GB/T 5750.7-2006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50ml </w:t>
            </w:r>
            <w:r>
              <w:rPr>
                <w:rFonts w:hint="eastAsia"/>
              </w:rPr>
              <w:t>酸式滴定管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0.05mg/L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硝酸盐</w:t>
            </w:r>
          </w:p>
        </w:tc>
        <w:tc>
          <w:tcPr>
            <w:tcW w:w="39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sz w:val="21"/>
                <w:szCs w:val="21"/>
              </w:rPr>
            </w:pPr>
            <w:r>
              <w:rPr>
                <w:rFonts w:hint="eastAsia"/>
                <w:sz w:val="21"/>
                <w:szCs w:val="21"/>
              </w:rPr>
              <w:t>水质 无机阴离子</w:t>
            </w:r>
            <w:r>
              <w:rPr>
                <w:sz w:val="21"/>
                <w:szCs w:val="21"/>
              </w:rPr>
              <w:t>(F</w:t>
            </w:r>
            <w:r>
              <w:rPr>
                <w:rFonts w:hint="eastAsia"/>
                <w:sz w:val="21"/>
                <w:szCs w:val="21"/>
                <w:vertAlign w:val="superscript"/>
                <w:lang w:val="en-US" w:eastAsia="zh-CN"/>
              </w:rPr>
              <w:t>-</w:t>
            </w:r>
            <w:r>
              <w:rPr>
                <w:rFonts w:hint="eastAsia"/>
                <w:sz w:val="21"/>
                <w:szCs w:val="21"/>
              </w:rPr>
              <w:t>、</w:t>
            </w:r>
            <w:r>
              <w:rPr>
                <w:sz w:val="21"/>
                <w:szCs w:val="21"/>
              </w:rPr>
              <w:t>Cl</w:t>
            </w:r>
            <w:r>
              <w:rPr>
                <w:rFonts w:hint="eastAsia"/>
                <w:sz w:val="21"/>
                <w:szCs w:val="21"/>
                <w:vertAlign w:val="superscript"/>
                <w:lang w:val="en-US" w:eastAsia="zh-CN"/>
              </w:rPr>
              <w:t>-</w:t>
            </w:r>
            <w:r>
              <w:rPr>
                <w:rFonts w:hint="eastAsia"/>
                <w:sz w:val="21"/>
                <w:szCs w:val="21"/>
              </w:rPr>
              <w:t>、</w:t>
            </w:r>
            <w:r>
              <w:rPr>
                <w:sz w:val="21"/>
                <w:szCs w:val="21"/>
              </w:rPr>
              <w:t>NO</w:t>
            </w:r>
            <w:r>
              <w:rPr>
                <w:rFonts w:hint="eastAsia"/>
                <w:sz w:val="21"/>
                <w:szCs w:val="21"/>
                <w:vertAlign w:val="subscript"/>
                <w:lang w:val="en-US" w:eastAsia="zh-CN"/>
              </w:rPr>
              <w:t>2</w:t>
            </w:r>
            <w:r>
              <w:rPr>
                <w:rFonts w:hint="eastAsia"/>
                <w:sz w:val="21"/>
                <w:szCs w:val="21"/>
                <w:vertAlign w:val="superscript"/>
                <w:lang w:val="en-US" w:eastAsia="zh-CN"/>
              </w:rPr>
              <w:t>-</w:t>
            </w:r>
            <w:r>
              <w:rPr>
                <w:rFonts w:hint="eastAsia"/>
                <w:sz w:val="21"/>
                <w:szCs w:val="21"/>
              </w:rPr>
              <w:t>、</w:t>
            </w:r>
            <w:r>
              <w:rPr>
                <w:sz w:val="21"/>
                <w:szCs w:val="21"/>
              </w:rPr>
              <w:t>Br</w:t>
            </w:r>
            <w:r>
              <w:rPr>
                <w:rFonts w:hint="eastAsia"/>
                <w:sz w:val="21"/>
                <w:szCs w:val="21"/>
                <w:vertAlign w:val="superscript"/>
                <w:lang w:val="en-US" w:eastAsia="zh-CN"/>
              </w:rPr>
              <w:t>-</w:t>
            </w:r>
            <w:r>
              <w:rPr>
                <w:rFonts w:hint="eastAsia"/>
                <w:sz w:val="21"/>
                <w:szCs w:val="21"/>
              </w:rPr>
              <w:t>、</w:t>
            </w:r>
            <w:r>
              <w:rPr>
                <w:sz w:val="21"/>
                <w:szCs w:val="21"/>
              </w:rPr>
              <w:t>NO</w:t>
            </w:r>
            <w:r>
              <w:rPr>
                <w:rFonts w:hint="eastAsia"/>
                <w:sz w:val="21"/>
                <w:szCs w:val="21"/>
                <w:vertAlign w:val="subscript"/>
                <w:lang w:val="en-US" w:eastAsia="zh-CN"/>
              </w:rPr>
              <w:t>3</w:t>
            </w:r>
            <w:r>
              <w:rPr>
                <w:rFonts w:hint="eastAsia"/>
                <w:sz w:val="21"/>
                <w:szCs w:val="21"/>
                <w:vertAlign w:val="superscript"/>
                <w:lang w:val="en-US" w:eastAsia="zh-CN"/>
              </w:rPr>
              <w:t>-</w:t>
            </w:r>
            <w:r>
              <w:rPr>
                <w:rFonts w:hint="eastAsia"/>
                <w:sz w:val="21"/>
                <w:szCs w:val="21"/>
              </w:rPr>
              <w:t>、</w:t>
            </w:r>
            <w:r>
              <w:rPr>
                <w:sz w:val="21"/>
                <w:szCs w:val="21"/>
              </w:rPr>
              <w:t>PO</w:t>
            </w:r>
            <w:r>
              <w:rPr>
                <w:rFonts w:hint="eastAsia"/>
                <w:sz w:val="21"/>
                <w:szCs w:val="21"/>
                <w:vertAlign w:val="subscript"/>
                <w:lang w:val="en-US" w:eastAsia="zh-CN"/>
              </w:rPr>
              <w:t>4</w:t>
            </w:r>
            <w:r>
              <w:rPr>
                <w:sz w:val="21"/>
                <w:szCs w:val="21"/>
                <w:vertAlign w:val="superscript"/>
              </w:rPr>
              <w:t>3-</w:t>
            </w:r>
            <w:r>
              <w:rPr>
                <w:rFonts w:hint="eastAsia"/>
                <w:sz w:val="21"/>
                <w:szCs w:val="21"/>
              </w:rPr>
              <w:t>、</w:t>
            </w:r>
            <w:r>
              <w:rPr>
                <w:sz w:val="21"/>
                <w:szCs w:val="21"/>
              </w:rPr>
              <w:t>SO</w:t>
            </w:r>
            <w:r>
              <w:rPr>
                <w:rFonts w:hint="eastAsia"/>
                <w:sz w:val="21"/>
                <w:szCs w:val="21"/>
                <w:vertAlign w:val="subscript"/>
                <w:lang w:val="en-US" w:eastAsia="zh-CN"/>
              </w:rPr>
              <w:t>3</w:t>
            </w:r>
            <w:r>
              <w:rPr>
                <w:sz w:val="21"/>
                <w:szCs w:val="21"/>
                <w:vertAlign w:val="superscript"/>
              </w:rPr>
              <w:t>2-</w:t>
            </w:r>
            <w:r>
              <w:rPr>
                <w:rFonts w:hint="eastAsia"/>
                <w:sz w:val="21"/>
                <w:szCs w:val="21"/>
              </w:rPr>
              <w:t>、</w:t>
            </w:r>
            <w:r>
              <w:rPr>
                <w:sz w:val="21"/>
                <w:szCs w:val="21"/>
              </w:rPr>
              <w:t>SO</w:t>
            </w:r>
            <w:r>
              <w:rPr>
                <w:sz w:val="21"/>
                <w:szCs w:val="21"/>
                <w:vertAlign w:val="subscript"/>
              </w:rPr>
              <w:t>4</w:t>
            </w:r>
            <w:r>
              <w:rPr>
                <w:sz w:val="21"/>
                <w:szCs w:val="21"/>
                <w:vertAlign w:val="superscript"/>
              </w:rPr>
              <w:t>2-</w:t>
            </w:r>
            <w:r>
              <w:rPr>
                <w:sz w:val="21"/>
                <w:szCs w:val="21"/>
              </w:rPr>
              <w:t>)</w:t>
            </w:r>
            <w:r>
              <w:rPr>
                <w:rFonts w:hint="eastAsia"/>
                <w:sz w:val="21"/>
                <w:szCs w:val="21"/>
              </w:rPr>
              <w:t xml:space="preserve">的测定 离子色谱法 </w:t>
            </w:r>
            <w:r>
              <w:rPr>
                <w:sz w:val="21"/>
                <w:szCs w:val="21"/>
              </w:rPr>
              <w:t>HJ 84-2016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IC6000 </w:t>
            </w:r>
            <w:r>
              <w:rPr>
                <w:rFonts w:hint="eastAsia"/>
              </w:rPr>
              <w:t>离子色谱仪</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0.016mg/L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亚硝酸盐</w:t>
            </w:r>
          </w:p>
        </w:tc>
        <w:tc>
          <w:tcPr>
            <w:tcW w:w="39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textAlignment w:val="auto"/>
              <w:rPr>
                <w:sz w:val="21"/>
                <w:szCs w:val="21"/>
              </w:rPr>
            </w:pPr>
            <w:r>
              <w:rPr>
                <w:rFonts w:hint="eastAsia"/>
                <w:sz w:val="21"/>
                <w:szCs w:val="21"/>
              </w:rPr>
              <w:t>水质 无机阴离子</w:t>
            </w:r>
            <w:r>
              <w:rPr>
                <w:sz w:val="21"/>
                <w:szCs w:val="21"/>
              </w:rPr>
              <w:t>(F</w:t>
            </w:r>
            <w:r>
              <w:rPr>
                <w:rFonts w:hint="eastAsia"/>
                <w:sz w:val="21"/>
                <w:szCs w:val="21"/>
                <w:vertAlign w:val="superscript"/>
                <w:lang w:val="en-US" w:eastAsia="zh-CN"/>
              </w:rPr>
              <w:t>-</w:t>
            </w:r>
            <w:r>
              <w:rPr>
                <w:rFonts w:hint="eastAsia"/>
                <w:sz w:val="21"/>
                <w:szCs w:val="21"/>
              </w:rPr>
              <w:t>、</w:t>
            </w:r>
            <w:r>
              <w:rPr>
                <w:sz w:val="21"/>
                <w:szCs w:val="21"/>
              </w:rPr>
              <w:t>Cl</w:t>
            </w:r>
            <w:r>
              <w:rPr>
                <w:rFonts w:hint="eastAsia"/>
                <w:sz w:val="21"/>
                <w:szCs w:val="21"/>
                <w:vertAlign w:val="superscript"/>
                <w:lang w:val="en-US" w:eastAsia="zh-CN"/>
              </w:rPr>
              <w:t>-</w:t>
            </w:r>
            <w:r>
              <w:rPr>
                <w:rFonts w:hint="eastAsia"/>
                <w:sz w:val="21"/>
                <w:szCs w:val="21"/>
              </w:rPr>
              <w:t>、</w:t>
            </w:r>
            <w:r>
              <w:rPr>
                <w:sz w:val="21"/>
                <w:szCs w:val="21"/>
              </w:rPr>
              <w:t>NO</w:t>
            </w:r>
            <w:r>
              <w:rPr>
                <w:rFonts w:hint="eastAsia"/>
                <w:sz w:val="21"/>
                <w:szCs w:val="21"/>
                <w:vertAlign w:val="subscript"/>
                <w:lang w:val="en-US" w:eastAsia="zh-CN"/>
              </w:rPr>
              <w:t>2</w:t>
            </w:r>
            <w:r>
              <w:rPr>
                <w:rFonts w:hint="eastAsia"/>
                <w:sz w:val="21"/>
                <w:szCs w:val="21"/>
                <w:vertAlign w:val="superscript"/>
                <w:lang w:val="en-US" w:eastAsia="zh-CN"/>
              </w:rPr>
              <w:t>-</w:t>
            </w:r>
            <w:r>
              <w:rPr>
                <w:rFonts w:hint="eastAsia"/>
                <w:sz w:val="21"/>
                <w:szCs w:val="21"/>
              </w:rPr>
              <w:t>、</w:t>
            </w:r>
            <w:r>
              <w:rPr>
                <w:sz w:val="21"/>
                <w:szCs w:val="21"/>
              </w:rPr>
              <w:t>Br</w:t>
            </w:r>
            <w:r>
              <w:rPr>
                <w:rFonts w:hint="eastAsia"/>
                <w:sz w:val="21"/>
                <w:szCs w:val="21"/>
                <w:vertAlign w:val="superscript"/>
                <w:lang w:val="en-US" w:eastAsia="zh-CN"/>
              </w:rPr>
              <w:t>-</w:t>
            </w:r>
            <w:r>
              <w:rPr>
                <w:rFonts w:hint="eastAsia"/>
                <w:sz w:val="21"/>
                <w:szCs w:val="21"/>
              </w:rPr>
              <w:t>、</w:t>
            </w:r>
            <w:r>
              <w:rPr>
                <w:sz w:val="21"/>
                <w:szCs w:val="21"/>
              </w:rPr>
              <w:t>NO</w:t>
            </w:r>
            <w:r>
              <w:rPr>
                <w:rFonts w:hint="eastAsia"/>
                <w:sz w:val="21"/>
                <w:szCs w:val="21"/>
                <w:vertAlign w:val="subscript"/>
                <w:lang w:val="en-US" w:eastAsia="zh-CN"/>
              </w:rPr>
              <w:t>3</w:t>
            </w:r>
            <w:r>
              <w:rPr>
                <w:rFonts w:hint="eastAsia"/>
                <w:sz w:val="21"/>
                <w:szCs w:val="21"/>
                <w:vertAlign w:val="superscript"/>
                <w:lang w:val="en-US" w:eastAsia="zh-CN"/>
              </w:rPr>
              <w:t>-</w:t>
            </w:r>
            <w:r>
              <w:rPr>
                <w:rFonts w:hint="eastAsia"/>
                <w:sz w:val="21"/>
                <w:szCs w:val="21"/>
              </w:rPr>
              <w:t>、</w:t>
            </w:r>
            <w:r>
              <w:rPr>
                <w:sz w:val="21"/>
                <w:szCs w:val="21"/>
              </w:rPr>
              <w:t>PO</w:t>
            </w:r>
            <w:r>
              <w:rPr>
                <w:rFonts w:hint="eastAsia"/>
                <w:sz w:val="21"/>
                <w:szCs w:val="21"/>
                <w:vertAlign w:val="subscript"/>
                <w:lang w:val="en-US" w:eastAsia="zh-CN"/>
              </w:rPr>
              <w:t>4</w:t>
            </w:r>
            <w:r>
              <w:rPr>
                <w:sz w:val="21"/>
                <w:szCs w:val="21"/>
                <w:vertAlign w:val="superscript"/>
              </w:rPr>
              <w:t>3-</w:t>
            </w:r>
            <w:r>
              <w:rPr>
                <w:rFonts w:hint="eastAsia"/>
                <w:sz w:val="21"/>
                <w:szCs w:val="21"/>
              </w:rPr>
              <w:t>、</w:t>
            </w:r>
            <w:r>
              <w:rPr>
                <w:sz w:val="21"/>
                <w:szCs w:val="21"/>
              </w:rPr>
              <w:t>SO</w:t>
            </w:r>
            <w:r>
              <w:rPr>
                <w:rFonts w:hint="eastAsia"/>
                <w:sz w:val="21"/>
                <w:szCs w:val="21"/>
                <w:vertAlign w:val="subscript"/>
                <w:lang w:val="en-US" w:eastAsia="zh-CN"/>
              </w:rPr>
              <w:t>3</w:t>
            </w:r>
            <w:r>
              <w:rPr>
                <w:sz w:val="21"/>
                <w:szCs w:val="21"/>
                <w:vertAlign w:val="superscript"/>
              </w:rPr>
              <w:t>2-</w:t>
            </w:r>
            <w:r>
              <w:rPr>
                <w:rFonts w:hint="eastAsia"/>
                <w:sz w:val="21"/>
                <w:szCs w:val="21"/>
              </w:rPr>
              <w:t>、</w:t>
            </w:r>
            <w:r>
              <w:rPr>
                <w:sz w:val="21"/>
                <w:szCs w:val="21"/>
              </w:rPr>
              <w:t>SO</w:t>
            </w:r>
            <w:r>
              <w:rPr>
                <w:sz w:val="21"/>
                <w:szCs w:val="21"/>
                <w:vertAlign w:val="subscript"/>
              </w:rPr>
              <w:t>4</w:t>
            </w:r>
            <w:r>
              <w:rPr>
                <w:sz w:val="21"/>
                <w:szCs w:val="21"/>
                <w:vertAlign w:val="superscript"/>
              </w:rPr>
              <w:t>2-</w:t>
            </w:r>
            <w:r>
              <w:rPr>
                <w:sz w:val="21"/>
                <w:szCs w:val="21"/>
              </w:rPr>
              <w:t>)</w:t>
            </w:r>
            <w:r>
              <w:rPr>
                <w:rFonts w:hint="eastAsia"/>
                <w:sz w:val="21"/>
                <w:szCs w:val="21"/>
              </w:rPr>
              <w:t xml:space="preserve">的测定 离子色谱法 </w:t>
            </w:r>
            <w:r>
              <w:rPr>
                <w:sz w:val="21"/>
                <w:szCs w:val="21"/>
              </w:rPr>
              <w:t>HJ 84-2016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IC6000 </w:t>
            </w:r>
            <w:r>
              <w:rPr>
                <w:rFonts w:hint="eastAsia"/>
              </w:rPr>
              <w:t>离子色谱仪</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0.016mg/L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氨氮</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无机非金属指标</w:t>
            </w:r>
            <w:r>
              <w:t xml:space="preserve">(9.1 </w:t>
            </w:r>
            <w:r>
              <w:rPr>
                <w:rFonts w:hint="eastAsia"/>
              </w:rPr>
              <w:t>氨氮 纳氏试剂分光光度法</w:t>
            </w:r>
            <w:r>
              <w:t>) GB/T 5750.5-2006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752N</w:t>
            </w:r>
            <w:r>
              <w:rPr>
                <w:rFonts w:hint="eastAsia"/>
              </w:rPr>
              <w:t>紫外可见分光光度计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0.02mg/L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氟化物</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水质 无机阴离子</w:t>
            </w:r>
            <w:r>
              <w:t>(F</w:t>
            </w:r>
            <w:r>
              <w:rPr>
                <w:rFonts w:hint="eastAsia"/>
                <w:vertAlign w:val="superscript"/>
                <w:lang w:val="en-US" w:eastAsia="zh-CN"/>
              </w:rPr>
              <w:t>-</w:t>
            </w:r>
            <w:r>
              <w:rPr>
                <w:rFonts w:hint="eastAsia"/>
              </w:rPr>
              <w:t>、</w:t>
            </w:r>
            <w:r>
              <w:t>Cl</w:t>
            </w:r>
            <w:r>
              <w:rPr>
                <w:rFonts w:hint="eastAsia"/>
                <w:vertAlign w:val="superscript"/>
                <w:lang w:val="en-US" w:eastAsia="zh-CN"/>
              </w:rPr>
              <w:t>-</w:t>
            </w:r>
            <w:r>
              <w:rPr>
                <w:rFonts w:hint="eastAsia"/>
              </w:rPr>
              <w:t>、</w:t>
            </w:r>
            <w:r>
              <w:t>NO</w:t>
            </w:r>
            <w:r>
              <w:rPr>
                <w:rFonts w:hint="eastAsia"/>
                <w:vertAlign w:val="subscript"/>
                <w:lang w:val="en-US" w:eastAsia="zh-CN"/>
              </w:rPr>
              <w:t>2</w:t>
            </w:r>
            <w:r>
              <w:rPr>
                <w:rFonts w:hint="eastAsia"/>
                <w:vertAlign w:val="superscript"/>
                <w:lang w:val="en-US" w:eastAsia="zh-CN"/>
              </w:rPr>
              <w:t>-</w:t>
            </w:r>
            <w:r>
              <w:rPr>
                <w:rFonts w:hint="eastAsia"/>
              </w:rPr>
              <w:t>、</w:t>
            </w:r>
            <w:r>
              <w:t>Br</w:t>
            </w:r>
            <w:r>
              <w:rPr>
                <w:rFonts w:hint="eastAsia"/>
                <w:vertAlign w:val="superscript"/>
                <w:lang w:val="en-US" w:eastAsia="zh-CN"/>
              </w:rPr>
              <w:t>-</w:t>
            </w:r>
            <w:r>
              <w:rPr>
                <w:rFonts w:hint="eastAsia"/>
              </w:rPr>
              <w:t>、</w:t>
            </w:r>
            <w:r>
              <w:t>NO</w:t>
            </w:r>
            <w:r>
              <w:rPr>
                <w:rFonts w:hint="eastAsia"/>
                <w:vertAlign w:val="subscript"/>
                <w:lang w:val="en-US" w:eastAsia="zh-CN"/>
              </w:rPr>
              <w:t>3</w:t>
            </w:r>
            <w:r>
              <w:rPr>
                <w:rFonts w:hint="eastAsia"/>
                <w:vertAlign w:val="superscript"/>
                <w:lang w:val="en-US" w:eastAsia="zh-CN"/>
              </w:rPr>
              <w:t>-</w:t>
            </w:r>
            <w:r>
              <w:rPr>
                <w:rFonts w:hint="eastAsia"/>
              </w:rPr>
              <w:t>、</w:t>
            </w:r>
            <w:r>
              <w:t>PO</w:t>
            </w:r>
            <w:r>
              <w:rPr>
                <w:rFonts w:hint="eastAsia"/>
                <w:vertAlign w:val="subscript"/>
                <w:lang w:val="en-US" w:eastAsia="zh-CN"/>
              </w:rPr>
              <w:t>4</w:t>
            </w:r>
            <w:r>
              <w:rPr>
                <w:vertAlign w:val="superscript"/>
              </w:rPr>
              <w:t>3-</w:t>
            </w:r>
            <w:r>
              <w:rPr>
                <w:rFonts w:hint="eastAsia"/>
              </w:rPr>
              <w:t>、</w:t>
            </w:r>
            <w:r>
              <w:t>SO</w:t>
            </w:r>
            <w:r>
              <w:rPr>
                <w:rFonts w:hint="eastAsia"/>
                <w:vertAlign w:val="subscript"/>
                <w:lang w:val="en-US" w:eastAsia="zh-CN"/>
              </w:rPr>
              <w:t>3</w:t>
            </w:r>
            <w:r>
              <w:rPr>
                <w:vertAlign w:val="superscript"/>
              </w:rPr>
              <w:t>2-</w:t>
            </w:r>
            <w:r>
              <w:rPr>
                <w:rFonts w:hint="eastAsia"/>
              </w:rPr>
              <w:t>、</w:t>
            </w:r>
            <w:r>
              <w:t>SO</w:t>
            </w:r>
            <w:r>
              <w:rPr>
                <w:vertAlign w:val="subscript"/>
              </w:rPr>
              <w:t>4</w:t>
            </w:r>
            <w:r>
              <w:rPr>
                <w:vertAlign w:val="superscript"/>
              </w:rPr>
              <w:t>2-</w:t>
            </w:r>
            <w:r>
              <w:t>)</w:t>
            </w:r>
            <w:r>
              <w:rPr>
                <w:rFonts w:hint="eastAsia"/>
              </w:rPr>
              <w:t xml:space="preserve">的测定 离子色谱法 </w:t>
            </w:r>
            <w:r>
              <w:t>HJ 84-2016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 xml:space="preserve">IC6000 </w:t>
            </w:r>
            <w:r>
              <w:rPr>
                <w:rFonts w:hint="eastAsia"/>
              </w:rPr>
              <w:t>离子色谱仪</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0.006mg/L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氰化物</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无机非金属指标</w:t>
            </w:r>
            <w:r>
              <w:t xml:space="preserve">(4.1 </w:t>
            </w:r>
            <w:r>
              <w:rPr>
                <w:rFonts w:hint="eastAsia"/>
              </w:rPr>
              <w:t>氰化物 异烟酸</w:t>
            </w:r>
            <w:r>
              <w:t>-</w:t>
            </w:r>
            <w:r>
              <w:rPr>
                <w:rFonts w:hint="eastAsia"/>
              </w:rPr>
              <w:t>吡唑酮分光光度法</w:t>
            </w:r>
            <w:r>
              <w:t>) GB/T 5750.5-2006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752N</w:t>
            </w:r>
            <w:r>
              <w:rPr>
                <w:rFonts w:hint="eastAsia"/>
              </w:rPr>
              <w:t>紫外可见分光光度计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0.002mg/L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汞</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 xml:space="preserve">水质 汞、砷、硒、铋和锑的测定 原子荧光法 </w:t>
            </w:r>
            <w:r>
              <w:t>HJ 694-2014</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AFS-930</w:t>
            </w:r>
            <w:r>
              <w:rPr>
                <w:rFonts w:hint="eastAsia"/>
              </w:rPr>
              <w:t>原子荧光光度计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rPr>
                <w:rFonts w:hint="default" w:ascii="Times New Roman" w:hAnsi="Times New Roman" w:cs="Times New Roman"/>
              </w:rPr>
            </w:pPr>
            <w:r>
              <w:rPr>
                <w:rFonts w:hint="default" w:ascii="Times New Roman" w:hAnsi="Times New Roman" w:cs="Times New Roman"/>
              </w:rPr>
              <w:t>0.04μg/L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砷</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 xml:space="preserve">水质 汞、砷、硒、铋和锑的测定 原子荧光法 </w:t>
            </w:r>
            <w:r>
              <w:t>HJ 694-2014</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AFS-930</w:t>
            </w:r>
            <w:r>
              <w:rPr>
                <w:rFonts w:hint="eastAsia"/>
              </w:rPr>
              <w:t>原子荧光光度计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rPr>
                <w:rFonts w:hint="default" w:ascii="Times New Roman" w:hAnsi="Times New Roman" w:cs="Times New Roman"/>
              </w:rPr>
            </w:pPr>
            <w:r>
              <w:rPr>
                <w:rFonts w:hint="default" w:ascii="Times New Roman" w:hAnsi="Times New Roman" w:cs="Times New Roman"/>
              </w:rPr>
              <w:t>0.3μg/L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镉</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金属指标(9.1 镉 无火焰原子吸收分光光度法)GB/T5750.6-2006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pPr>
            <w:r>
              <w:t>WYS2200</w:t>
            </w:r>
          </w:p>
          <w:p>
            <w:pPr>
              <w:pStyle w:val="30"/>
              <w:bidi w:val="0"/>
              <w:rPr>
                <w:rFonts w:hint="eastAsia"/>
              </w:rPr>
            </w:pPr>
            <w:r>
              <w:rPr>
                <w:rFonts w:hint="eastAsia"/>
              </w:rPr>
              <w:t>原子吸收分光光度计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rPr>
                <w:rFonts w:hint="default" w:ascii="Times New Roman" w:hAnsi="Times New Roman" w:cs="Times New Roman"/>
              </w:rPr>
            </w:pPr>
            <w:r>
              <w:rPr>
                <w:rFonts w:hint="default" w:ascii="Times New Roman" w:hAnsi="Times New Roman" w:cs="Times New Roman"/>
              </w:rPr>
              <w:t>0.5μg/L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铬(六价)</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w:t>
            </w:r>
            <w:r>
              <w:t xml:space="preserve">(10.1 </w:t>
            </w:r>
            <w:r>
              <w:rPr>
                <w:rFonts w:hint="eastAsia"/>
              </w:rPr>
              <w:t>铬</w:t>
            </w:r>
            <w:r>
              <w:t>(</w:t>
            </w:r>
            <w:r>
              <w:rPr>
                <w:rFonts w:hint="eastAsia"/>
              </w:rPr>
              <w:t>六价</w:t>
            </w:r>
            <w:r>
              <w:t xml:space="preserve">) </w:t>
            </w:r>
            <w:r>
              <w:rPr>
                <w:rFonts w:hint="eastAsia"/>
              </w:rPr>
              <w:t>二苯碳酰二肼分光光度法</w:t>
            </w:r>
            <w:r>
              <w:t>) GB/T 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752N</w:t>
            </w:r>
            <w:r>
              <w:rPr>
                <w:rFonts w:hint="eastAsia"/>
              </w:rPr>
              <w:t>紫外可见分光光度计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rPr>
                <w:rFonts w:hint="default" w:ascii="Times New Roman" w:hAnsi="Times New Roman" w:cs="Times New Roman"/>
              </w:rPr>
            </w:pPr>
            <w:r>
              <w:rPr>
                <w:rFonts w:hint="default" w:ascii="Times New Roman" w:hAnsi="Times New Roman" w:cs="Times New Roman"/>
              </w:rPr>
              <w:t>0.004mg/L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铅</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金属指标</w:t>
            </w:r>
            <w:r>
              <w:t xml:space="preserve">(11.1 </w:t>
            </w:r>
            <w:r>
              <w:rPr>
                <w:rFonts w:hint="eastAsia"/>
              </w:rPr>
              <w:t>铅 无火焰原子吸收分光光度法</w:t>
            </w:r>
            <w:r>
              <w:t>)GB/T5750.6-2006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WYS2200</w:t>
            </w:r>
            <w:r>
              <w:rPr>
                <w:rFonts w:hint="eastAsia"/>
              </w:rPr>
              <w:t>原子吸收分光光度计</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rPr>
                <w:rFonts w:hint="default" w:ascii="Times New Roman" w:hAnsi="Times New Roman" w:cs="Times New Roman"/>
              </w:rPr>
            </w:pPr>
            <w:r>
              <w:rPr>
                <w:rFonts w:hint="default" w:ascii="Times New Roman" w:hAnsi="Times New Roman" w:cs="Times New Roman"/>
              </w:rPr>
              <w:t>2.5μg/L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总大肠菌群</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微生物指标</w:t>
            </w:r>
            <w:r>
              <w:t xml:space="preserve">(2.1 </w:t>
            </w:r>
            <w:r>
              <w:rPr>
                <w:rFonts w:hint="eastAsia"/>
              </w:rPr>
              <w:t>总大肠菌群 多管发酵法</w:t>
            </w:r>
            <w:r>
              <w:t>)GB/T 5750.12-2006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SHX-150</w:t>
            </w:r>
            <w:r>
              <w:rPr>
                <w:rFonts w:hint="eastAsia"/>
              </w:rPr>
              <w:t>数显生化培养箱、</w:t>
            </w:r>
            <w:r>
              <w:t>DGL-75B</w:t>
            </w:r>
            <w:r>
              <w:rPr>
                <w:rFonts w:hint="eastAsia"/>
              </w:rPr>
              <w:t>立式蒸汽灭菌锅</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535" w:type="dxa"/>
            <w:vMerge w:val="continue"/>
            <w:tcBorders>
              <w:left w:val="single" w:color="auto" w:sz="4" w:space="0"/>
              <w:bottom w:val="single" w:color="auto" w:sz="4" w:space="0"/>
              <w:right w:val="single" w:color="auto" w:sz="4" w:space="0"/>
            </w:tcBorders>
            <w:vAlign w:val="center"/>
          </w:tcPr>
          <w:p>
            <w:pPr>
              <w:pStyle w:val="30"/>
              <w:bidi w:val="0"/>
            </w:pPr>
          </w:p>
        </w:tc>
        <w:tc>
          <w:tcPr>
            <w:tcW w:w="1093"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rPr>
                <w:rFonts w:hint="eastAsia"/>
              </w:rPr>
              <w:t>菌落总数</w:t>
            </w:r>
          </w:p>
        </w:tc>
        <w:tc>
          <w:tcPr>
            <w:tcW w:w="3954" w:type="dxa"/>
            <w:tcBorders>
              <w:top w:val="single" w:color="auto" w:sz="4" w:space="0"/>
              <w:left w:val="single" w:color="auto" w:sz="4" w:space="0"/>
              <w:bottom w:val="single" w:color="auto" w:sz="4" w:space="0"/>
              <w:right w:val="single" w:color="auto" w:sz="4" w:space="0"/>
            </w:tcBorders>
            <w:vAlign w:val="center"/>
          </w:tcPr>
          <w:p>
            <w:pPr>
              <w:pStyle w:val="30"/>
              <w:bidi w:val="0"/>
            </w:pPr>
            <w:r>
              <w:rPr>
                <w:rFonts w:hint="eastAsia"/>
              </w:rPr>
              <w:t>生活饮用水标准检验方法 微生物指标</w:t>
            </w:r>
            <w:r>
              <w:t xml:space="preserve">(1.1 </w:t>
            </w:r>
            <w:r>
              <w:rPr>
                <w:rFonts w:hint="eastAsia"/>
              </w:rPr>
              <w:t>菌落总数 平皿计数法</w:t>
            </w:r>
            <w:r>
              <w:t>)GB/T 5750.12-2006</w:t>
            </w:r>
          </w:p>
        </w:tc>
        <w:tc>
          <w:tcPr>
            <w:tcW w:w="2284" w:type="dxa"/>
            <w:tcBorders>
              <w:top w:val="single" w:color="auto" w:sz="4" w:space="0"/>
              <w:left w:val="single" w:color="auto" w:sz="4" w:space="0"/>
              <w:bottom w:val="single" w:color="auto" w:sz="4" w:space="0"/>
              <w:right w:val="single" w:color="auto" w:sz="4" w:space="0"/>
            </w:tcBorders>
            <w:vAlign w:val="center"/>
          </w:tcPr>
          <w:p>
            <w:pPr>
              <w:pStyle w:val="30"/>
              <w:bidi w:val="0"/>
              <w:rPr>
                <w:rFonts w:hint="eastAsia"/>
              </w:rPr>
            </w:pPr>
            <w:r>
              <w:t>SHX-150</w:t>
            </w:r>
            <w:bookmarkStart w:id="116" w:name="数显生化培养箱DGL-75B"/>
            <w:bookmarkEnd w:id="116"/>
            <w:r>
              <w:rPr>
                <w:rFonts w:hint="eastAsia"/>
              </w:rPr>
              <w:t>数显生化培养箱</w:t>
            </w:r>
            <w:r>
              <w:rPr>
                <w:rFonts w:hint="eastAsia"/>
                <w:lang w:eastAsia="zh-CN"/>
              </w:rPr>
              <w:t>、</w:t>
            </w:r>
            <w:r>
              <w:t>DGL-75B</w:t>
            </w:r>
            <w:r>
              <w:rPr>
                <w:rFonts w:hint="eastAsia"/>
              </w:rPr>
              <w:t>立式蒸汽灭菌锅</w:t>
            </w:r>
          </w:p>
        </w:tc>
        <w:tc>
          <w:tcPr>
            <w:tcW w:w="1360" w:type="dxa"/>
            <w:tcBorders>
              <w:top w:val="single" w:color="auto" w:sz="4" w:space="0"/>
              <w:left w:val="single" w:color="auto" w:sz="4" w:space="0"/>
              <w:bottom w:val="single" w:color="auto" w:sz="4" w:space="0"/>
              <w:right w:val="single" w:color="auto" w:sz="4" w:space="0"/>
            </w:tcBorders>
            <w:vAlign w:val="center"/>
          </w:tcPr>
          <w:p>
            <w:pPr>
              <w:pStyle w:val="30"/>
              <w:bidi w:val="0"/>
            </w:pPr>
            <w:r>
              <w:t>/</w:t>
            </w:r>
          </w:p>
        </w:tc>
      </w:tr>
    </w:tbl>
    <w:p>
      <w:pPr>
        <w:pStyle w:val="4"/>
        <w:bidi w:val="0"/>
      </w:pPr>
      <w:r>
        <w:rPr>
          <w:rFonts w:hint="eastAsia"/>
          <w:lang w:val="en-US" w:eastAsia="zh-CN"/>
        </w:rPr>
        <w:t xml:space="preserve">5.4.3 </w:t>
      </w:r>
      <w:r>
        <w:t>评价方法</w:t>
      </w:r>
    </w:p>
    <w:p>
      <w:pPr>
        <w:bidi w:val="0"/>
      </w:pPr>
      <w:r>
        <w:t>根据检测结果，采用单项标准指数法对评价范围内的地下水质量进行评价。计算公式如下：</w:t>
      </w:r>
    </w:p>
    <w:p>
      <w:pPr>
        <w:bidi w:val="0"/>
      </w:pPr>
      <w:r>
        <w:t>（1）一般项目单项标准指数计算公式：</w:t>
      </w:r>
    </w:p>
    <w:p>
      <w:pPr>
        <w:bidi w:val="0"/>
        <w:rPr>
          <w:rFonts w:hint="default"/>
          <w:lang w:val="en-US" w:eastAsia="zh-CN"/>
        </w:rPr>
      </w:pPr>
      <w:r>
        <w:rPr>
          <w:rFonts w:hint="default" w:ascii="Times New Roman" w:hAnsi="Times New Roman" w:eastAsia="宋体" w:cs="宋体"/>
          <w:lang w:val="en-US" w:eastAsia="zh-CN"/>
        </w:rPr>
        <w:object>
          <v:shape id="_x0000_i1026" o:spt="75" type="#_x0000_t75" style="height:20pt;width:8pt;" o:ole="t" filled="f" o:preferrelative="t" stroked="f" coordsize="21600,21600">
            <v:path/>
            <v:fill on="f" focussize="0,0"/>
            <v:stroke on="f"/>
            <v:imagedata r:id="rId37" o:title=""/>
            <o:lock v:ext="edit" aspectratio="t"/>
            <w10:wrap type="none"/>
            <w10:anchorlock/>
          </v:shape>
          <o:OLEObject Type="Embed" ProgID="Equation.KSEE3" ShapeID="_x0000_i1026" DrawAspect="Content" ObjectID="_1468075726" r:id="rId36">
            <o:LockedField>false</o:LockedField>
          </o:OLEObject>
        </w:object>
      </w:r>
      <w:r>
        <w:rPr>
          <w:rFonts w:hint="default" w:ascii="Times New Roman" w:hAnsi="Times New Roman" w:eastAsia="宋体" w:cs="宋体"/>
          <w:lang w:val="en-US" w:eastAsia="zh-CN"/>
        </w:rPr>
        <w:object>
          <v:shape id="_x0000_i1027" o:spt="75" type="#_x0000_t75" style="height:34pt;width:41pt;" o:ole="t" filled="f" o:preferrelative="t" stroked="f" coordsize="21600,21600">
            <v:path/>
            <v:fill on="f" focussize="0,0"/>
            <v:stroke on="f"/>
            <v:imagedata r:id="rId39" o:title=""/>
            <o:lock v:ext="edit" aspectratio="t"/>
            <w10:wrap type="none"/>
            <w10:anchorlock/>
          </v:shape>
          <o:OLEObject Type="Embed" ProgID="Equation.KSEE3" ShapeID="_x0000_i1027" DrawAspect="Content" ObjectID="_1468075727" r:id="rId38">
            <o:LockedField>false</o:LockedField>
          </o:OLEObject>
        </w:object>
      </w:r>
    </w:p>
    <w:p>
      <w:pPr>
        <w:bidi w:val="0"/>
      </w:pPr>
      <w:r>
        <w:rPr>
          <w:rFonts w:hint="eastAsia"/>
          <w:lang w:val="en-US" w:eastAsia="zh-CN"/>
        </w:rPr>
        <w:t>式中：Pi</w:t>
      </w:r>
      <w:r>
        <w:rPr>
          <w:rFonts w:hint="default"/>
          <w:lang w:val="en-US" w:eastAsia="zh-CN"/>
        </w:rPr>
        <w:t>—</w:t>
      </w:r>
      <w:r>
        <w:rPr>
          <w:rFonts w:hint="eastAsia"/>
          <w:lang w:val="en-US" w:eastAsia="zh-CN"/>
        </w:rPr>
        <w:t>第</w:t>
      </w:r>
      <w:r>
        <w:rPr>
          <w:rFonts w:hint="default"/>
          <w:lang w:val="en-US" w:eastAsia="zh-CN"/>
        </w:rPr>
        <w:t>i</w:t>
      </w:r>
      <w:r>
        <w:rPr>
          <w:rFonts w:hint="eastAsia"/>
          <w:lang w:val="en-US" w:eastAsia="zh-CN"/>
        </w:rPr>
        <w:t>个水质因子的标准指数，无量纲；</w:t>
      </w:r>
    </w:p>
    <w:p>
      <w:pPr>
        <w:bidi w:val="0"/>
      </w:pPr>
      <w:r>
        <w:rPr>
          <w:rFonts w:hint="eastAsia"/>
          <w:lang w:val="en-US" w:eastAsia="zh-CN"/>
        </w:rPr>
        <w:t>Ci</w:t>
      </w:r>
      <w:r>
        <w:rPr>
          <w:rFonts w:hint="default"/>
          <w:lang w:val="en-US" w:eastAsia="zh-CN"/>
        </w:rPr>
        <w:t>—</w:t>
      </w:r>
      <w:r>
        <w:rPr>
          <w:rFonts w:hint="eastAsia"/>
          <w:lang w:val="en-US" w:eastAsia="zh-CN"/>
        </w:rPr>
        <w:t>第</w:t>
      </w:r>
      <w:r>
        <w:rPr>
          <w:rFonts w:hint="default"/>
          <w:lang w:val="en-US" w:eastAsia="zh-CN"/>
        </w:rPr>
        <w:t>i</w:t>
      </w:r>
      <w:r>
        <w:rPr>
          <w:rFonts w:hint="eastAsia"/>
          <w:lang w:val="en-US" w:eastAsia="zh-CN"/>
        </w:rPr>
        <w:t>个水质因子的监测浓度值，</w:t>
      </w:r>
      <w:r>
        <w:rPr>
          <w:rFonts w:hint="default"/>
          <w:lang w:val="en-US" w:eastAsia="zh-CN"/>
        </w:rPr>
        <w:t>mg/L</w:t>
      </w:r>
      <w:r>
        <w:rPr>
          <w:rFonts w:hint="eastAsia"/>
          <w:lang w:val="en-US" w:eastAsia="zh-CN"/>
        </w:rPr>
        <w:t>；</w:t>
      </w:r>
    </w:p>
    <w:p>
      <w:pPr>
        <w:bidi w:val="0"/>
      </w:pPr>
      <w:r>
        <w:rPr>
          <w:rFonts w:hint="eastAsia"/>
          <w:lang w:val="en-US" w:eastAsia="zh-CN"/>
        </w:rPr>
        <w:t>Csi</w:t>
      </w:r>
      <w:r>
        <w:rPr>
          <w:rFonts w:hint="default"/>
          <w:lang w:val="en-US" w:eastAsia="zh-CN"/>
        </w:rPr>
        <w:t>—</w:t>
      </w:r>
      <w:r>
        <w:rPr>
          <w:rFonts w:hint="eastAsia"/>
          <w:lang w:val="en-US" w:eastAsia="zh-CN"/>
        </w:rPr>
        <w:t>第</w:t>
      </w:r>
      <w:r>
        <w:rPr>
          <w:rFonts w:hint="default"/>
          <w:lang w:val="en-US" w:eastAsia="zh-CN"/>
        </w:rPr>
        <w:t>i</w:t>
      </w:r>
      <w:r>
        <w:rPr>
          <w:rFonts w:hint="eastAsia"/>
          <w:lang w:val="en-US" w:eastAsia="zh-CN"/>
        </w:rPr>
        <w:t>个水质因子的标准浓度值，</w:t>
      </w:r>
      <w:r>
        <w:rPr>
          <w:rFonts w:hint="default"/>
          <w:lang w:val="en-US" w:eastAsia="zh-CN"/>
        </w:rPr>
        <w:t>mg/L</w:t>
      </w:r>
      <w:r>
        <w:rPr>
          <w:rFonts w:hint="eastAsia"/>
          <w:lang w:val="en-US" w:eastAsia="zh-CN"/>
        </w:rPr>
        <w:t>。</w:t>
      </w:r>
    </w:p>
    <w:p>
      <w:pPr>
        <w:bidi w:val="0"/>
        <w:rPr>
          <w:rFonts w:hint="eastAsia"/>
          <w:lang w:val="en-US" w:eastAsia="zh-CN"/>
        </w:rPr>
      </w:pPr>
      <w:r>
        <w:rPr>
          <w:rFonts w:hint="eastAsia"/>
          <w:lang w:val="en-US" w:eastAsia="zh-CN"/>
        </w:rPr>
        <w:t>（2）对于评价标准为区间值的水质因子（如</w:t>
      </w:r>
      <w:r>
        <w:rPr>
          <w:rFonts w:hint="default"/>
          <w:lang w:val="en-US" w:eastAsia="zh-CN"/>
        </w:rPr>
        <w:t>pH</w:t>
      </w:r>
      <w:r>
        <w:rPr>
          <w:rFonts w:hint="eastAsia"/>
          <w:lang w:val="en-US" w:eastAsia="zh-CN"/>
        </w:rPr>
        <w:t>值），其标准指数计算方法为：</w:t>
      </w:r>
    </w:p>
    <w:p>
      <w:pPr>
        <w:bidi w:val="0"/>
        <w:rPr>
          <w:rFonts w:hint="eastAsia"/>
          <w:lang w:val="en-US" w:eastAsia="zh-CN"/>
        </w:rPr>
      </w:pPr>
      <w:r>
        <w:rPr>
          <w:rFonts w:hint="eastAsia" w:ascii="Times New Roman" w:hAnsi="Times New Roman" w:eastAsia="宋体" w:cs="宋体"/>
          <w:position w:val="-64"/>
          <w:lang w:val="en-US" w:eastAsia="zh-CN"/>
        </w:rPr>
        <w:object>
          <v:shape id="_x0000_i1028" o:spt="75" type="#_x0000_t75" style="height:70pt;width:145pt;" o:ole="t" filled="f" o:preferrelative="t" stroked="f" coordsize="21600,21600">
            <v:path/>
            <v:fill on="f" focussize="0,0"/>
            <v:stroke on="f"/>
            <v:imagedata r:id="rId41" o:title=""/>
            <o:lock v:ext="edit" aspectratio="t"/>
            <w10:wrap type="none"/>
            <w10:anchorlock/>
          </v:shape>
          <o:OLEObject Type="Embed" ProgID="Equation.KSEE3" ShapeID="_x0000_i1028" DrawAspect="Content" ObjectID="_1468075728" r:id="rId40">
            <o:LockedField>false</o:LockedField>
          </o:OLEObject>
        </w:object>
      </w:r>
    </w:p>
    <w:p>
      <w:pPr>
        <w:bidi w:val="0"/>
        <w:rPr>
          <w:rFonts w:hint="eastAsia"/>
          <w:lang w:val="en-US" w:eastAsia="zh-CN"/>
        </w:rPr>
      </w:pPr>
      <w:r>
        <w:rPr>
          <w:rFonts w:hint="eastAsia"/>
          <w:lang w:val="en-US" w:eastAsia="zh-CN"/>
        </w:rPr>
        <w:t>式中：P</w:t>
      </w:r>
      <w:r>
        <w:rPr>
          <w:rFonts w:hint="default"/>
          <w:lang w:val="en-US" w:eastAsia="zh-CN"/>
        </w:rPr>
        <w:t>pH—pH</w:t>
      </w:r>
      <w:r>
        <w:rPr>
          <w:rFonts w:hint="eastAsia"/>
          <w:lang w:val="en-US" w:eastAsia="zh-CN"/>
        </w:rPr>
        <w:t>的标准指数，无量纲；</w:t>
      </w:r>
    </w:p>
    <w:p>
      <w:pPr>
        <w:bidi w:val="0"/>
        <w:rPr>
          <w:rFonts w:hint="eastAsia"/>
          <w:lang w:val="en-US" w:eastAsia="zh-CN"/>
        </w:rPr>
      </w:pPr>
      <w:r>
        <w:rPr>
          <w:rFonts w:hint="default"/>
          <w:lang w:val="en-US" w:eastAsia="zh-CN"/>
        </w:rPr>
        <w:t>pH—pH</w:t>
      </w:r>
      <w:r>
        <w:rPr>
          <w:rFonts w:hint="eastAsia"/>
          <w:lang w:val="en-US" w:eastAsia="zh-CN"/>
        </w:rPr>
        <w:t>监测值；</w:t>
      </w:r>
    </w:p>
    <w:p>
      <w:pPr>
        <w:bidi w:val="0"/>
        <w:rPr>
          <w:rFonts w:hint="eastAsia"/>
          <w:lang w:val="en-US" w:eastAsia="zh-CN"/>
        </w:rPr>
      </w:pPr>
      <w:r>
        <w:rPr>
          <w:rFonts w:hint="default"/>
          <w:lang w:val="en-US" w:eastAsia="zh-CN"/>
        </w:rPr>
        <w:t>pHsu—</w:t>
      </w:r>
      <w:r>
        <w:rPr>
          <w:rFonts w:hint="eastAsia"/>
          <w:lang w:val="en-US" w:eastAsia="zh-CN"/>
        </w:rPr>
        <w:t>标准中</w:t>
      </w:r>
      <w:r>
        <w:rPr>
          <w:rFonts w:hint="default"/>
          <w:lang w:val="en-US" w:eastAsia="zh-CN"/>
        </w:rPr>
        <w:t>pH</w:t>
      </w:r>
      <w:r>
        <w:rPr>
          <w:rFonts w:hint="eastAsia"/>
          <w:lang w:val="en-US" w:eastAsia="zh-CN"/>
        </w:rPr>
        <w:t>的上限值；</w:t>
      </w:r>
    </w:p>
    <w:p>
      <w:pPr>
        <w:bidi w:val="0"/>
        <w:rPr>
          <w:rFonts w:hint="eastAsia"/>
          <w:lang w:val="en-US" w:eastAsia="zh-CN"/>
        </w:rPr>
      </w:pPr>
      <w:r>
        <w:rPr>
          <w:rFonts w:hint="default"/>
          <w:lang w:val="en-US" w:eastAsia="zh-CN"/>
        </w:rPr>
        <w:t>pHsd—</w:t>
      </w:r>
      <w:r>
        <w:rPr>
          <w:rFonts w:hint="eastAsia"/>
          <w:lang w:val="en-US" w:eastAsia="zh-CN"/>
        </w:rPr>
        <w:t>标准中</w:t>
      </w:r>
      <w:r>
        <w:rPr>
          <w:rFonts w:hint="default"/>
          <w:lang w:val="en-US" w:eastAsia="zh-CN"/>
        </w:rPr>
        <w:t>pH</w:t>
      </w:r>
      <w:r>
        <w:rPr>
          <w:rFonts w:hint="eastAsia"/>
          <w:lang w:val="en-US" w:eastAsia="zh-CN"/>
        </w:rPr>
        <w:t>的下限值。</w:t>
      </w:r>
    </w:p>
    <w:p>
      <w:pPr>
        <w:pStyle w:val="4"/>
        <w:bidi w:val="0"/>
        <w:spacing w:line="360" w:lineRule="auto"/>
        <w:rPr>
          <w:rFonts w:hint="eastAsia"/>
          <w:lang w:val="en-US" w:eastAsia="zh-CN"/>
        </w:rPr>
      </w:pPr>
      <w:r>
        <w:rPr>
          <w:rFonts w:hint="eastAsia"/>
          <w:lang w:val="en-US" w:eastAsia="zh-CN"/>
        </w:rPr>
        <w:t>5.4.4 监测结果及现状评价</w:t>
      </w:r>
    </w:p>
    <w:p>
      <w:pPr>
        <w:bidi w:val="0"/>
        <w:rPr>
          <w:rFonts w:hint="eastAsia"/>
          <w:u w:val="single"/>
          <w:lang w:val="en-US" w:eastAsia="zh-CN"/>
        </w:rPr>
      </w:pPr>
      <w:r>
        <w:rPr>
          <w:rFonts w:hint="eastAsia"/>
          <w:u w:val="single"/>
          <w:lang w:val="en-US" w:eastAsia="zh-CN"/>
        </w:rPr>
        <w:t>本次监测结果评价采用的标准为《地下水质量标准》（</w:t>
      </w:r>
      <w:r>
        <w:rPr>
          <w:rFonts w:hint="default"/>
          <w:u w:val="single"/>
          <w:lang w:val="en-US" w:eastAsia="zh-CN"/>
        </w:rPr>
        <w:t>GB/T 14848-</w:t>
      </w:r>
      <w:r>
        <w:rPr>
          <w:rFonts w:hint="eastAsia"/>
          <w:u w:val="single"/>
          <w:lang w:val="en-US" w:eastAsia="zh-CN"/>
        </w:rPr>
        <w:t>2017），监测结果见表</w:t>
      </w:r>
      <w:r>
        <w:rPr>
          <w:rFonts w:hint="default"/>
          <w:u w:val="single"/>
          <w:lang w:val="en-US" w:eastAsia="zh-CN"/>
        </w:rPr>
        <w:t>5.</w:t>
      </w:r>
      <w:r>
        <w:rPr>
          <w:rFonts w:hint="eastAsia"/>
          <w:u w:val="single"/>
          <w:lang w:val="en-US" w:eastAsia="zh-CN"/>
        </w:rPr>
        <w:t>4</w:t>
      </w:r>
      <w:r>
        <w:rPr>
          <w:rFonts w:hint="default"/>
          <w:u w:val="single"/>
          <w:lang w:val="en-US" w:eastAsia="zh-CN"/>
        </w:rPr>
        <w:t>-</w:t>
      </w:r>
      <w:r>
        <w:rPr>
          <w:rFonts w:hint="eastAsia"/>
          <w:u w:val="single"/>
          <w:lang w:val="en-US" w:eastAsia="zh-CN"/>
        </w:rPr>
        <w:t>3和表5.4-4。</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center"/>
        <w:textAlignment w:val="auto"/>
        <w:rPr>
          <w:rFonts w:hint="eastAsia" w:ascii="Times New Roman" w:hAnsi="Times New Roman" w:eastAsia="宋体" w:cs="宋体"/>
          <w:spacing w:val="0"/>
          <w:sz w:val="24"/>
          <w:szCs w:val="24"/>
          <w:lang w:val="en-US" w:eastAsia="zh-CN" w:bidi="zh-CN"/>
        </w:rPr>
      </w:pPr>
      <w:r>
        <w:rPr>
          <w:rFonts w:hint="eastAsia" w:ascii="Times New Roman" w:hAnsi="Times New Roman" w:eastAsia="宋体" w:cs="宋体"/>
          <w:b/>
          <w:bCs/>
          <w:spacing w:val="0"/>
          <w:sz w:val="24"/>
          <w:szCs w:val="24"/>
          <w:lang w:val="en-US" w:eastAsia="zh-CN" w:bidi="zh-CN"/>
        </w:rPr>
        <w:t>表5.4-3  地下水环境质量概况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1161"/>
        <w:gridCol w:w="1161"/>
        <w:gridCol w:w="1162"/>
        <w:gridCol w:w="1162"/>
        <w:gridCol w:w="1161"/>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19" w:type="dxa"/>
            <w:vMerge w:val="restart"/>
            <w:vAlign w:val="center"/>
          </w:tcPr>
          <w:p>
            <w:pPr>
              <w:pStyle w:val="20"/>
              <w:keepNext w:val="0"/>
              <w:keepLines w:val="0"/>
              <w:pageBreakBefore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监测点位</w:t>
            </w:r>
          </w:p>
        </w:tc>
        <w:tc>
          <w:tcPr>
            <w:tcW w:w="2322"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井深(m)</w:t>
            </w:r>
          </w:p>
        </w:tc>
        <w:tc>
          <w:tcPr>
            <w:tcW w:w="2324"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水位</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(m)</w:t>
            </w:r>
          </w:p>
        </w:tc>
        <w:tc>
          <w:tcPr>
            <w:tcW w:w="2323"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水温</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19"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color w:val="000000" w:themeColor="text1"/>
                <w14:textFill>
                  <w14:solidFill>
                    <w14:schemeClr w14:val="tx1"/>
                  </w14:solidFill>
                </w14:textFill>
              </w:rPr>
            </w:pP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2021.07.15</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2021.07.16</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2021.07.15</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2021.07.16</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2021.07.15</w:t>
            </w:r>
          </w:p>
        </w:tc>
        <w:tc>
          <w:tcPr>
            <w:tcW w:w="116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2021.07.16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项目所在地</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30.2</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30.2</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17.05</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17.05</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19.4</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张窖</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25.7</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25.7</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16.97</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16.97</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19.6</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老龚庄村</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30.4</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30.4</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18.22</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18.22</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19.8</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二郎庙</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31.2</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31.2</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17.05</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17.05</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19.1</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常宋村</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28.4</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28.4</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16.90</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16.90</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19.2</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后王庄</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30.9</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30.9</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17.02</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17.02</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19.1</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齐庄村</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25.8</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25.8</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16.98</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16.98</w:t>
            </w:r>
          </w:p>
        </w:tc>
        <w:tc>
          <w:tcPr>
            <w:tcW w:w="1161"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19.3</w:t>
            </w:r>
          </w:p>
        </w:tc>
        <w:tc>
          <w:tcPr>
            <w:tcW w:w="11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cs="宋体"/>
                <w:color w:val="000000" w:themeColor="text1"/>
                <w:kern w:val="0"/>
                <w:sz w:val="21"/>
                <w:szCs w:val="21"/>
                <w:lang w:val="en-US" w:eastAsia="zh-CN" w:bidi="ar"/>
                <w14:textFill>
                  <w14:solidFill>
                    <w14:schemeClr w14:val="tx1"/>
                  </w14:solidFill>
                </w14:textFill>
              </w:rPr>
            </w:pPr>
            <w:r>
              <w:rPr>
                <w:rFonts w:hint="default" w:cs="宋体"/>
                <w:color w:val="000000" w:themeColor="text1"/>
                <w:kern w:val="0"/>
                <w:sz w:val="21"/>
                <w:szCs w:val="21"/>
                <w:lang w:val="en-US" w:eastAsia="zh-CN" w:bidi="ar"/>
                <w14:textFill>
                  <w14:solidFill>
                    <w14:schemeClr w14:val="tx1"/>
                  </w14:solidFill>
                </w14:textFill>
              </w:rPr>
              <w:t>19.4</w:t>
            </w:r>
          </w:p>
        </w:tc>
      </w:tr>
    </w:tbl>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center"/>
        <w:textAlignment w:val="auto"/>
        <w:rPr>
          <w:rFonts w:hint="eastAsia" w:ascii="Times New Roman" w:hAnsi="Times New Roman" w:eastAsia="宋体" w:cs="宋体"/>
          <w:spacing w:val="0"/>
          <w:sz w:val="24"/>
          <w:szCs w:val="24"/>
          <w:lang w:val="en-US" w:eastAsia="zh-CN" w:bidi="zh-CN"/>
        </w:rPr>
      </w:pPr>
      <w:r>
        <w:rPr>
          <w:rFonts w:hint="eastAsia" w:ascii="Times New Roman" w:hAnsi="Times New Roman" w:eastAsia="宋体" w:cs="宋体"/>
          <w:b/>
          <w:bCs/>
          <w:spacing w:val="0"/>
          <w:sz w:val="24"/>
          <w:szCs w:val="24"/>
          <w:lang w:val="en-US" w:eastAsia="zh-CN" w:bidi="zh-CN"/>
        </w:rPr>
        <w:t>表5.4-4  地下水环境质量现状评价结果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1989"/>
        <w:gridCol w:w="1874"/>
        <w:gridCol w:w="1874"/>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4" w:type="dxa"/>
            <w:gridSpan w:val="2"/>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u w:val="single"/>
                <w:vertAlign w:val="baseline"/>
                <w:lang w:val="zh-CN" w:eastAsia="zh-CN"/>
              </w:rPr>
            </w:pPr>
            <w:r>
              <w:rPr>
                <w:rFonts w:hint="eastAsia" w:ascii="Times New Roman" w:hAnsi="Times New Roman" w:eastAsia="宋体" w:cs="宋体"/>
                <w:b w:val="0"/>
                <w:bCs w:val="0"/>
                <w:color w:val="000000"/>
                <w:kern w:val="0"/>
                <w:sz w:val="21"/>
                <w:szCs w:val="21"/>
                <w:u w:val="single"/>
                <w:lang w:val="en-US" w:eastAsia="zh-CN" w:bidi="ar"/>
              </w:rPr>
              <w:t>检测项目</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u w:val="single"/>
                <w:vertAlign w:val="baseline"/>
                <w:lang w:val="zh-CN" w:eastAsia="zh-CN"/>
              </w:rPr>
            </w:pPr>
            <w:r>
              <w:rPr>
                <w:rFonts w:hint="eastAsia" w:ascii="Times New Roman" w:hAnsi="Times New Roman" w:eastAsia="宋体"/>
                <w:b w:val="0"/>
                <w:bCs w:val="0"/>
                <w:sz w:val="21"/>
                <w:szCs w:val="21"/>
                <w:u w:val="single"/>
              </w:rPr>
              <w:t>项目所在地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u w:val="single"/>
                <w:vertAlign w:val="baseline"/>
                <w:lang w:val="zh-CN" w:eastAsia="zh-CN"/>
              </w:rPr>
            </w:pPr>
            <w:r>
              <w:rPr>
                <w:rFonts w:hint="eastAsia" w:ascii="Times New Roman" w:hAnsi="Times New Roman" w:eastAsia="宋体"/>
                <w:b w:val="0"/>
                <w:bCs w:val="0"/>
                <w:sz w:val="21"/>
                <w:szCs w:val="21"/>
                <w:u w:val="single"/>
                <w:vertAlign w:val="baseline"/>
                <w:lang w:val="zh-CN" w:eastAsia="zh-CN"/>
              </w:rPr>
              <w:t>张窖</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u w:val="single"/>
                <w:vertAlign w:val="baseline"/>
                <w:lang w:val="zh-CN" w:eastAsia="zh-CN"/>
              </w:rPr>
            </w:pPr>
            <w:r>
              <w:rPr>
                <w:rFonts w:hint="eastAsia" w:ascii="Times New Roman" w:hAnsi="Times New Roman" w:eastAsia="宋体"/>
                <w:b w:val="0"/>
                <w:bCs w:val="0"/>
                <w:sz w:val="21"/>
                <w:szCs w:val="21"/>
                <w:u w:val="single"/>
                <w:vertAlign w:val="baseline"/>
                <w:lang w:val="zh-CN" w:eastAsia="zh-CN"/>
              </w:rPr>
              <w:t>老龚庄村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31"/>
              <w:keepNext w:val="0"/>
              <w:keepLines w:val="0"/>
              <w:pageBreakBefore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pH</w:t>
            </w:r>
            <w:r>
              <w:rPr>
                <w:rFonts w:hint="eastAsia" w:ascii="Times New Roman" w:hAnsi="Times New Roman" w:eastAsia="宋体"/>
                <w:b w:val="0"/>
                <w:bCs w:val="0"/>
                <w:sz w:val="21"/>
                <w:szCs w:val="21"/>
              </w:rPr>
              <w:t>值</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7.28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7.29</w:t>
            </w:r>
            <w:r>
              <w:rPr>
                <w:rFonts w:ascii="Times New Roman" w:hAnsi="Times New Roman" w:eastAsia="宋体"/>
                <w:b w:val="0"/>
                <w:bCs w:val="0"/>
                <w:color w:val="000000" w:themeColor="text1"/>
                <w:sz w:val="21"/>
                <w:szCs w:val="21"/>
                <w14:textFill>
                  <w14:solidFill>
                    <w14:schemeClr w14:val="tx1"/>
                  </w14:solidFill>
                </w14:textFill>
              </w:rPr>
              <w:t>(</w:t>
            </w:r>
            <w:r>
              <w:rPr>
                <w:rFonts w:hint="eastAsia" w:ascii="Times New Roman" w:hAnsi="Times New Roman" w:eastAsia="宋体"/>
                <w:b w:val="0"/>
                <w:bCs w:val="0"/>
                <w:color w:val="000000" w:themeColor="text1"/>
                <w:sz w:val="21"/>
                <w:szCs w:val="21"/>
                <w14:textFill>
                  <w14:solidFill>
                    <w14:schemeClr w14:val="tx1"/>
                  </w14:solidFill>
                </w14:textFill>
              </w:rPr>
              <w:t>无量纲</w:t>
            </w:r>
            <w:r>
              <w:rPr>
                <w:rFonts w:ascii="Times New Roman" w:hAnsi="Times New Roman" w:eastAsia="宋体"/>
                <w:b w:val="0"/>
                <w:bCs w:val="0"/>
                <w:color w:val="000000" w:themeColor="text1"/>
                <w:sz w:val="21"/>
                <w:szCs w:val="21"/>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7.</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-7.3</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w:t>
            </w:r>
            <w:r>
              <w:rPr>
                <w:rFonts w:ascii="Times New Roman" w:hAnsi="Times New Roman" w:eastAsia="宋体"/>
                <w:b w:val="0"/>
                <w:bCs w:val="0"/>
                <w:color w:val="000000" w:themeColor="text1"/>
                <w:sz w:val="21"/>
                <w:szCs w:val="21"/>
                <w14:textFill>
                  <w14:solidFill>
                    <w14:schemeClr w14:val="tx1"/>
                  </w14:solidFill>
                </w14:textFill>
              </w:rPr>
              <w:t>(</w:t>
            </w:r>
            <w:r>
              <w:rPr>
                <w:rFonts w:hint="eastAsia" w:ascii="Times New Roman" w:hAnsi="Times New Roman" w:eastAsia="宋体"/>
                <w:b w:val="0"/>
                <w:bCs w:val="0"/>
                <w:color w:val="000000" w:themeColor="text1"/>
                <w:sz w:val="21"/>
                <w:szCs w:val="21"/>
                <w14:textFill>
                  <w14:solidFill>
                    <w14:schemeClr w14:val="tx1"/>
                  </w14:solidFill>
                </w14:textFill>
              </w:rPr>
              <w:t>无量纲</w:t>
            </w:r>
            <w:r>
              <w:rPr>
                <w:rFonts w:ascii="Times New Roman" w:hAnsi="Times New Roman" w:eastAsia="宋体"/>
                <w:b w:val="0"/>
                <w:bCs w:val="0"/>
                <w:color w:val="000000" w:themeColor="text1"/>
                <w:sz w:val="21"/>
                <w:szCs w:val="21"/>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7.3</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-7.33</w:t>
            </w:r>
            <w:r>
              <w:rPr>
                <w:rFonts w:ascii="Times New Roman" w:hAnsi="Times New Roman" w:eastAsia="宋体"/>
                <w:b w:val="0"/>
                <w:bCs w:val="0"/>
                <w:color w:val="000000" w:themeColor="text1"/>
                <w:sz w:val="21"/>
                <w:szCs w:val="21"/>
                <w14:textFill>
                  <w14:solidFill>
                    <w14:schemeClr w14:val="tx1"/>
                  </w14:solidFill>
                </w14:textFill>
              </w:rPr>
              <w:t>(</w:t>
            </w:r>
            <w:r>
              <w:rPr>
                <w:rFonts w:hint="eastAsia" w:ascii="Times New Roman" w:hAnsi="Times New Roman" w:eastAsia="宋体"/>
                <w:b w:val="0"/>
                <w:bCs w:val="0"/>
                <w:color w:val="000000" w:themeColor="text1"/>
                <w:sz w:val="21"/>
                <w:szCs w:val="21"/>
                <w14:textFill>
                  <w14:solidFill>
                    <w14:schemeClr w14:val="tx1"/>
                  </w14:solidFill>
                </w14:textFill>
              </w:rPr>
              <w:t>无量纲</w:t>
            </w:r>
            <w:r>
              <w:rPr>
                <w:rFonts w:ascii="Times New Roman" w:hAnsi="Times New Roman" w:eastAsia="宋体"/>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31"/>
              <w:keepNext w:val="0"/>
              <w:keepLines w:val="0"/>
              <w:pageBreakBefore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31"/>
              <w:keepNext w:val="0"/>
              <w:keepLines w:val="0"/>
              <w:pageBreakBefore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ascii="Times New Roman" w:eastAsia="Times New Roman"/>
                <w:color w:val="000000" w:themeColor="text1"/>
                <w:sz w:val="21"/>
                <w14:textFill>
                  <w14:solidFill>
                    <w14:schemeClr w14:val="tx1"/>
                  </w14:solidFill>
                </w14:textFill>
              </w:rPr>
              <w:t>6.5</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8.5</w:t>
            </w:r>
            <w:r>
              <w:rPr>
                <w:rFonts w:ascii="Times New Roman" w:hAnsi="Times New Roman" w:eastAsia="宋体"/>
                <w:b w:val="0"/>
                <w:bCs w:val="0"/>
                <w:color w:val="000000" w:themeColor="text1"/>
                <w:sz w:val="21"/>
                <w:szCs w:val="21"/>
                <w14:textFill>
                  <w14:solidFill>
                    <w14:schemeClr w14:val="tx1"/>
                  </w14:solidFill>
                </w14:textFill>
              </w:rPr>
              <w:t>(</w:t>
            </w:r>
            <w:r>
              <w:rPr>
                <w:rFonts w:hint="eastAsia" w:ascii="Times New Roman" w:hAnsi="Times New Roman" w:eastAsia="宋体"/>
                <w:b w:val="0"/>
                <w:bCs w:val="0"/>
                <w:color w:val="000000" w:themeColor="text1"/>
                <w:sz w:val="21"/>
                <w:szCs w:val="21"/>
                <w14:textFill>
                  <w14:solidFill>
                    <w14:schemeClr w14:val="tx1"/>
                  </w14:solidFill>
                </w14:textFill>
              </w:rPr>
              <w:t>无量纲</w:t>
            </w:r>
            <w:r>
              <w:rPr>
                <w:rFonts w:ascii="Times New Roman" w:hAnsi="Times New Roman" w:eastAsia="宋体"/>
                <w:b w:val="0"/>
                <w:bCs w:val="0"/>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93</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180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07</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rPr>
              <w:t>总硬度</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238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241</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257</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255</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239</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249</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252</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450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0.529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533</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536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571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55</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溶解性总固体</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518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29</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36</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33</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524</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32</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527</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1000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29</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36</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restart"/>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硫酸盐</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63.7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64.1</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61.8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62.7</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62.5</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63.4</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63.9</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62.3</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63.0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250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255</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256</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restart"/>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氯化物</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56.</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58.9</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57.5</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-59.5</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59.3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-57.</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57.8</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58.5</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58.4</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250</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36</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38</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-0.23</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铁</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keepNext w:val="0"/>
              <w:keepLines w:val="0"/>
              <w:pageBreakBefore w:val="0"/>
              <w:widowControl/>
              <w:suppressLineNumbers w:val="0"/>
              <w:kinsoku/>
              <w:wordWrap/>
              <w:overflowPunct/>
              <w:topLinePunct w:val="0"/>
              <w:autoSpaceDE w:val="0"/>
              <w:autoSpaceDN w:val="0"/>
              <w:bidi w:val="0"/>
              <w:snapToGrid/>
              <w:spacing w:before="0" w:line="240" w:lineRule="auto"/>
              <w:ind w:left="0" w:firstLine="0" w:firstLineChars="0"/>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0.3m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锰</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0.010m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锌</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挥发酚</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en-US"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en-US"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eastAsia="宋体"/>
                <w:b w:val="0"/>
                <w:bCs w:val="0"/>
                <w:sz w:val="21"/>
                <w:szCs w:val="21"/>
                <w:vertAlign w:val="baseline"/>
                <w:lang w:val="zh-CN" w:eastAsia="zh-CN"/>
              </w:rPr>
              <w:t>耗氧量</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0.20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23</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0.3-0.33</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硝酸盐</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4.94</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5.15</w:t>
            </w:r>
            <w:r>
              <w:rPr>
                <w:rFonts w:ascii="Times New Roman"/>
                <w:color w:val="000000" w:themeColor="text1"/>
                <w:sz w:val="21"/>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4.99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19</w:t>
            </w:r>
            <w:r>
              <w:rPr>
                <w:rFonts w:ascii="Times New Roman"/>
                <w:color w:val="000000" w:themeColor="text1"/>
                <w:sz w:val="21"/>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4.87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5.27</w:t>
            </w:r>
            <w:r>
              <w:rPr>
                <w:rFonts w:ascii="Times New Roman"/>
                <w:color w:val="000000" w:themeColor="text1"/>
                <w:sz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5.05</w:t>
            </w:r>
            <w:r>
              <w:rPr>
                <w:rFonts w:ascii="Times New Roman"/>
                <w:color w:val="000000" w:themeColor="text1"/>
                <w:sz w:val="21"/>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5.</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09</w:t>
            </w:r>
            <w:r>
              <w:rPr>
                <w:rFonts w:ascii="Times New Roman"/>
                <w:color w:val="000000" w:themeColor="text1"/>
                <w:sz w:val="21"/>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5.07</w:t>
            </w:r>
            <w:r>
              <w:rPr>
                <w:rFonts w:ascii="Times New Roman"/>
                <w:color w:val="000000" w:themeColor="text1"/>
                <w:sz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ascii="Times New Roman"/>
                <w:color w:val="000000" w:themeColor="text1"/>
                <w:sz w:val="21"/>
                <w14:textFill>
                  <w14:solidFill>
                    <w14:schemeClr w14:val="tx1"/>
                  </w14:solidFill>
                </w14:textFill>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258</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50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260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亚硝酸盐</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氨氮</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11</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09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18</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26</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24</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-0.2</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氟化物</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94-0.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419</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407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402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424</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407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410</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94-0.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419</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407</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413</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402</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氰化物</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汞</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0.001m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砷</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0.01m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镉</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0.005m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六价铬</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0.05m</w:t>
            </w:r>
            <w:r>
              <w:rPr>
                <w:rFonts w:ascii="Times New Roman"/>
                <w:color w:val="000000" w:themeColor="text1"/>
                <w:sz w:val="21"/>
                <w14:textFill>
                  <w14:solidFill>
                    <w14:schemeClr w14:val="tx1"/>
                  </w14:solidFill>
                </w14:textFill>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铅</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0.01</w:t>
            </w:r>
            <w:r>
              <w:rPr>
                <w:rFonts w:ascii="Times New Roman"/>
                <w:color w:val="000000" w:themeColor="text1"/>
                <w:sz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总大肠菌群</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ascii="Times New Roman"/>
                <w:color w:val="000000" w:themeColor="text1"/>
                <w:sz w:val="21"/>
                <w14:textFill>
                  <w14:solidFill>
                    <w14:schemeClr w14:val="tx1"/>
                  </w14:solidFill>
                </w14:textFill>
              </w:rPr>
              <w:t>3.0MPN/100ml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菌落总数</w:t>
            </w: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监测值范围</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-8</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w:t>
            </w:r>
            <w:r>
              <w:rPr>
                <w:rFonts w:hint="eastAsia" w:ascii="Times New Roman"/>
                <w:color w:val="000000" w:themeColor="text1"/>
                <w:sz w:val="21"/>
                <w:lang w:val="en-US" w:eastAsia="zh-CN"/>
                <w14:textFill>
                  <w14:solidFill>
                    <w14:schemeClr w14:val="tx1"/>
                  </w14:solidFill>
                </w14:textFill>
              </w:rPr>
              <w:t>CFU/mL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85</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92</w:t>
            </w:r>
            <w:r>
              <w:rPr>
                <w:rFonts w:hint="eastAsia" w:ascii="Times New Roman"/>
                <w:color w:val="000000" w:themeColor="text1"/>
                <w:sz w:val="21"/>
                <w:lang w:val="en-US" w:eastAsia="zh-CN"/>
                <w14:textFill>
                  <w14:solidFill>
                    <w14:schemeClr w14:val="tx1"/>
                  </w14:solidFill>
                </w14:textFill>
              </w:rPr>
              <w:t>CFU/mL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83</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90</w:t>
            </w:r>
            <w:r>
              <w:rPr>
                <w:rFonts w:hint="eastAsia" w:ascii="Times New Roman"/>
                <w:color w:val="000000" w:themeColor="text1"/>
                <w:sz w:val="21"/>
                <w:lang w:val="en-US" w:eastAsia="zh-CN"/>
                <w14:textFill>
                  <w14:solidFill>
                    <w14:schemeClr w14:val="tx1"/>
                  </w14:solidFill>
                </w14:textFill>
              </w:rPr>
              <w:t>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平均值</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87CFU/mL</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89CFU/mL</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87CFU/mL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cs="宋体"/>
                <w:b w:val="0"/>
                <w:bCs w:val="0"/>
                <w:color w:val="000000"/>
                <w:kern w:val="0"/>
                <w:sz w:val="21"/>
                <w:szCs w:val="21"/>
                <w:lang w:val="en-US" w:eastAsia="zh-CN" w:bidi="ar"/>
              </w:rPr>
              <w:t>评价标准</w:t>
            </w:r>
          </w:p>
        </w:tc>
        <w:tc>
          <w:tcPr>
            <w:tcW w:w="5624" w:type="dxa"/>
            <w:gridSpan w:val="3"/>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100CFU/mL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标准指数</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0.8</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6</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-0.8</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85-0.92</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8</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3-0.</w:t>
            </w:r>
            <w:r>
              <w:rPr>
                <w:rFonts w:hint="eastAsia" w:ascii="Times New Roman" w:eastAsia="宋体"/>
                <w:b w:val="0"/>
                <w:bCs w:val="0"/>
                <w:color w:val="000000" w:themeColor="text1"/>
                <w:sz w:val="21"/>
                <w:szCs w:val="21"/>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超标率</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1876"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eastAsia" w:ascii="Times New Roman" w:hAnsi="Times New Roman" w:eastAsia="宋体"/>
                <w:b w:val="0"/>
                <w:bCs w:val="0"/>
                <w:sz w:val="21"/>
                <w:szCs w:val="21"/>
                <w:vertAlign w:val="baseline"/>
                <w:lang w:val="zh-CN" w:eastAsia="zh-CN"/>
              </w:rPr>
            </w:pPr>
          </w:p>
        </w:tc>
        <w:tc>
          <w:tcPr>
            <w:tcW w:w="1989" w:type="dxa"/>
            <w:vAlign w:val="center"/>
          </w:tcPr>
          <w:p>
            <w:pPr>
              <w:pStyle w:val="29"/>
              <w:keepNext w:val="0"/>
              <w:keepLines w:val="0"/>
              <w:pageBreakBefore w:val="0"/>
              <w:kinsoku/>
              <w:wordWrap/>
              <w:overflowPunct/>
              <w:topLinePunct w:val="0"/>
              <w:autoSpaceDE w:val="0"/>
              <w:autoSpaceDN w:val="0"/>
              <w:bidi w:val="0"/>
              <w:snapToGrid/>
              <w:spacing w:line="240" w:lineRule="auto"/>
              <w:ind w:left="0" w:leftChars="0" w:firstLine="0" w:firstLineChars="0"/>
              <w:jc w:val="center"/>
              <w:textAlignment w:val="auto"/>
              <w:rPr>
                <w:rFonts w:hint="eastAsia" w:ascii="Times New Roman" w:hAnsi="Times New Roman" w:eastAsia="宋体"/>
                <w:b w:val="0"/>
                <w:bCs w:val="0"/>
                <w:sz w:val="21"/>
                <w:szCs w:val="21"/>
                <w:vertAlign w:val="baseline"/>
                <w:lang w:val="zh-CN" w:eastAsia="zh-CN"/>
              </w:rPr>
            </w:pPr>
            <w:r>
              <w:rPr>
                <w:rFonts w:hint="eastAsia" w:ascii="Times New Roman" w:hAnsi="Times New Roman" w:eastAsia="宋体"/>
                <w:b w:val="0"/>
                <w:bCs w:val="0"/>
                <w:sz w:val="21"/>
                <w:szCs w:val="21"/>
                <w:vertAlign w:val="baseline"/>
                <w:lang w:val="zh-CN" w:eastAsia="zh-CN"/>
              </w:rPr>
              <w:t>评价结果</w:t>
            </w:r>
          </w:p>
        </w:tc>
        <w:tc>
          <w:tcPr>
            <w:tcW w:w="1874" w:type="dxa"/>
            <w:vAlign w:val="center"/>
          </w:tcPr>
          <w:p>
            <w:pPr>
              <w:pStyle w:val="29"/>
              <w:keepNext w:val="0"/>
              <w:keepLines w:val="0"/>
              <w:pageBreakBefore w:val="0"/>
              <w:kinsoku/>
              <w:wordWrap/>
              <w:overflowPunct/>
              <w:topLinePunct w:val="0"/>
              <w:autoSpaceDE w:val="0"/>
              <w:autoSpaceDN w:val="0"/>
              <w:bidi w:val="0"/>
              <w:snapToGrid/>
              <w:spacing w:line="240" w:lineRule="auto"/>
              <w:ind w:left="0" w:firstLine="0" w:firstLineChars="0"/>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4"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c>
          <w:tcPr>
            <w:tcW w:w="1876" w:type="dxa"/>
            <w:vAlign w:val="center"/>
          </w:tcPr>
          <w:p>
            <w:pPr>
              <w:keepNext w:val="0"/>
              <w:keepLines w:val="0"/>
              <w:pageBreakBefore w:val="0"/>
              <w:kinsoku/>
              <w:wordWrap/>
              <w:overflowPunct/>
              <w:topLinePunct w:val="0"/>
              <w:autoSpaceDE w:val="0"/>
              <w:autoSpaceDN w:val="0"/>
              <w:bidi w:val="0"/>
              <w:snapToGrid/>
              <w:spacing w:line="240" w:lineRule="auto"/>
              <w:ind w:left="0" w:leftChars="0" w:right="0" w:rightChars="0" w:firstLine="0" w:firstLineChars="0"/>
              <w:jc w:val="center"/>
              <w:textAlignment w:val="auto"/>
              <w:rPr>
                <w:rFonts w:hint="eastAsia" w:ascii="Times New Roman" w:hAnsi="Times New Roman" w:eastAsia="宋体"/>
                <w:b w:val="0"/>
                <w:bCs w:val="0"/>
                <w:color w:val="000000" w:themeColor="text1"/>
                <w:sz w:val="21"/>
                <w:szCs w:val="21"/>
                <w:vertAlign w:val="baseline"/>
                <w:lang w:val="zh-CN"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合格</w:t>
            </w:r>
          </w:p>
        </w:tc>
      </w:tr>
    </w:tbl>
    <w:p>
      <w:pPr>
        <w:bidi w:val="0"/>
      </w:pPr>
      <w:r>
        <w:t>由上表可知，各监测点位监测因子均满足《地下水环境质量标准》</w:t>
      </w:r>
      <w:r>
        <w:rPr>
          <w:rFonts w:hint="eastAsia"/>
          <w:lang w:val="en-US" w:eastAsia="zh-CN"/>
        </w:rPr>
        <w:t>(</w:t>
      </w:r>
      <w:r>
        <w:t>GBT14848-2017</w:t>
      </w:r>
      <w:r>
        <w:rPr>
          <w:rFonts w:hint="eastAsia"/>
          <w:lang w:val="en-US" w:eastAsia="zh-CN"/>
        </w:rPr>
        <w:t>)</w:t>
      </w:r>
      <w:r>
        <w:t>中的Ⅲ类标准。项目区域地下水环境质量状况良好。</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lang w:val="en-US" w:eastAsia="zh-CN"/>
        </w:rPr>
      </w:pPr>
      <w:bookmarkStart w:id="117" w:name="_Toc3519"/>
      <w:bookmarkStart w:id="118" w:name="_Toc24502"/>
      <w:bookmarkStart w:id="119" w:name="_Toc24332"/>
      <w:r>
        <w:rPr>
          <w:rFonts w:hint="eastAsia" w:ascii="Times New Roman" w:hAnsi="Times New Roman"/>
          <w:lang w:val="en-US" w:eastAsia="zh-CN"/>
        </w:rPr>
        <w:t>5.5 声环境质量现状监测与评价</w:t>
      </w:r>
      <w:bookmarkEnd w:id="117"/>
      <w:bookmarkEnd w:id="118"/>
      <w:bookmarkEnd w:id="119"/>
    </w:p>
    <w:p>
      <w:pPr>
        <w:pStyle w:val="4"/>
        <w:bidi w:val="0"/>
        <w:rPr>
          <w:rFonts w:hint="eastAsia"/>
        </w:rPr>
      </w:pPr>
      <w:r>
        <w:rPr>
          <w:rFonts w:hint="eastAsia"/>
          <w:lang w:val="en-US" w:eastAsia="zh-CN"/>
        </w:rPr>
        <w:t xml:space="preserve">5.5.1 </w:t>
      </w:r>
      <w:r>
        <w:rPr>
          <w:rFonts w:hint="eastAsia"/>
        </w:rPr>
        <w:t>监测点位布设</w:t>
      </w:r>
    </w:p>
    <w:p>
      <w:pPr>
        <w:bidi w:val="0"/>
      </w:pPr>
      <w:r>
        <w:t>根据项特点及周围环境情况，本次评价声环境监测点在厂界四周</w:t>
      </w:r>
      <w:r>
        <w:rPr>
          <w:rFonts w:hint="eastAsia"/>
          <w:lang w:eastAsia="zh-CN"/>
        </w:rPr>
        <w:t>和项目西南侧后王庄敏感点</w:t>
      </w:r>
      <w:r>
        <w:t>各设置一个监测点（共</w:t>
      </w:r>
      <w:r>
        <w:rPr>
          <w:rFonts w:hint="eastAsia"/>
          <w:lang w:eastAsia="zh-CN"/>
        </w:rPr>
        <w:t>五</w:t>
      </w:r>
      <w:r>
        <w:t>个监测点）。</w:t>
      </w:r>
    </w:p>
    <w:p>
      <w:pPr>
        <w:pStyle w:val="4"/>
        <w:bidi w:val="0"/>
        <w:rPr>
          <w:rFonts w:hint="eastAsia"/>
          <w:lang w:val="en-US" w:eastAsia="zh-CN"/>
        </w:rPr>
      </w:pPr>
      <w:r>
        <w:rPr>
          <w:rFonts w:hint="eastAsia"/>
          <w:lang w:val="en-US" w:eastAsia="zh-CN"/>
        </w:rPr>
        <w:t>5.5.2 监测分析方法</w:t>
      </w:r>
    </w:p>
    <w:p>
      <w:pPr>
        <w:keepNext w:val="0"/>
        <w:keepLines w:val="0"/>
        <w:widowControl/>
        <w:suppressLineNumbers w:val="0"/>
        <w:spacing w:line="360" w:lineRule="auto"/>
        <w:jc w:val="center"/>
        <w:rPr>
          <w:rFonts w:hint="eastAsia" w:ascii="Times New Roman" w:hAnsi="Times New Roman" w:eastAsia="宋体" w:cs="宋体"/>
          <w:b/>
          <w:bCs/>
          <w:spacing w:val="-11"/>
          <w:sz w:val="24"/>
          <w:szCs w:val="24"/>
          <w:lang w:val="en-US" w:eastAsia="zh-CN" w:bidi="zh-CN"/>
        </w:rPr>
      </w:pPr>
      <w:r>
        <w:rPr>
          <w:rFonts w:hint="eastAsia" w:ascii="Times New Roman" w:hAnsi="Times New Roman" w:eastAsia="宋体" w:cs="宋体"/>
          <w:b/>
          <w:bCs/>
          <w:spacing w:val="-11"/>
          <w:sz w:val="24"/>
          <w:szCs w:val="24"/>
          <w:lang w:val="en-US" w:eastAsia="zh-CN" w:bidi="zh-CN"/>
        </w:rPr>
        <w:t>表5.</w:t>
      </w:r>
      <w:r>
        <w:rPr>
          <w:rFonts w:hint="eastAsia" w:cs="宋体"/>
          <w:b/>
          <w:bCs/>
          <w:spacing w:val="-11"/>
          <w:sz w:val="24"/>
          <w:szCs w:val="24"/>
          <w:lang w:val="en-US" w:eastAsia="zh-CN" w:bidi="zh-CN"/>
        </w:rPr>
        <w:t>5</w:t>
      </w:r>
      <w:r>
        <w:rPr>
          <w:rFonts w:hint="eastAsia" w:ascii="Times New Roman" w:hAnsi="Times New Roman" w:eastAsia="宋体" w:cs="宋体"/>
          <w:b/>
          <w:bCs/>
          <w:spacing w:val="-11"/>
          <w:sz w:val="24"/>
          <w:szCs w:val="24"/>
          <w:lang w:val="en-US" w:eastAsia="zh-CN" w:bidi="zh-CN"/>
        </w:rPr>
        <w:t>-</w:t>
      </w:r>
      <w:r>
        <w:rPr>
          <w:rFonts w:hint="eastAsia" w:cs="宋体"/>
          <w:b/>
          <w:bCs/>
          <w:spacing w:val="-11"/>
          <w:sz w:val="24"/>
          <w:szCs w:val="24"/>
          <w:lang w:val="en-US" w:eastAsia="zh-CN" w:bidi="zh-CN"/>
        </w:rPr>
        <w:t>1</w:t>
      </w:r>
      <w:r>
        <w:rPr>
          <w:rFonts w:hint="eastAsia" w:ascii="Times New Roman" w:hAnsi="Times New Roman" w:eastAsia="宋体" w:cs="宋体"/>
          <w:b/>
          <w:bCs/>
          <w:spacing w:val="-11"/>
          <w:sz w:val="24"/>
          <w:szCs w:val="24"/>
          <w:lang w:val="en-US" w:eastAsia="zh-CN" w:bidi="zh-CN"/>
        </w:rPr>
        <w:t xml:space="preserve">  </w:t>
      </w:r>
      <w:r>
        <w:rPr>
          <w:rFonts w:hint="eastAsia" w:cs="宋体"/>
          <w:b/>
          <w:bCs/>
          <w:spacing w:val="-11"/>
          <w:sz w:val="24"/>
          <w:szCs w:val="24"/>
          <w:lang w:val="en-US" w:eastAsia="zh-CN" w:bidi="zh-CN"/>
        </w:rPr>
        <w:t>噪声</w:t>
      </w:r>
      <w:r>
        <w:rPr>
          <w:rFonts w:hint="eastAsia" w:ascii="Times New Roman" w:hAnsi="Times New Roman" w:eastAsia="宋体" w:cs="宋体"/>
          <w:b/>
          <w:bCs/>
          <w:spacing w:val="-11"/>
          <w:sz w:val="24"/>
          <w:szCs w:val="24"/>
          <w:lang w:val="en-US" w:eastAsia="zh-CN" w:bidi="zh-CN"/>
        </w:rPr>
        <w:t>环境质量现状监测分析方法</w:t>
      </w:r>
    </w:p>
    <w:tbl>
      <w:tblPr>
        <w:tblStyle w:val="21"/>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8"/>
        <w:gridCol w:w="1450"/>
        <w:gridCol w:w="2630"/>
        <w:gridCol w:w="226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57" w:type="dxa"/>
            <w:vAlign w:val="center"/>
          </w:tcPr>
          <w:p>
            <w:pPr>
              <w:pStyle w:val="30"/>
              <w:bidi w:val="0"/>
              <w:rPr>
                <w:rFonts w:hint="eastAsia"/>
                <w:sz w:val="21"/>
                <w:szCs w:val="21"/>
              </w:rPr>
            </w:pPr>
            <w:r>
              <w:rPr>
                <w:rFonts w:hint="eastAsia"/>
                <w:sz w:val="21"/>
                <w:szCs w:val="21"/>
              </w:rPr>
              <w:t>检测类别</w:t>
            </w:r>
          </w:p>
        </w:tc>
        <w:tc>
          <w:tcPr>
            <w:tcW w:w="1449" w:type="dxa"/>
            <w:vAlign w:val="center"/>
          </w:tcPr>
          <w:p>
            <w:pPr>
              <w:pStyle w:val="30"/>
              <w:bidi w:val="0"/>
              <w:rPr>
                <w:rFonts w:hint="eastAsia"/>
                <w:sz w:val="21"/>
                <w:szCs w:val="21"/>
              </w:rPr>
            </w:pPr>
            <w:r>
              <w:rPr>
                <w:rFonts w:hint="eastAsia"/>
                <w:sz w:val="21"/>
                <w:szCs w:val="21"/>
              </w:rPr>
              <w:t>检测项目</w:t>
            </w:r>
          </w:p>
        </w:tc>
        <w:tc>
          <w:tcPr>
            <w:tcW w:w="2627" w:type="dxa"/>
            <w:vAlign w:val="center"/>
          </w:tcPr>
          <w:p>
            <w:pPr>
              <w:pStyle w:val="30"/>
              <w:bidi w:val="0"/>
              <w:rPr>
                <w:sz w:val="21"/>
                <w:szCs w:val="21"/>
              </w:rPr>
            </w:pPr>
            <w:r>
              <w:rPr>
                <w:rFonts w:hint="eastAsia"/>
                <w:sz w:val="21"/>
                <w:szCs w:val="21"/>
              </w:rPr>
              <w:t>检测标准</w:t>
            </w:r>
            <w:r>
              <w:rPr>
                <w:sz w:val="21"/>
                <w:szCs w:val="21"/>
              </w:rPr>
              <w:t>(</w:t>
            </w:r>
            <w:r>
              <w:rPr>
                <w:rFonts w:hint="eastAsia"/>
                <w:sz w:val="21"/>
                <w:szCs w:val="21"/>
              </w:rPr>
              <w:t>方法</w:t>
            </w:r>
            <w:r>
              <w:rPr>
                <w:sz w:val="21"/>
                <w:szCs w:val="21"/>
              </w:rPr>
              <w:t>)</w:t>
            </w:r>
          </w:p>
        </w:tc>
        <w:tc>
          <w:tcPr>
            <w:tcW w:w="2265" w:type="dxa"/>
            <w:vAlign w:val="center"/>
          </w:tcPr>
          <w:p>
            <w:pPr>
              <w:pStyle w:val="30"/>
              <w:bidi w:val="0"/>
              <w:rPr>
                <w:rFonts w:hint="eastAsia"/>
                <w:sz w:val="21"/>
                <w:szCs w:val="21"/>
              </w:rPr>
            </w:pPr>
            <w:r>
              <w:rPr>
                <w:rFonts w:hint="eastAsia"/>
                <w:sz w:val="21"/>
                <w:szCs w:val="21"/>
              </w:rPr>
              <w:t>检测仪器</w:t>
            </w:r>
          </w:p>
        </w:tc>
        <w:tc>
          <w:tcPr>
            <w:tcW w:w="1346" w:type="dxa"/>
            <w:vAlign w:val="center"/>
          </w:tcPr>
          <w:p>
            <w:pPr>
              <w:pStyle w:val="30"/>
              <w:bidi w:val="0"/>
              <w:rPr>
                <w:sz w:val="21"/>
                <w:szCs w:val="21"/>
              </w:rPr>
            </w:pPr>
            <w:r>
              <w:rPr>
                <w:rFonts w:hint="eastAsia"/>
                <w:sz w:val="21"/>
                <w:szCs w:val="21"/>
              </w:rPr>
              <w:t>检出限</w:t>
            </w:r>
            <w:r>
              <w:rPr>
                <w:sz w:val="21"/>
                <w:szCs w:val="21"/>
              </w:rPr>
              <w:t>/</w:t>
            </w:r>
          </w:p>
          <w:p>
            <w:pPr>
              <w:pStyle w:val="30"/>
              <w:bidi w:val="0"/>
              <w:rPr>
                <w:rFonts w:hint="eastAsia"/>
                <w:sz w:val="21"/>
                <w:szCs w:val="21"/>
              </w:rPr>
            </w:pPr>
            <w:r>
              <w:rPr>
                <w:rFonts w:hint="eastAsia"/>
                <w:sz w:val="21"/>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57" w:type="dxa"/>
            <w:vAlign w:val="center"/>
          </w:tcPr>
          <w:p>
            <w:pPr>
              <w:pStyle w:val="30"/>
              <w:bidi w:val="0"/>
              <w:rPr>
                <w:rFonts w:hint="eastAsia"/>
                <w:sz w:val="21"/>
                <w:szCs w:val="21"/>
                <w:lang w:eastAsia="zh-CN"/>
              </w:rPr>
            </w:pPr>
            <w:r>
              <w:rPr>
                <w:rFonts w:hint="eastAsia"/>
                <w:sz w:val="21"/>
                <w:szCs w:val="21"/>
                <w:lang w:eastAsia="zh-CN"/>
              </w:rPr>
              <w:t>噪声</w:t>
            </w:r>
          </w:p>
        </w:tc>
        <w:tc>
          <w:tcPr>
            <w:tcW w:w="1449" w:type="dxa"/>
            <w:vAlign w:val="center"/>
          </w:tcPr>
          <w:p>
            <w:pPr>
              <w:pStyle w:val="30"/>
              <w:bidi w:val="0"/>
              <w:rPr>
                <w:sz w:val="21"/>
                <w:szCs w:val="21"/>
              </w:rPr>
            </w:pPr>
            <w:r>
              <w:rPr>
                <w:rFonts w:hint="eastAsia"/>
                <w:sz w:val="21"/>
                <w:szCs w:val="21"/>
                <w:lang w:val="en-US" w:eastAsia="zh-CN"/>
              </w:rPr>
              <w:t>环境噪声</w:t>
            </w:r>
          </w:p>
        </w:tc>
        <w:tc>
          <w:tcPr>
            <w:tcW w:w="2627" w:type="dxa"/>
            <w:vAlign w:val="center"/>
          </w:tcPr>
          <w:p>
            <w:pPr>
              <w:pStyle w:val="30"/>
              <w:bidi w:val="0"/>
              <w:rPr>
                <w:sz w:val="21"/>
                <w:szCs w:val="21"/>
              </w:rPr>
            </w:pPr>
            <w:r>
              <w:rPr>
                <w:rFonts w:hint="eastAsia"/>
                <w:sz w:val="21"/>
                <w:szCs w:val="21"/>
                <w:lang w:val="en-US" w:eastAsia="zh-CN"/>
              </w:rPr>
              <w:t>声环境质量标准</w:t>
            </w:r>
          </w:p>
        </w:tc>
        <w:tc>
          <w:tcPr>
            <w:tcW w:w="2265" w:type="dxa"/>
            <w:vAlign w:val="center"/>
          </w:tcPr>
          <w:p>
            <w:pPr>
              <w:pStyle w:val="30"/>
              <w:bidi w:val="0"/>
              <w:rPr>
                <w:rFonts w:hint="eastAsia"/>
                <w:sz w:val="21"/>
                <w:szCs w:val="21"/>
              </w:rPr>
            </w:pPr>
            <w:r>
              <w:rPr>
                <w:rFonts w:hint="default"/>
                <w:sz w:val="21"/>
                <w:szCs w:val="21"/>
                <w:lang w:val="en-US" w:eastAsia="zh-CN"/>
              </w:rPr>
              <w:t>GB 3096-2008</w:t>
            </w:r>
          </w:p>
        </w:tc>
        <w:tc>
          <w:tcPr>
            <w:tcW w:w="1346" w:type="dxa"/>
            <w:vAlign w:val="center"/>
          </w:tcPr>
          <w:p>
            <w:pPr>
              <w:pStyle w:val="30"/>
              <w:bidi w:val="0"/>
              <w:rPr>
                <w:sz w:val="21"/>
                <w:szCs w:val="21"/>
              </w:rPr>
            </w:pPr>
            <w:r>
              <w:rPr>
                <w:sz w:val="21"/>
                <w:szCs w:val="21"/>
              </w:rPr>
              <w:t>/</w:t>
            </w:r>
          </w:p>
        </w:tc>
      </w:tr>
    </w:tbl>
    <w:p>
      <w:pPr>
        <w:pStyle w:val="4"/>
        <w:bidi w:val="0"/>
        <w:rPr>
          <w:rFonts w:hint="eastAsia"/>
          <w:lang w:val="en-US" w:eastAsia="zh-CN"/>
        </w:rPr>
      </w:pPr>
      <w:r>
        <w:rPr>
          <w:rFonts w:hint="eastAsia"/>
          <w:lang w:val="en-US" w:eastAsia="zh-CN"/>
        </w:rPr>
        <w:t>5.5.3 监测时间及监测频率</w:t>
      </w:r>
    </w:p>
    <w:p>
      <w:pPr>
        <w:bidi w:val="0"/>
      </w:pPr>
      <w:r>
        <w:t>连续监测</w:t>
      </w:r>
      <w:r>
        <w:rPr>
          <w:rFonts w:hint="default"/>
        </w:rPr>
        <w:t>2</w:t>
      </w:r>
      <w:r>
        <w:t>天，每天昼、夜各监测一次。</w:t>
      </w:r>
    </w:p>
    <w:p>
      <w:pPr>
        <w:pStyle w:val="4"/>
        <w:bidi w:val="0"/>
        <w:rPr>
          <w:rFonts w:hint="eastAsia"/>
          <w:lang w:val="en-US" w:eastAsia="zh-CN"/>
        </w:rPr>
      </w:pPr>
      <w:r>
        <w:rPr>
          <w:rFonts w:hint="eastAsia"/>
          <w:lang w:val="en-US" w:eastAsia="zh-CN"/>
        </w:rPr>
        <w:t>5.5.4 评价方法</w:t>
      </w:r>
    </w:p>
    <w:p>
      <w:pPr>
        <w:bidi w:val="0"/>
      </w:pPr>
      <w:r>
        <w:t>根据声环境现状监测结果，采用等效声级法，结合噪声评价标准，对厂址声环境质量现状进行评价。</w:t>
      </w:r>
    </w:p>
    <w:p>
      <w:pPr>
        <w:pStyle w:val="4"/>
        <w:bidi w:val="0"/>
        <w:rPr>
          <w:rFonts w:hint="eastAsia"/>
          <w:lang w:val="en-US" w:eastAsia="zh-CN"/>
        </w:rPr>
      </w:pPr>
      <w:r>
        <w:rPr>
          <w:rFonts w:hint="eastAsia"/>
          <w:lang w:val="en-US" w:eastAsia="zh-CN"/>
        </w:rPr>
        <w:t>5.5.5 评价标准</w:t>
      </w:r>
    </w:p>
    <w:p>
      <w:pPr>
        <w:bidi w:val="0"/>
      </w:pPr>
      <w:r>
        <w:t>本次声环境质量现状评价执行《声环境质量标准》（GB3096-2008）</w:t>
      </w:r>
      <w:r>
        <w:rPr>
          <w:rFonts w:hint="eastAsia"/>
          <w:lang w:val="en-US" w:eastAsia="zh-CN"/>
        </w:rPr>
        <w:t>1</w:t>
      </w:r>
      <w:r>
        <w:t>类标准要求，本次声环境质量评价标准见表5.5-1。</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9"/>
        <w:jc w:val="center"/>
        <w:textAlignment w:val="auto"/>
        <w:rPr>
          <w:rFonts w:hint="eastAsia" w:ascii="Times New Roman" w:hAnsi="Times New Roman" w:eastAsia="宋体"/>
          <w:b/>
          <w:bCs/>
        </w:rPr>
      </w:pPr>
      <w:r>
        <w:rPr>
          <w:rFonts w:hint="eastAsia" w:ascii="Times New Roman" w:hAnsi="Times New Roman" w:eastAsia="宋体"/>
          <w:b/>
          <w:bCs/>
        </w:rPr>
        <w:t>表</w:t>
      </w:r>
      <w:r>
        <w:rPr>
          <w:rFonts w:ascii="Times New Roman" w:hAnsi="Times New Roman" w:eastAsia="宋体"/>
          <w:b/>
          <w:bCs/>
        </w:rPr>
        <w:t>5.5-</w:t>
      </w:r>
      <w:r>
        <w:rPr>
          <w:rFonts w:hint="eastAsia" w:ascii="Times New Roman" w:hAnsi="Times New Roman"/>
          <w:b/>
          <w:bCs/>
          <w:lang w:val="en-US" w:eastAsia="zh-CN"/>
        </w:rPr>
        <w:t>2</w:t>
      </w:r>
      <w:r>
        <w:rPr>
          <w:rFonts w:hint="eastAsia" w:ascii="Times New Roman" w:hAnsi="Times New Roman" w:eastAsia="宋体"/>
          <w:b/>
          <w:bCs/>
          <w:lang w:val="en-US" w:eastAsia="zh-CN"/>
        </w:rPr>
        <w:t xml:space="preserve">  </w:t>
      </w:r>
      <w:r>
        <w:rPr>
          <w:rFonts w:hint="eastAsia" w:ascii="Times New Roman" w:hAnsi="Times New Roman" w:eastAsia="宋体"/>
          <w:b/>
          <w:bCs/>
        </w:rPr>
        <w:t>声环境质量评价标准</w:t>
      </w:r>
    </w:p>
    <w:tbl>
      <w:tblPr>
        <w:tblStyle w:val="2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6"/>
        <w:gridCol w:w="3052"/>
        <w:gridCol w:w="3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93"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Times New Roman" w:hAnsi="Times New Roman" w:eastAsia="宋体"/>
                <w:sz w:val="21"/>
              </w:rPr>
            </w:pPr>
            <w:r>
              <w:rPr>
                <w:rFonts w:ascii="Times New Roman" w:hAnsi="Times New Roman" w:eastAsia="宋体"/>
                <w:sz w:val="21"/>
              </w:rPr>
              <w:t>声环境功能区类别</w:t>
            </w:r>
          </w:p>
        </w:tc>
        <w:tc>
          <w:tcPr>
            <w:tcW w:w="30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昼间</w:t>
            </w:r>
            <w:r>
              <w:rPr>
                <w:rFonts w:hint="eastAsia" w:ascii="Times New Roman" w:hAnsi="Times New Roman"/>
                <w:sz w:val="21"/>
                <w:lang w:eastAsia="zh-CN"/>
              </w:rPr>
              <w:t>〔</w:t>
            </w:r>
            <w:r>
              <w:rPr>
                <w:rFonts w:ascii="Times New Roman" w:hAnsi="Times New Roman" w:eastAsia="宋体"/>
                <w:sz w:val="21"/>
              </w:rPr>
              <w:t>dB</w:t>
            </w:r>
            <w:r>
              <w:rPr>
                <w:rFonts w:hint="eastAsia" w:ascii="Times New Roman" w:hAnsi="Times New Roman" w:eastAsia="宋体"/>
                <w:sz w:val="21"/>
                <w:lang w:eastAsia="zh-CN"/>
              </w:rPr>
              <w:t>（</w:t>
            </w:r>
            <w:r>
              <w:rPr>
                <w:rFonts w:ascii="Times New Roman" w:hAnsi="Times New Roman" w:eastAsia="宋体"/>
                <w:sz w:val="21"/>
              </w:rPr>
              <w:t>A</w:t>
            </w:r>
            <w:r>
              <w:rPr>
                <w:rFonts w:hint="eastAsia" w:ascii="Times New Roman" w:hAnsi="Times New Roman" w:eastAsia="宋体"/>
                <w:sz w:val="21"/>
                <w:lang w:eastAsia="zh-CN"/>
              </w:rPr>
              <w:t>）</w:t>
            </w:r>
            <w:r>
              <w:rPr>
                <w:rFonts w:hint="eastAsia" w:ascii="Times New Roman" w:hAnsi="Times New Roman"/>
                <w:sz w:val="21"/>
                <w:lang w:eastAsia="zh-CN"/>
              </w:rPr>
              <w:t>〕</w:t>
            </w:r>
          </w:p>
        </w:tc>
        <w:tc>
          <w:tcPr>
            <w:tcW w:w="31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夜间</w:t>
            </w:r>
            <w:r>
              <w:rPr>
                <w:rFonts w:hint="eastAsia" w:ascii="Times New Roman" w:hAnsi="Times New Roman"/>
                <w:sz w:val="21"/>
                <w:lang w:eastAsia="zh-CN"/>
              </w:rPr>
              <w:t>〔</w:t>
            </w:r>
            <w:r>
              <w:rPr>
                <w:rFonts w:ascii="Times New Roman" w:hAnsi="Times New Roman" w:eastAsia="宋体"/>
                <w:sz w:val="21"/>
              </w:rPr>
              <w:t>dB</w:t>
            </w:r>
            <w:r>
              <w:rPr>
                <w:rFonts w:hint="eastAsia" w:ascii="Times New Roman" w:hAnsi="Times New Roman" w:eastAsia="宋体"/>
                <w:sz w:val="21"/>
                <w:lang w:eastAsia="zh-CN"/>
              </w:rPr>
              <w:t>（</w:t>
            </w:r>
            <w:r>
              <w:rPr>
                <w:rFonts w:ascii="Times New Roman" w:hAnsi="Times New Roman" w:eastAsia="宋体"/>
                <w:sz w:val="21"/>
              </w:rPr>
              <w:t>A</w:t>
            </w:r>
            <w:r>
              <w:rPr>
                <w:rFonts w:hint="eastAsia" w:ascii="Times New Roman" w:hAnsi="Times New Roman" w:eastAsia="宋体"/>
                <w:sz w:val="21"/>
                <w:lang w:eastAsia="zh-CN"/>
              </w:rPr>
              <w:t>）</w:t>
            </w:r>
            <w:r>
              <w:rPr>
                <w:rFonts w:hint="eastAsia" w:ascii="Times New Roman" w:hAnsi="Times New Roman"/>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93"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Times New Roman" w:hAnsi="Times New Roman" w:eastAsia="宋体"/>
                <w:sz w:val="21"/>
                <w:u w:val="single"/>
              </w:rPr>
            </w:pPr>
            <w:r>
              <w:rPr>
                <w:rFonts w:hint="eastAsia" w:ascii="Times New Roman" w:hAnsi="Times New Roman"/>
                <w:sz w:val="21"/>
                <w:u w:val="single"/>
                <w:lang w:val="en-US" w:eastAsia="zh-CN"/>
              </w:rPr>
              <w:t>1</w:t>
            </w:r>
            <w:r>
              <w:rPr>
                <w:rFonts w:ascii="Times New Roman" w:hAnsi="Times New Roman" w:eastAsia="宋体"/>
                <w:sz w:val="21"/>
                <w:u w:val="single"/>
              </w:rPr>
              <w:t>类</w:t>
            </w:r>
          </w:p>
        </w:tc>
        <w:tc>
          <w:tcPr>
            <w:tcW w:w="30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sz w:val="21"/>
                <w:u w:val="single"/>
                <w:lang w:val="en-US" w:eastAsia="zh-CN"/>
              </w:rPr>
            </w:pPr>
            <w:r>
              <w:rPr>
                <w:rFonts w:hint="eastAsia" w:ascii="Times New Roman" w:hAnsi="Times New Roman"/>
                <w:sz w:val="21"/>
                <w:u w:val="single"/>
                <w:lang w:val="en-US" w:eastAsia="zh-CN"/>
              </w:rPr>
              <w:t>55</w:t>
            </w:r>
          </w:p>
        </w:tc>
        <w:tc>
          <w:tcPr>
            <w:tcW w:w="3149"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sz w:val="21"/>
                <w:u w:val="single"/>
                <w:lang w:val="en-US" w:eastAsia="zh-CN"/>
              </w:rPr>
            </w:pPr>
            <w:r>
              <w:rPr>
                <w:rFonts w:hint="eastAsia" w:ascii="Times New Roman" w:hAnsi="Times New Roman"/>
                <w:sz w:val="21"/>
                <w:u w:val="single"/>
                <w:lang w:val="en-US" w:eastAsia="zh-CN"/>
              </w:rPr>
              <w:t>45</w:t>
            </w:r>
          </w:p>
        </w:tc>
      </w:tr>
    </w:tbl>
    <w:p>
      <w:pPr>
        <w:pStyle w:val="4"/>
        <w:bidi w:val="0"/>
        <w:rPr>
          <w:rFonts w:hint="eastAsia"/>
          <w:lang w:val="en-US" w:eastAsia="zh-CN"/>
        </w:rPr>
      </w:pPr>
      <w:r>
        <w:rPr>
          <w:rFonts w:hint="eastAsia"/>
          <w:lang w:val="en-US" w:eastAsia="zh-CN"/>
        </w:rPr>
        <w:t>5.5.6 监测结果统计及评价</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ascii="Times New Roman" w:hAnsi="Times New Roman" w:eastAsia="宋体"/>
        </w:rPr>
      </w:pPr>
      <w:r>
        <w:rPr>
          <w:rFonts w:ascii="Times New Roman" w:hAnsi="Times New Roman" w:eastAsia="宋体"/>
        </w:rPr>
        <w:t>本次声环境质量现状监测数据统计分析结果见表5.5-</w:t>
      </w:r>
      <w:r>
        <w:rPr>
          <w:rFonts w:hint="eastAsia" w:ascii="Times New Roman" w:hAnsi="Times New Roman"/>
          <w:lang w:val="en-US" w:eastAsia="zh-CN"/>
        </w:rPr>
        <w:t>3</w:t>
      </w:r>
      <w:r>
        <w:rPr>
          <w:rFonts w:ascii="Times New Roman" w:hAnsi="Times New Roman" w:eastAsia="宋体"/>
        </w:rPr>
        <w:t>。</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Times New Roman" w:hAnsi="Times New Roman" w:eastAsia="宋体"/>
          <w:b/>
          <w:bCs/>
        </w:rPr>
      </w:pPr>
      <w:r>
        <w:rPr>
          <w:rFonts w:hint="eastAsia" w:ascii="Times New Roman" w:hAnsi="Times New Roman" w:eastAsia="宋体"/>
          <w:b/>
          <w:bCs/>
        </w:rPr>
        <w:t>表</w:t>
      </w:r>
      <w:r>
        <w:rPr>
          <w:rFonts w:ascii="Times New Roman" w:hAnsi="Times New Roman" w:eastAsia="宋体"/>
          <w:b/>
          <w:bCs/>
        </w:rPr>
        <w:t>5.5-</w:t>
      </w:r>
      <w:r>
        <w:rPr>
          <w:rFonts w:hint="eastAsia" w:ascii="Times New Roman" w:hAnsi="Times New Roman"/>
          <w:b/>
          <w:bCs/>
          <w:lang w:val="en-US" w:eastAsia="zh-CN"/>
        </w:rPr>
        <w:t>3</w:t>
      </w:r>
      <w:r>
        <w:rPr>
          <w:rFonts w:hint="eastAsia" w:ascii="Times New Roman" w:hAnsi="Times New Roman" w:eastAsia="宋体"/>
          <w:b/>
          <w:bCs/>
          <w:lang w:val="en-US" w:eastAsia="zh-CN"/>
        </w:rPr>
        <w:t xml:space="preserve">  </w:t>
      </w:r>
      <w:r>
        <w:rPr>
          <w:rFonts w:hint="eastAsia" w:ascii="Times New Roman" w:hAnsi="Times New Roman" w:eastAsia="宋体"/>
          <w:b/>
          <w:bCs/>
        </w:rPr>
        <w:t>声环境质量现状监测结果统计一览表</w:t>
      </w:r>
    </w:p>
    <w:tbl>
      <w:tblPr>
        <w:tblStyle w:val="21"/>
        <w:tblW w:w="50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4"/>
        <w:gridCol w:w="1965"/>
        <w:gridCol w:w="1852"/>
        <w:gridCol w:w="1834"/>
        <w:gridCol w:w="1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监测位置</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r>
              <w:rPr>
                <w:rFonts w:ascii="Times New Roman" w:hAnsi="Times New Roman" w:eastAsia="宋体"/>
                <w:sz w:val="21"/>
                <w:szCs w:val="21"/>
              </w:rPr>
              <w:t>监测时间</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昼间</w:t>
            </w:r>
            <w:r>
              <w:rPr>
                <w:rFonts w:hint="eastAsia" w:ascii="Times New Roman" w:hAnsi="Times New Roman"/>
                <w:sz w:val="21"/>
                <w:szCs w:val="21"/>
                <w:lang w:eastAsia="zh-CN"/>
              </w:rPr>
              <w:t>〔</w:t>
            </w:r>
            <w:r>
              <w:rPr>
                <w:rFonts w:ascii="Times New Roman" w:hAnsi="Times New Roman" w:eastAsia="宋体"/>
                <w:sz w:val="21"/>
                <w:szCs w:val="21"/>
              </w:rPr>
              <w:t>dB</w:t>
            </w:r>
            <w:r>
              <w:rPr>
                <w:rFonts w:hint="eastAsia" w:ascii="Times New Roman" w:hAnsi="Times New Roman" w:eastAsia="宋体"/>
                <w:sz w:val="21"/>
                <w:szCs w:val="21"/>
                <w:lang w:eastAsia="zh-CN"/>
              </w:rPr>
              <w:t>（</w:t>
            </w:r>
            <w:r>
              <w:rPr>
                <w:rFonts w:ascii="Times New Roman" w:hAnsi="Times New Roman" w:eastAsia="宋体"/>
                <w:sz w:val="21"/>
                <w:szCs w:val="21"/>
              </w:rPr>
              <w:t>A</w:t>
            </w:r>
            <w:r>
              <w:rPr>
                <w:rFonts w:hint="eastAsia" w:ascii="Times New Roman" w:hAnsi="Times New Roman" w:eastAsia="宋体"/>
                <w:sz w:val="21"/>
                <w:szCs w:val="21"/>
                <w:lang w:eastAsia="zh-CN"/>
              </w:rPr>
              <w:t>）</w:t>
            </w:r>
            <w:r>
              <w:rPr>
                <w:rFonts w:hint="eastAsia" w:ascii="Times New Roman" w:hAnsi="Times New Roman"/>
                <w:sz w:val="21"/>
                <w:szCs w:val="21"/>
                <w:lang w:eastAsia="zh-CN"/>
              </w:rPr>
              <w:t>〕</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夜间</w:t>
            </w:r>
            <w:r>
              <w:rPr>
                <w:rFonts w:hint="eastAsia" w:ascii="Times New Roman" w:hAnsi="Times New Roman"/>
                <w:sz w:val="21"/>
                <w:szCs w:val="21"/>
                <w:lang w:eastAsia="zh-CN"/>
              </w:rPr>
              <w:t>〔</w:t>
            </w:r>
            <w:r>
              <w:rPr>
                <w:rFonts w:ascii="Times New Roman" w:hAnsi="Times New Roman" w:eastAsia="宋体"/>
                <w:sz w:val="21"/>
                <w:szCs w:val="21"/>
              </w:rPr>
              <w:t>dB</w:t>
            </w:r>
            <w:r>
              <w:rPr>
                <w:rFonts w:hint="eastAsia" w:ascii="Times New Roman" w:hAnsi="Times New Roman" w:eastAsia="宋体"/>
                <w:sz w:val="21"/>
                <w:szCs w:val="21"/>
                <w:lang w:eastAsia="zh-CN"/>
              </w:rPr>
              <w:t>（</w:t>
            </w:r>
            <w:r>
              <w:rPr>
                <w:rFonts w:ascii="Times New Roman" w:hAnsi="Times New Roman" w:eastAsia="宋体"/>
                <w:sz w:val="21"/>
                <w:szCs w:val="21"/>
              </w:rPr>
              <w:t>A</w:t>
            </w:r>
            <w:r>
              <w:rPr>
                <w:rFonts w:hint="eastAsia" w:ascii="Times New Roman" w:hAnsi="Times New Roman" w:eastAsia="宋体"/>
                <w:sz w:val="21"/>
                <w:szCs w:val="21"/>
                <w:lang w:eastAsia="zh-CN"/>
              </w:rPr>
              <w:t>）</w:t>
            </w:r>
            <w:r>
              <w:rPr>
                <w:rFonts w:hint="eastAsia" w:ascii="Times New Roman" w:hAnsi="Times New Roman"/>
                <w:sz w:val="21"/>
                <w:szCs w:val="21"/>
                <w:lang w:eastAsia="zh-CN"/>
              </w:rPr>
              <w:t>〕</w:t>
            </w:r>
          </w:p>
        </w:tc>
        <w:tc>
          <w:tcPr>
            <w:tcW w:w="197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sz w:val="21"/>
                <w:szCs w:val="21"/>
                <w:lang w:eastAsia="zh-CN"/>
              </w:rPr>
            </w:pPr>
            <w:r>
              <w:rPr>
                <w:rFonts w:ascii="Times New Roman" w:hAnsi="Times New Roman" w:eastAsia="宋体"/>
                <w:sz w:val="21"/>
                <w:szCs w:val="21"/>
              </w:rPr>
              <w:t>标准限值</w:t>
            </w:r>
            <w:r>
              <w:rPr>
                <w:rFonts w:hint="eastAsia" w:ascii="Times New Roman" w:hAnsi="Times New Roman"/>
                <w:sz w:val="21"/>
                <w:szCs w:val="21"/>
                <w:lang w:eastAsia="zh-CN"/>
              </w:rPr>
              <w:t>〔</w:t>
            </w:r>
            <w:r>
              <w:rPr>
                <w:rFonts w:ascii="Times New Roman" w:hAnsi="Times New Roman" w:eastAsia="宋体"/>
                <w:sz w:val="21"/>
                <w:szCs w:val="21"/>
              </w:rPr>
              <w:t>dB</w:t>
            </w:r>
            <w:r>
              <w:rPr>
                <w:rFonts w:hint="eastAsia" w:ascii="Times New Roman" w:hAnsi="Times New Roman" w:eastAsia="宋体"/>
                <w:sz w:val="21"/>
                <w:szCs w:val="21"/>
                <w:lang w:eastAsia="zh-CN"/>
              </w:rPr>
              <w:t>（</w:t>
            </w:r>
            <w:r>
              <w:rPr>
                <w:rFonts w:ascii="Times New Roman" w:hAnsi="Times New Roman" w:eastAsia="宋体"/>
                <w:sz w:val="21"/>
                <w:szCs w:val="21"/>
              </w:rPr>
              <w:t>A</w:t>
            </w:r>
            <w:r>
              <w:rPr>
                <w:rFonts w:hint="eastAsia" w:ascii="Times New Roman" w:hAnsi="Times New Roman" w:eastAsia="宋体"/>
                <w:sz w:val="21"/>
                <w:szCs w:val="21"/>
                <w:lang w:eastAsia="zh-CN"/>
              </w:rPr>
              <w:t>）</w:t>
            </w:r>
            <w:r>
              <w:rPr>
                <w:rFonts w:hint="eastAsia" w:ascii="Times New Roman" w:hAnsi="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sz w:val="21"/>
                <w:szCs w:val="21"/>
                <w:lang w:eastAsia="zh-CN"/>
              </w:rPr>
            </w:pPr>
            <w:r>
              <w:rPr>
                <w:rFonts w:hint="eastAsia"/>
                <w:sz w:val="21"/>
                <w:szCs w:val="21"/>
                <w:vertAlign w:val="baseline"/>
                <w:lang w:val="en-US" w:eastAsia="zh-CN"/>
              </w:rPr>
              <w:t>项目厂界东侧</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rightChars="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2021.07.17</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52</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42</w:t>
            </w:r>
          </w:p>
        </w:tc>
        <w:tc>
          <w:tcPr>
            <w:tcW w:w="1972" w:type="dxa"/>
            <w:vMerge w:val="restart"/>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sz w:val="21"/>
                <w:szCs w:val="21"/>
                <w:lang w:val="en-US" w:eastAsia="zh-CN"/>
              </w:rPr>
            </w:pPr>
            <w:r>
              <w:rPr>
                <w:rFonts w:ascii="Times New Roman" w:hAnsi="Times New Roman" w:eastAsia="宋体"/>
                <w:sz w:val="21"/>
                <w:szCs w:val="21"/>
              </w:rPr>
              <w:t>昼间：</w:t>
            </w:r>
            <w:r>
              <w:rPr>
                <w:rFonts w:hint="eastAsia" w:ascii="Times New Roman" w:hAnsi="Times New Roman"/>
                <w:sz w:val="21"/>
                <w:szCs w:val="21"/>
                <w:lang w:val="en-US" w:eastAsia="zh-CN"/>
              </w:rPr>
              <w:t>55</w:t>
            </w:r>
          </w:p>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sz w:val="21"/>
                <w:szCs w:val="21"/>
                <w:lang w:val="en-US" w:eastAsia="zh-CN"/>
              </w:rPr>
            </w:pPr>
            <w:r>
              <w:rPr>
                <w:rFonts w:ascii="Times New Roman" w:hAnsi="Times New Roman" w:eastAsia="宋体"/>
                <w:sz w:val="21"/>
                <w:szCs w:val="21"/>
              </w:rPr>
              <w:t>夜间：</w:t>
            </w:r>
            <w:r>
              <w:rPr>
                <w:rFonts w:hint="eastAsia" w:ascii="Times New Roman" w:hAnsi="Times New Roman"/>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rightChars="0"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2021.07.18</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53</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43</w:t>
            </w:r>
          </w:p>
        </w:tc>
        <w:tc>
          <w:tcPr>
            <w:tcW w:w="1972"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eastAsia"/>
                <w:sz w:val="21"/>
                <w:szCs w:val="21"/>
                <w:vertAlign w:val="baseline"/>
                <w:lang w:val="en-US" w:eastAsia="zh-CN"/>
              </w:rPr>
              <w:t>项目厂界西侧</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2021.07.17</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53</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42</w:t>
            </w:r>
          </w:p>
        </w:tc>
        <w:tc>
          <w:tcPr>
            <w:tcW w:w="1972" w:type="dxa"/>
            <w:vMerge w:val="continue"/>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2021.07.18</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52</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41</w:t>
            </w:r>
          </w:p>
        </w:tc>
        <w:tc>
          <w:tcPr>
            <w:tcW w:w="1972"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eastAsia"/>
                <w:sz w:val="21"/>
                <w:szCs w:val="21"/>
                <w:vertAlign w:val="baseline"/>
                <w:lang w:val="en-US" w:eastAsia="zh-CN"/>
              </w:rPr>
              <w:t>项目厂界南侧</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2021.07.17</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52</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42</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2021.07.18</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52</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42</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eastAsia"/>
                <w:sz w:val="21"/>
                <w:szCs w:val="21"/>
                <w:vertAlign w:val="baseline"/>
                <w:lang w:val="en-US" w:eastAsia="zh-CN"/>
              </w:rPr>
              <w:t>项目厂界北侧</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2021.07.17</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52</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43</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2021.07.18</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53</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42</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sz w:val="21"/>
                <w:szCs w:val="21"/>
              </w:rPr>
            </w:pPr>
            <w:r>
              <w:rPr>
                <w:rFonts w:hint="eastAsia"/>
                <w:sz w:val="21"/>
                <w:szCs w:val="21"/>
                <w:lang w:val="en-US" w:eastAsia="zh-CN"/>
              </w:rPr>
              <w:t>后王庄</w:t>
            </w: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2021.07.17</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50</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40</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c>
          <w:tcPr>
            <w:tcW w:w="1963"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宋体"/>
                <w:color w:val="C00000"/>
                <w:sz w:val="21"/>
                <w:szCs w:val="21"/>
              </w:rPr>
            </w:pPr>
            <w:r>
              <w:rPr>
                <w:rFonts w:hint="eastAsia" w:ascii="Times New Roman" w:hAnsi="Times New Roman" w:eastAsia="宋体"/>
                <w:color w:val="000000" w:themeColor="text1"/>
                <w:sz w:val="21"/>
                <w:szCs w:val="21"/>
                <w:lang w:val="en-US" w:eastAsia="zh-CN"/>
                <w14:textFill>
                  <w14:solidFill>
                    <w14:schemeClr w14:val="tx1"/>
                  </w14:solidFill>
                </w14:textFill>
              </w:rPr>
              <w:t>2021.07.18</w:t>
            </w:r>
          </w:p>
        </w:tc>
        <w:tc>
          <w:tcPr>
            <w:tcW w:w="1850"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50</w:t>
            </w:r>
          </w:p>
        </w:tc>
        <w:tc>
          <w:tcPr>
            <w:tcW w:w="1832" w:type="dxa"/>
            <w:tcBorders>
              <w:tl2br w:val="nil"/>
              <w:tr2bl w:val="nil"/>
            </w:tcBorders>
            <w:vAlign w:val="center"/>
          </w:tcPr>
          <w:p>
            <w:pPr>
              <w:pStyle w:val="31"/>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olor w:val="000000" w:themeColor="text1"/>
                <w:sz w:val="21"/>
                <w:szCs w:val="21"/>
                <w:u w:val="single"/>
                <w:lang w:val="en-US" w:eastAsia="zh-CN"/>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39</w:t>
            </w:r>
          </w:p>
        </w:tc>
        <w:tc>
          <w:tcPr>
            <w:tcW w:w="197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ascii="Times New Roman" w:hAnsi="Times New Roman" w:eastAsia="宋体"/>
                <w:sz w:val="21"/>
                <w:szCs w:val="21"/>
              </w:rPr>
            </w:pPr>
          </w:p>
        </w:tc>
      </w:tr>
    </w:tbl>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ascii="Times New Roman" w:hAnsi="Times New Roman" w:eastAsia="宋体" w:cs="宋体"/>
          <w:u w:val="single"/>
        </w:rPr>
      </w:pPr>
      <w:r>
        <w:rPr>
          <w:rFonts w:ascii="Times New Roman" w:hAnsi="Times New Roman" w:eastAsia="宋体"/>
          <w:u w:val="single"/>
        </w:rPr>
        <w:t>由表5</w:t>
      </w:r>
      <w:r>
        <w:rPr>
          <w:rFonts w:hint="eastAsia" w:ascii="Times New Roman" w:hAnsi="Times New Roman" w:eastAsia="宋体"/>
          <w:u w:val="single"/>
          <w:lang w:val="en-US" w:eastAsia="zh-CN"/>
        </w:rPr>
        <w:t>.5-</w:t>
      </w:r>
      <w:r>
        <w:rPr>
          <w:rFonts w:hint="eastAsia" w:ascii="Times New Roman" w:hAnsi="Times New Roman"/>
          <w:u w:val="single"/>
          <w:lang w:val="en-US" w:eastAsia="zh-CN"/>
        </w:rPr>
        <w:t>3</w:t>
      </w:r>
      <w:r>
        <w:rPr>
          <w:rFonts w:ascii="Times New Roman" w:hAnsi="Times New Roman" w:eastAsia="宋体"/>
          <w:u w:val="single"/>
        </w:rPr>
        <w:t>可以看出：</w:t>
      </w:r>
      <w:r>
        <w:rPr>
          <w:rFonts w:hint="eastAsia" w:ascii="Times New Roman" w:hAnsi="Times New Roman" w:eastAsia="宋体" w:cs="宋体"/>
          <w:u w:val="single"/>
          <w:lang w:val="en-US" w:eastAsia="zh-CN"/>
        </w:rPr>
        <w:t>后王庄</w:t>
      </w:r>
      <w:r>
        <w:rPr>
          <w:rFonts w:hint="eastAsia" w:ascii="Times New Roman" w:hAnsi="Times New Roman" w:eastAsia="宋体" w:cs="宋体"/>
          <w:u w:val="single"/>
          <w:lang w:eastAsia="zh-CN"/>
        </w:rPr>
        <w:t>敏感点和</w:t>
      </w:r>
      <w:r>
        <w:rPr>
          <w:rFonts w:ascii="Times New Roman" w:hAnsi="Times New Roman" w:eastAsia="宋体" w:cs="宋体"/>
          <w:u w:val="single"/>
        </w:rPr>
        <w:t>项目</w:t>
      </w:r>
      <w:r>
        <w:rPr>
          <w:rFonts w:hint="eastAsia" w:ascii="Times New Roman" w:hAnsi="Times New Roman" w:eastAsia="宋体" w:cs="宋体"/>
          <w:u w:val="single"/>
          <w:lang w:eastAsia="zh-CN"/>
        </w:rPr>
        <w:t>厂界</w:t>
      </w:r>
      <w:r>
        <w:rPr>
          <w:rFonts w:ascii="Times New Roman" w:hAnsi="Times New Roman" w:eastAsia="宋体" w:cs="宋体"/>
          <w:u w:val="single"/>
        </w:rPr>
        <w:t>声环境质量现状昼、夜监测结果均能满足《声环境质量标准》（GB3096-2008）</w:t>
      </w:r>
      <w:r>
        <w:rPr>
          <w:rFonts w:hint="eastAsia" w:ascii="Times New Roman" w:hAnsi="Times New Roman" w:cs="宋体"/>
          <w:u w:val="single"/>
          <w:lang w:val="en-US" w:eastAsia="zh-CN"/>
        </w:rPr>
        <w:t>1</w:t>
      </w:r>
      <w:r>
        <w:rPr>
          <w:rFonts w:ascii="Times New Roman" w:hAnsi="Times New Roman" w:eastAsia="宋体" w:cs="宋体"/>
          <w:u w:val="single"/>
        </w:rPr>
        <w:t>类标准要求</w:t>
      </w:r>
      <w:r>
        <w:rPr>
          <w:rFonts w:hint="eastAsia" w:ascii="Times New Roman" w:hAnsi="Times New Roman" w:eastAsia="宋体" w:cs="宋体"/>
          <w:u w:val="single"/>
          <w:lang w:eastAsia="zh-CN"/>
        </w:rPr>
        <w:t>，</w:t>
      </w:r>
      <w:r>
        <w:rPr>
          <w:rFonts w:ascii="Times New Roman" w:hAnsi="Times New Roman" w:eastAsia="宋体" w:cs="宋体"/>
          <w:u w:val="single"/>
        </w:rPr>
        <w:t>说明项目厂址所在区域声环境质量现状良好。</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lang w:val="en-US" w:eastAsia="zh-CN"/>
        </w:rPr>
      </w:pPr>
      <w:bookmarkStart w:id="120" w:name="_Toc11453"/>
      <w:bookmarkStart w:id="121" w:name="_Toc15168"/>
      <w:bookmarkStart w:id="122" w:name="_Toc28800"/>
      <w:r>
        <w:rPr>
          <w:rFonts w:hint="eastAsia" w:ascii="Times New Roman" w:hAnsi="Times New Roman"/>
          <w:lang w:val="en-US" w:eastAsia="zh-CN"/>
        </w:rPr>
        <w:t>5.6 土壤环境质量现状调查与评价</w:t>
      </w:r>
      <w:bookmarkEnd w:id="120"/>
      <w:bookmarkEnd w:id="121"/>
      <w:bookmarkEnd w:id="122"/>
    </w:p>
    <w:p>
      <w:pPr>
        <w:pStyle w:val="4"/>
        <w:keepNext w:val="0"/>
        <w:keepLines w:val="0"/>
        <w:pageBreakBefore w:val="0"/>
        <w:kinsoku/>
        <w:wordWrap/>
        <w:overflowPunct/>
        <w:topLinePunct w:val="0"/>
        <w:autoSpaceDE w:val="0"/>
        <w:autoSpaceDN w:val="0"/>
        <w:bidi w:val="0"/>
        <w:adjustRightInd/>
        <w:snapToGrid/>
        <w:spacing w:line="360" w:lineRule="auto"/>
        <w:ind w:left="0" w:firstLine="562" w:firstLineChars="200"/>
        <w:textAlignment w:val="auto"/>
        <w:rPr>
          <w:rFonts w:ascii="Times New Roman" w:hAnsi="Times New Roman" w:eastAsia="宋体"/>
        </w:rPr>
      </w:pPr>
      <w:r>
        <w:rPr>
          <w:rFonts w:hint="eastAsia" w:ascii="Times New Roman" w:hAnsi="Times New Roman" w:eastAsia="宋体"/>
          <w:lang w:val="en-US" w:eastAsia="zh-CN"/>
        </w:rPr>
        <w:t>5.6.1 监测点位</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firstLine="480" w:firstLineChars="200"/>
        <w:jc w:val="left"/>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kern w:val="0"/>
          <w:sz w:val="24"/>
          <w:szCs w:val="24"/>
          <w:lang w:val="en-US" w:eastAsia="zh-CN" w:bidi="ar"/>
        </w:rPr>
        <w:t>在项目所在地设置</w:t>
      </w:r>
      <w:r>
        <w:rPr>
          <w:rFonts w:hint="eastAsia" w:ascii="Times New Roman" w:hAnsi="Times New Roman" w:eastAsia="宋体" w:cs="Times New Roman"/>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个土壤监测点位，</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具体见表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和附图</w:t>
      </w:r>
      <w:r>
        <w:rPr>
          <w:rFonts w:hint="eastAsia" w:cs="宋体"/>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pStyle w:val="4"/>
        <w:keepNext w:val="0"/>
        <w:keepLines w:val="0"/>
        <w:pageBreakBefore w:val="0"/>
        <w:kinsoku/>
        <w:wordWrap/>
        <w:overflowPunct/>
        <w:topLinePunct w:val="0"/>
        <w:autoSpaceDE w:val="0"/>
        <w:autoSpaceDN w:val="0"/>
        <w:bidi w:val="0"/>
        <w:adjustRightInd/>
        <w:snapToGrid/>
        <w:spacing w:line="360" w:lineRule="auto"/>
        <w:ind w:left="0" w:firstLine="562" w:firstLineChars="200"/>
        <w:textAlignment w:val="auto"/>
        <w:rPr>
          <w:rFonts w:ascii="Times New Roman" w:hAnsi="Times New Roman" w:eastAsia="宋体"/>
        </w:rPr>
      </w:pPr>
      <w:r>
        <w:rPr>
          <w:rFonts w:hint="eastAsia" w:ascii="Times New Roman" w:hAnsi="Times New Roman" w:eastAsia="宋体"/>
          <w:lang w:val="en-US" w:eastAsia="zh-CN"/>
        </w:rPr>
        <w:t>5.6.2 监测时间和频次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2021年</w:t>
      </w:r>
      <w:r>
        <w:rPr>
          <w:rFonts w:hint="eastAsia" w:ascii="Times New Roman" w:hAnsi="Times New Roman" w:eastAsia="宋体" w:cs="宋体"/>
          <w:color w:val="000000"/>
          <w:kern w:val="0"/>
          <w:sz w:val="24"/>
          <w:szCs w:val="24"/>
          <w:lang w:val="en-US" w:eastAsia="zh-CN" w:bidi="ar"/>
        </w:rPr>
        <w:t>05月25日监测</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天、采样</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firstLine="482" w:firstLineChars="200"/>
        <w:jc w:val="center"/>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表5.6-1  土壤环境质量现状监测一览表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1689"/>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测点位置</w:t>
            </w:r>
          </w:p>
        </w:tc>
        <w:tc>
          <w:tcPr>
            <w:tcW w:w="171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取样类型</w:t>
            </w:r>
          </w:p>
        </w:tc>
        <w:tc>
          <w:tcPr>
            <w:tcW w:w="5738"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95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厂区生产车间</w:t>
            </w:r>
          </w:p>
        </w:tc>
        <w:tc>
          <w:tcPr>
            <w:tcW w:w="171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表层采样</w:t>
            </w:r>
          </w:p>
        </w:tc>
        <w:tc>
          <w:tcPr>
            <w:tcW w:w="5738" w:type="dxa"/>
            <w:vMerge w:val="restart"/>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default"/>
                <w:sz w:val="21"/>
                <w:szCs w:val="21"/>
                <w:lang w:val="en-US" w:eastAsia="zh-CN"/>
              </w:rPr>
              <w:t>pH</w:t>
            </w:r>
            <w:r>
              <w:rPr>
                <w:rFonts w:hint="eastAsia"/>
                <w:sz w:val="21"/>
                <w:szCs w:val="21"/>
                <w:lang w:val="en-US" w:eastAsia="zh-CN"/>
              </w:rPr>
              <w:t>、锌、砷、镉、铬（六价）、铜、铅、汞、镍、四氯化碳、氯仿、氯甲烷、</w:t>
            </w:r>
            <w:r>
              <w:rPr>
                <w:rFonts w:hint="default"/>
                <w:sz w:val="21"/>
                <w:szCs w:val="21"/>
                <w:lang w:val="en-US" w:eastAsia="zh-CN"/>
              </w:rPr>
              <w:t>1,1-</w:t>
            </w:r>
            <w:r>
              <w:rPr>
                <w:rFonts w:hint="eastAsia"/>
                <w:sz w:val="21"/>
                <w:szCs w:val="21"/>
                <w:lang w:val="en-US" w:eastAsia="zh-CN"/>
              </w:rPr>
              <w:t>二氯乙烷、</w:t>
            </w:r>
            <w:r>
              <w:rPr>
                <w:rFonts w:hint="default"/>
                <w:sz w:val="21"/>
                <w:szCs w:val="21"/>
                <w:lang w:val="en-US" w:eastAsia="zh-CN"/>
              </w:rPr>
              <w:t>1,2-</w:t>
            </w:r>
            <w:r>
              <w:rPr>
                <w:rFonts w:hint="eastAsia"/>
                <w:sz w:val="21"/>
                <w:szCs w:val="21"/>
                <w:lang w:val="en-US" w:eastAsia="zh-CN"/>
              </w:rPr>
              <w:t>二氯乙烷、</w:t>
            </w:r>
            <w:r>
              <w:rPr>
                <w:rFonts w:hint="default"/>
                <w:sz w:val="21"/>
                <w:szCs w:val="21"/>
                <w:lang w:val="en-US" w:eastAsia="zh-CN"/>
              </w:rPr>
              <w:t>1,1-</w:t>
            </w:r>
            <w:r>
              <w:rPr>
                <w:rFonts w:hint="eastAsia"/>
                <w:sz w:val="21"/>
                <w:szCs w:val="21"/>
                <w:lang w:val="en-US" w:eastAsia="zh-CN"/>
              </w:rPr>
              <w:t>二氯乙烯、顺</w:t>
            </w:r>
            <w:r>
              <w:rPr>
                <w:rFonts w:hint="default"/>
                <w:sz w:val="21"/>
                <w:szCs w:val="21"/>
                <w:lang w:val="en-US" w:eastAsia="zh-CN"/>
              </w:rPr>
              <w:t>-1,2-</w:t>
            </w:r>
            <w:r>
              <w:rPr>
                <w:rFonts w:hint="eastAsia"/>
                <w:sz w:val="21"/>
                <w:szCs w:val="21"/>
                <w:lang w:val="en-US" w:eastAsia="zh-CN"/>
              </w:rPr>
              <w:t>二氯乙烯、反</w:t>
            </w:r>
            <w:r>
              <w:rPr>
                <w:rFonts w:hint="default"/>
                <w:sz w:val="21"/>
                <w:szCs w:val="21"/>
                <w:lang w:val="en-US" w:eastAsia="zh-CN"/>
              </w:rPr>
              <w:t>-1,2-</w:t>
            </w:r>
            <w:r>
              <w:rPr>
                <w:rFonts w:hint="eastAsia"/>
                <w:sz w:val="21"/>
                <w:szCs w:val="21"/>
                <w:lang w:val="en-US" w:eastAsia="zh-CN"/>
              </w:rPr>
              <w:t>二氯乙烯、二氯甲烷、</w:t>
            </w:r>
            <w:r>
              <w:rPr>
                <w:rFonts w:hint="default"/>
                <w:sz w:val="21"/>
                <w:szCs w:val="21"/>
                <w:lang w:val="en-US" w:eastAsia="zh-CN"/>
              </w:rPr>
              <w:t>1,2-</w:t>
            </w:r>
            <w:r>
              <w:rPr>
                <w:rFonts w:hint="eastAsia"/>
                <w:sz w:val="21"/>
                <w:szCs w:val="21"/>
                <w:lang w:val="en-US" w:eastAsia="zh-CN"/>
              </w:rPr>
              <w:t>二氯丙烷、</w:t>
            </w:r>
            <w:r>
              <w:rPr>
                <w:rFonts w:hint="default"/>
                <w:sz w:val="21"/>
                <w:szCs w:val="21"/>
                <w:lang w:val="en-US" w:eastAsia="zh-CN"/>
              </w:rPr>
              <w:t>1,1,1,2-</w:t>
            </w:r>
            <w:r>
              <w:rPr>
                <w:rFonts w:hint="eastAsia"/>
                <w:sz w:val="21"/>
                <w:szCs w:val="21"/>
                <w:lang w:val="en-US" w:eastAsia="zh-CN"/>
              </w:rPr>
              <w:t>四氯乙烷、</w:t>
            </w:r>
            <w:r>
              <w:rPr>
                <w:rFonts w:hint="default"/>
                <w:sz w:val="21"/>
                <w:szCs w:val="21"/>
                <w:lang w:val="en-US" w:eastAsia="zh-CN"/>
              </w:rPr>
              <w:t>1,1,2,2-</w:t>
            </w:r>
            <w:r>
              <w:rPr>
                <w:rFonts w:hint="eastAsia"/>
                <w:sz w:val="21"/>
                <w:szCs w:val="21"/>
                <w:lang w:val="en-US" w:eastAsia="zh-CN"/>
              </w:rPr>
              <w:t>四氯乙烷、四氯乙烯、</w:t>
            </w:r>
            <w:r>
              <w:rPr>
                <w:rFonts w:hint="default"/>
                <w:sz w:val="21"/>
                <w:szCs w:val="21"/>
                <w:lang w:val="en-US" w:eastAsia="zh-CN"/>
              </w:rPr>
              <w:t>1,1,1-</w:t>
            </w:r>
            <w:r>
              <w:rPr>
                <w:rFonts w:hint="eastAsia"/>
                <w:sz w:val="21"/>
                <w:szCs w:val="21"/>
                <w:lang w:val="en-US" w:eastAsia="zh-CN"/>
              </w:rPr>
              <w:t>三氯乙烷、</w:t>
            </w:r>
            <w:r>
              <w:rPr>
                <w:rFonts w:hint="default"/>
                <w:sz w:val="21"/>
                <w:szCs w:val="21"/>
                <w:lang w:val="en-US" w:eastAsia="zh-CN"/>
              </w:rPr>
              <w:t>1,1,2-</w:t>
            </w:r>
            <w:r>
              <w:rPr>
                <w:rFonts w:hint="eastAsia"/>
                <w:sz w:val="21"/>
                <w:szCs w:val="21"/>
                <w:lang w:val="en-US" w:eastAsia="zh-CN"/>
              </w:rPr>
              <w:t>三氯乙烷、三氯乙烯、</w:t>
            </w:r>
            <w:r>
              <w:rPr>
                <w:rFonts w:hint="default"/>
                <w:sz w:val="21"/>
                <w:szCs w:val="21"/>
                <w:lang w:val="en-US" w:eastAsia="zh-CN"/>
              </w:rPr>
              <w:t>1,2,3-</w:t>
            </w:r>
            <w:r>
              <w:rPr>
                <w:rFonts w:hint="eastAsia"/>
                <w:sz w:val="21"/>
                <w:szCs w:val="21"/>
                <w:lang w:val="en-US" w:eastAsia="zh-CN"/>
              </w:rPr>
              <w:t>三氯丙烷、氯乙烯、苯、氯苯、</w:t>
            </w:r>
            <w:r>
              <w:rPr>
                <w:rFonts w:hint="default"/>
                <w:sz w:val="21"/>
                <w:szCs w:val="21"/>
                <w:lang w:val="en-US" w:eastAsia="zh-CN"/>
              </w:rPr>
              <w:t>1,2-</w:t>
            </w:r>
            <w:r>
              <w:rPr>
                <w:rFonts w:hint="eastAsia"/>
                <w:sz w:val="21"/>
                <w:szCs w:val="21"/>
                <w:lang w:val="en-US" w:eastAsia="zh-CN"/>
              </w:rPr>
              <w:t>二氯苯、</w:t>
            </w:r>
            <w:r>
              <w:rPr>
                <w:rFonts w:hint="default"/>
                <w:sz w:val="21"/>
                <w:szCs w:val="21"/>
                <w:lang w:val="en-US" w:eastAsia="zh-CN"/>
              </w:rPr>
              <w:t>1,4-</w:t>
            </w:r>
            <w:r>
              <w:rPr>
                <w:rFonts w:hint="eastAsia"/>
                <w:sz w:val="21"/>
                <w:szCs w:val="21"/>
                <w:lang w:val="en-US" w:eastAsia="zh-CN"/>
              </w:rPr>
              <w:t>二氯苯、乙苯、苯乙烯、氨、间二氨</w:t>
            </w:r>
            <w:r>
              <w:rPr>
                <w:rFonts w:hint="default"/>
                <w:sz w:val="21"/>
                <w:szCs w:val="21"/>
                <w:lang w:val="en-US" w:eastAsia="zh-CN"/>
              </w:rPr>
              <w:t>+</w:t>
            </w:r>
            <w:r>
              <w:rPr>
                <w:rFonts w:hint="eastAsia"/>
                <w:sz w:val="21"/>
                <w:szCs w:val="21"/>
                <w:lang w:val="en-US" w:eastAsia="zh-CN"/>
              </w:rPr>
              <w:t>对二氨、邻二氨、硝基苯、苯胺、</w:t>
            </w:r>
            <w:r>
              <w:rPr>
                <w:rFonts w:hint="default"/>
                <w:sz w:val="21"/>
                <w:szCs w:val="21"/>
                <w:lang w:val="en-US" w:eastAsia="zh-CN"/>
              </w:rPr>
              <w:t>2-</w:t>
            </w:r>
            <w:r>
              <w:rPr>
                <w:rFonts w:hint="eastAsia"/>
                <w:sz w:val="21"/>
                <w:szCs w:val="21"/>
                <w:lang w:val="en-US" w:eastAsia="zh-CN"/>
              </w:rPr>
              <w:t>氯酚、苯并〔</w:t>
            </w:r>
            <w:r>
              <w:rPr>
                <w:rFonts w:hint="default"/>
                <w:sz w:val="21"/>
                <w:szCs w:val="21"/>
                <w:lang w:val="en-US" w:eastAsia="zh-CN"/>
              </w:rPr>
              <w:t>a</w:t>
            </w:r>
            <w:r>
              <w:rPr>
                <w:rFonts w:hint="eastAsia"/>
                <w:sz w:val="21"/>
                <w:szCs w:val="21"/>
                <w:lang w:val="en-US" w:eastAsia="zh-CN"/>
              </w:rPr>
              <w:t>〕蔥、苯并〔</w:t>
            </w:r>
            <w:r>
              <w:rPr>
                <w:rFonts w:hint="default"/>
                <w:sz w:val="21"/>
                <w:szCs w:val="21"/>
                <w:lang w:val="en-US" w:eastAsia="zh-CN"/>
              </w:rPr>
              <w:t>a</w:t>
            </w:r>
            <w:r>
              <w:rPr>
                <w:rFonts w:hint="eastAsia"/>
                <w:sz w:val="21"/>
                <w:szCs w:val="21"/>
                <w:lang w:val="en-US" w:eastAsia="zh-CN"/>
              </w:rPr>
              <w:t>〕芘、苯并〔</w:t>
            </w:r>
            <w:r>
              <w:rPr>
                <w:rFonts w:hint="default"/>
                <w:sz w:val="21"/>
                <w:szCs w:val="21"/>
                <w:lang w:val="en-US" w:eastAsia="zh-CN"/>
              </w:rPr>
              <w:t>b</w:t>
            </w:r>
            <w:r>
              <w:rPr>
                <w:rFonts w:hint="eastAsia"/>
                <w:sz w:val="21"/>
                <w:szCs w:val="21"/>
                <w:lang w:val="en-US" w:eastAsia="zh-CN"/>
              </w:rPr>
              <w:t>〕荧蔥、苯并〔</w:t>
            </w:r>
            <w:r>
              <w:rPr>
                <w:rFonts w:hint="default"/>
                <w:sz w:val="21"/>
                <w:szCs w:val="21"/>
                <w:lang w:val="en-US" w:eastAsia="zh-CN"/>
              </w:rPr>
              <w:t>k</w:t>
            </w:r>
            <w:r>
              <w:rPr>
                <w:rFonts w:hint="eastAsia"/>
                <w:sz w:val="21"/>
                <w:szCs w:val="21"/>
                <w:lang w:val="en-US" w:eastAsia="zh-CN"/>
              </w:rPr>
              <w:t>〕荧蔥、䓛、二苯并〔</w:t>
            </w:r>
            <w:r>
              <w:rPr>
                <w:rFonts w:hint="default"/>
                <w:sz w:val="21"/>
                <w:szCs w:val="21"/>
                <w:lang w:val="en-US" w:eastAsia="zh-CN"/>
              </w:rPr>
              <w:t>a,h</w:t>
            </w:r>
            <w:r>
              <w:rPr>
                <w:rFonts w:hint="eastAsia"/>
                <w:sz w:val="21"/>
                <w:szCs w:val="21"/>
                <w:lang w:val="en-US" w:eastAsia="zh-CN"/>
              </w:rPr>
              <w:t>〕蔥、茚并〔</w:t>
            </w:r>
            <w:r>
              <w:rPr>
                <w:rFonts w:hint="default"/>
                <w:sz w:val="21"/>
                <w:szCs w:val="21"/>
                <w:lang w:val="en-US" w:eastAsia="zh-CN"/>
              </w:rPr>
              <w:t>1,2,3-cd</w:t>
            </w:r>
            <w:r>
              <w:rPr>
                <w:rFonts w:hint="eastAsia"/>
                <w:sz w:val="21"/>
                <w:szCs w:val="21"/>
                <w:lang w:val="en-US" w:eastAsia="zh-CN"/>
              </w:rPr>
              <w:t>〕芘、萘</w:t>
            </w:r>
            <w:r>
              <w:rPr>
                <w:rFonts w:hint="default"/>
                <w:sz w:val="21"/>
                <w:szCs w:val="21"/>
                <w:lang w:val="en-US" w:eastAsia="zh-CN"/>
              </w:rPr>
              <w:t>共</w:t>
            </w:r>
            <w:r>
              <w:rPr>
                <w:rFonts w:hint="eastAsia"/>
                <w:sz w:val="21"/>
                <w:szCs w:val="21"/>
                <w:lang w:val="en-US" w:eastAsia="zh-CN"/>
              </w:rPr>
              <w:t>47</w:t>
            </w:r>
            <w:r>
              <w:rPr>
                <w:rFonts w:hint="default"/>
                <w:sz w:val="21"/>
                <w:szCs w:val="21"/>
                <w:lang w:val="en-US" w:eastAsia="zh-CN"/>
              </w:rPr>
              <w:t>项</w:t>
            </w:r>
            <w:r>
              <w:rPr>
                <w:rFonts w:hint="eastAsia"/>
                <w:sz w:val="21"/>
                <w:szCs w:val="21"/>
                <w:lang w:val="en-US" w:eastAsia="zh-CN"/>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95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危废暂存间</w:t>
            </w:r>
          </w:p>
        </w:tc>
        <w:tc>
          <w:tcPr>
            <w:tcW w:w="171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表层采样</w:t>
            </w:r>
          </w:p>
        </w:tc>
        <w:tc>
          <w:tcPr>
            <w:tcW w:w="5738" w:type="dxa"/>
            <w:vMerge w:val="continue"/>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vertAlign w:val="baseline"/>
                <w:lang w:val="en-US" w:eastAsia="zh-CN"/>
              </w:rPr>
              <w:t>原料仓库</w:t>
            </w:r>
          </w:p>
        </w:tc>
        <w:tc>
          <w:tcPr>
            <w:tcW w:w="1710" w:type="dxa"/>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表层采样</w:t>
            </w:r>
          </w:p>
        </w:tc>
        <w:tc>
          <w:tcPr>
            <w:tcW w:w="5738" w:type="dxa"/>
            <w:vMerge w:val="continue"/>
            <w:vAlign w:val="center"/>
          </w:tcPr>
          <w:p>
            <w:pPr>
              <w:pStyle w:val="30"/>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r>
    </w:tbl>
    <w:p>
      <w:pPr>
        <w:pStyle w:val="4"/>
        <w:keepNext w:val="0"/>
        <w:keepLines w:val="0"/>
        <w:pageBreakBefore w:val="0"/>
        <w:kinsoku/>
        <w:wordWrap/>
        <w:overflowPunct/>
        <w:topLinePunct w:val="0"/>
        <w:autoSpaceDE w:val="0"/>
        <w:autoSpaceDN w:val="0"/>
        <w:bidi w:val="0"/>
        <w:adjustRightInd/>
        <w:snapToGrid/>
        <w:spacing w:line="360" w:lineRule="auto"/>
        <w:ind w:left="0" w:firstLine="562"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5.6.3监测因子分析方法</w:t>
      </w:r>
    </w:p>
    <w:p>
      <w:pPr>
        <w:pStyle w:val="10"/>
        <w:keepNext w:val="0"/>
        <w:keepLines w:val="0"/>
        <w:pageBreakBefore w:val="0"/>
        <w:widowControl w:val="0"/>
        <w:tabs>
          <w:tab w:val="left" w:pos="2361"/>
        </w:tabs>
        <w:kinsoku/>
        <w:wordWrap/>
        <w:overflowPunct/>
        <w:topLinePunct w:val="0"/>
        <w:autoSpaceDE w:val="0"/>
        <w:autoSpaceDN w:val="0"/>
        <w:bidi w:val="0"/>
        <w:adjustRightInd/>
        <w:snapToGrid/>
        <w:spacing w:before="0" w:after="0" w:line="360" w:lineRule="auto"/>
        <w:ind w:left="0"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土壤各监测因子的分析方法见表5.6-2。</w:t>
      </w:r>
    </w:p>
    <w:p>
      <w:pPr>
        <w:pStyle w:val="10"/>
        <w:keepNext w:val="0"/>
        <w:keepLines w:val="0"/>
        <w:pageBreakBefore w:val="0"/>
        <w:widowControl w:val="0"/>
        <w:tabs>
          <w:tab w:val="left" w:pos="2361"/>
        </w:tabs>
        <w:kinsoku/>
        <w:wordWrap/>
        <w:overflowPunct/>
        <w:topLinePunct w:val="0"/>
        <w:autoSpaceDE w:val="0"/>
        <w:autoSpaceDN w:val="0"/>
        <w:bidi w:val="0"/>
        <w:adjustRightInd/>
        <w:snapToGrid/>
        <w:spacing w:before="0" w:after="0" w:line="360" w:lineRule="auto"/>
        <w:ind w:left="0" w:firstLine="482" w:firstLineChars="200"/>
        <w:jc w:val="center"/>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表5.6-2  土壤各监测因子分析方法一览表</w:t>
      </w:r>
    </w:p>
    <w:tbl>
      <w:tblPr>
        <w:tblStyle w:val="21"/>
        <w:tblpPr w:leftFromText="180" w:rightFromText="180" w:vertAnchor="text" w:horzAnchor="page" w:tblpXSpec="center" w:tblpY="242"/>
        <w:tblOverlap w:val="never"/>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1"/>
        <w:gridCol w:w="866"/>
        <w:gridCol w:w="3722"/>
        <w:gridCol w:w="3030"/>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597" w:type="dxa"/>
            <w:vAlign w:val="center"/>
          </w:tcPr>
          <w:p>
            <w:pPr>
              <w:pStyle w:val="30"/>
              <w:bidi w:val="0"/>
              <w:rPr>
                <w:rFonts w:hint="eastAsia" w:ascii="Times New Roman" w:hAnsi="Times New Roman"/>
              </w:rPr>
            </w:pPr>
            <w:r>
              <w:rPr>
                <w:rFonts w:hint="eastAsia" w:ascii="Times New Roman" w:hAnsi="Times New Roman"/>
              </w:rPr>
              <w:t>检测</w:t>
            </w:r>
          </w:p>
          <w:p>
            <w:pPr>
              <w:pStyle w:val="30"/>
              <w:bidi w:val="0"/>
              <w:rPr>
                <w:rFonts w:hint="eastAsia" w:ascii="Times New Roman" w:hAnsi="Times New Roman"/>
              </w:rPr>
            </w:pPr>
            <w:r>
              <w:rPr>
                <w:rFonts w:hint="eastAsia" w:ascii="Times New Roman" w:hAnsi="Times New Roman"/>
              </w:rPr>
              <w:t>类别</w:t>
            </w:r>
          </w:p>
        </w:tc>
        <w:tc>
          <w:tcPr>
            <w:tcW w:w="876" w:type="dxa"/>
            <w:vAlign w:val="center"/>
          </w:tcPr>
          <w:p>
            <w:pPr>
              <w:pStyle w:val="30"/>
              <w:bidi w:val="0"/>
              <w:rPr>
                <w:rFonts w:hint="eastAsia" w:ascii="Times New Roman" w:hAnsi="Times New Roman"/>
              </w:rPr>
            </w:pPr>
            <w:r>
              <w:rPr>
                <w:rFonts w:hint="eastAsia" w:ascii="Times New Roman" w:hAnsi="Times New Roman"/>
              </w:rPr>
              <w:t>检测项目</w:t>
            </w:r>
          </w:p>
        </w:tc>
        <w:tc>
          <w:tcPr>
            <w:tcW w:w="3767" w:type="dxa"/>
            <w:vAlign w:val="center"/>
          </w:tcPr>
          <w:p>
            <w:pPr>
              <w:pStyle w:val="30"/>
              <w:bidi w:val="0"/>
              <w:rPr>
                <w:rFonts w:ascii="Times New Roman" w:hAnsi="Times New Roman"/>
              </w:rPr>
            </w:pPr>
            <w:r>
              <w:rPr>
                <w:rFonts w:hint="eastAsia" w:ascii="Times New Roman" w:hAnsi="Times New Roman"/>
              </w:rPr>
              <w:t>检测标准</w:t>
            </w:r>
            <w:r>
              <w:rPr>
                <w:rFonts w:ascii="Times New Roman" w:hAnsi="Times New Roman"/>
              </w:rPr>
              <w:t>(</w:t>
            </w:r>
            <w:r>
              <w:rPr>
                <w:rFonts w:hint="eastAsia" w:ascii="Times New Roman" w:hAnsi="Times New Roman"/>
              </w:rPr>
              <w:t>方法</w:t>
            </w:r>
            <w:r>
              <w:rPr>
                <w:rFonts w:ascii="Times New Roman" w:hAnsi="Times New Roman"/>
              </w:rPr>
              <w:t>)</w:t>
            </w:r>
          </w:p>
        </w:tc>
        <w:tc>
          <w:tcPr>
            <w:tcW w:w="3067" w:type="dxa"/>
            <w:vAlign w:val="center"/>
          </w:tcPr>
          <w:p>
            <w:pPr>
              <w:pStyle w:val="30"/>
              <w:bidi w:val="0"/>
              <w:rPr>
                <w:rFonts w:hint="eastAsia" w:ascii="Times New Roman" w:hAnsi="Times New Roman"/>
              </w:rPr>
            </w:pPr>
            <w:r>
              <w:rPr>
                <w:rFonts w:hint="eastAsia" w:ascii="Times New Roman" w:hAnsi="Times New Roman"/>
              </w:rPr>
              <w:t>检测仪器</w:t>
            </w:r>
          </w:p>
        </w:tc>
        <w:tc>
          <w:tcPr>
            <w:tcW w:w="976" w:type="dxa"/>
            <w:vAlign w:val="center"/>
          </w:tcPr>
          <w:p>
            <w:pPr>
              <w:pStyle w:val="30"/>
              <w:bidi w:val="0"/>
              <w:rPr>
                <w:rFonts w:hint="eastAsia" w:ascii="Times New Roman" w:hAnsi="Times New Roman"/>
              </w:rPr>
            </w:pPr>
            <w:r>
              <w:rPr>
                <w:rFonts w:hint="eastAsia" w:ascii="Times New Roman" w:hAnsi="Times New Roman"/>
              </w:rPr>
              <w:t>检出限</w:t>
            </w:r>
            <w:r>
              <w:rPr>
                <w:rFonts w:ascii="Times New Roman" w:hAnsi="Times New Roman"/>
              </w:rPr>
              <w:t>/</w:t>
            </w:r>
            <w:r>
              <w:rPr>
                <w:rFonts w:hint="eastAsia" w:ascii="Times New Roman" w:hAnsi="Times New Roman"/>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97" w:type="dxa"/>
            <w:vMerge w:val="restart"/>
            <w:vAlign w:val="center"/>
          </w:tcPr>
          <w:p>
            <w:pPr>
              <w:pStyle w:val="30"/>
              <w:bidi w:val="0"/>
              <w:rPr>
                <w:rFonts w:hint="eastAsia" w:ascii="Times New Roman" w:hAnsi="Times New Roman"/>
              </w:rPr>
            </w:pPr>
            <w:r>
              <w:rPr>
                <w:rFonts w:hint="eastAsia" w:ascii="Times New Roman" w:hAnsi="Times New Roman"/>
              </w:rPr>
              <w:t>土壤</w:t>
            </w:r>
          </w:p>
        </w:tc>
        <w:tc>
          <w:tcPr>
            <w:tcW w:w="876" w:type="dxa"/>
            <w:vAlign w:val="center"/>
          </w:tcPr>
          <w:p>
            <w:pPr>
              <w:pStyle w:val="30"/>
              <w:bidi w:val="0"/>
              <w:rPr>
                <w:rFonts w:hint="eastAsia" w:ascii="Times New Roman" w:hAnsi="Times New Roman"/>
              </w:rPr>
            </w:pPr>
            <w:r>
              <w:rPr>
                <w:rFonts w:ascii="Times New Roman" w:hAnsi="Times New Roman"/>
              </w:rPr>
              <w:t>pH</w:t>
            </w:r>
            <w:r>
              <w:rPr>
                <w:rFonts w:hint="eastAsia" w:ascii="Times New Roman" w:hAnsi="Times New Roman"/>
              </w:rPr>
              <w:t>值</w:t>
            </w:r>
          </w:p>
          <w:p>
            <w:pPr>
              <w:pStyle w:val="30"/>
              <w:bidi w:val="0"/>
              <w:rPr>
                <w:rFonts w:ascii="Times New Roman" w:hAnsi="Times New Roman"/>
              </w:rPr>
            </w:pPr>
            <w:r>
              <w:rPr>
                <w:rFonts w:ascii="Times New Roman" w:hAnsi="Times New Roman"/>
              </w:rPr>
              <w:t>(</w:t>
            </w:r>
            <w:r>
              <w:rPr>
                <w:rFonts w:hint="eastAsia" w:ascii="Times New Roman" w:hAnsi="Times New Roman"/>
              </w:rPr>
              <w:t>无量纲</w:t>
            </w:r>
            <w:r>
              <w:rPr>
                <w:rFonts w:ascii="Times New Roman" w:hAnsi="Times New Roman"/>
              </w:rPr>
              <w:t>)</w:t>
            </w:r>
          </w:p>
        </w:tc>
        <w:tc>
          <w:tcPr>
            <w:tcW w:w="3767" w:type="dxa"/>
            <w:vAlign w:val="center"/>
          </w:tcPr>
          <w:p>
            <w:pPr>
              <w:pStyle w:val="30"/>
              <w:bidi w:val="0"/>
              <w:rPr>
                <w:rFonts w:hint="eastAsia" w:ascii="Times New Roman" w:hAnsi="Times New Roman"/>
              </w:rPr>
            </w:pPr>
            <w:r>
              <w:rPr>
                <w:rFonts w:ascii="Times New Roman" w:hAnsi="Times New Roman"/>
              </w:rPr>
              <w:t xml:space="preserve">HJ 962-2018 </w:t>
            </w:r>
            <w:r>
              <w:rPr>
                <w:rFonts w:hint="eastAsia" w:ascii="Times New Roman" w:hAnsi="Times New Roman"/>
              </w:rPr>
              <w:t>土壤</w:t>
            </w:r>
            <w:r>
              <w:rPr>
                <w:rFonts w:ascii="Times New Roman" w:hAnsi="Times New Roman"/>
              </w:rPr>
              <w:t>pH</w:t>
            </w:r>
            <w:r>
              <w:rPr>
                <w:rFonts w:hint="eastAsia" w:ascii="Times New Roman" w:hAnsi="Times New Roman"/>
              </w:rPr>
              <w:t>值的测定</w:t>
            </w:r>
            <w:r>
              <w:rPr>
                <w:rFonts w:hint="eastAsia" w:ascii="Times New Roman" w:hAnsi="Times New Roman"/>
                <w:lang w:val="en-US" w:eastAsia="zh-CN"/>
              </w:rPr>
              <w:t xml:space="preserve"> </w:t>
            </w:r>
            <w:r>
              <w:rPr>
                <w:rFonts w:hint="eastAsia" w:ascii="Times New Roman" w:hAnsi="Times New Roman"/>
              </w:rPr>
              <w:t>电位法</w:t>
            </w:r>
          </w:p>
        </w:tc>
        <w:tc>
          <w:tcPr>
            <w:tcW w:w="3067" w:type="dxa"/>
            <w:vAlign w:val="center"/>
          </w:tcPr>
          <w:p>
            <w:pPr>
              <w:pStyle w:val="30"/>
              <w:bidi w:val="0"/>
              <w:rPr>
                <w:rFonts w:ascii="Times New Roman" w:hAnsi="Times New Roman"/>
                <w:lang w:val="zh-CN" w:eastAsia="zh-CN"/>
              </w:rPr>
            </w:pPr>
            <w:r>
              <w:rPr>
                <w:rFonts w:hint="eastAsia" w:ascii="Times New Roman" w:hAnsi="Times New Roman"/>
                <w:lang w:val="zh-CN" w:eastAsia="zh-CN"/>
              </w:rPr>
              <w:t>离子计</w:t>
            </w:r>
            <w:r>
              <w:rPr>
                <w:rFonts w:ascii="Times New Roman" w:hAnsi="Times New Roman"/>
                <w:lang w:val="zh-CN" w:eastAsia="zh-CN"/>
              </w:rPr>
              <w:t>PXS-270 GLLS-JC-054</w:t>
            </w:r>
          </w:p>
        </w:tc>
        <w:tc>
          <w:tcPr>
            <w:tcW w:w="976" w:type="dxa"/>
            <w:vAlign w:val="center"/>
          </w:tcPr>
          <w:p>
            <w:pPr>
              <w:pStyle w:val="30"/>
              <w:bidi w:val="0"/>
              <w:rPr>
                <w:rFonts w:ascii="Times New Roman" w:hAnsi="Times New Roman"/>
              </w:rPr>
            </w:pP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97" w:type="dxa"/>
            <w:vMerge w:val="continue"/>
            <w:vAlign w:val="center"/>
          </w:tcPr>
          <w:p>
            <w:pPr>
              <w:pStyle w:val="30"/>
              <w:bidi w:val="0"/>
              <w:rPr>
                <w:rFonts w:hint="eastAsia" w:ascii="Times New Roman" w:hAnsi="Times New Roman"/>
              </w:rPr>
            </w:pPr>
          </w:p>
        </w:tc>
        <w:tc>
          <w:tcPr>
            <w:tcW w:w="876" w:type="dxa"/>
            <w:vAlign w:val="center"/>
          </w:tcPr>
          <w:p>
            <w:pPr>
              <w:pStyle w:val="30"/>
              <w:bidi w:val="0"/>
              <w:rPr>
                <w:rFonts w:hint="default" w:ascii="Times New Roman" w:hAnsi="Times New Roman"/>
                <w:lang w:val="en-US" w:eastAsia="zh-CN"/>
              </w:rPr>
            </w:pPr>
            <w:r>
              <w:rPr>
                <w:rFonts w:hint="eastAsia" w:ascii="Times New Roman" w:hAnsi="Times New Roman"/>
                <w:lang w:val="en-US" w:eastAsia="zh-CN"/>
              </w:rPr>
              <w:t>锌</w:t>
            </w:r>
          </w:p>
        </w:tc>
        <w:tc>
          <w:tcPr>
            <w:tcW w:w="3767" w:type="dxa"/>
            <w:vAlign w:val="center"/>
          </w:tcPr>
          <w:p>
            <w:pPr>
              <w:pStyle w:val="30"/>
              <w:bidi w:val="0"/>
              <w:rPr>
                <w:rFonts w:hint="eastAsia" w:ascii="Times New Roman" w:hAnsi="Times New Roman"/>
              </w:rPr>
            </w:pPr>
            <w:r>
              <w:rPr>
                <w:rFonts w:hint="default" w:ascii="Times New Roman" w:hAnsi="Times New Roman"/>
                <w:lang w:val="en-US" w:eastAsia="zh-CN"/>
              </w:rPr>
              <w:t>HJ 491-2019</w:t>
            </w:r>
            <w:r>
              <w:rPr>
                <w:rFonts w:hint="eastAsia" w:ascii="Times New Roman" w:hAnsi="Times New Roman"/>
                <w:lang w:val="en-US" w:eastAsia="zh-CN"/>
              </w:rPr>
              <w:t>土壤和沉积物 铜、锌、铅、镍、铬的测定 火焰原子 吸收分光光度法</w:t>
            </w:r>
          </w:p>
        </w:tc>
        <w:tc>
          <w:tcPr>
            <w:tcW w:w="3067" w:type="dxa"/>
            <w:vAlign w:val="center"/>
          </w:tcPr>
          <w:p>
            <w:pPr>
              <w:pStyle w:val="30"/>
              <w:bidi w:val="0"/>
              <w:rPr>
                <w:rFonts w:hint="eastAsia" w:ascii="Times New Roman" w:hAnsi="Times New Roman"/>
                <w:lang w:val="zh-CN" w:eastAsia="zh-CN"/>
              </w:rPr>
            </w:pPr>
            <w:r>
              <w:rPr>
                <w:rFonts w:hint="eastAsia" w:ascii="Times New Roman" w:hAnsi="Times New Roman"/>
                <w:lang w:val="en-US" w:eastAsia="zh-CN"/>
              </w:rPr>
              <w:t>火焰原子吸收分光光度计</w:t>
            </w:r>
            <w:r>
              <w:rPr>
                <w:rFonts w:hint="eastAsia"/>
                <w:lang w:val="en-US" w:eastAsia="zh-CN"/>
              </w:rPr>
              <w:t>\</w:t>
            </w:r>
            <w:r>
              <w:rPr>
                <w:rFonts w:hint="default" w:ascii="Times New Roman" w:hAnsi="Times New Roman"/>
                <w:lang w:val="en-US" w:eastAsia="zh-CN"/>
              </w:rPr>
              <w:t>Agilent280FS</w:t>
            </w:r>
            <w:r>
              <w:rPr>
                <w:rFonts w:hint="eastAsia"/>
                <w:lang w:val="en-US" w:eastAsia="zh-CN"/>
              </w:rPr>
              <w:t>\</w:t>
            </w:r>
            <w:r>
              <w:rPr>
                <w:rFonts w:hint="default" w:ascii="Times New Roman" w:hAnsi="Times New Roman"/>
                <w:lang w:val="en-US" w:eastAsia="zh-CN"/>
              </w:rPr>
              <w:t>GLLS-JC-163</w:t>
            </w:r>
          </w:p>
        </w:tc>
        <w:tc>
          <w:tcPr>
            <w:tcW w:w="976" w:type="dxa"/>
            <w:vAlign w:val="center"/>
          </w:tcPr>
          <w:p>
            <w:pPr>
              <w:pStyle w:val="30"/>
              <w:bidi w:val="0"/>
              <w:rPr>
                <w:rFonts w:ascii="Times New Roman" w:hAnsi="Times New Roman"/>
              </w:rPr>
            </w:pPr>
            <w:r>
              <w:rPr>
                <w:rFonts w:hint="default" w:ascii="Times New Roman" w:hAnsi="Times New Roman"/>
                <w:lang w:val="en-US" w:eastAsia="zh-CN"/>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砷</w:t>
            </w:r>
          </w:p>
        </w:tc>
        <w:tc>
          <w:tcPr>
            <w:tcW w:w="3767" w:type="dxa"/>
            <w:vAlign w:val="center"/>
          </w:tcPr>
          <w:p>
            <w:pPr>
              <w:pStyle w:val="30"/>
              <w:bidi w:val="0"/>
              <w:rPr>
                <w:rFonts w:hint="eastAsia" w:ascii="Times New Roman" w:hAnsi="Times New Roman"/>
              </w:rPr>
            </w:pPr>
            <w:r>
              <w:rPr>
                <w:rFonts w:ascii="Times New Roman" w:hAnsi="Times New Roman"/>
              </w:rPr>
              <w:t xml:space="preserve">GB/T 22105.2-2008 </w:t>
            </w:r>
            <w:r>
              <w:rPr>
                <w:rFonts w:hint="eastAsia" w:ascii="Times New Roman" w:hAnsi="Times New Roman"/>
              </w:rPr>
              <w:t>土壤质量 总汞、总砷、总铅的测定 原子荧法 第</w:t>
            </w:r>
            <w:r>
              <w:rPr>
                <w:rFonts w:ascii="Times New Roman" w:hAnsi="Times New Roman"/>
              </w:rPr>
              <w:t>2</w:t>
            </w:r>
            <w:r>
              <w:rPr>
                <w:rFonts w:hint="eastAsia" w:ascii="Times New Roman" w:hAnsi="Times New Roman"/>
              </w:rPr>
              <w:t>部分：土壤中总砷的测定</w:t>
            </w:r>
          </w:p>
        </w:tc>
        <w:tc>
          <w:tcPr>
            <w:tcW w:w="3067" w:type="dxa"/>
            <w:vAlign w:val="center"/>
          </w:tcPr>
          <w:p>
            <w:pPr>
              <w:pStyle w:val="30"/>
              <w:bidi w:val="0"/>
              <w:rPr>
                <w:rFonts w:ascii="Times New Roman" w:hAnsi="Times New Roman"/>
              </w:rPr>
            </w:pPr>
            <w:r>
              <w:rPr>
                <w:rFonts w:hint="eastAsia" w:ascii="Times New Roman" w:hAnsi="Times New Roman"/>
              </w:rPr>
              <w:t>原子荧光分光光度计</w:t>
            </w:r>
            <w:r>
              <w:rPr>
                <w:rFonts w:hint="eastAsia"/>
                <w:lang w:eastAsia="zh-CN"/>
              </w:rPr>
              <w:t>/</w:t>
            </w:r>
            <w:r>
              <w:rPr>
                <w:rFonts w:ascii="Times New Roman" w:hAnsi="Times New Roman"/>
              </w:rPr>
              <w:t>AFS-8510</w:t>
            </w:r>
            <w:r>
              <w:rPr>
                <w:rFonts w:hint="eastAsia"/>
                <w:lang w:eastAsia="zh-CN"/>
              </w:rPr>
              <w:t>/</w:t>
            </w:r>
            <w:r>
              <w:rPr>
                <w:rFonts w:ascii="Times New Roman" w:hAnsi="Times New Roman"/>
              </w:rPr>
              <w:t>GLLS-JC-181</w:t>
            </w:r>
          </w:p>
        </w:tc>
        <w:tc>
          <w:tcPr>
            <w:tcW w:w="976" w:type="dxa"/>
            <w:vAlign w:val="center"/>
          </w:tcPr>
          <w:p>
            <w:pPr>
              <w:pStyle w:val="30"/>
              <w:bidi w:val="0"/>
              <w:rPr>
                <w:rFonts w:ascii="Times New Roman" w:hAnsi="Times New Roman"/>
              </w:rPr>
            </w:pPr>
            <w:r>
              <w:rPr>
                <w:rFonts w:ascii="Times New Roman" w:hAnsi="Times New Roman"/>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镉</w:t>
            </w:r>
          </w:p>
        </w:tc>
        <w:tc>
          <w:tcPr>
            <w:tcW w:w="3767" w:type="dxa"/>
            <w:vAlign w:val="center"/>
          </w:tcPr>
          <w:p>
            <w:pPr>
              <w:pStyle w:val="30"/>
              <w:bidi w:val="0"/>
              <w:rPr>
                <w:rFonts w:hint="eastAsia" w:ascii="Times New Roman" w:hAnsi="Times New Roman"/>
              </w:rPr>
            </w:pPr>
            <w:r>
              <w:rPr>
                <w:rFonts w:ascii="Times New Roman" w:hAnsi="Times New Roman"/>
              </w:rPr>
              <w:t xml:space="preserve">GB/T 17141-1997 </w:t>
            </w:r>
            <w:r>
              <w:rPr>
                <w:rFonts w:hint="eastAsia" w:ascii="Times New Roman" w:hAnsi="Times New Roman"/>
              </w:rPr>
              <w:t>土壤质量 铅、镉的测定 石墨炉原子吸收分光光度法</w:t>
            </w:r>
          </w:p>
        </w:tc>
        <w:tc>
          <w:tcPr>
            <w:tcW w:w="3067" w:type="dxa"/>
            <w:vAlign w:val="center"/>
          </w:tcPr>
          <w:p>
            <w:pPr>
              <w:pStyle w:val="30"/>
              <w:bidi w:val="0"/>
              <w:rPr>
                <w:rFonts w:ascii="Times New Roman" w:hAnsi="Times New Roman"/>
              </w:rPr>
            </w:pPr>
            <w:r>
              <w:rPr>
                <w:rFonts w:hint="eastAsia" w:ascii="Times New Roman" w:hAnsi="Times New Roman"/>
              </w:rPr>
              <w:t>石墨炉原子吸收分光光度计</w:t>
            </w:r>
            <w:r>
              <w:rPr>
                <w:rFonts w:ascii="Times New Roman" w:hAnsi="Times New Roman"/>
              </w:rPr>
              <w:t>Agilent280Z/GLLS-JC-279</w:t>
            </w:r>
          </w:p>
        </w:tc>
        <w:tc>
          <w:tcPr>
            <w:tcW w:w="976" w:type="dxa"/>
            <w:vAlign w:val="center"/>
          </w:tcPr>
          <w:p>
            <w:pPr>
              <w:pStyle w:val="30"/>
              <w:bidi w:val="0"/>
              <w:rPr>
                <w:rFonts w:ascii="Times New Roman" w:hAnsi="Times New Roman"/>
              </w:rPr>
            </w:pPr>
            <w:r>
              <w:rPr>
                <w:rFonts w:ascii="Times New Roman" w:hAnsi="Times New Roman"/>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ascii="Times New Roman" w:hAnsi="Times New Roman"/>
              </w:rPr>
            </w:pPr>
            <w:r>
              <w:rPr>
                <w:rFonts w:hint="eastAsia" w:ascii="Times New Roman" w:hAnsi="Times New Roman"/>
              </w:rPr>
              <w:t>铬</w:t>
            </w:r>
            <w:r>
              <w:rPr>
                <w:rFonts w:ascii="Times New Roman" w:hAnsi="Times New Roman"/>
              </w:rPr>
              <w:t>(</w:t>
            </w:r>
            <w:r>
              <w:rPr>
                <w:rFonts w:hint="eastAsia" w:ascii="Times New Roman" w:hAnsi="Times New Roman"/>
              </w:rPr>
              <w:t>六价</w:t>
            </w:r>
            <w:r>
              <w:rPr>
                <w:rFonts w:ascii="Times New Roman" w:hAnsi="Times New Roman"/>
              </w:rPr>
              <w:t>)</w:t>
            </w:r>
          </w:p>
        </w:tc>
        <w:tc>
          <w:tcPr>
            <w:tcW w:w="3767" w:type="dxa"/>
            <w:vAlign w:val="center"/>
          </w:tcPr>
          <w:p>
            <w:pPr>
              <w:pStyle w:val="30"/>
              <w:bidi w:val="0"/>
              <w:rPr>
                <w:rFonts w:hint="eastAsia" w:ascii="Times New Roman" w:hAnsi="Times New Roman"/>
              </w:rPr>
            </w:pPr>
            <w:r>
              <w:rPr>
                <w:rFonts w:ascii="Times New Roman" w:hAnsi="Times New Roman"/>
              </w:rPr>
              <w:t xml:space="preserve">HJ 1082-2019 </w:t>
            </w:r>
            <w:r>
              <w:rPr>
                <w:rFonts w:hint="eastAsia" w:ascii="Times New Roman" w:hAnsi="Times New Roman"/>
              </w:rPr>
              <w:t>土壤和沉积物 六价铬的测定 碱溶液提取</w:t>
            </w:r>
            <w:r>
              <w:rPr>
                <w:rFonts w:ascii="Times New Roman" w:hAnsi="Times New Roman"/>
              </w:rPr>
              <w:t>-</w:t>
            </w:r>
            <w:r>
              <w:rPr>
                <w:rFonts w:hint="eastAsia" w:ascii="Times New Roman" w:hAnsi="Times New Roman"/>
              </w:rPr>
              <w:t>火焰原子吸收分光光度法</w:t>
            </w:r>
          </w:p>
        </w:tc>
        <w:tc>
          <w:tcPr>
            <w:tcW w:w="3067" w:type="dxa"/>
            <w:vAlign w:val="center"/>
          </w:tcPr>
          <w:p>
            <w:pPr>
              <w:pStyle w:val="30"/>
              <w:bidi w:val="0"/>
              <w:rPr>
                <w:rFonts w:ascii="Times New Roman" w:hAnsi="Times New Roman"/>
              </w:rPr>
            </w:pPr>
            <w:r>
              <w:rPr>
                <w:rFonts w:hint="eastAsia" w:ascii="Times New Roman" w:hAnsi="Times New Roman"/>
              </w:rPr>
              <w:t>火焰原子吸收分光光度计</w:t>
            </w:r>
            <w:r>
              <w:rPr>
                <w:rFonts w:hint="eastAsia"/>
                <w:lang w:eastAsia="zh-CN"/>
              </w:rPr>
              <w:t>\</w:t>
            </w:r>
            <w:r>
              <w:rPr>
                <w:rFonts w:ascii="Times New Roman" w:hAnsi="Times New Roman"/>
              </w:rPr>
              <w:t>Agilent 280FS</w:t>
            </w:r>
            <w:r>
              <w:rPr>
                <w:rFonts w:hint="eastAsia"/>
                <w:lang w:eastAsia="zh-CN"/>
              </w:rPr>
              <w:t>\</w:t>
            </w:r>
            <w:r>
              <w:rPr>
                <w:rFonts w:ascii="Times New Roman" w:hAnsi="Times New Roman"/>
              </w:rPr>
              <w:t>GLLS-JC-278</w:t>
            </w:r>
          </w:p>
        </w:tc>
        <w:tc>
          <w:tcPr>
            <w:tcW w:w="976" w:type="dxa"/>
            <w:vAlign w:val="center"/>
          </w:tcPr>
          <w:p>
            <w:pPr>
              <w:pStyle w:val="30"/>
              <w:bidi w:val="0"/>
              <w:rPr>
                <w:rFonts w:ascii="Times New Roman" w:hAnsi="Times New Roman"/>
              </w:rPr>
            </w:pPr>
            <w:r>
              <w:rPr>
                <w:rFonts w:ascii="Times New Roman" w:hAnsi="Times New Roman"/>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铜</w:t>
            </w:r>
          </w:p>
        </w:tc>
        <w:tc>
          <w:tcPr>
            <w:tcW w:w="3767" w:type="dxa"/>
            <w:vAlign w:val="center"/>
          </w:tcPr>
          <w:p>
            <w:pPr>
              <w:pStyle w:val="30"/>
              <w:bidi w:val="0"/>
              <w:rPr>
                <w:rFonts w:hint="eastAsia" w:ascii="Times New Roman" w:hAnsi="Times New Roman"/>
              </w:rPr>
            </w:pPr>
            <w:r>
              <w:rPr>
                <w:rFonts w:ascii="Times New Roman" w:hAnsi="Times New Roman"/>
              </w:rPr>
              <w:t xml:space="preserve">HJ 491-2019 </w:t>
            </w:r>
            <w:r>
              <w:rPr>
                <w:rFonts w:hint="eastAsia" w:ascii="Times New Roman" w:hAnsi="Times New Roman"/>
              </w:rPr>
              <w:t>土壤和沉积物 铜、锌、铅、镍、铬的测定 火焰原子吸收分光光度法</w:t>
            </w:r>
          </w:p>
        </w:tc>
        <w:tc>
          <w:tcPr>
            <w:tcW w:w="3067" w:type="dxa"/>
            <w:vAlign w:val="center"/>
          </w:tcPr>
          <w:p>
            <w:pPr>
              <w:pStyle w:val="30"/>
              <w:bidi w:val="0"/>
              <w:rPr>
                <w:rFonts w:ascii="Times New Roman" w:hAnsi="Times New Roman"/>
              </w:rPr>
            </w:pPr>
            <w:r>
              <w:rPr>
                <w:rFonts w:hint="eastAsia" w:ascii="Times New Roman" w:hAnsi="Times New Roman"/>
              </w:rPr>
              <w:t>火焰原子吸收分光</w:t>
            </w:r>
            <w:r>
              <w:rPr>
                <w:rFonts w:hint="eastAsia"/>
                <w:lang w:eastAsia="zh-CN"/>
              </w:rPr>
              <w:t>光度计\</w:t>
            </w:r>
            <w:r>
              <w:rPr>
                <w:rFonts w:ascii="Times New Roman" w:hAnsi="Times New Roman"/>
              </w:rPr>
              <w:t>Agilent280FS</w:t>
            </w:r>
            <w:r>
              <w:rPr>
                <w:rFonts w:hint="eastAsia"/>
                <w:lang w:eastAsia="zh-CN"/>
              </w:rPr>
              <w:t>\</w:t>
            </w:r>
            <w:r>
              <w:rPr>
                <w:rFonts w:ascii="Times New Roman" w:hAnsi="Times New Roman"/>
              </w:rPr>
              <w:t>GLLS-JC-163</w:t>
            </w:r>
          </w:p>
        </w:tc>
        <w:tc>
          <w:tcPr>
            <w:tcW w:w="976" w:type="dxa"/>
            <w:vAlign w:val="center"/>
          </w:tcPr>
          <w:p>
            <w:pPr>
              <w:pStyle w:val="30"/>
              <w:bidi w:val="0"/>
              <w:rPr>
                <w:rFonts w:ascii="Times New Roman" w:hAnsi="Times New Roman"/>
              </w:rPr>
            </w:pPr>
            <w:r>
              <w:rPr>
                <w:rFonts w:ascii="Times New Roman" w:hAnsi="Times New Roman"/>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铅</w:t>
            </w:r>
          </w:p>
        </w:tc>
        <w:tc>
          <w:tcPr>
            <w:tcW w:w="3767" w:type="dxa"/>
            <w:vAlign w:val="center"/>
          </w:tcPr>
          <w:p>
            <w:pPr>
              <w:pStyle w:val="30"/>
              <w:bidi w:val="0"/>
              <w:rPr>
                <w:rFonts w:hint="eastAsia" w:ascii="Times New Roman" w:hAnsi="Times New Roman"/>
              </w:rPr>
            </w:pPr>
            <w:r>
              <w:rPr>
                <w:rFonts w:ascii="Times New Roman" w:hAnsi="Times New Roman"/>
              </w:rPr>
              <w:t xml:space="preserve">GB/T 17141-1997 </w:t>
            </w:r>
            <w:r>
              <w:rPr>
                <w:rFonts w:hint="eastAsia" w:ascii="Times New Roman" w:hAnsi="Times New Roman"/>
              </w:rPr>
              <w:t>土壤质量 铅、镉的测定 石墨炉原子吸收分光光度法</w:t>
            </w:r>
          </w:p>
        </w:tc>
        <w:tc>
          <w:tcPr>
            <w:tcW w:w="3067" w:type="dxa"/>
            <w:vAlign w:val="center"/>
          </w:tcPr>
          <w:p>
            <w:pPr>
              <w:pStyle w:val="30"/>
              <w:bidi w:val="0"/>
              <w:rPr>
                <w:rFonts w:hint="eastAsia" w:ascii="Times New Roman" w:hAnsi="Times New Roman"/>
              </w:rPr>
            </w:pPr>
            <w:r>
              <w:rPr>
                <w:rFonts w:hint="eastAsia" w:ascii="Times New Roman" w:hAnsi="Times New Roman"/>
              </w:rPr>
              <w:t>石墨炉原子吸收分光光度计 Agilent 240Z/ GLLS-JC-132</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汞</w:t>
            </w:r>
          </w:p>
        </w:tc>
        <w:tc>
          <w:tcPr>
            <w:tcW w:w="3767" w:type="dxa"/>
            <w:vAlign w:val="center"/>
          </w:tcPr>
          <w:p>
            <w:pPr>
              <w:pStyle w:val="30"/>
              <w:bidi w:val="0"/>
              <w:rPr>
                <w:rFonts w:hint="eastAsia" w:ascii="Times New Roman" w:hAnsi="Times New Roman"/>
              </w:rPr>
            </w:pPr>
            <w:r>
              <w:rPr>
                <w:rFonts w:ascii="Times New Roman" w:hAnsi="Times New Roman"/>
              </w:rPr>
              <w:t xml:space="preserve">GB/T 22105.1-2008 </w:t>
            </w:r>
            <w:r>
              <w:rPr>
                <w:rFonts w:hint="eastAsia" w:ascii="Times New Roman" w:hAnsi="Times New Roman"/>
              </w:rPr>
              <w:t>土壤质量 总</w:t>
            </w:r>
          </w:p>
          <w:p>
            <w:pPr>
              <w:pStyle w:val="30"/>
              <w:bidi w:val="0"/>
              <w:rPr>
                <w:rFonts w:hint="eastAsia" w:ascii="Times New Roman" w:hAnsi="Times New Roman"/>
              </w:rPr>
            </w:pPr>
            <w:r>
              <w:rPr>
                <w:rFonts w:hint="eastAsia" w:ascii="Times New Roman" w:hAnsi="Times New Roman"/>
              </w:rPr>
              <w:t>汞、总砷、总铅的测定 原子荧光</w:t>
            </w:r>
          </w:p>
          <w:p>
            <w:pPr>
              <w:pStyle w:val="30"/>
              <w:bidi w:val="0"/>
              <w:rPr>
                <w:rFonts w:hint="eastAsia" w:ascii="Times New Roman" w:hAnsi="Times New Roman"/>
              </w:rPr>
            </w:pPr>
            <w:r>
              <w:rPr>
                <w:rFonts w:hint="eastAsia" w:ascii="Times New Roman" w:hAnsi="Times New Roman"/>
              </w:rPr>
              <w:t xml:space="preserve">法 第 </w:t>
            </w:r>
            <w:r>
              <w:rPr>
                <w:rFonts w:ascii="Times New Roman" w:hAnsi="Times New Roman"/>
              </w:rPr>
              <w:t xml:space="preserve">1 </w:t>
            </w:r>
            <w:r>
              <w:rPr>
                <w:rFonts w:hint="eastAsia" w:ascii="Times New Roman" w:hAnsi="Times New Roman"/>
              </w:rPr>
              <w:t>部分：土壤中总汞的测定</w:t>
            </w:r>
          </w:p>
        </w:tc>
        <w:tc>
          <w:tcPr>
            <w:tcW w:w="3067" w:type="dxa"/>
            <w:vAlign w:val="center"/>
          </w:tcPr>
          <w:p>
            <w:pPr>
              <w:pStyle w:val="30"/>
              <w:bidi w:val="0"/>
              <w:rPr>
                <w:rFonts w:hint="eastAsia" w:ascii="Times New Roman" w:hAnsi="Times New Roman"/>
              </w:rPr>
            </w:pPr>
            <w:r>
              <w:rPr>
                <w:rFonts w:hint="eastAsia" w:ascii="Times New Roman" w:hAnsi="Times New Roman"/>
              </w:rPr>
              <w:t>原子荧光分光光度计</w:t>
            </w:r>
            <w:r>
              <w:rPr>
                <w:rFonts w:hint="eastAsia"/>
                <w:lang w:eastAsia="zh-CN"/>
              </w:rPr>
              <w:t>/</w:t>
            </w:r>
            <w:r>
              <w:rPr>
                <w:rFonts w:hint="eastAsia" w:ascii="Times New Roman" w:hAnsi="Times New Roman"/>
              </w:rPr>
              <w:t>AFS-230E</w:t>
            </w:r>
            <w:r>
              <w:rPr>
                <w:rFonts w:hint="eastAsia"/>
                <w:lang w:eastAsia="zh-CN"/>
              </w:rPr>
              <w:t>/</w:t>
            </w:r>
            <w:r>
              <w:rPr>
                <w:rFonts w:hint="eastAsia" w:ascii="Times New Roman" w:hAnsi="Times New Roman"/>
              </w:rPr>
              <w:t>GLLS- JC-004</w:t>
            </w:r>
          </w:p>
        </w:tc>
        <w:tc>
          <w:tcPr>
            <w:tcW w:w="976" w:type="dxa"/>
            <w:vAlign w:val="center"/>
          </w:tcPr>
          <w:p>
            <w:pPr>
              <w:pStyle w:val="30"/>
              <w:bidi w:val="0"/>
              <w:rPr>
                <w:rFonts w:ascii="Times New Roman" w:hAnsi="Times New Roman"/>
              </w:rPr>
            </w:pPr>
            <w:r>
              <w:rPr>
                <w:rFonts w:ascii="Times New Roman" w:hAnsi="Times New Roman"/>
              </w:rPr>
              <w:t>0.002</w:t>
            </w:r>
          </w:p>
          <w:p>
            <w:pPr>
              <w:pStyle w:val="30"/>
              <w:bidi w:val="0"/>
              <w:rPr>
                <w:rFonts w:ascii="Times New Roman" w:hAnsi="Times New Roman"/>
              </w:rPr>
            </w:pPr>
            <w:r>
              <w:rPr>
                <w:rFonts w:ascii="Times New Roman" w:hAnsi="Times New Roma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镍</w:t>
            </w:r>
          </w:p>
        </w:tc>
        <w:tc>
          <w:tcPr>
            <w:tcW w:w="3767" w:type="dxa"/>
            <w:vAlign w:val="center"/>
          </w:tcPr>
          <w:p>
            <w:pPr>
              <w:pStyle w:val="30"/>
              <w:bidi w:val="0"/>
              <w:rPr>
                <w:rFonts w:hint="eastAsia" w:ascii="Times New Roman" w:hAnsi="Times New Roman"/>
              </w:rPr>
            </w:pPr>
            <w:r>
              <w:rPr>
                <w:rFonts w:ascii="Times New Roman" w:hAnsi="Times New Roman"/>
              </w:rPr>
              <w:t xml:space="preserve">HJ 491-2019 </w:t>
            </w:r>
            <w:r>
              <w:rPr>
                <w:rFonts w:hint="eastAsia" w:ascii="Times New Roman" w:hAnsi="Times New Roman"/>
              </w:rPr>
              <w:t>土壤和沉积物铜、锌、铅、镍、铬的测定 火焰原子吸收分光光度法</w:t>
            </w:r>
          </w:p>
        </w:tc>
        <w:tc>
          <w:tcPr>
            <w:tcW w:w="3067" w:type="dxa"/>
            <w:vAlign w:val="center"/>
          </w:tcPr>
          <w:p>
            <w:pPr>
              <w:pStyle w:val="30"/>
              <w:bidi w:val="0"/>
              <w:rPr>
                <w:rFonts w:hint="eastAsia" w:ascii="Times New Roman" w:hAnsi="Times New Roman"/>
              </w:rPr>
            </w:pPr>
            <w:r>
              <w:rPr>
                <w:rFonts w:hint="eastAsia" w:ascii="Times New Roman" w:hAnsi="Times New Roman"/>
              </w:rPr>
              <w:t>火焰原子吸收分光光度计</w:t>
            </w:r>
            <w:r>
              <w:rPr>
                <w:rFonts w:hint="eastAsia"/>
                <w:lang w:eastAsia="zh-CN"/>
              </w:rPr>
              <w:t>\</w:t>
            </w:r>
            <w:r>
              <w:rPr>
                <w:rFonts w:hint="eastAsia" w:ascii="Times New Roman" w:hAnsi="Times New Roman"/>
              </w:rPr>
              <w:t>Agilent280FS</w:t>
            </w:r>
            <w:r>
              <w:rPr>
                <w:rFonts w:hint="eastAsia"/>
                <w:lang w:eastAsia="zh-CN"/>
              </w:rPr>
              <w:t>\</w:t>
            </w:r>
            <w:r>
              <w:rPr>
                <w:rFonts w:hint="eastAsia" w:ascii="Times New Roman" w:hAnsi="Times New Roman"/>
              </w:rPr>
              <w:t>GLLS-JC-163</w:t>
            </w:r>
          </w:p>
        </w:tc>
        <w:tc>
          <w:tcPr>
            <w:tcW w:w="976" w:type="dxa"/>
            <w:vAlign w:val="center"/>
          </w:tcPr>
          <w:p>
            <w:pPr>
              <w:pStyle w:val="30"/>
              <w:bidi w:val="0"/>
              <w:rPr>
                <w:rFonts w:ascii="Times New Roman" w:hAnsi="Times New Roman"/>
              </w:rPr>
            </w:pPr>
            <w:r>
              <w:rPr>
                <w:rFonts w:ascii="Times New Roman" w:hAnsi="Times New Roman"/>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6"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四氯化碳</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氯仿</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氯甲烷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w:t>
            </w:r>
            <w:r>
              <w:rPr>
                <w:rFonts w:hint="eastAsia" w:ascii="Times New Roman" w:hAnsi="Times New Roman"/>
              </w:rPr>
              <w:t>二氯乙烷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1-2,</w:t>
            </w:r>
            <w:r>
              <w:rPr>
                <w:rFonts w:hint="eastAsia" w:ascii="Times New Roman" w:hAnsi="Times New Roman"/>
              </w:rPr>
              <w:t>二氯乙烷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w:t>
            </w:r>
            <w:r>
              <w:rPr>
                <w:rFonts w:hint="eastAsia" w:ascii="Times New Roman" w:hAnsi="Times New Roman"/>
              </w:rPr>
              <w:t>二氯乙烯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顺</w:t>
            </w:r>
            <w:r>
              <w:rPr>
                <w:rFonts w:ascii="Times New Roman" w:hAnsi="Times New Roman"/>
              </w:rPr>
              <w:t>-1,2</w:t>
            </w:r>
            <w:r>
              <w:rPr>
                <w:rFonts w:hint="eastAsia" w:ascii="Times New Roman" w:hAnsi="Times New Roman"/>
              </w:rPr>
              <w:t>二氯乙烯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反</w:t>
            </w:r>
            <w:r>
              <w:rPr>
                <w:rFonts w:ascii="Times New Roman" w:hAnsi="Times New Roman"/>
              </w:rPr>
              <w:t>-1,2-</w:t>
            </w:r>
            <w:r>
              <w:rPr>
                <w:rFonts w:hint="eastAsia" w:ascii="Times New Roman" w:hAnsi="Times New Roman"/>
              </w:rPr>
              <w:t>二氯乙烯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二氯甲烷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1.5μg/kg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4"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1,2-</w:t>
            </w:r>
            <w:r>
              <w:rPr>
                <w:rFonts w:hint="eastAsia" w:ascii="Times New Roman" w:hAnsi="Times New Roman"/>
              </w:rPr>
              <w:t>二氯丙烷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1,1,1,2-</w:t>
            </w:r>
            <w:r>
              <w:rPr>
                <w:rFonts w:hint="eastAsia" w:ascii="Times New Roman" w:hAnsi="Times New Roman"/>
              </w:rPr>
              <w:t>四氯乙烷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1,1,2,2-</w:t>
            </w:r>
            <w:r>
              <w:rPr>
                <w:rFonts w:hint="eastAsia" w:ascii="Times New Roman" w:hAnsi="Times New Roman"/>
              </w:rPr>
              <w:t>四氯乙烷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四氯乙烯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1,1,1-</w:t>
            </w:r>
            <w:r>
              <w:rPr>
                <w:rFonts w:hint="eastAsia" w:ascii="Times New Roman" w:hAnsi="Times New Roman"/>
              </w:rPr>
              <w:t>三氯乙烷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1,1,2-</w:t>
            </w:r>
            <w:r>
              <w:rPr>
                <w:rFonts w:hint="eastAsia" w:ascii="Times New Roman" w:hAnsi="Times New Roman"/>
              </w:rPr>
              <w:t>三氯乙烷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三氯乙烯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1,2,3-</w:t>
            </w:r>
            <w:r>
              <w:rPr>
                <w:rFonts w:hint="eastAsia" w:ascii="Times New Roman" w:hAnsi="Times New Roman"/>
              </w:rPr>
              <w:t>三氯丙烷</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1.9µg/kg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氯苯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1,2-</w:t>
            </w:r>
            <w:r>
              <w:rPr>
                <w:rFonts w:hint="eastAsia" w:ascii="Times New Roman" w:hAnsi="Times New Roman"/>
              </w:rPr>
              <w:t>二氯苯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1.5µg/kg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4"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1,4-</w:t>
            </w:r>
            <w:r>
              <w:rPr>
                <w:rFonts w:hint="eastAsia" w:ascii="Times New Roman" w:hAnsi="Times New Roman"/>
              </w:rPr>
              <w:t>二氯苯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1.5µg/kg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乙苯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苯乙烯</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w:t>
            </w:r>
          </w:p>
          <w:p>
            <w:pPr>
              <w:pStyle w:val="30"/>
              <w:bidi w:val="0"/>
              <w:rPr>
                <w:rFonts w:hint="eastAsia" w:ascii="Times New Roman" w:hAnsi="Times New Roman"/>
              </w:rPr>
            </w:pPr>
            <w:r>
              <w:rPr>
                <w:rFonts w:hint="eastAsia" w:ascii="Times New Roman" w:hAnsi="Times New Roman"/>
              </w:rPr>
              <w:t>质谱联用</w:t>
            </w:r>
            <w:r>
              <w:rPr>
                <w:rFonts w:hint="eastAsia"/>
                <w:lang w:eastAsia="zh-CN"/>
              </w:rPr>
              <w:t>\</w:t>
            </w:r>
            <w:r>
              <w:rPr>
                <w:rFonts w:hint="eastAsia" w:ascii="Times New Roman" w:hAnsi="Times New Roman"/>
              </w:rPr>
              <w:t>Agilent-</w:t>
            </w:r>
          </w:p>
          <w:p>
            <w:pPr>
              <w:pStyle w:val="30"/>
              <w:bidi w:val="0"/>
              <w:rPr>
                <w:rFonts w:hint="eastAsia" w:ascii="Times New Roman" w:hAnsi="Times New Roman"/>
              </w:rPr>
            </w:pPr>
            <w:r>
              <w:rPr>
                <w:rFonts w:hint="eastAsia" w:ascii="Times New Roman" w:hAnsi="Times New Roman"/>
              </w:rPr>
              <w: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1.1µg/kg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eastAsia="宋体"/>
                <w:lang w:eastAsia="zh-CN"/>
              </w:rPr>
            </w:pPr>
            <w:r>
              <w:rPr>
                <w:rFonts w:hint="eastAsia"/>
                <w:lang w:eastAsia="zh-CN"/>
              </w:rPr>
              <w:t>氨</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1.3µg/kg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eastAsia="宋体"/>
                <w:lang w:eastAsia="zh-CN"/>
              </w:rPr>
            </w:pPr>
            <w:r>
              <w:rPr>
                <w:rFonts w:hint="eastAsia" w:ascii="Times New Roman" w:hAnsi="Times New Roman"/>
              </w:rPr>
              <w:t>对</w:t>
            </w:r>
            <w:r>
              <w:rPr>
                <w:rFonts w:ascii="Times New Roman" w:hAnsi="Times New Roman"/>
              </w:rPr>
              <w:t>-</w:t>
            </w:r>
            <w:r>
              <w:rPr>
                <w:rFonts w:hint="eastAsia" w:ascii="Times New Roman" w:hAnsi="Times New Roman"/>
              </w:rPr>
              <w:t>二</w:t>
            </w:r>
            <w:r>
              <w:rPr>
                <w:rFonts w:hint="eastAsia"/>
                <w:lang w:eastAsia="zh-CN"/>
              </w:rPr>
              <w:t>氨</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 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eastAsia="宋体"/>
                <w:lang w:eastAsia="zh-CN"/>
              </w:rPr>
            </w:pPr>
            <w:r>
              <w:rPr>
                <w:rFonts w:hint="eastAsia" w:ascii="Times New Roman" w:hAnsi="Times New Roman"/>
              </w:rPr>
              <w:t>间</w:t>
            </w:r>
            <w:r>
              <w:rPr>
                <w:rFonts w:ascii="Times New Roman" w:hAnsi="Times New Roman"/>
              </w:rPr>
              <w:t>-</w:t>
            </w:r>
            <w:r>
              <w:rPr>
                <w:rFonts w:hint="eastAsia" w:ascii="Times New Roman" w:hAnsi="Times New Roman"/>
              </w:rPr>
              <w:t>二</w:t>
            </w:r>
            <w:r>
              <w:rPr>
                <w:rFonts w:hint="eastAsia"/>
                <w:lang w:eastAsia="zh-CN"/>
              </w:rPr>
              <w:t>氨</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eastAsia="宋体"/>
                <w:lang w:eastAsia="zh-CN"/>
              </w:rPr>
            </w:pPr>
            <w:r>
              <w:rPr>
                <w:rFonts w:hint="eastAsia" w:ascii="Times New Roman" w:hAnsi="Times New Roman"/>
              </w:rPr>
              <w:t>邻</w:t>
            </w:r>
            <w:r>
              <w:rPr>
                <w:rFonts w:ascii="Times New Roman" w:hAnsi="Times New Roman"/>
              </w:rPr>
              <w:t>-</w:t>
            </w:r>
            <w:r>
              <w:rPr>
                <w:rFonts w:hint="eastAsia" w:ascii="Times New Roman" w:hAnsi="Times New Roman"/>
              </w:rPr>
              <w:t>二</w:t>
            </w:r>
            <w:r>
              <w:rPr>
                <w:rFonts w:hint="eastAsia"/>
                <w:lang w:eastAsia="zh-CN"/>
              </w:rPr>
              <w:t>氨</w:t>
            </w:r>
          </w:p>
        </w:tc>
        <w:tc>
          <w:tcPr>
            <w:tcW w:w="3767" w:type="dxa"/>
            <w:vAlign w:val="center"/>
          </w:tcPr>
          <w:p>
            <w:pPr>
              <w:pStyle w:val="30"/>
              <w:bidi w:val="0"/>
              <w:rPr>
                <w:rFonts w:hint="eastAsia" w:ascii="Times New Roman" w:hAnsi="Times New Roman"/>
              </w:rPr>
            </w:pPr>
            <w:r>
              <w:rPr>
                <w:rFonts w:ascii="Times New Roman" w:hAnsi="Times New Roman"/>
              </w:rPr>
              <w:t xml:space="preserve">HJ 605-2011 </w:t>
            </w:r>
            <w:r>
              <w:rPr>
                <w:rFonts w:hint="eastAsia" w:ascii="Times New Roman" w:hAnsi="Times New Roman"/>
              </w:rPr>
              <w:t>土壤和沉积物 挥发性有机物的测定 吹扫捕集</w:t>
            </w:r>
            <w:r>
              <w:rPr>
                <w:rFonts w:ascii="Times New Roman" w:hAnsi="Times New Roman"/>
              </w:rPr>
              <w:t>-</w:t>
            </w:r>
            <w:r>
              <w:rPr>
                <w:rFonts w:hint="eastAsia" w:ascii="Times New Roman" w:hAnsi="Times New Roman"/>
              </w:rPr>
              <w:t>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{吹扫捕集-气相色谱质谱联用</w:t>
            </w:r>
            <w:r>
              <w:rPr>
                <w:rFonts w:hint="eastAsia"/>
                <w:lang w:eastAsia="zh-CN"/>
              </w:rPr>
              <w:t>\</w:t>
            </w:r>
            <w:r>
              <w:rPr>
                <w:rFonts w:hint="eastAsia" w:ascii="Times New Roman" w:hAnsi="Times New Roman"/>
              </w:rPr>
              <w:t>Agilent-7890B/5977BMSD</w:t>
            </w:r>
            <w:r>
              <w:rPr>
                <w:rFonts w:hint="eastAsia"/>
                <w:lang w:eastAsia="zh-CN"/>
              </w:rPr>
              <w:t>\</w:t>
            </w:r>
            <w:r>
              <w:rPr>
                <w:rFonts w:hint="eastAsia" w:ascii="Times New Roman" w:hAnsi="Times New Roman"/>
              </w:rPr>
              <w:t>GLLS-JC-008}</w:t>
            </w:r>
          </w:p>
        </w:tc>
        <w:tc>
          <w:tcPr>
            <w:tcW w:w="976" w:type="dxa"/>
            <w:vAlign w:val="center"/>
          </w:tcPr>
          <w:p>
            <w:pPr>
              <w:pStyle w:val="30"/>
              <w:bidi w:val="0"/>
              <w:rPr>
                <w:rFonts w:hint="default" w:ascii="Times New Roman" w:hAnsi="Times New Roman" w:cs="Times New Roman"/>
              </w:rPr>
            </w:pPr>
            <w:r>
              <w:rPr>
                <w:rFonts w:hint="default" w:ascii="Times New Roman" w:hAnsi="Times New Roman" w:cs="Times New Roman"/>
              </w:rPr>
              <w:t>1.2µg/kg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硝基苯</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苯胺</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Agilent6890BGCSys-5973N 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ascii="Times New Roman" w:hAnsi="Times New Roman"/>
              </w:rPr>
              <w:t>2-</w:t>
            </w:r>
            <w:r>
              <w:rPr>
                <w:rFonts w:hint="eastAsia" w:ascii="Times New Roman" w:hAnsi="Times New Roman"/>
              </w:rPr>
              <w:t>氯酚</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苯并</w:t>
            </w:r>
            <w:r>
              <w:rPr>
                <w:rFonts w:hint="eastAsia" w:ascii="Times New Roman" w:hAnsi="Times New Roman"/>
                <w:lang w:eastAsia="zh-CN"/>
              </w:rPr>
              <w:t>〔</w:t>
            </w:r>
            <w:r>
              <w:rPr>
                <w:rFonts w:ascii="Times New Roman" w:hAnsi="Times New Roman"/>
              </w:rPr>
              <w:t>a</w:t>
            </w:r>
            <w:r>
              <w:rPr>
                <w:rFonts w:hint="eastAsia" w:ascii="Times New Roman" w:hAnsi="Times New Roman"/>
                <w:lang w:eastAsia="zh-CN"/>
              </w:rPr>
              <w:t>〕</w:t>
            </w:r>
            <w:r>
              <w:rPr>
                <w:rFonts w:hint="eastAsia" w:ascii="Times New Roman" w:hAnsi="Times New Roman"/>
              </w:rPr>
              <w:t>蒽</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苯并</w:t>
            </w:r>
            <w:r>
              <w:rPr>
                <w:rFonts w:hint="eastAsia" w:ascii="Times New Roman" w:hAnsi="Times New Roman"/>
                <w:lang w:eastAsia="zh-CN"/>
              </w:rPr>
              <w:t>〔</w:t>
            </w:r>
            <w:r>
              <w:rPr>
                <w:rFonts w:ascii="Times New Roman" w:hAnsi="Times New Roman"/>
              </w:rPr>
              <w:t>a</w:t>
            </w:r>
            <w:r>
              <w:rPr>
                <w:rFonts w:hint="eastAsia" w:ascii="Times New Roman" w:hAnsi="Times New Roman"/>
                <w:lang w:eastAsia="zh-CN"/>
              </w:rPr>
              <w:t>〕</w:t>
            </w:r>
            <w:r>
              <w:rPr>
                <w:rFonts w:hint="eastAsia" w:ascii="Times New Roman" w:hAnsi="Times New Roman"/>
              </w:rPr>
              <w:t>芘</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苯并</w:t>
            </w:r>
            <w:r>
              <w:rPr>
                <w:rFonts w:hint="eastAsia" w:ascii="Times New Roman" w:hAnsi="Times New Roman"/>
                <w:lang w:eastAsia="zh-CN"/>
              </w:rPr>
              <w:t>〔</w:t>
            </w:r>
            <w:r>
              <w:rPr>
                <w:rFonts w:ascii="Times New Roman" w:hAnsi="Times New Roman"/>
              </w:rPr>
              <w:t>b</w:t>
            </w:r>
            <w:r>
              <w:rPr>
                <w:rFonts w:hint="eastAsia" w:ascii="Times New Roman" w:hAnsi="Times New Roman"/>
                <w:lang w:eastAsia="zh-CN"/>
              </w:rPr>
              <w:t>〕</w:t>
            </w:r>
            <w:r>
              <w:rPr>
                <w:rFonts w:hint="eastAsia" w:ascii="Times New Roman" w:hAnsi="Times New Roman"/>
              </w:rPr>
              <w:t>荧蒽</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苯并</w:t>
            </w:r>
            <w:r>
              <w:rPr>
                <w:rFonts w:hint="eastAsia" w:ascii="Times New Roman" w:hAnsi="Times New Roman"/>
                <w:lang w:eastAsia="zh-CN"/>
              </w:rPr>
              <w:t>〔</w:t>
            </w:r>
            <w:r>
              <w:rPr>
                <w:rFonts w:ascii="Times New Roman" w:hAnsi="Times New Roman"/>
              </w:rPr>
              <w:t>k</w:t>
            </w:r>
            <w:r>
              <w:rPr>
                <w:rFonts w:hint="eastAsia" w:ascii="Times New Roman" w:hAnsi="Times New Roman"/>
                <w:lang w:eastAsia="zh-CN"/>
              </w:rPr>
              <w:t>〕</w:t>
            </w:r>
            <w:r>
              <w:rPr>
                <w:rFonts w:hint="eastAsia" w:ascii="Times New Roman" w:hAnsi="Times New Roman"/>
              </w:rPr>
              <w:t>荧蒽</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 - 5973N 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䓛</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5"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二苯并</w:t>
            </w:r>
            <w:r>
              <w:rPr>
                <w:rFonts w:hint="eastAsia" w:ascii="Times New Roman" w:hAnsi="Times New Roman"/>
                <w:lang w:eastAsia="zh-CN"/>
              </w:rPr>
              <w:t>〔</w:t>
            </w:r>
            <w:r>
              <w:rPr>
                <w:rFonts w:ascii="Times New Roman" w:hAnsi="Times New Roman"/>
              </w:rPr>
              <w:t>a,h</w:t>
            </w:r>
            <w:r>
              <w:rPr>
                <w:rFonts w:hint="eastAsia" w:ascii="Times New Roman" w:hAnsi="Times New Roman"/>
                <w:lang w:eastAsia="zh-CN"/>
              </w:rPr>
              <w:t>〕</w:t>
            </w:r>
            <w:r>
              <w:rPr>
                <w:rFonts w:hint="eastAsia" w:ascii="Times New Roman" w:hAnsi="Times New Roman"/>
              </w:rPr>
              <w:t>蒽</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7"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茚并</w:t>
            </w:r>
            <w:r>
              <w:rPr>
                <w:rFonts w:hint="eastAsia" w:ascii="Times New Roman" w:hAnsi="Times New Roman"/>
                <w:lang w:eastAsia="zh-CN"/>
              </w:rPr>
              <w:t>〔</w:t>
            </w:r>
            <w:r>
              <w:rPr>
                <w:rFonts w:ascii="Times New Roman" w:hAnsi="Times New Roman"/>
              </w:rPr>
              <w:t>1,2,3-c,d</w:t>
            </w:r>
            <w:r>
              <w:rPr>
                <w:rFonts w:hint="eastAsia" w:ascii="Times New Roman" w:hAnsi="Times New Roman"/>
                <w:lang w:eastAsia="zh-CN"/>
              </w:rPr>
              <w:t>〕</w:t>
            </w:r>
            <w:r>
              <w:rPr>
                <w:rFonts w:hint="eastAsia" w:ascii="Times New Roman" w:hAnsi="Times New Roman"/>
              </w:rPr>
              <w:t>芘</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97" w:type="dxa"/>
            <w:vMerge w:val="continue"/>
            <w:vAlign w:val="center"/>
          </w:tcPr>
          <w:p>
            <w:pPr>
              <w:pStyle w:val="30"/>
              <w:bidi w:val="0"/>
              <w:rPr>
                <w:rFonts w:ascii="Times New Roman" w:hAnsi="Times New Roman"/>
              </w:rPr>
            </w:pPr>
          </w:p>
        </w:tc>
        <w:tc>
          <w:tcPr>
            <w:tcW w:w="876" w:type="dxa"/>
            <w:vAlign w:val="center"/>
          </w:tcPr>
          <w:p>
            <w:pPr>
              <w:pStyle w:val="30"/>
              <w:bidi w:val="0"/>
              <w:rPr>
                <w:rFonts w:hint="eastAsia" w:ascii="Times New Roman" w:hAnsi="Times New Roman"/>
              </w:rPr>
            </w:pPr>
            <w:r>
              <w:rPr>
                <w:rFonts w:hint="eastAsia" w:ascii="Times New Roman" w:hAnsi="Times New Roman"/>
              </w:rPr>
              <w:t>萘</w:t>
            </w:r>
          </w:p>
        </w:tc>
        <w:tc>
          <w:tcPr>
            <w:tcW w:w="3767" w:type="dxa"/>
            <w:vAlign w:val="center"/>
          </w:tcPr>
          <w:p>
            <w:pPr>
              <w:pStyle w:val="30"/>
              <w:bidi w:val="0"/>
              <w:rPr>
                <w:rFonts w:hint="eastAsia" w:ascii="Times New Roman" w:hAnsi="Times New Roman"/>
              </w:rPr>
            </w:pPr>
            <w:r>
              <w:rPr>
                <w:rFonts w:ascii="Times New Roman" w:hAnsi="Times New Roman"/>
              </w:rPr>
              <w:t xml:space="preserve">HJ 834-2017 </w:t>
            </w:r>
            <w:r>
              <w:rPr>
                <w:rFonts w:hint="eastAsia" w:ascii="Times New Roman" w:hAnsi="Times New Roman"/>
              </w:rPr>
              <w:t>土壤和沉积物 半挥发性有机物的测定 气相色谱</w:t>
            </w:r>
            <w:r>
              <w:rPr>
                <w:rFonts w:ascii="Times New Roman" w:hAnsi="Times New Roman"/>
              </w:rPr>
              <w:t>-</w:t>
            </w:r>
            <w:r>
              <w:rPr>
                <w:rFonts w:hint="eastAsia" w:ascii="Times New Roman" w:hAnsi="Times New Roman"/>
              </w:rPr>
              <w:t>质谱法</w:t>
            </w:r>
          </w:p>
        </w:tc>
        <w:tc>
          <w:tcPr>
            <w:tcW w:w="3067" w:type="dxa"/>
            <w:vAlign w:val="center"/>
          </w:tcPr>
          <w:p>
            <w:pPr>
              <w:pStyle w:val="30"/>
              <w:bidi w:val="0"/>
              <w:rPr>
                <w:rFonts w:hint="eastAsia" w:ascii="Times New Roman" w:hAnsi="Times New Roman"/>
              </w:rPr>
            </w:pPr>
            <w:r>
              <w:rPr>
                <w:rFonts w:hint="eastAsia" w:ascii="Times New Roman" w:hAnsi="Times New Roman"/>
              </w:rPr>
              <w:t>{气相色谱-质谱联用仪</w:t>
            </w:r>
            <w:r>
              <w:rPr>
                <w:rFonts w:hint="eastAsia"/>
                <w:lang w:eastAsia="zh-CN"/>
              </w:rPr>
              <w:t>/</w:t>
            </w:r>
            <w:r>
              <w:rPr>
                <w:rFonts w:hint="eastAsia" w:ascii="Times New Roman" w:hAnsi="Times New Roman"/>
              </w:rPr>
              <w:t>Agilent 6890BGCSys-5973NMSD</w:t>
            </w:r>
            <w:r>
              <w:rPr>
                <w:rFonts w:hint="eastAsia"/>
                <w:lang w:eastAsia="zh-CN"/>
              </w:rPr>
              <w:t>/</w:t>
            </w:r>
            <w:r>
              <w:rPr>
                <w:rFonts w:hint="eastAsia" w:ascii="Times New Roman" w:hAnsi="Times New Roman"/>
              </w:rPr>
              <w:t>GLLS-JC-185}</w:t>
            </w:r>
          </w:p>
        </w:tc>
        <w:tc>
          <w:tcPr>
            <w:tcW w:w="976" w:type="dxa"/>
            <w:vAlign w:val="center"/>
          </w:tcPr>
          <w:p>
            <w:pPr>
              <w:pStyle w:val="30"/>
              <w:bidi w:val="0"/>
              <w:rPr>
                <w:rFonts w:ascii="Times New Roman" w:hAnsi="Times New Roman"/>
              </w:rPr>
            </w:pPr>
            <w:r>
              <w:rPr>
                <w:rFonts w:ascii="Times New Roman" w:hAnsi="Times New Roman"/>
              </w:rPr>
              <w:t>0.09mg/kg</w:t>
            </w:r>
          </w:p>
        </w:tc>
      </w:tr>
    </w:tbl>
    <w:p>
      <w:pPr>
        <w:pStyle w:val="4"/>
        <w:bidi w:val="0"/>
        <w:spacing w:line="360" w:lineRule="auto"/>
      </w:pPr>
      <w:r>
        <w:rPr>
          <w:rFonts w:hint="eastAsia"/>
          <w:lang w:val="en-US" w:eastAsia="zh-CN"/>
        </w:rPr>
        <w:t xml:space="preserve">5.6.4 </w:t>
      </w:r>
      <w:r>
        <w:t>评价标准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按照《土壤环境质量 建设用地土壤污染风险管控标准》（</w:t>
      </w:r>
      <w:r>
        <w:rPr>
          <w:rFonts w:hint="default" w:ascii="Times New Roman" w:hAnsi="Times New Roman" w:eastAsia="宋体" w:cs="Times New Roman"/>
          <w:color w:val="000000"/>
          <w:kern w:val="0"/>
          <w:sz w:val="24"/>
          <w:szCs w:val="24"/>
          <w:lang w:val="en-US" w:eastAsia="zh-CN" w:bidi="ar"/>
        </w:rPr>
        <w:t>GB36600-2018</w:t>
      </w:r>
      <w:r>
        <w:rPr>
          <w:rFonts w:hint="eastAsia" w:ascii="宋体" w:hAnsi="宋体" w:eastAsia="宋体" w:cs="宋体"/>
          <w:color w:val="000000"/>
          <w:kern w:val="0"/>
          <w:sz w:val="24"/>
          <w:szCs w:val="24"/>
          <w:lang w:val="en-US" w:eastAsia="zh-CN" w:bidi="ar"/>
        </w:rPr>
        <w:t>）进行评价。</w:t>
      </w:r>
    </w:p>
    <w:p>
      <w:pPr>
        <w:pStyle w:val="4"/>
        <w:bidi w:val="0"/>
        <w:spacing w:line="360" w:lineRule="auto"/>
      </w:pPr>
      <w:r>
        <w:rPr>
          <w:rFonts w:hint="eastAsia"/>
          <w:lang w:val="en-US" w:eastAsia="zh-CN"/>
        </w:rPr>
        <w:t>5.6.5评价结果</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本项目用地类型为</w:t>
      </w:r>
      <w:r>
        <w:rPr>
          <w:rFonts w:hint="eastAsia" w:ascii="宋体" w:hAnsi="宋体" w:cs="宋体"/>
          <w:color w:val="000000"/>
          <w:kern w:val="0"/>
          <w:sz w:val="24"/>
          <w:szCs w:val="24"/>
          <w:lang w:val="en-US" w:eastAsia="zh-CN" w:bidi="ar"/>
        </w:rPr>
        <w:t>建设</w:t>
      </w:r>
      <w:r>
        <w:rPr>
          <w:rFonts w:hint="eastAsia" w:ascii="宋体" w:hAnsi="宋体" w:eastAsia="宋体" w:cs="宋体"/>
          <w:color w:val="000000"/>
          <w:kern w:val="0"/>
          <w:sz w:val="24"/>
          <w:szCs w:val="24"/>
          <w:lang w:val="en-US" w:eastAsia="zh-CN" w:bidi="ar"/>
        </w:rPr>
        <w:t>用地，执行《土壤环境质量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GB36600-2018</w:t>
      </w:r>
      <w:r>
        <w:rPr>
          <w:rFonts w:hint="eastAsia" w:ascii="宋体" w:hAnsi="宋体" w:eastAsia="宋体" w:cs="宋体"/>
          <w:color w:val="000000"/>
          <w:kern w:val="0"/>
          <w:sz w:val="24"/>
          <w:szCs w:val="24"/>
          <w:lang w:val="en-US" w:eastAsia="zh-CN" w:bidi="ar"/>
        </w:rPr>
        <w:t>）第二类用地筛选值管控标准。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center"/>
        <w:textAlignment w:val="auto"/>
        <w:rPr>
          <w:rFonts w:hint="eastAsia" w:ascii="Times New Roman" w:hAnsi="Times New Roman" w:eastAsia="宋体" w:cs="宋体"/>
          <w:b/>
          <w:bCs/>
          <w:color w:val="000000"/>
          <w:kern w:val="0"/>
          <w:sz w:val="24"/>
          <w:szCs w:val="24"/>
          <w:lang w:val="en-US" w:eastAsia="zh-CN" w:bidi="ar"/>
        </w:rPr>
      </w:pPr>
      <w:r>
        <w:rPr>
          <w:rFonts w:hint="eastAsia" w:ascii="Times New Roman" w:hAnsi="Times New Roman" w:eastAsia="宋体" w:cs="宋体"/>
          <w:b/>
          <w:bCs/>
          <w:color w:val="000000"/>
          <w:kern w:val="0"/>
          <w:sz w:val="24"/>
          <w:szCs w:val="24"/>
          <w:lang w:val="en-US" w:eastAsia="zh-CN" w:bidi="ar"/>
        </w:rPr>
        <w:t>表5.6-3  土壤环境质量现状监测及评价结果表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109"/>
        <w:gridCol w:w="1773"/>
        <w:gridCol w:w="1551"/>
        <w:gridCol w:w="885"/>
        <w:gridCol w:w="1626"/>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检测项目</w:t>
            </w:r>
          </w:p>
        </w:tc>
        <w:tc>
          <w:tcPr>
            <w:tcW w:w="5318" w:type="dxa"/>
            <w:gridSpan w:val="4"/>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监测点位</w:t>
            </w:r>
          </w:p>
        </w:tc>
        <w:tc>
          <w:tcPr>
            <w:tcW w:w="1626"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GB36600</w:t>
            </w:r>
            <w:r>
              <w:rPr>
                <w:rFonts w:hint="default"/>
                <w:color w:val="000000" w:themeColor="text1"/>
                <w:sz w:val="21"/>
                <w:szCs w:val="21"/>
                <w:lang w:val="en-US" w:eastAsia="zh-CN"/>
                <w14:textFill>
                  <w14:solidFill>
                    <w14:schemeClr w14:val="tx1"/>
                  </w14:solidFill>
                </w14:textFill>
              </w:rPr>
              <w:t>-2018</w:t>
            </w:r>
            <w:r>
              <w:rPr>
                <w:rFonts w:hint="eastAsia"/>
                <w:color w:val="000000" w:themeColor="text1"/>
                <w:sz w:val="21"/>
                <w:szCs w:val="21"/>
                <w:lang w:val="en-US" w:eastAsia="zh-CN"/>
                <w14:textFill>
                  <w14:solidFill>
                    <w14:schemeClr w14:val="tx1"/>
                  </w14:solidFill>
                </w14:textFill>
              </w:rPr>
              <w:t>第二类用地筛选值</w:t>
            </w:r>
          </w:p>
        </w:tc>
        <w:tc>
          <w:tcPr>
            <w:tcW w:w="659"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厂区生产车间</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危废暂存间</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原料仓库</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单位</w:t>
            </w:r>
          </w:p>
        </w:tc>
        <w:tc>
          <w:tcPr>
            <w:tcW w:w="1626"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p>
        </w:tc>
        <w:tc>
          <w:tcPr>
            <w:tcW w:w="659"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采样深度</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0-0.2m</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0-0.2m</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0-0.2m</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m</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砷</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8.26</w:t>
            </w:r>
          </w:p>
        </w:tc>
        <w:tc>
          <w:tcPr>
            <w:tcW w:w="177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7.30</w:t>
            </w:r>
          </w:p>
        </w:tc>
        <w:tc>
          <w:tcPr>
            <w:tcW w:w="15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0.06</w:t>
            </w:r>
          </w:p>
        </w:tc>
        <w:tc>
          <w:tcPr>
            <w:tcW w:w="177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0.14</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铬</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六价</w:t>
            </w:r>
            <w:r>
              <w:rPr>
                <w:color w:val="000000" w:themeColor="text1"/>
                <w:sz w:val="21"/>
                <w:szCs w:val="21"/>
                <w14:textFill>
                  <w14:solidFill>
                    <w14:schemeClr w14:val="tx1"/>
                  </w14:solidFill>
                </w14:textFill>
              </w:rPr>
              <w:t>)</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&lt;0.5</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&lt;0.5</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&lt;0.5</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5.7</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18000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铅</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16.3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15.7</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800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汞</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0.036</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0.135</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8mg/kg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镍</w:t>
            </w:r>
          </w:p>
        </w:tc>
        <w:tc>
          <w:tcPr>
            <w:tcW w:w="110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900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四氯化碳</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氯仿</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氯甲烷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二氯乙烷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二氯乙烯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顺</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596</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反</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二氯甲烷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616</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1,1,1,2-</w:t>
            </w:r>
            <w:r>
              <w:rPr>
                <w:rFonts w:hint="eastAsia"/>
                <w:color w:val="000000" w:themeColor="text1"/>
                <w:sz w:val="21"/>
                <w:szCs w:val="21"/>
                <w14:textFill>
                  <w14:solidFill>
                    <w14:schemeClr w14:val="tx1"/>
                  </w14:solidFill>
                </w14:textFill>
              </w:rPr>
              <w:t>四氯乙烷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1,1,2,2-</w:t>
            </w:r>
            <w:r>
              <w:rPr>
                <w:rFonts w:hint="eastAsia"/>
                <w:color w:val="000000" w:themeColor="text1"/>
                <w:sz w:val="21"/>
                <w:szCs w:val="21"/>
                <w14:textFill>
                  <w14:solidFill>
                    <w14:schemeClr w14:val="tx1"/>
                  </w14:solidFill>
                </w14:textFill>
              </w:rPr>
              <w:t>四氯乙烷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&lt;1.4</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53</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w:t>
            </w:r>
            <w:r>
              <w:rPr>
                <w:rFonts w:hint="eastAsia"/>
                <w:color w:val="000000" w:themeColor="text1"/>
                <w:sz w:val="21"/>
                <w:szCs w:val="21"/>
                <w14:textFill>
                  <w14:solidFill>
                    <w14:schemeClr w14:val="tx1"/>
                  </w14:solidFill>
                </w14:textFill>
              </w:rPr>
              <w:t>三氯乙烷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840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1,1,2-</w:t>
            </w:r>
            <w:r>
              <w:rPr>
                <w:rFonts w:hint="eastAsia"/>
                <w:color w:val="000000" w:themeColor="text1"/>
                <w:sz w:val="21"/>
                <w:szCs w:val="21"/>
                <w14:textFill>
                  <w14:solidFill>
                    <w14:schemeClr w14:val="tx1"/>
                  </w14:solidFill>
                </w14:textFill>
              </w:rPr>
              <w:t>三氯乙烷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1,2,3-</w:t>
            </w:r>
            <w:r>
              <w:rPr>
                <w:rFonts w:hint="eastAsia"/>
                <w:color w:val="000000" w:themeColor="text1"/>
                <w:sz w:val="21"/>
                <w:szCs w:val="21"/>
                <w14:textFill>
                  <w14:solidFill>
                    <w14:schemeClr w14:val="tx1"/>
                  </w14:solidFill>
                </w14:textFill>
              </w:rPr>
              <w:t>三氯丙烷</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0.43</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&lt;1.9</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&lt;1.9</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&lt;1.9</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二氯苯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560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r>
              <w:rPr>
                <w:rFonts w:hint="eastAsia"/>
                <w:color w:val="000000" w:themeColor="text1"/>
                <w:sz w:val="21"/>
                <w:szCs w:val="21"/>
                <w14:textFill>
                  <w14:solidFill>
                    <w14:schemeClr w14:val="tx1"/>
                  </w14:solidFill>
                </w14:textFill>
              </w:rPr>
              <w:t>二氯苯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&lt;1.5</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苯乙烯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1290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氨</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&lt;1.3</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1200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对</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二</w:t>
            </w:r>
            <w:r>
              <w:rPr>
                <w:rFonts w:hint="eastAsia"/>
                <w:color w:val="000000" w:themeColor="text1"/>
                <w:sz w:val="21"/>
                <w:szCs w:val="21"/>
                <w:lang w:eastAsia="zh-CN"/>
                <w14:textFill>
                  <w14:solidFill>
                    <w14:schemeClr w14:val="tx1"/>
                  </w14:solidFill>
                </w14:textFill>
              </w:rPr>
              <w:t>氨</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570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间</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二</w:t>
            </w:r>
            <w:r>
              <w:rPr>
                <w:rFonts w:hint="eastAsia"/>
                <w:color w:val="000000" w:themeColor="text1"/>
                <w:sz w:val="21"/>
                <w:szCs w:val="21"/>
                <w:lang w:eastAsia="zh-CN"/>
                <w14:textFill>
                  <w14:solidFill>
                    <w14:schemeClr w14:val="tx1"/>
                  </w14:solidFill>
                </w14:textFill>
              </w:rPr>
              <w:t>氨</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邻</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二</w:t>
            </w:r>
            <w:r>
              <w:rPr>
                <w:rFonts w:hint="eastAsia"/>
                <w:color w:val="000000" w:themeColor="text1"/>
                <w:sz w:val="21"/>
                <w:szCs w:val="21"/>
                <w:lang w:eastAsia="zh-CN"/>
                <w14:textFill>
                  <w14:solidFill>
                    <w14:schemeClr w14:val="tx1"/>
                  </w14:solidFill>
                </w14:textFill>
              </w:rPr>
              <w:t>氨</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μg/kg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硝基苯</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苯胺</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氯酚</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&lt;0.06</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&lt;0.06</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&lt;0.06</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2256</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蒽</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芘</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b</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荧蒽</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&lt;0.2</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&lt;0.2</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&lt;0.2</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苯并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k</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荧蒽</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151</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䓛</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1293</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二苯并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a,h</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蒽</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茚并</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1,2,3-c,d</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芘</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&lt;0.1</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萘</w:t>
            </w:r>
          </w:p>
        </w:tc>
        <w:tc>
          <w:tcPr>
            <w:tcW w:w="110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17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155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&lt;0.09</w:t>
            </w:r>
          </w:p>
        </w:tc>
        <w:tc>
          <w:tcPr>
            <w:tcW w:w="88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mg/kg</w:t>
            </w:r>
          </w:p>
        </w:tc>
        <w:tc>
          <w:tcPr>
            <w:tcW w:w="162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r>
              <w:rPr>
                <w:color w:val="000000" w:themeColor="text1"/>
                <w:sz w:val="21"/>
                <w:szCs w:val="21"/>
                <w14:textFill>
                  <w14:solidFill>
                    <w14:schemeClr w14:val="tx1"/>
                  </w14:solidFill>
                </w14:textFill>
              </w:rPr>
              <w:t>mg/kg</w:t>
            </w:r>
          </w:p>
        </w:tc>
        <w:tc>
          <w:tcPr>
            <w:tcW w:w="65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合格</w:t>
            </w:r>
          </w:p>
        </w:tc>
      </w:tr>
    </w:tbl>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根据监测结果可知，项目所在地土壤各监测因子检出值未超过《土壤环境质量建设用地土壤污染风险管控标准（试行）》（</w:t>
      </w:r>
      <w:r>
        <w:rPr>
          <w:rFonts w:hint="default" w:ascii="Times New Roman" w:hAnsi="Times New Roman" w:eastAsia="宋体" w:cs="宋体"/>
          <w:color w:val="000000"/>
          <w:kern w:val="0"/>
          <w:sz w:val="24"/>
          <w:szCs w:val="24"/>
          <w:lang w:val="en-US" w:eastAsia="zh-CN" w:bidi="ar"/>
        </w:rPr>
        <w:t>GB36600-2018</w:t>
      </w:r>
      <w:r>
        <w:rPr>
          <w:rFonts w:hint="eastAsia" w:ascii="Times New Roman" w:hAnsi="Times New Roman" w:eastAsia="宋体" w:cs="宋体"/>
          <w:color w:val="000000"/>
          <w:kern w:val="0"/>
          <w:sz w:val="24"/>
          <w:szCs w:val="24"/>
          <w:lang w:val="en-US" w:eastAsia="zh-CN" w:bidi="ar"/>
        </w:rPr>
        <w:t>）中的第</w:t>
      </w:r>
      <w:r>
        <w:rPr>
          <w:rFonts w:hint="eastAsia" w:cs="宋体"/>
          <w:color w:val="000000"/>
          <w:kern w:val="0"/>
          <w:sz w:val="24"/>
          <w:szCs w:val="24"/>
          <w:lang w:val="en-US" w:eastAsia="zh-CN" w:bidi="ar"/>
        </w:rPr>
        <w:t>二</w:t>
      </w:r>
      <w:r>
        <w:rPr>
          <w:rFonts w:hint="eastAsia" w:ascii="Times New Roman" w:hAnsi="Times New Roman" w:eastAsia="宋体" w:cs="宋体"/>
          <w:color w:val="000000"/>
          <w:kern w:val="0"/>
          <w:sz w:val="24"/>
          <w:szCs w:val="24"/>
          <w:lang w:val="en-US" w:eastAsia="zh-CN" w:bidi="ar"/>
        </w:rPr>
        <w:t>类用地筛选值，土壤环境质量现状良好。</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rPr>
      </w:pPr>
      <w:bookmarkStart w:id="123" w:name="_Toc9293"/>
      <w:bookmarkStart w:id="124" w:name="_Toc7960"/>
      <w:bookmarkStart w:id="125" w:name="_Toc17072"/>
      <w:r>
        <w:rPr>
          <w:rFonts w:hint="eastAsia"/>
          <w:lang w:val="en-US" w:eastAsia="zh-CN"/>
        </w:rPr>
        <w:t xml:space="preserve">5.7 </w:t>
      </w:r>
      <w:r>
        <w:rPr>
          <w:rFonts w:hint="eastAsia"/>
        </w:rPr>
        <w:t>环境质量现状评价小结</w:t>
      </w:r>
      <w:bookmarkEnd w:id="123"/>
      <w:bookmarkEnd w:id="124"/>
      <w:bookmarkEnd w:id="125"/>
    </w:p>
    <w:p>
      <w:pPr>
        <w:pStyle w:val="4"/>
        <w:bidi w:val="0"/>
        <w:rPr>
          <w:rFonts w:hint="eastAsia"/>
          <w:lang w:val="en-US" w:eastAsia="zh-CN"/>
        </w:rPr>
      </w:pPr>
      <w:r>
        <w:rPr>
          <w:rFonts w:hint="eastAsia"/>
          <w:lang w:val="en-US" w:eastAsia="zh-CN"/>
        </w:rPr>
        <w:t xml:space="preserve">5.7.1 </w:t>
      </w:r>
      <w:r>
        <w:rPr>
          <w:rFonts w:hint="eastAsia"/>
        </w:rPr>
        <w:t>质量现状评价小结</w:t>
      </w:r>
    </w:p>
    <w:p>
      <w:pPr>
        <w:bidi w:val="0"/>
      </w:pPr>
      <w:r>
        <w:rPr>
          <w:rFonts w:hint="eastAsia"/>
          <w:lang w:val="en-US" w:eastAsia="zh-CN"/>
        </w:rPr>
        <w:t>根据</w:t>
      </w:r>
      <w:r>
        <w:rPr>
          <w:rFonts w:hint="default"/>
          <w:lang w:val="en-US" w:eastAsia="zh-CN"/>
        </w:rPr>
        <w:t>20</w:t>
      </w:r>
      <w:r>
        <w:rPr>
          <w:rFonts w:hint="eastAsia"/>
          <w:lang w:val="en-US" w:eastAsia="zh-CN"/>
        </w:rPr>
        <w:t>20年度叶县环境空气质量自动监测系统大气环境环境质量现状监测数据，除</w:t>
      </w:r>
      <w:r>
        <w:rPr>
          <w:rFonts w:hint="default"/>
          <w:lang w:val="en-US" w:eastAsia="zh-CN"/>
        </w:rPr>
        <w:t>PM</w:t>
      </w:r>
      <w:r>
        <w:rPr>
          <w:rFonts w:hint="default"/>
          <w:vertAlign w:val="subscript"/>
          <w:lang w:val="en-US" w:eastAsia="zh-CN"/>
        </w:rPr>
        <w:t>10</w:t>
      </w:r>
      <w:r>
        <w:rPr>
          <w:rFonts w:hint="eastAsia"/>
          <w:lang w:val="en-US" w:eastAsia="zh-CN"/>
        </w:rPr>
        <w:t>、</w:t>
      </w:r>
      <w:r>
        <w:rPr>
          <w:rFonts w:hint="default"/>
          <w:lang w:val="en-US" w:eastAsia="zh-CN"/>
        </w:rPr>
        <w:t>PM</w:t>
      </w:r>
      <w:r>
        <w:rPr>
          <w:rFonts w:hint="default"/>
          <w:vertAlign w:val="subscript"/>
          <w:lang w:val="en-US" w:eastAsia="zh-CN"/>
        </w:rPr>
        <w:t>2.5</w:t>
      </w:r>
      <w:r>
        <w:rPr>
          <w:rFonts w:hint="eastAsia"/>
          <w:lang w:val="en-US" w:eastAsia="zh-CN"/>
        </w:rPr>
        <w:t>、</w:t>
      </w:r>
      <w:r>
        <w:rPr>
          <w:rFonts w:hint="default"/>
          <w:lang w:val="en-US" w:eastAsia="zh-CN"/>
        </w:rPr>
        <w:t>O</w:t>
      </w:r>
      <w:r>
        <w:rPr>
          <w:rFonts w:hint="default"/>
          <w:vertAlign w:val="subscript"/>
          <w:lang w:val="en-US" w:eastAsia="zh-CN"/>
        </w:rPr>
        <w:t>3</w:t>
      </w:r>
      <w:r>
        <w:rPr>
          <w:rFonts w:hint="eastAsia"/>
          <w:lang w:val="en-US" w:eastAsia="zh-CN"/>
        </w:rPr>
        <w:t>超标外，其余各监测因子均达标。</w:t>
      </w:r>
    </w:p>
    <w:p>
      <w:pPr>
        <w:bidi w:val="0"/>
        <w:rPr>
          <w:rFonts w:hint="eastAsia"/>
          <w:u w:val="single"/>
          <w:lang w:eastAsia="zh-CN"/>
        </w:rPr>
      </w:pPr>
      <w:r>
        <w:rPr>
          <w:rFonts w:hint="eastAsia"/>
          <w:u w:val="single"/>
          <w:lang w:eastAsia="zh-CN"/>
        </w:rPr>
        <w:t>对特征因子颗粒物满足</w:t>
      </w:r>
      <w:r>
        <w:rPr>
          <w:rFonts w:hint="eastAsia"/>
          <w:u w:val="single"/>
          <w:lang w:val="en-US" w:eastAsia="zh-CN"/>
        </w:rPr>
        <w:t>《环境空气质量标准》（GB3095-2012）二级标准，非甲烷总烃满足《大气污染物综合排放标准详解》</w:t>
      </w:r>
      <w:r>
        <w:rPr>
          <w:rFonts w:hint="eastAsia"/>
          <w:u w:val="single"/>
          <w:lang w:eastAsia="zh-CN"/>
        </w:rPr>
        <w:t>空气质量浓度参考限值，氨、苯乙烯和硫化氢满足</w:t>
      </w:r>
      <w:r>
        <w:rPr>
          <w:rFonts w:hint="eastAsia"/>
          <w:u w:val="single"/>
          <w:lang w:val="en-US" w:eastAsia="zh-CN"/>
        </w:rPr>
        <w:t>《环境影响评价技术导则大气环境》（HJ 2.2-2008）附录D标准。</w:t>
      </w:r>
    </w:p>
    <w:p>
      <w:pPr>
        <w:pStyle w:val="4"/>
        <w:bidi w:val="0"/>
        <w:rPr>
          <w:rFonts w:hint="eastAsia"/>
          <w:lang w:val="en-US" w:eastAsia="zh-CN"/>
        </w:rPr>
      </w:pPr>
      <w:r>
        <w:rPr>
          <w:rFonts w:hint="eastAsia"/>
          <w:lang w:val="en-US" w:eastAsia="zh-CN"/>
        </w:rPr>
        <w:t>5.7.2 地表水环境质量现状评价小结</w:t>
      </w:r>
    </w:p>
    <w:p>
      <w:pPr>
        <w:bidi w:val="0"/>
      </w:pPr>
      <w:r>
        <w:t>本次评价引用</w:t>
      </w:r>
      <w:r>
        <w:rPr>
          <w:rFonts w:hint="eastAsia"/>
          <w:sz w:val="24"/>
          <w:lang w:eastAsia="zh-CN"/>
        </w:rPr>
        <w:t>平顶山市</w:t>
      </w:r>
      <w:r>
        <w:rPr>
          <w:rFonts w:hint="eastAsia" w:hAnsi="宋体"/>
          <w:sz w:val="24"/>
        </w:rPr>
        <w:t>灰河两个监测断面各监测因子</w:t>
      </w:r>
      <w:r>
        <w:rPr>
          <w:rFonts w:hint="eastAsia" w:hAnsi="宋体"/>
          <w:sz w:val="24"/>
          <w:lang w:eastAsia="zh-CN"/>
        </w:rPr>
        <w:t>数据，</w:t>
      </w:r>
      <w:r>
        <w:rPr>
          <w:rFonts w:hint="eastAsia" w:ascii="Times New Roman" w:hAnsi="Times New Roman"/>
          <w:u w:val="single"/>
          <w:lang w:val="en-US" w:eastAsia="zh-CN"/>
        </w:rPr>
        <w:t>地表水环境灰河屈庄断面2019年内COD、总氮、总磷因子常规监测数据不能稳定达标，氨氮因子能够满足《地表水环境质量标准》（GB3838-2002）Ⅲ类标准要求。</w:t>
      </w:r>
    </w:p>
    <w:p>
      <w:pPr>
        <w:pStyle w:val="4"/>
        <w:bidi w:val="0"/>
        <w:spacing w:line="360" w:lineRule="auto"/>
      </w:pPr>
      <w:r>
        <w:rPr>
          <w:rFonts w:hint="eastAsia"/>
          <w:lang w:val="en-US" w:eastAsia="zh-CN"/>
        </w:rPr>
        <w:t xml:space="preserve">5.7.3 </w:t>
      </w:r>
      <w:r>
        <w:t>地下水环境质量现状评价小结</w:t>
      </w:r>
    </w:p>
    <w:p>
      <w:pPr>
        <w:bidi w:val="0"/>
      </w:pPr>
      <w:r>
        <w:t>根据监测结果，</w:t>
      </w:r>
      <w:r>
        <w:rPr>
          <w:rFonts w:hint="eastAsia"/>
          <w:lang w:eastAsia="zh-CN"/>
        </w:rPr>
        <w:t>项目地</w:t>
      </w:r>
      <w:r>
        <w:t>、</w:t>
      </w:r>
      <w:r>
        <w:rPr>
          <w:rFonts w:hint="eastAsia"/>
          <w:lang w:eastAsia="zh-CN"/>
        </w:rPr>
        <w:t>张窖</w:t>
      </w:r>
      <w:r>
        <w:t>、</w:t>
      </w:r>
      <w:r>
        <w:rPr>
          <w:rFonts w:hint="eastAsia"/>
          <w:lang w:eastAsia="zh-CN"/>
        </w:rPr>
        <w:t>老龚庄村</w:t>
      </w:r>
      <w:r>
        <w:t>全部检测因子均满足《地下水质量标准》（GB/T14848-2017）III类标准。</w:t>
      </w:r>
    </w:p>
    <w:p>
      <w:pPr>
        <w:pStyle w:val="4"/>
        <w:bidi w:val="0"/>
        <w:spacing w:line="360" w:lineRule="auto"/>
        <w:rPr>
          <w:rFonts w:hint="eastAsia"/>
          <w:lang w:val="en-US" w:eastAsia="zh-CN"/>
        </w:rPr>
      </w:pPr>
      <w:r>
        <w:rPr>
          <w:rFonts w:hint="eastAsia"/>
          <w:lang w:val="en-US" w:eastAsia="zh-CN"/>
        </w:rPr>
        <w:t>5.7.4 声环境质量现状评价小结</w:t>
      </w:r>
    </w:p>
    <w:p>
      <w:pPr>
        <w:bidi w:val="0"/>
        <w:rPr>
          <w:u w:val="single"/>
        </w:rPr>
      </w:pPr>
      <w:r>
        <w:rPr>
          <w:rFonts w:hint="eastAsia"/>
          <w:u w:val="single"/>
          <w:lang w:eastAsia="zh-CN"/>
        </w:rPr>
        <w:t>后王庄敏感点和</w:t>
      </w:r>
      <w:r>
        <w:rPr>
          <w:u w:val="single"/>
        </w:rPr>
        <w:t>项目</w:t>
      </w:r>
      <w:r>
        <w:rPr>
          <w:rFonts w:hint="eastAsia"/>
          <w:u w:val="single"/>
          <w:lang w:eastAsia="zh-CN"/>
        </w:rPr>
        <w:t>厂界</w:t>
      </w:r>
      <w:r>
        <w:rPr>
          <w:u w:val="single"/>
        </w:rPr>
        <w:t>声环境质量现状昼、夜监测结果均能满足《声环境质量标准》（GB3096-2008）</w:t>
      </w:r>
      <w:r>
        <w:rPr>
          <w:rFonts w:hint="eastAsia"/>
          <w:u w:val="single"/>
          <w:lang w:val="en-US" w:eastAsia="zh-CN"/>
        </w:rPr>
        <w:t>1</w:t>
      </w:r>
      <w:r>
        <w:rPr>
          <w:u w:val="single"/>
        </w:rPr>
        <w:t>类标准要求</w:t>
      </w:r>
      <w:r>
        <w:rPr>
          <w:rFonts w:hint="eastAsia"/>
          <w:u w:val="single"/>
          <w:lang w:eastAsia="zh-CN"/>
        </w:rPr>
        <w:t>，</w:t>
      </w:r>
      <w:r>
        <w:rPr>
          <w:u w:val="single"/>
        </w:rPr>
        <w:t>说明项目厂址所在区域声环境质量现状良好。</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pPr>
      <w:r>
        <w:rPr>
          <w:rFonts w:hint="eastAsia"/>
          <w:lang w:val="en-US" w:eastAsia="zh-CN"/>
        </w:rPr>
        <w:t xml:space="preserve">5.7.5 </w:t>
      </w:r>
      <w:r>
        <w:t>土壤环境质量现状评价小结</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pacing w:val="0"/>
          <w:sz w:val="24"/>
        </w:rPr>
      </w:pPr>
      <w:r>
        <w:rPr>
          <w:spacing w:val="0"/>
          <w:sz w:val="24"/>
        </w:rPr>
        <w:t>根据监测结果，项目各检测点位各检测因子均满足相应土壤环境质量筛选值要求，土壤环境质量较好。</w:t>
      </w:r>
    </w:p>
    <w:p>
      <w:pPr>
        <w:pStyle w:val="3"/>
        <w:bidi w:val="0"/>
        <w:rPr>
          <w:color w:val="000000" w:themeColor="text1"/>
          <w14:textFill>
            <w14:solidFill>
              <w14:schemeClr w14:val="tx1"/>
            </w14:solidFill>
          </w14:textFill>
        </w:rPr>
      </w:pPr>
      <w:bookmarkStart w:id="126" w:name="_Toc20469"/>
      <w:bookmarkStart w:id="127" w:name="_Toc13978"/>
      <w:bookmarkStart w:id="128" w:name="_Toc20196"/>
      <w:r>
        <w:rPr>
          <w:rFonts w:hint="default"/>
          <w:color w:val="000000" w:themeColor="text1"/>
          <w:lang w:val="en-US" w:eastAsia="zh-CN"/>
          <w14:textFill>
            <w14:solidFill>
              <w14:schemeClr w14:val="tx1"/>
            </w14:solidFill>
          </w14:textFill>
        </w:rPr>
        <w:t xml:space="preserve">5.8 </w:t>
      </w:r>
      <w:r>
        <w:rPr>
          <w:color w:val="000000" w:themeColor="text1"/>
          <w:lang w:val="en-US" w:eastAsia="zh-CN"/>
          <w14:textFill>
            <w14:solidFill>
              <w14:schemeClr w14:val="tx1"/>
            </w14:solidFill>
          </w14:textFill>
        </w:rPr>
        <w:t>区域污染源调查</w:t>
      </w:r>
      <w:bookmarkEnd w:id="126"/>
      <w:bookmarkEnd w:id="127"/>
      <w:bookmarkEnd w:id="128"/>
    </w:p>
    <w:p>
      <w:pPr>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项目位于</w:t>
      </w:r>
      <w:r>
        <w:rPr>
          <w:rFonts w:hint="eastAsia"/>
          <w:color w:val="000000" w:themeColor="text1"/>
          <w:lang w:val="en-US" w:eastAsia="zh-CN"/>
          <w14:textFill>
            <w14:solidFill>
              <w14:schemeClr w14:val="tx1"/>
            </w14:solidFill>
          </w14:textFill>
        </w:rPr>
        <w:t>平顶山市叶县廉村镇二郎庙村村北200米路东，周边为主要为农田、村庄等，无重大污染源生产企业。</w:t>
      </w:r>
    </w:p>
    <w:p>
      <w:pPr>
        <w:pStyle w:val="20"/>
      </w:pPr>
    </w:p>
    <w:p>
      <w:pPr>
        <w:pStyle w:val="19"/>
        <w:keepNext w:val="0"/>
        <w:keepLines w:val="0"/>
        <w:widowControl/>
        <w:suppressLineNumbers w:val="0"/>
        <w:spacing w:before="0" w:beforeAutospacing="0" w:after="0" w:afterAutospacing="0"/>
        <w:ind w:left="0" w:right="0" w:firstLine="0"/>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spacing w:before="0"/>
        <w:ind w:right="0" w:firstLine="883"/>
      </w:pPr>
      <w:bookmarkStart w:id="129" w:name="_Toc9781"/>
      <w:bookmarkStart w:id="130" w:name="_Toc5686"/>
      <w:bookmarkStart w:id="131" w:name="_Toc29603"/>
      <w:bookmarkStart w:id="132" w:name="_Toc11926"/>
      <w:r>
        <w:t xml:space="preserve">第六章 </w:t>
      </w:r>
      <w:r>
        <w:rPr>
          <w:rFonts w:hint="eastAsia"/>
          <w:lang w:val="en-US"/>
        </w:rPr>
        <w:t xml:space="preserve"> </w:t>
      </w:r>
      <w:r>
        <w:t>环境影响预测与评价</w:t>
      </w:r>
      <w:bookmarkEnd w:id="129"/>
      <w:bookmarkEnd w:id="130"/>
      <w:bookmarkEnd w:id="131"/>
      <w:bookmarkEnd w:id="132"/>
    </w:p>
    <w:p>
      <w:pPr>
        <w:pStyle w:val="3"/>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pPr>
      <w:bookmarkStart w:id="133" w:name="_Toc16971"/>
      <w:bookmarkStart w:id="134" w:name="_Toc9973"/>
      <w:bookmarkStart w:id="135" w:name="_Toc3023"/>
      <w:bookmarkStart w:id="136" w:name="_Toc7372"/>
      <w:r>
        <w:rPr>
          <w:lang w:val="en-US"/>
        </w:rPr>
        <w:t>6.1 建设期环境影响分析</w:t>
      </w:r>
      <w:bookmarkEnd w:id="133"/>
      <w:bookmarkEnd w:id="134"/>
      <w:bookmarkEnd w:id="135"/>
      <w:bookmarkEnd w:id="136"/>
    </w:p>
    <w:p>
      <w:pPr>
        <w:widowControl/>
        <w:ind w:firstLine="480"/>
        <w:rPr>
          <w:rFonts w:ascii="宋体" w:hAnsi="宋体"/>
          <w:color w:val="000000"/>
          <w:szCs w:val="24"/>
          <w:lang w:val="en-US" w:bidi="ar"/>
        </w:rPr>
      </w:pPr>
      <w:r>
        <w:rPr>
          <w:rFonts w:hint="eastAsia" w:ascii="宋体" w:hAnsi="宋体"/>
          <w:color w:val="000000"/>
          <w:szCs w:val="24"/>
          <w:lang w:val="en-US" w:bidi="ar"/>
        </w:rPr>
        <w:t>本项目建设期间，各项施工活动，物料运输将不可避免的产生废气、粉尘、废水、噪声和固体废弃物，并对周围环境产生污染影响，其中以施工期的噪声和粉尘污染最为突出。建设期内主要影响如下。</w:t>
      </w:r>
    </w:p>
    <w:p>
      <w:pPr>
        <w:pStyle w:val="4"/>
        <w:ind w:firstLine="602"/>
        <w:rPr>
          <w:lang w:val="en-US"/>
        </w:rPr>
      </w:pPr>
      <w:bookmarkStart w:id="137" w:name="_Toc6791"/>
      <w:r>
        <w:rPr>
          <w:lang w:val="en-US"/>
        </w:rPr>
        <w:t xml:space="preserve">6.1.1 </w:t>
      </w:r>
      <w:r>
        <w:rPr>
          <w:rFonts w:hint="eastAsia"/>
          <w:lang w:val="en-US"/>
        </w:rPr>
        <w:t>环境空气影响分析</w:t>
      </w:r>
      <w:bookmarkEnd w:id="137"/>
    </w:p>
    <w:p>
      <w:pPr>
        <w:widowControl/>
        <w:ind w:firstLine="480"/>
        <w:rPr>
          <w:color w:val="000000"/>
          <w:szCs w:val="24"/>
          <w:lang w:val="en-US" w:bidi="ar"/>
        </w:rPr>
      </w:pPr>
      <w:r>
        <w:rPr>
          <w:rFonts w:hint="eastAsia"/>
          <w:color w:val="000000"/>
          <w:szCs w:val="24"/>
          <w:lang w:val="en-US" w:bidi="ar"/>
        </w:rPr>
        <w:t>建设施工过程中，燃油动力机械和运输车辆排放的废气，挖土、运土、填土、夯实和汽车运输过程的扬尘，装修产生的废气，临时食堂产生的油烟，都会给周围环境空气带来污染。污染大气的主要因子是</w:t>
      </w:r>
      <w:r>
        <w:rPr>
          <w:color w:val="000000"/>
          <w:szCs w:val="24"/>
          <w:lang w:val="en-US" w:bidi="ar"/>
        </w:rPr>
        <w:t>NO</w:t>
      </w:r>
      <w:r>
        <w:rPr>
          <w:color w:val="000000"/>
          <w:szCs w:val="24"/>
          <w:vertAlign w:val="subscript"/>
          <w:lang w:val="en-US" w:bidi="ar"/>
        </w:rPr>
        <w:t>2</w:t>
      </w:r>
      <w:r>
        <w:rPr>
          <w:rFonts w:hint="eastAsia"/>
          <w:color w:val="000000"/>
          <w:szCs w:val="24"/>
          <w:lang w:val="en-US" w:bidi="ar"/>
        </w:rPr>
        <w:t>、</w:t>
      </w:r>
      <w:r>
        <w:rPr>
          <w:color w:val="000000"/>
          <w:szCs w:val="24"/>
          <w:lang w:val="en-US" w:bidi="ar"/>
        </w:rPr>
        <w:t>CO</w:t>
      </w:r>
      <w:r>
        <w:rPr>
          <w:rFonts w:hint="eastAsia"/>
          <w:color w:val="000000"/>
          <w:szCs w:val="24"/>
          <w:lang w:val="en-US" w:bidi="ar"/>
        </w:rPr>
        <w:t>、</w:t>
      </w:r>
      <w:r>
        <w:rPr>
          <w:color w:val="000000"/>
          <w:szCs w:val="24"/>
          <w:lang w:val="en-US" w:bidi="ar"/>
        </w:rPr>
        <w:t>SO</w:t>
      </w:r>
      <w:r>
        <w:rPr>
          <w:color w:val="000000"/>
          <w:szCs w:val="24"/>
          <w:vertAlign w:val="subscript"/>
          <w:lang w:val="en-US" w:bidi="ar"/>
        </w:rPr>
        <w:t>2</w:t>
      </w:r>
      <w:r>
        <w:rPr>
          <w:rFonts w:hint="eastAsia"/>
          <w:color w:val="000000"/>
          <w:szCs w:val="24"/>
          <w:lang w:val="en-US" w:bidi="ar"/>
        </w:rPr>
        <w:t>、甲醛、油烟和扬尘等。</w:t>
      </w:r>
    </w:p>
    <w:p>
      <w:pPr>
        <w:widowControl/>
        <w:ind w:firstLine="480"/>
        <w:rPr>
          <w:color w:val="000000"/>
          <w:szCs w:val="24"/>
          <w:lang w:val="en-US" w:bidi="ar"/>
        </w:rPr>
      </w:pPr>
      <w:r>
        <w:rPr>
          <w:rFonts w:hint="eastAsia"/>
          <w:color w:val="000000"/>
          <w:szCs w:val="24"/>
          <w:lang w:val="en-US" w:bidi="ar"/>
        </w:rPr>
        <w:t>1、施工扬尘</w:t>
      </w:r>
    </w:p>
    <w:p>
      <w:pPr>
        <w:widowControl/>
        <w:ind w:firstLine="480"/>
        <w:rPr>
          <w:color w:val="000000"/>
          <w:szCs w:val="24"/>
          <w:lang w:val="en-US" w:bidi="ar"/>
        </w:rPr>
      </w:pPr>
      <w:r>
        <w:rPr>
          <w:rFonts w:hint="eastAsia"/>
          <w:color w:val="000000"/>
          <w:szCs w:val="24"/>
          <w:lang w:val="en-US" w:bidi="ar"/>
        </w:rPr>
        <w:t>施工过程扬尘污染的危害不容忽视。在施工现场的作业人员，如长时间吸入大量微细尘埃，不但会引起各种呼吸道疾病，而且，扬尘会夹带大量的</w:t>
      </w:r>
      <w:r>
        <w:rPr>
          <w:rFonts w:hint="eastAsia"/>
          <w:color w:val="000000"/>
          <w:szCs w:val="24"/>
          <w:lang w:val="en-US" w:eastAsia="zh-CN" w:bidi="ar"/>
        </w:rPr>
        <w:t>病原菌</w:t>
      </w:r>
      <w:r>
        <w:rPr>
          <w:rFonts w:hint="eastAsia"/>
          <w:color w:val="000000"/>
          <w:szCs w:val="24"/>
          <w:lang w:val="en-US" w:bidi="ar"/>
        </w:rPr>
        <w:t>，还会传染其它各种疾病，严重威胁施工人员的身体健康。此外，扬尘飘落在各种建筑物和绿叶植被上，将会影响景观。</w:t>
      </w:r>
    </w:p>
    <w:p>
      <w:pPr>
        <w:widowControl/>
        <w:ind w:firstLine="480"/>
        <w:rPr>
          <w:color w:val="000000"/>
          <w:szCs w:val="24"/>
          <w:lang w:val="en-US" w:bidi="ar"/>
        </w:rPr>
      </w:pPr>
      <w:r>
        <w:rPr>
          <w:rFonts w:hint="eastAsia"/>
          <w:color w:val="000000"/>
          <w:szCs w:val="24"/>
          <w:lang w:val="en-US" w:bidi="ar"/>
        </w:rPr>
        <w:t>对整个施工期而言，施工产生的扬尘主要集中在房屋建设阶段。按起尘的原因可分为风力起尘和动力起尘，其中风力起尘主要是由于露天堆放的建材</w:t>
      </w:r>
      <w:r>
        <w:rPr>
          <w:color w:val="000000"/>
          <w:szCs w:val="24"/>
          <w:lang w:val="en-US" w:bidi="ar"/>
        </w:rPr>
        <w:t>(</w:t>
      </w:r>
      <w:r>
        <w:rPr>
          <w:rFonts w:hint="eastAsia"/>
          <w:color w:val="000000"/>
          <w:szCs w:val="24"/>
          <w:lang w:val="en-US" w:bidi="ar"/>
        </w:rPr>
        <w:t>如沙土、水泥等</w:t>
      </w:r>
      <w:r>
        <w:rPr>
          <w:color w:val="000000"/>
          <w:szCs w:val="24"/>
          <w:lang w:val="en-US" w:bidi="ar"/>
        </w:rPr>
        <w:t>)</w:t>
      </w:r>
      <w:r>
        <w:rPr>
          <w:rFonts w:hint="eastAsia"/>
          <w:color w:val="000000"/>
          <w:szCs w:val="24"/>
          <w:lang w:val="en-US" w:bidi="ar"/>
        </w:rPr>
        <w:t>及裸露的施工区表层浮尘因天气干燥及大风，产生风尘扬尘；而动力起尘，主要是在建材的装卸、搅拌过程中，由于外力而产生的尘粒再悬浮而造成，其中施工及装卸车辆造成的扬尘最为严重。据有关文献资料介绍，车辆行驶产生的扬尘占总扬尘的</w:t>
      </w:r>
      <w:r>
        <w:rPr>
          <w:color w:val="000000"/>
          <w:szCs w:val="24"/>
          <w:lang w:val="en-US" w:bidi="ar"/>
        </w:rPr>
        <w:t>60%</w:t>
      </w:r>
      <w:r>
        <w:rPr>
          <w:rFonts w:hint="eastAsia"/>
          <w:color w:val="000000"/>
          <w:szCs w:val="24"/>
          <w:lang w:val="en-US" w:bidi="ar"/>
        </w:rPr>
        <w:t>上。不同车速和地面清洁程度的汽车扬尘产生情况见表</w:t>
      </w:r>
      <w:r>
        <w:rPr>
          <w:color w:val="000000"/>
          <w:szCs w:val="24"/>
          <w:lang w:val="en-US" w:bidi="ar"/>
        </w:rPr>
        <w:t>6.1-1</w:t>
      </w:r>
      <w:r>
        <w:rPr>
          <w:rFonts w:hint="eastAsia"/>
          <w:color w:val="000000"/>
          <w:szCs w:val="24"/>
          <w:lang w:val="en-US" w:bidi="ar"/>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b/>
          <w:bCs/>
          <w:color w:val="000000"/>
          <w:szCs w:val="24"/>
          <w:lang w:val="en-US" w:bidi="ar"/>
        </w:rPr>
      </w:pPr>
      <w:r>
        <w:rPr>
          <w:rFonts w:hint="eastAsia"/>
          <w:b/>
          <w:bCs/>
          <w:color w:val="000000"/>
          <w:szCs w:val="24"/>
          <w:lang w:val="en-US" w:bidi="ar"/>
        </w:rPr>
        <w:t>6.1-1  不同车速和地面清洁程度的汽车扬尘</w:t>
      </w:r>
      <w:r>
        <w:rPr>
          <w:b/>
          <w:bCs/>
          <w:color w:val="000000"/>
          <w:szCs w:val="24"/>
          <w:lang w:val="en-US" w:bidi="ar"/>
        </w:rPr>
        <w:t xml:space="preserve"> </w:t>
      </w:r>
      <w:r>
        <w:rPr>
          <w:rFonts w:hint="eastAsia"/>
          <w:b/>
          <w:bCs/>
          <w:color w:val="000000"/>
          <w:szCs w:val="24"/>
          <w:lang w:val="en-US" w:bidi="ar"/>
        </w:rPr>
        <w:t>单位：</w:t>
      </w:r>
      <w:r>
        <w:rPr>
          <w:b/>
          <w:bCs/>
          <w:color w:val="000000"/>
          <w:szCs w:val="24"/>
          <w:lang w:val="en-US" w:bidi="ar"/>
        </w:rPr>
        <w:t>kg/</w:t>
      </w:r>
      <w:r>
        <w:rPr>
          <w:rFonts w:hint="eastAsia"/>
          <w:b/>
          <w:bCs/>
          <w:color w:val="000000"/>
          <w:szCs w:val="24"/>
          <w:lang w:val="en-US" w:bidi="ar"/>
        </w:rPr>
        <w:t>辆</w:t>
      </w:r>
      <w:r>
        <w:rPr>
          <w:b/>
          <w:bCs/>
          <w:color w:val="000000"/>
          <w:szCs w:val="24"/>
          <w:lang w:val="en-US" w:bidi="ar"/>
        </w:rPr>
        <w:t>·km</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327"/>
        <w:gridCol w:w="1327"/>
        <w:gridCol w:w="1327"/>
        <w:gridCol w:w="1328"/>
        <w:gridCol w:w="1328"/>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P(kg/m</w:t>
            </w:r>
            <w:r>
              <w:rPr>
                <w:rFonts w:hint="eastAsia"/>
                <w:sz w:val="21"/>
                <w:szCs w:val="21"/>
                <w:vertAlign w:val="superscript"/>
                <w:lang w:val="en-US"/>
              </w:rPr>
              <w:t>2</w:t>
            </w:r>
            <w:r>
              <w:rPr>
                <w:rFonts w:hint="eastAsia"/>
                <w:sz w:val="21"/>
                <w:szCs w:val="21"/>
                <w:lang w:val="en-US"/>
              </w:rPr>
              <w:t>)</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0.1</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0.2</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0.3</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0.4</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0.5</w:t>
            </w:r>
          </w:p>
        </w:tc>
        <w:tc>
          <w:tcPr>
            <w:tcW w:w="714" w:type="pct"/>
            <w:vAlign w:val="center"/>
          </w:tcPr>
          <w:p>
            <w:pPr>
              <w:pStyle w:val="20"/>
              <w:spacing w:after="0" w:line="240" w:lineRule="auto"/>
              <w:ind w:left="0" w:leftChars="0" w:firstLine="0" w:firstLineChars="0"/>
              <w:jc w:val="center"/>
              <w:rPr>
                <w:sz w:val="21"/>
                <w:szCs w:val="21"/>
                <w:lang w:val="en-US"/>
              </w:rPr>
            </w:pPr>
            <w:r>
              <w:rPr>
                <w:rFonts w:hint="eastAsia"/>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widowControl/>
              <w:spacing w:line="240" w:lineRule="auto"/>
              <w:ind w:firstLine="0" w:firstLineChars="0"/>
              <w:jc w:val="center"/>
              <w:rPr>
                <w:sz w:val="21"/>
                <w:szCs w:val="21"/>
                <w:lang w:val="en-US"/>
              </w:rPr>
            </w:pPr>
            <w:r>
              <w:rPr>
                <w:rFonts w:hint="eastAsia"/>
                <w:sz w:val="21"/>
                <w:szCs w:val="21"/>
                <w:lang w:val="en-US"/>
              </w:rPr>
              <w:t>5</w:t>
            </w:r>
            <w:r>
              <w:rPr>
                <w:rFonts w:cs="Times New Roman"/>
                <w:color w:val="000000"/>
                <w:sz w:val="21"/>
                <w:szCs w:val="21"/>
                <w:lang w:val="en-US" w:bidi="ar"/>
              </w:rPr>
              <w:t>(km/hr)</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0.051056</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0.0261665</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0.116382</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0.144408</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0.170715</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widowControl/>
              <w:spacing w:line="240" w:lineRule="auto"/>
              <w:ind w:firstLine="0" w:firstLineChars="0"/>
              <w:jc w:val="center"/>
              <w:rPr>
                <w:sz w:val="21"/>
                <w:szCs w:val="21"/>
                <w:lang w:val="en-US"/>
              </w:rPr>
            </w:pPr>
            <w:r>
              <w:rPr>
                <w:rFonts w:hint="eastAsia"/>
                <w:sz w:val="21"/>
                <w:szCs w:val="21"/>
                <w:lang w:val="en-US"/>
              </w:rPr>
              <w:t>10</w:t>
            </w:r>
            <w:r>
              <w:rPr>
                <w:rFonts w:cs="Times New Roman"/>
                <w:color w:val="000000"/>
                <w:sz w:val="21"/>
                <w:szCs w:val="21"/>
                <w:lang w:val="en-US" w:bidi="ar"/>
              </w:rPr>
              <w:t>(km/hr)</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0.102112</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0.171731</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0.232764</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0.288815</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0.341431</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widowControl/>
              <w:spacing w:line="240" w:lineRule="auto"/>
              <w:ind w:firstLine="0" w:firstLineChars="0"/>
              <w:jc w:val="center"/>
              <w:rPr>
                <w:sz w:val="21"/>
                <w:szCs w:val="21"/>
                <w:lang w:val="en-US"/>
              </w:rPr>
            </w:pPr>
            <w:r>
              <w:rPr>
                <w:rFonts w:hint="eastAsia"/>
                <w:sz w:val="21"/>
                <w:szCs w:val="21"/>
                <w:lang w:val="en-US"/>
              </w:rPr>
              <w:t>15</w:t>
            </w:r>
            <w:r>
              <w:rPr>
                <w:rFonts w:cs="Times New Roman"/>
                <w:color w:val="000000"/>
                <w:sz w:val="21"/>
                <w:szCs w:val="21"/>
                <w:lang w:val="en-US" w:bidi="ar"/>
              </w:rPr>
              <w:t>(km/hr)</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0.153167</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0.257596</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0.349146</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0.433223</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0.512146</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widowControl/>
              <w:spacing w:line="240" w:lineRule="auto"/>
              <w:ind w:firstLine="0" w:firstLineChars="0"/>
              <w:jc w:val="center"/>
              <w:rPr>
                <w:sz w:val="21"/>
                <w:szCs w:val="21"/>
                <w:lang w:val="en-US"/>
              </w:rPr>
            </w:pPr>
            <w:r>
              <w:rPr>
                <w:rFonts w:hint="eastAsia"/>
                <w:sz w:val="21"/>
                <w:szCs w:val="21"/>
                <w:lang w:val="en-US"/>
              </w:rPr>
              <w:t>20</w:t>
            </w:r>
            <w:r>
              <w:rPr>
                <w:rFonts w:cs="Times New Roman"/>
                <w:color w:val="000000"/>
                <w:sz w:val="21"/>
                <w:szCs w:val="21"/>
                <w:lang w:val="en-US" w:bidi="ar"/>
              </w:rPr>
              <w:t>(km/hr)</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0.255279</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0.429326</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0.58191</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0.722038</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0.853577</w:t>
            </w:r>
          </w:p>
        </w:tc>
        <w:tc>
          <w:tcPr>
            <w:tcW w:w="714" w:type="pct"/>
            <w:vAlign w:val="center"/>
          </w:tcPr>
          <w:p>
            <w:pPr>
              <w:widowControl/>
              <w:spacing w:line="240" w:lineRule="auto"/>
              <w:ind w:firstLine="0" w:firstLineChars="0"/>
              <w:jc w:val="center"/>
              <w:rPr>
                <w:sz w:val="21"/>
                <w:szCs w:val="21"/>
                <w:lang w:val="en-US"/>
              </w:rPr>
            </w:pPr>
            <w:r>
              <w:rPr>
                <w:rFonts w:cs="Times New Roman"/>
                <w:color w:val="000000"/>
                <w:sz w:val="21"/>
                <w:szCs w:val="21"/>
                <w:lang w:val="en-US" w:bidi="ar"/>
              </w:rPr>
              <w:t>1.435539</w:t>
            </w:r>
          </w:p>
        </w:tc>
      </w:tr>
    </w:tbl>
    <w:p>
      <w:pPr>
        <w:ind w:firstLine="480"/>
        <w:rPr>
          <w:lang w:val="en-US"/>
        </w:rPr>
      </w:pPr>
      <w:r>
        <w:rPr>
          <w:rFonts w:hint="eastAsia"/>
          <w:lang w:val="en-US"/>
        </w:rPr>
        <w:t>施工期扬尘的另一个主要原因是露天堆场和裸露场地的风力扬尘。由于施工的需要，一些建材需露天堆放；一些施工点表层土壤需人工开挖、堆放，在气候干燥又有风的情况下，会产生扬尘。不同粒径尘粒的沉降速度见表</w:t>
      </w:r>
      <w:r>
        <w:rPr>
          <w:lang w:val="en-US"/>
        </w:rPr>
        <w:t>6.1-2</w:t>
      </w:r>
      <w:r>
        <w:rPr>
          <w:rFonts w:hint="eastAsia"/>
          <w:lang w:val="en-US"/>
        </w:rPr>
        <w:t>。</w:t>
      </w:r>
    </w:p>
    <w:p>
      <w:pPr>
        <w:widowControl/>
        <w:ind w:firstLine="482"/>
        <w:jc w:val="center"/>
        <w:rPr>
          <w:b/>
          <w:bCs/>
          <w:color w:val="000000"/>
          <w:szCs w:val="24"/>
          <w:lang w:val="en-US" w:bidi="ar"/>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imes New Roman" w:hAnsi="Times New Roman"/>
          <w:b/>
          <w:bCs/>
          <w:color w:val="000000"/>
          <w:szCs w:val="24"/>
          <w:lang w:val="en-US" w:bidi="ar"/>
        </w:rPr>
      </w:pPr>
      <w:r>
        <w:rPr>
          <w:rFonts w:hint="eastAsia" w:ascii="Times New Roman" w:hAnsi="Times New Roman"/>
          <w:b/>
          <w:bCs/>
          <w:color w:val="000000"/>
          <w:szCs w:val="24"/>
          <w:lang w:val="en-US" w:bidi="ar"/>
        </w:rPr>
        <w:t>6.1-2  不同粒径尘粒的沉降速度</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160"/>
        <w:gridCol w:w="1060"/>
        <w:gridCol w:w="1120"/>
        <w:gridCol w:w="1000"/>
        <w:gridCol w:w="1070"/>
        <w:gridCol w:w="960"/>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粒径（</w:t>
            </w:r>
            <w:r>
              <w:rPr>
                <w:sz w:val="21"/>
                <w:szCs w:val="21"/>
                <w:lang w:val="en-US"/>
              </w:rPr>
              <w:t>μm</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rFonts w:hint="eastAsia"/>
                <w:sz w:val="21"/>
                <w:szCs w:val="21"/>
                <w:lang w:val="en-US"/>
              </w:rPr>
              <w:t>10</w:t>
            </w:r>
          </w:p>
        </w:tc>
        <w:tc>
          <w:tcPr>
            <w:tcW w:w="1060" w:type="dxa"/>
            <w:vAlign w:val="center"/>
          </w:tcPr>
          <w:p>
            <w:pPr>
              <w:widowControl/>
              <w:spacing w:line="240" w:lineRule="auto"/>
              <w:ind w:firstLine="0" w:firstLineChars="0"/>
              <w:jc w:val="center"/>
              <w:rPr>
                <w:sz w:val="21"/>
                <w:szCs w:val="21"/>
                <w:lang w:val="en-US"/>
              </w:rPr>
            </w:pPr>
            <w:r>
              <w:rPr>
                <w:rFonts w:hint="eastAsia"/>
                <w:sz w:val="21"/>
                <w:szCs w:val="21"/>
                <w:lang w:val="en-US"/>
              </w:rPr>
              <w:t>20</w:t>
            </w:r>
          </w:p>
        </w:tc>
        <w:tc>
          <w:tcPr>
            <w:tcW w:w="1120" w:type="dxa"/>
            <w:vAlign w:val="center"/>
          </w:tcPr>
          <w:p>
            <w:pPr>
              <w:widowControl/>
              <w:spacing w:line="240" w:lineRule="auto"/>
              <w:ind w:firstLine="0" w:firstLineChars="0"/>
              <w:jc w:val="center"/>
              <w:rPr>
                <w:sz w:val="21"/>
                <w:szCs w:val="21"/>
                <w:lang w:val="en-US"/>
              </w:rPr>
            </w:pPr>
            <w:r>
              <w:rPr>
                <w:rFonts w:hint="eastAsia"/>
                <w:sz w:val="21"/>
                <w:szCs w:val="21"/>
                <w:lang w:val="en-US"/>
              </w:rPr>
              <w:t>30</w:t>
            </w:r>
          </w:p>
        </w:tc>
        <w:tc>
          <w:tcPr>
            <w:tcW w:w="1000" w:type="dxa"/>
            <w:vAlign w:val="center"/>
          </w:tcPr>
          <w:p>
            <w:pPr>
              <w:widowControl/>
              <w:spacing w:line="240" w:lineRule="auto"/>
              <w:ind w:firstLine="0" w:firstLineChars="0"/>
              <w:jc w:val="center"/>
              <w:rPr>
                <w:sz w:val="21"/>
                <w:szCs w:val="21"/>
                <w:lang w:val="en-US"/>
              </w:rPr>
            </w:pPr>
            <w:r>
              <w:rPr>
                <w:rFonts w:hint="eastAsia"/>
                <w:sz w:val="21"/>
                <w:szCs w:val="21"/>
                <w:lang w:val="en-US"/>
              </w:rPr>
              <w:t>40</w:t>
            </w:r>
          </w:p>
        </w:tc>
        <w:tc>
          <w:tcPr>
            <w:tcW w:w="1070" w:type="dxa"/>
            <w:vAlign w:val="center"/>
          </w:tcPr>
          <w:p>
            <w:pPr>
              <w:widowControl/>
              <w:spacing w:line="240" w:lineRule="auto"/>
              <w:ind w:firstLine="0" w:firstLineChars="0"/>
              <w:jc w:val="center"/>
              <w:rPr>
                <w:sz w:val="21"/>
                <w:szCs w:val="21"/>
                <w:lang w:val="en-US"/>
              </w:rPr>
            </w:pPr>
            <w:r>
              <w:rPr>
                <w:rFonts w:hint="eastAsia"/>
                <w:sz w:val="21"/>
                <w:szCs w:val="21"/>
                <w:lang w:val="en-US"/>
              </w:rPr>
              <w:t>50</w:t>
            </w:r>
          </w:p>
        </w:tc>
        <w:tc>
          <w:tcPr>
            <w:tcW w:w="960" w:type="dxa"/>
            <w:vAlign w:val="center"/>
          </w:tcPr>
          <w:p>
            <w:pPr>
              <w:widowControl/>
              <w:spacing w:line="240" w:lineRule="auto"/>
              <w:ind w:firstLine="0" w:firstLineChars="0"/>
              <w:jc w:val="center"/>
              <w:rPr>
                <w:sz w:val="21"/>
                <w:szCs w:val="21"/>
                <w:lang w:val="en-US"/>
              </w:rPr>
            </w:pPr>
            <w:r>
              <w:rPr>
                <w:rFonts w:hint="eastAsia"/>
                <w:sz w:val="21"/>
                <w:szCs w:val="21"/>
                <w:lang w:val="en-US"/>
              </w:rPr>
              <w:t>60</w:t>
            </w:r>
          </w:p>
        </w:tc>
        <w:tc>
          <w:tcPr>
            <w:tcW w:w="891" w:type="dxa"/>
            <w:vAlign w:val="center"/>
          </w:tcPr>
          <w:p>
            <w:pPr>
              <w:widowControl/>
              <w:spacing w:line="240" w:lineRule="auto"/>
              <w:ind w:firstLine="0" w:firstLineChars="0"/>
              <w:jc w:val="center"/>
              <w:rPr>
                <w:sz w:val="21"/>
                <w:szCs w:val="21"/>
                <w:lang w:val="en-US"/>
              </w:rPr>
            </w:pPr>
            <w:r>
              <w:rPr>
                <w:rFonts w:hint="eastAsia"/>
                <w:sz w:val="21"/>
                <w:szCs w:val="21"/>
                <w:lang w:val="en-U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沉降速度（</w:t>
            </w:r>
            <w:r>
              <w:rPr>
                <w:sz w:val="21"/>
                <w:szCs w:val="21"/>
                <w:lang w:val="en-US"/>
              </w:rPr>
              <w:t>m/s</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sz w:val="21"/>
                <w:szCs w:val="21"/>
                <w:lang w:val="en-US"/>
              </w:rPr>
              <w:t>0.003</w:t>
            </w:r>
          </w:p>
        </w:tc>
        <w:tc>
          <w:tcPr>
            <w:tcW w:w="1060" w:type="dxa"/>
            <w:vAlign w:val="center"/>
          </w:tcPr>
          <w:p>
            <w:pPr>
              <w:widowControl/>
              <w:spacing w:line="240" w:lineRule="auto"/>
              <w:ind w:firstLine="0" w:firstLineChars="0"/>
              <w:jc w:val="center"/>
              <w:rPr>
                <w:sz w:val="21"/>
                <w:szCs w:val="21"/>
                <w:lang w:val="en-US"/>
              </w:rPr>
            </w:pPr>
            <w:r>
              <w:rPr>
                <w:sz w:val="21"/>
                <w:szCs w:val="21"/>
                <w:lang w:val="en-US"/>
              </w:rPr>
              <w:t>0.012</w:t>
            </w:r>
          </w:p>
        </w:tc>
        <w:tc>
          <w:tcPr>
            <w:tcW w:w="1120" w:type="dxa"/>
            <w:vAlign w:val="center"/>
          </w:tcPr>
          <w:p>
            <w:pPr>
              <w:widowControl/>
              <w:spacing w:line="240" w:lineRule="auto"/>
              <w:ind w:firstLine="0" w:firstLineChars="0"/>
              <w:jc w:val="center"/>
              <w:rPr>
                <w:sz w:val="21"/>
                <w:szCs w:val="21"/>
                <w:lang w:val="en-US"/>
              </w:rPr>
            </w:pPr>
            <w:r>
              <w:rPr>
                <w:sz w:val="21"/>
                <w:szCs w:val="21"/>
                <w:lang w:val="en-US"/>
              </w:rPr>
              <w:t>0.027</w:t>
            </w:r>
          </w:p>
        </w:tc>
        <w:tc>
          <w:tcPr>
            <w:tcW w:w="1000" w:type="dxa"/>
            <w:vAlign w:val="center"/>
          </w:tcPr>
          <w:p>
            <w:pPr>
              <w:widowControl/>
              <w:spacing w:line="240" w:lineRule="auto"/>
              <w:ind w:firstLine="0" w:firstLineChars="0"/>
              <w:jc w:val="center"/>
              <w:rPr>
                <w:sz w:val="21"/>
                <w:szCs w:val="21"/>
                <w:lang w:val="en-US"/>
              </w:rPr>
            </w:pPr>
            <w:r>
              <w:rPr>
                <w:sz w:val="21"/>
                <w:szCs w:val="21"/>
                <w:lang w:val="en-US"/>
              </w:rPr>
              <w:t>0.048</w:t>
            </w:r>
          </w:p>
        </w:tc>
        <w:tc>
          <w:tcPr>
            <w:tcW w:w="1070" w:type="dxa"/>
            <w:vAlign w:val="center"/>
          </w:tcPr>
          <w:p>
            <w:pPr>
              <w:widowControl/>
              <w:spacing w:line="240" w:lineRule="auto"/>
              <w:ind w:firstLine="0" w:firstLineChars="0"/>
              <w:jc w:val="center"/>
              <w:rPr>
                <w:sz w:val="21"/>
                <w:szCs w:val="21"/>
                <w:lang w:val="en-US"/>
              </w:rPr>
            </w:pPr>
            <w:r>
              <w:rPr>
                <w:sz w:val="21"/>
                <w:szCs w:val="21"/>
                <w:lang w:val="en-US"/>
              </w:rPr>
              <w:t>0.075</w:t>
            </w:r>
          </w:p>
        </w:tc>
        <w:tc>
          <w:tcPr>
            <w:tcW w:w="960" w:type="dxa"/>
            <w:vAlign w:val="center"/>
          </w:tcPr>
          <w:p>
            <w:pPr>
              <w:widowControl/>
              <w:spacing w:line="240" w:lineRule="auto"/>
              <w:ind w:firstLine="0" w:firstLineChars="0"/>
              <w:jc w:val="center"/>
              <w:rPr>
                <w:sz w:val="21"/>
                <w:szCs w:val="21"/>
                <w:lang w:val="en-US"/>
              </w:rPr>
            </w:pPr>
            <w:r>
              <w:rPr>
                <w:sz w:val="21"/>
                <w:szCs w:val="21"/>
                <w:lang w:val="en-US"/>
              </w:rPr>
              <w:t>0.108</w:t>
            </w:r>
          </w:p>
        </w:tc>
        <w:tc>
          <w:tcPr>
            <w:tcW w:w="891" w:type="dxa"/>
            <w:vAlign w:val="center"/>
          </w:tcPr>
          <w:p>
            <w:pPr>
              <w:widowControl/>
              <w:spacing w:line="240" w:lineRule="auto"/>
              <w:ind w:firstLine="0" w:firstLineChars="0"/>
              <w:jc w:val="center"/>
              <w:rPr>
                <w:sz w:val="21"/>
                <w:szCs w:val="21"/>
                <w:lang w:val="en-US"/>
              </w:rPr>
            </w:pPr>
            <w:r>
              <w:rPr>
                <w:sz w:val="21"/>
                <w:szCs w:val="21"/>
                <w:lang w:val="en-US"/>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粒径（</w:t>
            </w:r>
            <w:r>
              <w:rPr>
                <w:sz w:val="21"/>
                <w:szCs w:val="21"/>
                <w:lang w:val="en-US"/>
              </w:rPr>
              <w:t>μm</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sz w:val="21"/>
                <w:szCs w:val="21"/>
                <w:lang w:val="en-US"/>
              </w:rPr>
              <w:t>80</w:t>
            </w:r>
          </w:p>
        </w:tc>
        <w:tc>
          <w:tcPr>
            <w:tcW w:w="1060" w:type="dxa"/>
            <w:vAlign w:val="center"/>
          </w:tcPr>
          <w:p>
            <w:pPr>
              <w:widowControl/>
              <w:spacing w:line="240" w:lineRule="auto"/>
              <w:ind w:firstLine="0" w:firstLineChars="0"/>
              <w:jc w:val="center"/>
              <w:rPr>
                <w:sz w:val="21"/>
                <w:szCs w:val="21"/>
                <w:lang w:val="en-US"/>
              </w:rPr>
            </w:pPr>
            <w:r>
              <w:rPr>
                <w:sz w:val="21"/>
                <w:szCs w:val="21"/>
                <w:lang w:val="en-US"/>
              </w:rPr>
              <w:t>90</w:t>
            </w:r>
          </w:p>
        </w:tc>
        <w:tc>
          <w:tcPr>
            <w:tcW w:w="1120" w:type="dxa"/>
            <w:vAlign w:val="center"/>
          </w:tcPr>
          <w:p>
            <w:pPr>
              <w:widowControl/>
              <w:spacing w:line="240" w:lineRule="auto"/>
              <w:ind w:firstLine="0" w:firstLineChars="0"/>
              <w:jc w:val="center"/>
              <w:rPr>
                <w:sz w:val="21"/>
                <w:szCs w:val="21"/>
                <w:lang w:val="en-US"/>
              </w:rPr>
            </w:pPr>
            <w:r>
              <w:rPr>
                <w:sz w:val="21"/>
                <w:szCs w:val="21"/>
                <w:lang w:val="en-US"/>
              </w:rPr>
              <w:t>100</w:t>
            </w:r>
          </w:p>
        </w:tc>
        <w:tc>
          <w:tcPr>
            <w:tcW w:w="1000" w:type="dxa"/>
            <w:vAlign w:val="center"/>
          </w:tcPr>
          <w:p>
            <w:pPr>
              <w:widowControl/>
              <w:spacing w:line="240" w:lineRule="auto"/>
              <w:ind w:firstLine="0" w:firstLineChars="0"/>
              <w:jc w:val="center"/>
              <w:rPr>
                <w:sz w:val="21"/>
                <w:szCs w:val="21"/>
                <w:lang w:val="en-US"/>
              </w:rPr>
            </w:pPr>
            <w:r>
              <w:rPr>
                <w:sz w:val="21"/>
                <w:szCs w:val="21"/>
                <w:lang w:val="en-US"/>
              </w:rPr>
              <w:t>150</w:t>
            </w:r>
          </w:p>
        </w:tc>
        <w:tc>
          <w:tcPr>
            <w:tcW w:w="1070" w:type="dxa"/>
            <w:vAlign w:val="center"/>
          </w:tcPr>
          <w:p>
            <w:pPr>
              <w:widowControl/>
              <w:spacing w:line="240" w:lineRule="auto"/>
              <w:ind w:firstLine="0" w:firstLineChars="0"/>
              <w:jc w:val="center"/>
              <w:rPr>
                <w:sz w:val="21"/>
                <w:szCs w:val="21"/>
                <w:lang w:val="en-US"/>
              </w:rPr>
            </w:pPr>
            <w:r>
              <w:rPr>
                <w:sz w:val="21"/>
                <w:szCs w:val="21"/>
                <w:lang w:val="en-US"/>
              </w:rPr>
              <w:t>200</w:t>
            </w:r>
          </w:p>
        </w:tc>
        <w:tc>
          <w:tcPr>
            <w:tcW w:w="960" w:type="dxa"/>
            <w:vAlign w:val="center"/>
          </w:tcPr>
          <w:p>
            <w:pPr>
              <w:widowControl/>
              <w:spacing w:line="240" w:lineRule="auto"/>
              <w:ind w:firstLine="0" w:firstLineChars="0"/>
              <w:jc w:val="center"/>
              <w:rPr>
                <w:sz w:val="21"/>
                <w:szCs w:val="21"/>
                <w:lang w:val="en-US"/>
              </w:rPr>
            </w:pPr>
            <w:r>
              <w:rPr>
                <w:sz w:val="21"/>
                <w:szCs w:val="21"/>
                <w:lang w:val="en-US"/>
              </w:rPr>
              <w:t>250</w:t>
            </w:r>
          </w:p>
        </w:tc>
        <w:tc>
          <w:tcPr>
            <w:tcW w:w="891" w:type="dxa"/>
            <w:vAlign w:val="center"/>
          </w:tcPr>
          <w:p>
            <w:pPr>
              <w:widowControl/>
              <w:spacing w:line="240" w:lineRule="auto"/>
              <w:ind w:firstLine="0" w:firstLineChars="0"/>
              <w:jc w:val="center"/>
              <w:rPr>
                <w:sz w:val="21"/>
                <w:szCs w:val="21"/>
                <w:lang w:val="en-US"/>
              </w:rPr>
            </w:pPr>
            <w:r>
              <w:rPr>
                <w:sz w:val="21"/>
                <w:szCs w:val="21"/>
                <w:lang w:val="en-US"/>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沉降速度（</w:t>
            </w:r>
            <w:r>
              <w:rPr>
                <w:sz w:val="21"/>
                <w:szCs w:val="21"/>
                <w:lang w:val="en-US"/>
              </w:rPr>
              <w:t>m/s</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sz w:val="21"/>
                <w:szCs w:val="21"/>
                <w:lang w:val="en-US"/>
              </w:rPr>
              <w:t>0.158</w:t>
            </w:r>
          </w:p>
        </w:tc>
        <w:tc>
          <w:tcPr>
            <w:tcW w:w="1060" w:type="dxa"/>
            <w:vAlign w:val="center"/>
          </w:tcPr>
          <w:p>
            <w:pPr>
              <w:widowControl/>
              <w:spacing w:line="240" w:lineRule="auto"/>
              <w:ind w:firstLine="0" w:firstLineChars="0"/>
              <w:jc w:val="center"/>
              <w:rPr>
                <w:sz w:val="21"/>
                <w:szCs w:val="21"/>
                <w:lang w:val="en-US"/>
              </w:rPr>
            </w:pPr>
            <w:r>
              <w:rPr>
                <w:sz w:val="21"/>
                <w:szCs w:val="21"/>
                <w:lang w:val="en-US"/>
              </w:rPr>
              <w:t>0.170</w:t>
            </w:r>
          </w:p>
        </w:tc>
        <w:tc>
          <w:tcPr>
            <w:tcW w:w="1120" w:type="dxa"/>
            <w:vAlign w:val="center"/>
          </w:tcPr>
          <w:p>
            <w:pPr>
              <w:widowControl/>
              <w:spacing w:line="240" w:lineRule="auto"/>
              <w:ind w:firstLine="0" w:firstLineChars="0"/>
              <w:jc w:val="center"/>
              <w:rPr>
                <w:sz w:val="21"/>
                <w:szCs w:val="21"/>
                <w:lang w:val="en-US"/>
              </w:rPr>
            </w:pPr>
            <w:r>
              <w:rPr>
                <w:sz w:val="21"/>
                <w:szCs w:val="21"/>
                <w:lang w:val="en-US"/>
              </w:rPr>
              <w:t>0.182</w:t>
            </w:r>
          </w:p>
        </w:tc>
        <w:tc>
          <w:tcPr>
            <w:tcW w:w="1000" w:type="dxa"/>
            <w:vAlign w:val="center"/>
          </w:tcPr>
          <w:p>
            <w:pPr>
              <w:widowControl/>
              <w:spacing w:line="240" w:lineRule="auto"/>
              <w:ind w:firstLine="0" w:firstLineChars="0"/>
              <w:jc w:val="center"/>
              <w:rPr>
                <w:sz w:val="21"/>
                <w:szCs w:val="21"/>
                <w:lang w:val="en-US"/>
              </w:rPr>
            </w:pPr>
            <w:r>
              <w:rPr>
                <w:sz w:val="21"/>
                <w:szCs w:val="21"/>
                <w:lang w:val="en-US"/>
              </w:rPr>
              <w:t>0.239</w:t>
            </w:r>
          </w:p>
        </w:tc>
        <w:tc>
          <w:tcPr>
            <w:tcW w:w="1070" w:type="dxa"/>
            <w:vAlign w:val="center"/>
          </w:tcPr>
          <w:p>
            <w:pPr>
              <w:widowControl/>
              <w:spacing w:line="240" w:lineRule="auto"/>
              <w:ind w:firstLine="0" w:firstLineChars="0"/>
              <w:jc w:val="center"/>
              <w:rPr>
                <w:sz w:val="21"/>
                <w:szCs w:val="21"/>
                <w:lang w:val="en-US"/>
              </w:rPr>
            </w:pPr>
            <w:r>
              <w:rPr>
                <w:sz w:val="21"/>
                <w:szCs w:val="21"/>
                <w:lang w:val="en-US"/>
              </w:rPr>
              <w:t>0.804</w:t>
            </w:r>
          </w:p>
        </w:tc>
        <w:tc>
          <w:tcPr>
            <w:tcW w:w="960" w:type="dxa"/>
            <w:vAlign w:val="center"/>
          </w:tcPr>
          <w:p>
            <w:pPr>
              <w:widowControl/>
              <w:spacing w:line="240" w:lineRule="auto"/>
              <w:ind w:firstLine="0" w:firstLineChars="0"/>
              <w:jc w:val="center"/>
              <w:rPr>
                <w:sz w:val="21"/>
                <w:szCs w:val="21"/>
                <w:lang w:val="en-US"/>
              </w:rPr>
            </w:pPr>
            <w:r>
              <w:rPr>
                <w:sz w:val="21"/>
                <w:szCs w:val="21"/>
                <w:lang w:val="en-US"/>
              </w:rPr>
              <w:t>1.005</w:t>
            </w:r>
          </w:p>
        </w:tc>
        <w:tc>
          <w:tcPr>
            <w:tcW w:w="891" w:type="dxa"/>
            <w:vAlign w:val="center"/>
          </w:tcPr>
          <w:p>
            <w:pPr>
              <w:widowControl/>
              <w:spacing w:line="240" w:lineRule="auto"/>
              <w:ind w:firstLine="0" w:firstLineChars="0"/>
              <w:jc w:val="center"/>
              <w:rPr>
                <w:sz w:val="21"/>
                <w:szCs w:val="21"/>
                <w:lang w:val="en-US"/>
              </w:rPr>
            </w:pPr>
            <w:r>
              <w:rPr>
                <w:sz w:val="21"/>
                <w:szCs w:val="21"/>
                <w:lang w:val="en-US"/>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粒径（</w:t>
            </w:r>
            <w:r>
              <w:rPr>
                <w:sz w:val="21"/>
                <w:szCs w:val="21"/>
                <w:lang w:val="en-US"/>
              </w:rPr>
              <w:t>μm</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sz w:val="21"/>
                <w:szCs w:val="21"/>
                <w:lang w:val="en-US"/>
              </w:rPr>
              <w:t>450</w:t>
            </w:r>
          </w:p>
        </w:tc>
        <w:tc>
          <w:tcPr>
            <w:tcW w:w="1060" w:type="dxa"/>
            <w:vAlign w:val="center"/>
          </w:tcPr>
          <w:p>
            <w:pPr>
              <w:widowControl/>
              <w:spacing w:line="240" w:lineRule="auto"/>
              <w:ind w:firstLine="0" w:firstLineChars="0"/>
              <w:jc w:val="center"/>
              <w:rPr>
                <w:sz w:val="21"/>
                <w:szCs w:val="21"/>
                <w:lang w:val="en-US"/>
              </w:rPr>
            </w:pPr>
            <w:r>
              <w:rPr>
                <w:sz w:val="21"/>
                <w:szCs w:val="21"/>
                <w:lang w:val="en-US"/>
              </w:rPr>
              <w:t>550</w:t>
            </w:r>
          </w:p>
        </w:tc>
        <w:tc>
          <w:tcPr>
            <w:tcW w:w="1120" w:type="dxa"/>
            <w:vAlign w:val="center"/>
          </w:tcPr>
          <w:p>
            <w:pPr>
              <w:widowControl/>
              <w:spacing w:line="240" w:lineRule="auto"/>
              <w:ind w:firstLine="0" w:firstLineChars="0"/>
              <w:jc w:val="center"/>
              <w:rPr>
                <w:sz w:val="21"/>
                <w:szCs w:val="21"/>
                <w:lang w:val="en-US"/>
              </w:rPr>
            </w:pPr>
            <w:r>
              <w:rPr>
                <w:sz w:val="21"/>
                <w:szCs w:val="21"/>
                <w:lang w:val="en-US"/>
              </w:rPr>
              <w:t>650</w:t>
            </w:r>
          </w:p>
        </w:tc>
        <w:tc>
          <w:tcPr>
            <w:tcW w:w="1000" w:type="dxa"/>
            <w:vAlign w:val="center"/>
          </w:tcPr>
          <w:p>
            <w:pPr>
              <w:widowControl/>
              <w:spacing w:line="240" w:lineRule="auto"/>
              <w:ind w:firstLine="0" w:firstLineChars="0"/>
              <w:jc w:val="center"/>
              <w:rPr>
                <w:sz w:val="21"/>
                <w:szCs w:val="21"/>
                <w:lang w:val="en-US"/>
              </w:rPr>
            </w:pPr>
            <w:r>
              <w:rPr>
                <w:sz w:val="21"/>
                <w:szCs w:val="21"/>
                <w:lang w:val="en-US"/>
              </w:rPr>
              <w:t>750</w:t>
            </w:r>
          </w:p>
        </w:tc>
        <w:tc>
          <w:tcPr>
            <w:tcW w:w="1070" w:type="dxa"/>
            <w:vAlign w:val="center"/>
          </w:tcPr>
          <w:p>
            <w:pPr>
              <w:widowControl/>
              <w:spacing w:line="240" w:lineRule="auto"/>
              <w:ind w:firstLine="0" w:firstLineChars="0"/>
              <w:jc w:val="center"/>
              <w:rPr>
                <w:sz w:val="21"/>
                <w:szCs w:val="21"/>
                <w:lang w:val="en-US"/>
              </w:rPr>
            </w:pPr>
            <w:r>
              <w:rPr>
                <w:sz w:val="21"/>
                <w:szCs w:val="21"/>
                <w:lang w:val="en-US"/>
              </w:rPr>
              <w:t>850</w:t>
            </w:r>
          </w:p>
        </w:tc>
        <w:tc>
          <w:tcPr>
            <w:tcW w:w="960" w:type="dxa"/>
            <w:vAlign w:val="center"/>
          </w:tcPr>
          <w:p>
            <w:pPr>
              <w:widowControl/>
              <w:spacing w:line="240" w:lineRule="auto"/>
              <w:ind w:firstLine="0" w:firstLineChars="0"/>
              <w:jc w:val="center"/>
              <w:rPr>
                <w:sz w:val="21"/>
                <w:szCs w:val="21"/>
                <w:lang w:val="en-US"/>
              </w:rPr>
            </w:pPr>
            <w:r>
              <w:rPr>
                <w:sz w:val="21"/>
                <w:szCs w:val="21"/>
                <w:lang w:val="en-US"/>
              </w:rPr>
              <w:t>950</w:t>
            </w:r>
          </w:p>
        </w:tc>
        <w:tc>
          <w:tcPr>
            <w:tcW w:w="891" w:type="dxa"/>
            <w:vAlign w:val="center"/>
          </w:tcPr>
          <w:p>
            <w:pPr>
              <w:widowControl/>
              <w:spacing w:line="240" w:lineRule="auto"/>
              <w:ind w:firstLine="0" w:firstLineChars="0"/>
              <w:jc w:val="center"/>
              <w:rPr>
                <w:sz w:val="21"/>
                <w:szCs w:val="21"/>
                <w:lang w:val="en-US"/>
              </w:rPr>
            </w:pPr>
            <w:r>
              <w:rPr>
                <w:sz w:val="21"/>
                <w:szCs w:val="21"/>
                <w:lang w:val="en-US"/>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1" w:type="dxa"/>
            <w:vAlign w:val="center"/>
          </w:tcPr>
          <w:p>
            <w:pPr>
              <w:widowControl/>
              <w:spacing w:line="240" w:lineRule="auto"/>
              <w:ind w:firstLine="0" w:firstLineChars="0"/>
              <w:jc w:val="center"/>
              <w:rPr>
                <w:sz w:val="21"/>
                <w:szCs w:val="21"/>
                <w:lang w:val="en-US"/>
              </w:rPr>
            </w:pPr>
            <w:r>
              <w:rPr>
                <w:rFonts w:hint="eastAsia"/>
                <w:sz w:val="21"/>
                <w:szCs w:val="21"/>
                <w:lang w:val="en-US"/>
              </w:rPr>
              <w:t>沉降速度（</w:t>
            </w:r>
            <w:r>
              <w:rPr>
                <w:sz w:val="21"/>
                <w:szCs w:val="21"/>
                <w:lang w:val="en-US"/>
              </w:rPr>
              <w:t>m/s</w:t>
            </w:r>
            <w:r>
              <w:rPr>
                <w:rFonts w:hint="eastAsia"/>
                <w:sz w:val="21"/>
                <w:szCs w:val="21"/>
                <w:lang w:val="en-US"/>
              </w:rPr>
              <w:t>）</w:t>
            </w:r>
          </w:p>
        </w:tc>
        <w:tc>
          <w:tcPr>
            <w:tcW w:w="1160" w:type="dxa"/>
            <w:vAlign w:val="center"/>
          </w:tcPr>
          <w:p>
            <w:pPr>
              <w:widowControl/>
              <w:spacing w:line="240" w:lineRule="auto"/>
              <w:ind w:firstLine="0" w:firstLineChars="0"/>
              <w:jc w:val="center"/>
              <w:rPr>
                <w:sz w:val="21"/>
                <w:szCs w:val="21"/>
                <w:lang w:val="en-US"/>
              </w:rPr>
            </w:pPr>
            <w:r>
              <w:rPr>
                <w:sz w:val="21"/>
                <w:szCs w:val="21"/>
                <w:lang w:val="en-US"/>
              </w:rPr>
              <w:t>2.211</w:t>
            </w:r>
          </w:p>
        </w:tc>
        <w:tc>
          <w:tcPr>
            <w:tcW w:w="1060" w:type="dxa"/>
            <w:vAlign w:val="center"/>
          </w:tcPr>
          <w:p>
            <w:pPr>
              <w:widowControl/>
              <w:spacing w:line="240" w:lineRule="auto"/>
              <w:ind w:firstLine="0" w:firstLineChars="0"/>
              <w:jc w:val="center"/>
              <w:rPr>
                <w:sz w:val="21"/>
                <w:szCs w:val="21"/>
                <w:lang w:val="en-US"/>
              </w:rPr>
            </w:pPr>
            <w:r>
              <w:rPr>
                <w:sz w:val="21"/>
                <w:szCs w:val="21"/>
                <w:lang w:val="en-US"/>
              </w:rPr>
              <w:t>2.614</w:t>
            </w:r>
          </w:p>
        </w:tc>
        <w:tc>
          <w:tcPr>
            <w:tcW w:w="1120" w:type="dxa"/>
            <w:vAlign w:val="center"/>
          </w:tcPr>
          <w:p>
            <w:pPr>
              <w:widowControl/>
              <w:spacing w:line="240" w:lineRule="auto"/>
              <w:ind w:firstLine="0" w:firstLineChars="0"/>
              <w:jc w:val="center"/>
              <w:rPr>
                <w:sz w:val="21"/>
                <w:szCs w:val="21"/>
                <w:lang w:val="en-US"/>
              </w:rPr>
            </w:pPr>
            <w:r>
              <w:rPr>
                <w:sz w:val="21"/>
                <w:szCs w:val="21"/>
                <w:lang w:val="en-US"/>
              </w:rPr>
              <w:t>3.016</w:t>
            </w:r>
          </w:p>
        </w:tc>
        <w:tc>
          <w:tcPr>
            <w:tcW w:w="1000" w:type="dxa"/>
            <w:vAlign w:val="center"/>
          </w:tcPr>
          <w:p>
            <w:pPr>
              <w:widowControl/>
              <w:spacing w:line="240" w:lineRule="auto"/>
              <w:ind w:firstLine="0" w:firstLineChars="0"/>
              <w:jc w:val="center"/>
              <w:rPr>
                <w:sz w:val="21"/>
                <w:szCs w:val="21"/>
                <w:lang w:val="en-US"/>
              </w:rPr>
            </w:pPr>
            <w:r>
              <w:rPr>
                <w:sz w:val="21"/>
                <w:szCs w:val="21"/>
                <w:lang w:val="en-US"/>
              </w:rPr>
              <w:t>3.418</w:t>
            </w:r>
          </w:p>
        </w:tc>
        <w:tc>
          <w:tcPr>
            <w:tcW w:w="1070" w:type="dxa"/>
            <w:vAlign w:val="center"/>
          </w:tcPr>
          <w:p>
            <w:pPr>
              <w:widowControl/>
              <w:spacing w:line="240" w:lineRule="auto"/>
              <w:ind w:firstLine="0" w:firstLineChars="0"/>
              <w:jc w:val="center"/>
              <w:rPr>
                <w:sz w:val="21"/>
                <w:szCs w:val="21"/>
                <w:lang w:val="en-US"/>
              </w:rPr>
            </w:pPr>
            <w:r>
              <w:rPr>
                <w:sz w:val="21"/>
                <w:szCs w:val="21"/>
                <w:lang w:val="en-US"/>
              </w:rPr>
              <w:t>3.820</w:t>
            </w:r>
          </w:p>
        </w:tc>
        <w:tc>
          <w:tcPr>
            <w:tcW w:w="960" w:type="dxa"/>
            <w:vAlign w:val="center"/>
          </w:tcPr>
          <w:p>
            <w:pPr>
              <w:widowControl/>
              <w:spacing w:line="240" w:lineRule="auto"/>
              <w:ind w:firstLine="0" w:firstLineChars="0"/>
              <w:jc w:val="center"/>
              <w:rPr>
                <w:sz w:val="21"/>
                <w:szCs w:val="21"/>
                <w:lang w:val="en-US"/>
              </w:rPr>
            </w:pPr>
            <w:r>
              <w:rPr>
                <w:sz w:val="21"/>
                <w:szCs w:val="21"/>
                <w:lang w:val="en-US"/>
              </w:rPr>
              <w:t>4.222</w:t>
            </w:r>
          </w:p>
        </w:tc>
        <w:tc>
          <w:tcPr>
            <w:tcW w:w="891" w:type="dxa"/>
            <w:vAlign w:val="center"/>
          </w:tcPr>
          <w:p>
            <w:pPr>
              <w:widowControl/>
              <w:spacing w:line="240" w:lineRule="auto"/>
              <w:ind w:firstLine="0" w:firstLineChars="0"/>
              <w:jc w:val="center"/>
              <w:rPr>
                <w:sz w:val="21"/>
                <w:szCs w:val="21"/>
                <w:lang w:val="en-US"/>
              </w:rPr>
            </w:pPr>
            <w:r>
              <w:rPr>
                <w:sz w:val="21"/>
                <w:szCs w:val="21"/>
                <w:lang w:val="en-US"/>
              </w:rPr>
              <w:t>4.624</w:t>
            </w:r>
          </w:p>
        </w:tc>
      </w:tr>
    </w:tbl>
    <w:p>
      <w:pPr>
        <w:widowControl/>
        <w:ind w:firstLine="480"/>
        <w:rPr>
          <w:color w:val="000000"/>
          <w:szCs w:val="24"/>
          <w:lang w:val="en-US" w:bidi="ar"/>
        </w:rPr>
      </w:pPr>
      <w:r>
        <w:rPr>
          <w:rFonts w:hint="eastAsia"/>
          <w:color w:val="000000"/>
          <w:szCs w:val="24"/>
          <w:lang w:val="en-US" w:bidi="ar"/>
        </w:rPr>
        <w:t>从表</w:t>
      </w:r>
      <w:r>
        <w:rPr>
          <w:color w:val="000000"/>
          <w:szCs w:val="24"/>
          <w:lang w:val="en-US" w:bidi="ar"/>
        </w:rPr>
        <w:t>6.1-2</w:t>
      </w:r>
      <w:r>
        <w:rPr>
          <w:rFonts w:hint="eastAsia"/>
          <w:color w:val="000000"/>
          <w:szCs w:val="24"/>
          <w:lang w:val="en-US" w:bidi="ar"/>
        </w:rPr>
        <w:t xml:space="preserve">可以看出，尘粒的沉降速度随粒径的增大而迅速增大。当粒径为 </w:t>
      </w:r>
      <w:r>
        <w:rPr>
          <w:color w:val="000000"/>
          <w:szCs w:val="24"/>
          <w:lang w:val="en-US" w:bidi="ar"/>
        </w:rPr>
        <w:t>250μm</w:t>
      </w:r>
      <w:r>
        <w:rPr>
          <w:rFonts w:hint="eastAsia"/>
          <w:color w:val="000000"/>
          <w:szCs w:val="24"/>
          <w:lang w:val="en-US" w:bidi="ar"/>
        </w:rPr>
        <w:t>，沉降速度为</w:t>
      </w:r>
      <w:r>
        <w:rPr>
          <w:color w:val="000000"/>
          <w:szCs w:val="24"/>
          <w:lang w:val="en-US" w:bidi="ar"/>
        </w:rPr>
        <w:t>1.005m/s</w:t>
      </w:r>
      <w:r>
        <w:rPr>
          <w:rFonts w:hint="eastAsia"/>
          <w:color w:val="000000"/>
          <w:szCs w:val="24"/>
          <w:lang w:val="en-US" w:bidi="ar"/>
        </w:rPr>
        <w:t>，因此可以认为当尘粒大于</w:t>
      </w:r>
      <w:r>
        <w:rPr>
          <w:color w:val="000000"/>
          <w:szCs w:val="24"/>
          <w:lang w:val="en-US" w:bidi="ar"/>
        </w:rPr>
        <w:t>250μm</w:t>
      </w:r>
      <w:r>
        <w:rPr>
          <w:rFonts w:hint="eastAsia"/>
          <w:color w:val="000000"/>
          <w:szCs w:val="24"/>
          <w:lang w:val="en-US" w:bidi="ar"/>
        </w:rPr>
        <w:t>时，主要影响范围在扬尘点下风向近距离范围内，而真正对外环境产生影响的是一些微小尘粒。在有风的情况下，施工扬尘会对该区域造成一定的影响。由起尘计算公式可知，</w:t>
      </w:r>
      <w:r>
        <w:rPr>
          <w:color w:val="000000"/>
          <w:szCs w:val="24"/>
          <w:lang w:val="en-US" w:bidi="ar"/>
        </w:rPr>
        <w:t>V</w:t>
      </w:r>
      <w:r>
        <w:rPr>
          <w:color w:val="000000"/>
          <w:szCs w:val="24"/>
          <w:vertAlign w:val="subscript"/>
          <w:lang w:val="en-US" w:bidi="ar"/>
        </w:rPr>
        <w:t>0</w:t>
      </w:r>
      <w:r>
        <w:rPr>
          <w:rFonts w:hint="eastAsia"/>
          <w:color w:val="000000"/>
          <w:szCs w:val="24"/>
          <w:lang w:val="en-US" w:bidi="ar"/>
        </w:rPr>
        <w:t>与粒径和含水率有关，因此，通过采取减少露天堆放和保证一定的含水率及减少裸露地面等措施后，风力起尘对环境的影响较小。</w:t>
      </w:r>
    </w:p>
    <w:p>
      <w:pPr>
        <w:widowControl/>
        <w:ind w:firstLine="480"/>
        <w:rPr>
          <w:color w:val="000000"/>
          <w:szCs w:val="24"/>
          <w:lang w:val="en-US" w:bidi="ar"/>
        </w:rPr>
      </w:pPr>
      <w:r>
        <w:rPr>
          <w:rFonts w:hint="eastAsia"/>
          <w:color w:val="000000"/>
          <w:szCs w:val="24"/>
          <w:lang w:val="en-US" w:bidi="ar"/>
        </w:rPr>
        <w:t>建设单位在施工期应当做到以下几点：</w:t>
      </w:r>
    </w:p>
    <w:p>
      <w:pPr>
        <w:widowControl/>
        <w:ind w:firstLine="480"/>
        <w:rPr>
          <w:color w:val="000000"/>
          <w:szCs w:val="24"/>
          <w:lang w:val="en-US" w:bidi="ar"/>
        </w:rPr>
      </w:pPr>
      <w:r>
        <w:rPr>
          <w:rFonts w:hint="eastAsia"/>
          <w:color w:val="000000"/>
          <w:szCs w:val="24"/>
          <w:lang w:val="en-US" w:bidi="ar"/>
        </w:rPr>
        <w:t>（1）施工单位应加强环境保护法律法规及有关管理规定的宣传，并将扬尘防治等环境保护知识纳入工人上岗前的培训教育内容，对所有进场人员进行环保教育，作业前对工人进行扬尘污染防治措施的技术交底，做到文明施工。</w:t>
      </w:r>
    </w:p>
    <w:p>
      <w:pPr>
        <w:widowControl/>
        <w:ind w:firstLine="480"/>
        <w:rPr>
          <w:color w:val="000000"/>
          <w:szCs w:val="24"/>
          <w:lang w:val="en-US" w:bidi="ar"/>
        </w:rPr>
      </w:pPr>
      <w:r>
        <w:rPr>
          <w:rFonts w:hint="eastAsia"/>
          <w:color w:val="000000"/>
          <w:szCs w:val="24"/>
          <w:lang w:val="en-US" w:bidi="ar"/>
        </w:rPr>
        <w:t>（2）建筑施工现场四周必须按国家有关标准规定设置连续围挡，设置高度不低于1.8米（临主干道围挡不低于2.5米）。建筑工程施工现场应使用坚固、美观、可周转使用的硬质施工围挡。根据项目实际情况要求四周边界设置不低于2.5米围挡，围挡由金属、混凝土、塑料等硬质材料制作。施工期间，建筑工地实行围挡全封闭施工，围挡下方设置不低于20cm高的防溢座以防止粉尘流失；任意两块围挡以及围挡与防溢座的拼接处都不能有大于0.5cm的缝隙，围挡不得有明显破损的漏洞。</w:t>
      </w:r>
    </w:p>
    <w:p>
      <w:pPr>
        <w:widowControl/>
        <w:ind w:firstLine="480"/>
        <w:rPr>
          <w:color w:val="000000"/>
          <w:szCs w:val="24"/>
          <w:lang w:val="en-US" w:bidi="ar"/>
        </w:rPr>
      </w:pPr>
      <w:r>
        <w:rPr>
          <w:rFonts w:hint="eastAsia"/>
          <w:color w:val="000000"/>
          <w:szCs w:val="24"/>
          <w:lang w:val="en-US" w:bidi="ar"/>
        </w:rPr>
        <w:t>（3）建筑施工现场出入口必须设置车辆冲洗池和定型化车辆自动冲洗装置，运输车辆驶出工地前，应对车轮、车身、车槽帮等部位进行清理或清洗以保证车辆清洁上路；洗车喷嘴静水压不低于0.5Mpa；洗车污水经沉淀后回用于抑尘，回用率100%；施工场所车辆入口和出口30m以内的路面上不应有明显泥印，以及砂石、灰土等易扬尘物料。</w:t>
      </w:r>
    </w:p>
    <w:p>
      <w:pPr>
        <w:widowControl/>
        <w:ind w:firstLine="480"/>
        <w:rPr>
          <w:color w:val="000000"/>
          <w:szCs w:val="24"/>
          <w:lang w:val="en-US" w:bidi="ar"/>
        </w:rPr>
      </w:pPr>
      <w:r>
        <w:rPr>
          <w:rFonts w:hint="eastAsia"/>
          <w:color w:val="000000"/>
          <w:szCs w:val="24"/>
          <w:lang w:val="en-US" w:bidi="ar"/>
        </w:rPr>
        <w:t>（4）建筑施工现场要设置排水管网，并设沉淀池，施工废水经沉淀后回用，雨水需经过沉淀池沉淀后方可排入市政雨水管网，排水设施应处于良好的使用状态。沉淀淤泥要及时清除或集中存放。</w:t>
      </w:r>
    </w:p>
    <w:p>
      <w:pPr>
        <w:widowControl/>
        <w:ind w:firstLine="480"/>
        <w:rPr>
          <w:color w:val="000000"/>
          <w:szCs w:val="24"/>
          <w:lang w:val="en-US" w:bidi="ar"/>
        </w:rPr>
      </w:pPr>
      <w:r>
        <w:rPr>
          <w:rFonts w:hint="eastAsia"/>
          <w:color w:val="000000"/>
          <w:szCs w:val="24"/>
          <w:lang w:val="en-US" w:bidi="ar"/>
        </w:rPr>
        <w:t>（5）建筑施工现场出入口、场内主要道路及生活区、工作区必须进行地面硬化，确保地面坚实平整；闲置场地应进行硬化、绿化等防尘处理。建筑材料、构件、料具应按照施工总平面图划定的区域堆放整齐。施工场地内土石方、建筑垃圾、建筑材料、拆除垃圾不得露天堆放，应覆盖防风抑尘网等，全面覆盖，并加强喷淋洒水等措施，以提高物料堆的含水率，进而起到抑尘的效果。</w:t>
      </w:r>
    </w:p>
    <w:p>
      <w:pPr>
        <w:widowControl/>
        <w:ind w:firstLine="480"/>
        <w:rPr>
          <w:color w:val="000000"/>
          <w:szCs w:val="24"/>
          <w:lang w:val="en-US" w:bidi="ar"/>
        </w:rPr>
      </w:pPr>
      <w:r>
        <w:rPr>
          <w:rFonts w:hint="eastAsia"/>
          <w:color w:val="000000"/>
          <w:szCs w:val="24"/>
          <w:lang w:val="en-US" w:bidi="ar"/>
        </w:rPr>
        <w:t>（6）运载建筑材料以及建筑垃圾的车辆要</w:t>
      </w:r>
      <w:r>
        <w:rPr>
          <w:rFonts w:hint="eastAsia"/>
          <w:color w:val="000000"/>
          <w:szCs w:val="24"/>
          <w:lang w:val="en-US" w:eastAsia="zh-CN" w:bidi="ar"/>
        </w:rPr>
        <w:t>加盖篷布</w:t>
      </w:r>
      <w:r>
        <w:rPr>
          <w:rFonts w:hint="eastAsia"/>
          <w:color w:val="000000"/>
          <w:szCs w:val="24"/>
          <w:lang w:val="en-US" w:bidi="ar"/>
        </w:rPr>
        <w:t>减少散落，做到运输密闭化；运输车辆</w:t>
      </w:r>
      <w:r>
        <w:rPr>
          <w:rFonts w:hint="eastAsia"/>
          <w:color w:val="000000"/>
          <w:szCs w:val="24"/>
          <w:lang w:val="en-US" w:eastAsia="zh-CN" w:bidi="ar"/>
        </w:rPr>
        <w:t>行驶路线</w:t>
      </w:r>
      <w:r>
        <w:rPr>
          <w:rFonts w:hint="eastAsia"/>
          <w:color w:val="000000"/>
          <w:szCs w:val="24"/>
          <w:lang w:val="en-US" w:bidi="ar"/>
        </w:rPr>
        <w:t>应避免穿越城市中心区，尽量避开居民点和环境敏感点。严格按照渣土管理有关规定，运输车辆不得超载，被运渣土不得含水太多，造成沿途泥浆滴漏，从而影响城市道路整洁，渣土必须及时清运并按照制定的运输路线行驶，运往</w:t>
      </w:r>
      <w:r>
        <w:rPr>
          <w:rFonts w:hint="eastAsia"/>
          <w:color w:val="000000"/>
          <w:szCs w:val="24"/>
          <w:lang w:val="en-US" w:eastAsia="zh-CN" w:bidi="ar"/>
        </w:rPr>
        <w:t>指定</w:t>
      </w:r>
      <w:r>
        <w:rPr>
          <w:rFonts w:hint="eastAsia"/>
          <w:color w:val="000000"/>
          <w:szCs w:val="24"/>
          <w:lang w:val="en-US" w:bidi="ar"/>
        </w:rPr>
        <w:t>的倾倒地点，以减少由于渣土产生的扬尘对环境空气质量的影响。</w:t>
      </w:r>
    </w:p>
    <w:p>
      <w:pPr>
        <w:widowControl/>
        <w:ind w:firstLine="480"/>
        <w:rPr>
          <w:color w:val="000000"/>
          <w:szCs w:val="24"/>
          <w:lang w:val="en-US" w:bidi="ar"/>
        </w:rPr>
      </w:pPr>
      <w:r>
        <w:rPr>
          <w:rFonts w:hint="eastAsia"/>
          <w:color w:val="000000"/>
          <w:szCs w:val="24"/>
          <w:lang w:val="en-US" w:bidi="ar"/>
        </w:rPr>
        <w:t>（7）渣土、建筑垃圾、拆除垃圾等运输过程中应当选择车况良好的运输车辆，以避免因车辆本身振动而造成土方或物料散落地面，从而产生扬尘污染。运输过程中限制车速，施工场地道路及时清扫，经常洒水，最大限度减轻道路运输扬尘的产生。</w:t>
      </w:r>
    </w:p>
    <w:p>
      <w:pPr>
        <w:widowControl/>
        <w:ind w:firstLine="480"/>
        <w:rPr>
          <w:color w:val="000000"/>
          <w:szCs w:val="24"/>
          <w:lang w:val="en-US" w:bidi="ar"/>
        </w:rPr>
      </w:pPr>
      <w:r>
        <w:rPr>
          <w:rFonts w:hint="eastAsia"/>
          <w:color w:val="000000"/>
          <w:szCs w:val="24"/>
          <w:lang w:val="en-US" w:bidi="ar"/>
        </w:rPr>
        <w:t>（8）建筑施工现场在进行土方开挖、回填、转运作业前，应对可能造成的扬尘污染程度进行判定，在正常施工情况下不能有效控制扬尘的，应当对拟作业的土方事先采取增加土方湿度等处理措施，以有效减少扬尘污染。施工过程中应当采取有效降尘防尘措施，多余土方应及时清运出场。现场堆置需要回填使用的土方应进行表面固化和覆盖。出现五级及以上大风天气，必须采取防扬尘应急措施，且不得进行土方开挖、回填、转运作业及工程拆除等作业。</w:t>
      </w:r>
    </w:p>
    <w:p>
      <w:pPr>
        <w:widowControl/>
        <w:ind w:firstLine="480"/>
        <w:rPr>
          <w:color w:val="000000"/>
          <w:szCs w:val="24"/>
          <w:lang w:val="en-US" w:bidi="ar"/>
        </w:rPr>
      </w:pPr>
      <w:r>
        <w:rPr>
          <w:rFonts w:hint="eastAsia"/>
          <w:color w:val="000000"/>
          <w:szCs w:val="24"/>
          <w:lang w:val="en-US" w:bidi="ar"/>
        </w:rPr>
        <w:t>（9）在建工程外脚手架必须采用符合标准要求的密目网进行全面封闭。并保持严密整洁；楼层内清理施工垃圾，应采取先</w:t>
      </w:r>
      <w:r>
        <w:rPr>
          <w:rFonts w:hint="eastAsia"/>
          <w:color w:val="000000"/>
          <w:szCs w:val="24"/>
          <w:lang w:val="en-US" w:eastAsia="zh-CN" w:bidi="ar"/>
        </w:rPr>
        <w:t>洒水</w:t>
      </w:r>
      <w:r>
        <w:rPr>
          <w:rFonts w:hint="eastAsia"/>
          <w:color w:val="000000"/>
          <w:szCs w:val="24"/>
          <w:lang w:val="en-US" w:bidi="ar"/>
        </w:rPr>
        <w:t>降尘后清扫的作业方法，并使用封闭式管道或装袋（或容器）使用垂直升降机械清运，严禁高处随意抛撒。</w:t>
      </w:r>
    </w:p>
    <w:p>
      <w:pPr>
        <w:widowControl/>
        <w:ind w:firstLine="480"/>
        <w:rPr>
          <w:color w:val="000000"/>
          <w:szCs w:val="24"/>
          <w:lang w:val="en-US" w:bidi="ar"/>
        </w:rPr>
      </w:pPr>
      <w:r>
        <w:rPr>
          <w:rFonts w:hint="eastAsia"/>
          <w:color w:val="000000"/>
          <w:szCs w:val="24"/>
          <w:lang w:val="en-US" w:bidi="ar"/>
        </w:rPr>
        <w:t>（10）应按相关规定使用散装水泥；城市建成区禁止现场搅拌混凝土和配制砂浆，普通砂浆使用散装预拌砂浆。</w:t>
      </w:r>
    </w:p>
    <w:p>
      <w:pPr>
        <w:widowControl/>
        <w:ind w:firstLine="480"/>
        <w:rPr>
          <w:color w:val="000000"/>
          <w:szCs w:val="24"/>
          <w:lang w:val="en-US" w:bidi="ar"/>
        </w:rPr>
      </w:pPr>
      <w:r>
        <w:rPr>
          <w:rFonts w:hint="eastAsia"/>
          <w:color w:val="000000"/>
          <w:szCs w:val="24"/>
          <w:lang w:val="en-US" w:bidi="ar"/>
        </w:rPr>
        <w:t>（11）拆除楼房，应当组织力量集中拆除，尽量缩短拆房时限。拆除前应先浇水，拆除过程中如有粉尘产生，应当边拆边浇控制粉尘，采取湿法作业。拆除旧房的建筑渣土应当在拆除后三日内清运，因特殊原因确不能及时清运的，应当对建筑渣土进行覆盖处理。建筑渣土清运过程中，应当在工地出口处敷设草垫，并委派专人对出口遗漏的渣土进行清扫。</w:t>
      </w:r>
    </w:p>
    <w:p>
      <w:pPr>
        <w:widowControl/>
        <w:ind w:firstLine="480"/>
        <w:rPr>
          <w:color w:val="000000"/>
          <w:szCs w:val="24"/>
          <w:lang w:val="en-US" w:bidi="ar"/>
        </w:rPr>
      </w:pPr>
      <w:r>
        <w:rPr>
          <w:rFonts w:hint="eastAsia"/>
          <w:color w:val="000000"/>
          <w:szCs w:val="24"/>
          <w:lang w:val="en-US" w:bidi="ar"/>
        </w:rPr>
        <w:t>（12）在施工工地主要扬尘产生点安装视频监控装置，实行施工全过程监控；城市主城区的施工工地渣土车和粉状物料运输车依法采取密闭措施并逐步安装卫星定位系统。成立施工期污染防治管理小组及居民监督小组，对施工期大气污染防治管理要做到目标责任制，具体到个人。同时，并在施工场外，周围居民点内设置施工期环保管理体制标识，标明负责人，接受周围居民的监督，一旦发现有对周围居民生活造成影响的环境问题，责任人应第一时间进行协调，及时解决问题，保证施工期扬尘等大气污染不会对周围居民生活造成影响。</w:t>
      </w:r>
    </w:p>
    <w:p>
      <w:pPr>
        <w:widowControl/>
        <w:ind w:firstLine="480"/>
        <w:rPr>
          <w:color w:val="000000"/>
          <w:szCs w:val="24"/>
          <w:lang w:val="en-US" w:bidi="ar"/>
        </w:rPr>
      </w:pPr>
      <w:r>
        <w:rPr>
          <w:rFonts w:hint="eastAsia"/>
          <w:color w:val="000000"/>
          <w:szCs w:val="24"/>
          <w:lang w:val="en-US" w:bidi="ar"/>
        </w:rPr>
        <w:t>根据现场踏勘，项目施工场地位于</w:t>
      </w:r>
      <w:r>
        <w:rPr>
          <w:rFonts w:hint="eastAsia"/>
          <w:lang w:val="en-US" w:eastAsia="zh-CN"/>
        </w:rPr>
        <w:t>平顶山市叶县廉村镇二郎庙村村北200米路东</w:t>
      </w:r>
      <w:r>
        <w:rPr>
          <w:rFonts w:hint="eastAsia"/>
          <w:color w:val="000000"/>
          <w:szCs w:val="24"/>
          <w:lang w:val="en-US" w:bidi="ar"/>
        </w:rPr>
        <w:t>，距离最近的环境敏感点为</w:t>
      </w:r>
      <w:r>
        <w:rPr>
          <w:rFonts w:hint="eastAsia"/>
          <w:color w:val="000000"/>
          <w:szCs w:val="24"/>
          <w:lang w:val="en-US" w:eastAsia="zh-CN" w:bidi="ar"/>
        </w:rPr>
        <w:t>西南</w:t>
      </w:r>
      <w:r>
        <w:rPr>
          <w:rFonts w:hint="eastAsia"/>
          <w:color w:val="000000"/>
          <w:szCs w:val="24"/>
          <w:lang w:val="en-US" w:bidi="ar"/>
        </w:rPr>
        <w:t>侧</w:t>
      </w:r>
      <w:r>
        <w:rPr>
          <w:rFonts w:hint="eastAsia"/>
          <w:lang w:val="en-US" w:eastAsia="zh-CN"/>
        </w:rPr>
        <w:t>后王庄</w:t>
      </w:r>
      <w:r>
        <w:rPr>
          <w:rFonts w:hint="eastAsia"/>
          <w:color w:val="000000"/>
          <w:szCs w:val="24"/>
          <w:lang w:val="en-US" w:eastAsia="zh-CN" w:bidi="ar"/>
        </w:rPr>
        <w:t>120</w:t>
      </w:r>
      <w:r>
        <w:rPr>
          <w:rFonts w:hint="eastAsia"/>
          <w:color w:val="000000"/>
          <w:szCs w:val="24"/>
          <w:lang w:val="en-US" w:bidi="ar"/>
        </w:rPr>
        <w:t>m。施工扬尘必然会对其产生一定影响，因此，评价要求施工单位需严格落实以上措施，施工过程中做到施工文明化、运输密闭化、进出冲洗化、物料覆盖化、场地全硬化、工地</w:t>
      </w:r>
      <w:r>
        <w:rPr>
          <w:rFonts w:hint="eastAsia"/>
          <w:color w:val="000000"/>
          <w:szCs w:val="24"/>
          <w:lang w:val="en-US" w:eastAsia="zh-CN" w:bidi="ar"/>
        </w:rPr>
        <w:t>围挡</w:t>
      </w:r>
      <w:r>
        <w:rPr>
          <w:rFonts w:hint="eastAsia"/>
          <w:color w:val="000000"/>
          <w:szCs w:val="24"/>
          <w:lang w:val="en-US" w:bidi="ar"/>
        </w:rPr>
        <w:t>化的要求；在建工程外脚手架采用符合标准要求的密目网进行全面封闭，并保持严密整洁；五级以上大风天气禁止土方开挖、回填、转运作业及工程拆除等作业；施工场地及时打扫、洒水抑尘；建筑施工、拆迁过程全面达到防扬尘标准，加强管理，并做好周围居民的安抚工作，接受周围居民的监督，一旦出现扰民现象，须立即停止施工，并及时与周围居民进行通，尽量将施工扬尘的影响降至最低。</w:t>
      </w:r>
    </w:p>
    <w:p>
      <w:pPr>
        <w:widowControl/>
        <w:ind w:firstLine="480"/>
        <w:rPr>
          <w:color w:val="000000"/>
          <w:szCs w:val="24"/>
          <w:lang w:val="en-US" w:bidi="ar"/>
        </w:rPr>
      </w:pPr>
      <w:r>
        <w:rPr>
          <w:rFonts w:hint="eastAsia"/>
          <w:color w:val="000000"/>
          <w:szCs w:val="24"/>
          <w:lang w:val="en-US" w:bidi="ar"/>
        </w:rPr>
        <w:t>2、机械及运输车辆燃油废气</w:t>
      </w:r>
    </w:p>
    <w:p>
      <w:pPr>
        <w:widowControl/>
        <w:ind w:firstLine="480"/>
        <w:rPr>
          <w:color w:val="000000"/>
          <w:szCs w:val="24"/>
          <w:lang w:val="en-US" w:bidi="ar"/>
        </w:rPr>
      </w:pPr>
      <w:r>
        <w:rPr>
          <w:rFonts w:hint="eastAsia"/>
          <w:color w:val="000000"/>
          <w:szCs w:val="24"/>
          <w:lang w:val="en-US" w:bidi="ar"/>
        </w:rPr>
        <w:t>施工阶段，频繁使用机动车辆运输建筑材料、施工设备及器材、建筑垃圾等，运输车辆一般是大型柴油车，产生一定量的燃油尾气，废气污染物为CO、NOx、THC等，由于车辆为非连续行驶状态，污染物排放时间及排放量相对较少，汽车尾气对周边环境及居民影响较小。</w:t>
      </w:r>
    </w:p>
    <w:p>
      <w:pPr>
        <w:widowControl/>
        <w:ind w:firstLine="480"/>
        <w:rPr>
          <w:color w:val="000000"/>
          <w:szCs w:val="24"/>
          <w:lang w:val="en-US" w:bidi="ar"/>
        </w:rPr>
      </w:pPr>
      <w:r>
        <w:rPr>
          <w:rFonts w:hint="eastAsia"/>
          <w:color w:val="000000"/>
          <w:szCs w:val="24"/>
          <w:lang w:val="en-US" w:bidi="ar"/>
        </w:rPr>
        <w:t>同时，施工场地内的运输车辆应禁止超载，不得使用劣质燃料；对车辆的尾气排放应进行监督管理。严格执行汽车监管办法的相关规定，避免排放黑烟，同时要注意车辆的维修与维护，使其保证在良好的状态下工作，以</w:t>
      </w:r>
      <w:r>
        <w:rPr>
          <w:rFonts w:hint="eastAsia"/>
          <w:color w:val="000000"/>
          <w:szCs w:val="24"/>
          <w:lang w:val="en-US" w:eastAsia="zh-CN" w:bidi="ar"/>
        </w:rPr>
        <w:t>减少</w:t>
      </w:r>
      <w:r>
        <w:rPr>
          <w:rFonts w:hint="eastAsia"/>
          <w:color w:val="000000"/>
          <w:szCs w:val="24"/>
          <w:lang w:val="en-US" w:bidi="ar"/>
        </w:rPr>
        <w:t>汽车尾气的排放量。</w:t>
      </w:r>
    </w:p>
    <w:p>
      <w:pPr>
        <w:widowControl/>
        <w:ind w:firstLine="480"/>
        <w:rPr>
          <w:color w:val="000000"/>
          <w:szCs w:val="24"/>
          <w:lang w:val="en-US" w:bidi="ar"/>
        </w:rPr>
      </w:pPr>
      <w:r>
        <w:rPr>
          <w:rFonts w:hint="eastAsia"/>
          <w:color w:val="000000"/>
          <w:szCs w:val="24"/>
          <w:lang w:val="en-US" w:eastAsia="zh-CN" w:bidi="ar"/>
        </w:rPr>
        <w:t>3</w:t>
      </w:r>
      <w:r>
        <w:rPr>
          <w:rFonts w:hint="eastAsia"/>
          <w:color w:val="000000"/>
          <w:szCs w:val="24"/>
          <w:lang w:val="en-US" w:bidi="ar"/>
        </w:rPr>
        <w:t>、临时食堂</w:t>
      </w:r>
    </w:p>
    <w:p>
      <w:pPr>
        <w:widowControl/>
        <w:ind w:firstLine="480"/>
        <w:rPr>
          <w:color w:val="000000"/>
          <w:szCs w:val="24"/>
          <w:lang w:val="en-US" w:bidi="ar"/>
        </w:rPr>
      </w:pPr>
      <w:r>
        <w:rPr>
          <w:rFonts w:hint="eastAsia"/>
          <w:color w:val="000000"/>
          <w:szCs w:val="24"/>
          <w:lang w:val="en-US" w:bidi="ar"/>
        </w:rPr>
        <w:t>施工期因在驻地内设简易食堂供建筑工人就餐，因此会有少量饮食油烟及燃料废气产生。食堂燃料使用液化石油气，为清洁能源，污染物产生量较少，与油烟废气一起经抽油烟机引至室外房顶排放，对周围环境空气质量影响很小。</w:t>
      </w:r>
    </w:p>
    <w:p>
      <w:pPr>
        <w:widowControl/>
        <w:ind w:firstLine="480"/>
        <w:rPr>
          <w:color w:val="000000"/>
          <w:szCs w:val="24"/>
          <w:lang w:val="en-US" w:bidi="ar"/>
        </w:rPr>
      </w:pPr>
      <w:r>
        <w:rPr>
          <w:rFonts w:hint="eastAsia"/>
          <w:color w:val="000000"/>
          <w:szCs w:val="24"/>
          <w:lang w:val="en-US" w:bidi="ar"/>
        </w:rPr>
        <w:t>本项目食堂油烟产生量为0.11kg/d，油烟产生量较小，经抽油烟机引至室外房顶排放，对周围环境空气质量影响很小。</w:t>
      </w:r>
    </w:p>
    <w:p>
      <w:pPr>
        <w:pStyle w:val="4"/>
        <w:ind w:firstLine="602"/>
      </w:pPr>
      <w:bookmarkStart w:id="138" w:name="_Toc29193"/>
      <w:r>
        <w:rPr>
          <w:lang w:val="en-US"/>
        </w:rPr>
        <w:t>6.1.2 水环境影响分析</w:t>
      </w:r>
      <w:bookmarkEnd w:id="138"/>
    </w:p>
    <w:p>
      <w:pPr>
        <w:widowControl/>
        <w:ind w:firstLine="480"/>
        <w:rPr>
          <w:color w:val="000000"/>
          <w:szCs w:val="24"/>
          <w:lang w:val="en-US" w:bidi="ar"/>
        </w:rPr>
      </w:pPr>
      <w:r>
        <w:rPr>
          <w:rFonts w:hint="eastAsia"/>
          <w:color w:val="000000"/>
          <w:szCs w:val="24"/>
          <w:lang w:val="en-US" w:bidi="ar"/>
        </w:rPr>
        <w:t>施工用水主要用于生活用水和工程用水，取自</w:t>
      </w:r>
      <w:r>
        <w:rPr>
          <w:rFonts w:hint="eastAsia"/>
          <w:color w:val="000000"/>
          <w:szCs w:val="24"/>
          <w:lang w:val="en-US" w:eastAsia="zh-CN" w:bidi="ar"/>
        </w:rPr>
        <w:t>地下水井</w:t>
      </w:r>
      <w:r>
        <w:rPr>
          <w:rFonts w:hint="eastAsia"/>
          <w:color w:val="000000"/>
          <w:szCs w:val="24"/>
          <w:lang w:val="en-US" w:bidi="ar"/>
        </w:rPr>
        <w:t>，用软管接入项目地。建设单位应先自行建立污水处理设施后进行建筑施工。</w:t>
      </w:r>
    </w:p>
    <w:p>
      <w:pPr>
        <w:widowControl/>
        <w:ind w:firstLine="480"/>
        <w:rPr>
          <w:color w:val="000000"/>
          <w:szCs w:val="24"/>
          <w:lang w:val="en-US" w:bidi="ar"/>
        </w:rPr>
      </w:pPr>
      <w:r>
        <w:rPr>
          <w:rFonts w:hint="eastAsia"/>
          <w:color w:val="000000"/>
          <w:szCs w:val="24"/>
          <w:lang w:val="en-US" w:bidi="ar"/>
        </w:rPr>
        <w:t>施工期的污水排放主要来自于施工人员的生活污水和施工废水。</w:t>
      </w:r>
    </w:p>
    <w:p>
      <w:pPr>
        <w:widowControl/>
        <w:ind w:firstLine="480"/>
        <w:rPr>
          <w:color w:val="000000"/>
          <w:szCs w:val="24"/>
          <w:lang w:val="en-US" w:bidi="ar"/>
        </w:rPr>
      </w:pPr>
      <w:r>
        <w:rPr>
          <w:rFonts w:hint="eastAsia"/>
          <w:color w:val="000000"/>
          <w:szCs w:val="24"/>
          <w:lang w:val="en-US" w:bidi="ar"/>
        </w:rPr>
        <w:t>（</w:t>
      </w:r>
      <w:r>
        <w:rPr>
          <w:color w:val="000000"/>
          <w:szCs w:val="24"/>
          <w:lang w:val="en-US" w:bidi="ar"/>
        </w:rPr>
        <w:t>1</w:t>
      </w:r>
      <w:r>
        <w:rPr>
          <w:rFonts w:hint="eastAsia"/>
          <w:color w:val="000000"/>
          <w:szCs w:val="24"/>
          <w:lang w:val="en-US" w:bidi="ar"/>
        </w:rPr>
        <w:t>）生活污水</w:t>
      </w:r>
    </w:p>
    <w:p>
      <w:pPr>
        <w:widowControl/>
        <w:ind w:firstLine="480"/>
        <w:rPr>
          <w:color w:val="000000"/>
          <w:szCs w:val="24"/>
          <w:lang w:val="en-US" w:bidi="ar"/>
        </w:rPr>
      </w:pPr>
      <w:r>
        <w:rPr>
          <w:rFonts w:hint="eastAsia"/>
          <w:color w:val="000000"/>
          <w:szCs w:val="24"/>
          <w:lang w:val="en-US" w:bidi="ar"/>
        </w:rPr>
        <w:t>施工人员生活污水依托现有</w:t>
      </w:r>
      <w:r>
        <w:rPr>
          <w:rFonts w:hint="eastAsia"/>
          <w:color w:val="000000"/>
          <w:szCs w:val="24"/>
          <w:lang w:val="en-US" w:eastAsia="zh-CN" w:bidi="ar"/>
        </w:rPr>
        <w:t>化粪池</w:t>
      </w:r>
      <w:r>
        <w:rPr>
          <w:rFonts w:hint="eastAsia"/>
          <w:color w:val="000000"/>
          <w:szCs w:val="24"/>
          <w:lang w:val="en-US" w:bidi="ar"/>
        </w:rPr>
        <w:t>，</w:t>
      </w:r>
      <w:r>
        <w:rPr>
          <w:rFonts w:hint="eastAsia"/>
          <w:color w:val="000000"/>
          <w:szCs w:val="24"/>
          <w:lang w:val="en-US" w:eastAsia="zh-CN" w:bidi="ar"/>
        </w:rPr>
        <w:t>定期清掏肥田，</w:t>
      </w:r>
      <w:r>
        <w:rPr>
          <w:rFonts w:hint="eastAsia"/>
          <w:color w:val="000000"/>
          <w:szCs w:val="24"/>
          <w:lang w:val="en-US" w:bidi="ar"/>
        </w:rPr>
        <w:t>对周围水环境影响较小。</w:t>
      </w:r>
    </w:p>
    <w:p>
      <w:pPr>
        <w:widowControl/>
        <w:ind w:firstLine="480"/>
        <w:rPr>
          <w:color w:val="000000"/>
          <w:szCs w:val="24"/>
          <w:lang w:val="en-US" w:bidi="ar"/>
        </w:rPr>
      </w:pPr>
      <w:r>
        <w:rPr>
          <w:rFonts w:hint="eastAsia"/>
          <w:color w:val="000000"/>
          <w:szCs w:val="24"/>
          <w:lang w:val="en-US" w:bidi="ar"/>
        </w:rPr>
        <w:t>（</w:t>
      </w:r>
      <w:r>
        <w:rPr>
          <w:color w:val="000000"/>
          <w:szCs w:val="24"/>
          <w:lang w:val="en-US" w:bidi="ar"/>
        </w:rPr>
        <w:t>2</w:t>
      </w:r>
      <w:r>
        <w:rPr>
          <w:rFonts w:hint="eastAsia"/>
          <w:color w:val="000000"/>
          <w:szCs w:val="24"/>
          <w:lang w:val="en-US" w:bidi="ar"/>
        </w:rPr>
        <w:t>）施工废水</w:t>
      </w:r>
    </w:p>
    <w:p>
      <w:pPr>
        <w:widowControl/>
        <w:ind w:firstLine="480"/>
        <w:rPr>
          <w:color w:val="000000"/>
          <w:szCs w:val="24"/>
          <w:lang w:val="en-US" w:bidi="ar"/>
        </w:rPr>
      </w:pPr>
      <w:r>
        <w:rPr>
          <w:rFonts w:hint="eastAsia"/>
          <w:color w:val="000000"/>
          <w:szCs w:val="24"/>
          <w:lang w:val="en-US" w:bidi="ar"/>
        </w:rPr>
        <w:t>施工期的作业废水主要为各类作业废水如搅拌机清洗水、打桩泥浆水、洗石冲灰废水以及车辆的冲洗水等以及含砂雨水，主要污染物是悬浮物等。该施工废水若直接排放，可能会造成周边市政污水管网的堵塞，并污染周边的水环境及生态环境，对其造成一定影响。因此，本项目施工期主要道路将采用砼硬化路面，场地四周将敷设排水沟</w:t>
      </w:r>
      <w:r>
        <w:rPr>
          <w:color w:val="000000"/>
          <w:szCs w:val="24"/>
          <w:lang w:val="en-US" w:bidi="ar"/>
        </w:rPr>
        <w:t>(</w:t>
      </w:r>
      <w:r>
        <w:rPr>
          <w:rFonts w:hint="eastAsia"/>
          <w:color w:val="000000"/>
          <w:szCs w:val="24"/>
          <w:lang w:val="en-US" w:bidi="ar"/>
        </w:rPr>
        <w:t>管</w:t>
      </w:r>
      <w:r>
        <w:rPr>
          <w:color w:val="000000"/>
          <w:szCs w:val="24"/>
          <w:lang w:val="en-US" w:bidi="ar"/>
        </w:rPr>
        <w:t>)</w:t>
      </w:r>
      <w:r>
        <w:rPr>
          <w:rFonts w:hint="eastAsia"/>
          <w:color w:val="000000"/>
          <w:szCs w:val="24"/>
          <w:lang w:val="en-US" w:bidi="ar"/>
        </w:rPr>
        <w:t>，并修建沉淀池和洗车池，洗车池设置在施工场地的出入口。含砂雨水、进出施工场地的车辆清洗废水以及施工机械冲洗废水等经施工场地内的排水沟</w:t>
      </w:r>
      <w:r>
        <w:rPr>
          <w:color w:val="000000"/>
          <w:szCs w:val="24"/>
          <w:lang w:val="en-US" w:bidi="ar"/>
        </w:rPr>
        <w:t>(</w:t>
      </w:r>
      <w:r>
        <w:rPr>
          <w:rFonts w:hint="eastAsia"/>
          <w:color w:val="000000"/>
          <w:szCs w:val="24"/>
          <w:lang w:val="en-US" w:bidi="ar"/>
        </w:rPr>
        <w:t>管</w:t>
      </w:r>
      <w:r>
        <w:rPr>
          <w:color w:val="000000"/>
          <w:szCs w:val="24"/>
          <w:lang w:val="en-US" w:bidi="ar"/>
        </w:rPr>
        <w:t>)</w:t>
      </w:r>
      <w:r>
        <w:rPr>
          <w:rFonts w:hint="eastAsia"/>
          <w:color w:val="000000"/>
          <w:szCs w:val="24"/>
          <w:lang w:val="en-US" w:bidi="ar"/>
        </w:rPr>
        <w:t>排入沉淀池进行沉淀澄清处理后回用。沉淀池设置为</w:t>
      </w:r>
      <w:r>
        <w:rPr>
          <w:rFonts w:hint="eastAsia"/>
          <w:color w:val="000000"/>
          <w:szCs w:val="24"/>
          <w:lang w:val="en-US" w:eastAsia="zh-CN" w:bidi="ar"/>
        </w:rPr>
        <w:t>一</w:t>
      </w:r>
      <w:r>
        <w:rPr>
          <w:rFonts w:hint="eastAsia"/>
          <w:color w:val="000000"/>
          <w:szCs w:val="24"/>
          <w:lang w:val="en-US" w:bidi="ar"/>
        </w:rPr>
        <w:t>座池子，对冲洗废水以及雨水进行二级沉淀后，重新用于施工机械以及车辆的冲洗水。由于施工机械以及车辆冲洗对水质要求不高，而且废水中主要含大颗粒沙砾，二级沉淀对大沙砾沉淀效果较好，因此废水经沉淀后回用于施工机械以及车辆的冲洗是可行的。同时施工现场的设备和车辆冲洗水沉淀处理前应有简单的隔油功能，防止机油外泄。</w:t>
      </w:r>
    </w:p>
    <w:p>
      <w:pPr>
        <w:widowControl/>
        <w:ind w:firstLine="480"/>
        <w:rPr>
          <w:color w:val="000000"/>
          <w:szCs w:val="24"/>
          <w:lang w:val="en-US" w:bidi="ar"/>
        </w:rPr>
      </w:pPr>
      <w:r>
        <w:rPr>
          <w:rFonts w:hint="eastAsia"/>
          <w:color w:val="000000"/>
          <w:szCs w:val="24"/>
          <w:lang w:val="en-US" w:bidi="ar"/>
        </w:rPr>
        <w:t>此外，在施工期的打桩阶段会产生一定量的泥浆水，由于本项目施工采用静压桩，打桩产生的泥浆水量很小，产生量约</w:t>
      </w:r>
      <w:r>
        <w:rPr>
          <w:rFonts w:hint="eastAsia"/>
          <w:color w:val="000000"/>
          <w:szCs w:val="24"/>
          <w:lang w:val="en-US" w:eastAsia="zh-CN" w:bidi="ar"/>
        </w:rPr>
        <w:t>0.5</w:t>
      </w:r>
      <w:r>
        <w:rPr>
          <w:color w:val="000000"/>
          <w:szCs w:val="24"/>
          <w:lang w:val="en-US" w:bidi="ar"/>
        </w:rPr>
        <w:t>t/d</w:t>
      </w:r>
      <w:r>
        <w:rPr>
          <w:rFonts w:hint="eastAsia"/>
          <w:color w:val="000000"/>
          <w:szCs w:val="24"/>
          <w:lang w:val="en-US" w:bidi="ar"/>
        </w:rPr>
        <w:t>，根据类比监测调查</w:t>
      </w:r>
      <w:r>
        <w:rPr>
          <w:color w:val="000000"/>
          <w:szCs w:val="24"/>
          <w:lang w:val="en-US" w:bidi="ar"/>
        </w:rPr>
        <w:t>SS</w:t>
      </w:r>
      <w:r>
        <w:rPr>
          <w:rFonts w:hint="eastAsia"/>
          <w:color w:val="000000"/>
          <w:szCs w:val="24"/>
          <w:lang w:val="en-US" w:bidi="ar"/>
        </w:rPr>
        <w:t>为</w:t>
      </w:r>
      <w:r>
        <w:rPr>
          <w:color w:val="000000"/>
          <w:szCs w:val="24"/>
          <w:lang w:val="en-US" w:bidi="ar"/>
        </w:rPr>
        <w:t>1000mg/L~3000mg/L</w:t>
      </w:r>
      <w:r>
        <w:rPr>
          <w:rFonts w:hint="eastAsia"/>
          <w:color w:val="000000"/>
          <w:szCs w:val="24"/>
          <w:lang w:val="en-US" w:bidi="ar"/>
        </w:rPr>
        <w:t>，肆意排放会造成周边河道的污染，因此本项目泥浆水排入沉淀池进行沉淀澄清处理后回用，不得随意排放。施工打桩现场设置临时沉淀池，将泥浆水沉淀处理到</w:t>
      </w:r>
      <w:r>
        <w:rPr>
          <w:color w:val="000000"/>
          <w:szCs w:val="24"/>
          <w:lang w:val="en-US" w:bidi="ar"/>
        </w:rPr>
        <w:t>SS</w:t>
      </w:r>
      <w:r>
        <w:rPr>
          <w:rFonts w:hint="eastAsia"/>
          <w:color w:val="000000"/>
          <w:szCs w:val="24"/>
          <w:lang w:val="en-US" w:bidi="ar"/>
        </w:rPr>
        <w:t>≤</w:t>
      </w:r>
      <w:r>
        <w:rPr>
          <w:color w:val="000000"/>
          <w:szCs w:val="24"/>
          <w:lang w:val="en-US" w:bidi="ar"/>
        </w:rPr>
        <w:t>100mg/L</w:t>
      </w:r>
      <w:r>
        <w:rPr>
          <w:rFonts w:hint="eastAsia"/>
          <w:color w:val="000000"/>
          <w:szCs w:val="24"/>
          <w:lang w:val="en-US" w:bidi="ar"/>
        </w:rPr>
        <w:t>后，和处理后的作业废水一起用于喷淋施工地表开挖造成的裸露场地，防止裸露场地在大风天气里产生扬尘。</w:t>
      </w:r>
    </w:p>
    <w:p>
      <w:pPr>
        <w:widowControl/>
        <w:ind w:firstLine="480"/>
        <w:rPr>
          <w:color w:val="000000"/>
          <w:szCs w:val="24"/>
          <w:lang w:val="en-US" w:bidi="ar"/>
        </w:rPr>
      </w:pPr>
      <w:r>
        <w:rPr>
          <w:rFonts w:hint="eastAsia"/>
          <w:color w:val="000000"/>
          <w:szCs w:val="24"/>
          <w:lang w:val="en-US" w:bidi="ar"/>
        </w:rPr>
        <w:t>综上，本项目施工期作业废水及含砂雨水经处理后全部循环使用，无废水排放，对周围环境影响较小。</w:t>
      </w:r>
    </w:p>
    <w:p>
      <w:pPr>
        <w:pStyle w:val="4"/>
        <w:ind w:firstLine="602"/>
        <w:rPr>
          <w:lang w:val="en-US"/>
        </w:rPr>
      </w:pPr>
      <w:bookmarkStart w:id="139" w:name="_Toc22990"/>
      <w:r>
        <w:rPr>
          <w:lang w:val="en-US"/>
        </w:rPr>
        <w:t xml:space="preserve">6.1.3 </w:t>
      </w:r>
      <w:r>
        <w:rPr>
          <w:rFonts w:hint="eastAsia"/>
          <w:lang w:val="en-US"/>
        </w:rPr>
        <w:t>声环境影响分析</w:t>
      </w:r>
      <w:bookmarkEnd w:id="139"/>
    </w:p>
    <w:p>
      <w:pPr>
        <w:widowControl/>
        <w:ind w:firstLine="480"/>
        <w:rPr>
          <w:color w:val="000000"/>
          <w:szCs w:val="24"/>
          <w:lang w:val="en-US" w:bidi="ar"/>
        </w:rPr>
      </w:pPr>
      <w:r>
        <w:rPr>
          <w:rFonts w:hint="eastAsia"/>
          <w:color w:val="000000"/>
          <w:szCs w:val="24"/>
          <w:lang w:val="en-US" w:bidi="ar"/>
        </w:rPr>
        <w:t>1、施工期噪声环境影响</w:t>
      </w:r>
    </w:p>
    <w:p>
      <w:pPr>
        <w:widowControl/>
        <w:ind w:firstLine="480"/>
        <w:rPr>
          <w:color w:val="000000"/>
          <w:szCs w:val="24"/>
          <w:lang w:val="en-US" w:bidi="ar"/>
        </w:rPr>
      </w:pPr>
      <w:r>
        <w:rPr>
          <w:rFonts w:hint="eastAsia"/>
          <w:color w:val="000000"/>
          <w:szCs w:val="24"/>
          <w:lang w:val="en-US" w:bidi="ar"/>
        </w:rPr>
        <w:t>项目施工期噪声主要来源于施工机械噪声和运输车辆噪声。在施工过程中，由于各 种施工机械设备的运转和各类车辆的运行，不可避免地将产生噪声污染。根据调查本项目的主要噪声源如下表</w:t>
      </w:r>
      <w:r>
        <w:rPr>
          <w:color w:val="000000"/>
          <w:szCs w:val="24"/>
          <w:lang w:val="en-US" w:bidi="ar"/>
        </w:rPr>
        <w:t>6.1-3</w:t>
      </w:r>
      <w:r>
        <w:rPr>
          <w:rFonts w:hint="eastAsia"/>
          <w:color w:val="000000"/>
          <w:szCs w:val="24"/>
          <w:lang w:val="en-US" w:bidi="ar"/>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b/>
          <w:bCs/>
          <w:color w:val="000000"/>
          <w:szCs w:val="24"/>
          <w:lang w:val="en-US" w:bidi="ar"/>
        </w:rPr>
      </w:pPr>
      <w:r>
        <w:rPr>
          <w:rFonts w:hint="eastAsia"/>
          <w:b/>
          <w:bCs/>
          <w:color w:val="000000"/>
          <w:szCs w:val="24"/>
          <w:lang w:val="en-US" w:bidi="ar"/>
        </w:rPr>
        <w:t>表6.1-3  施工机械噪声源一览表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1"/>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声源</w:t>
            </w:r>
          </w:p>
        </w:tc>
        <w:tc>
          <w:tcPr>
            <w:tcW w:w="4821" w:type="dxa"/>
            <w:vAlign w:val="center"/>
          </w:tcPr>
          <w:p>
            <w:pPr>
              <w:pStyle w:val="30"/>
              <w:rPr>
                <w:rFonts w:hint="default"/>
              </w:rPr>
            </w:pPr>
            <w:r>
              <w:t>噪声源强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装载机</w:t>
            </w:r>
          </w:p>
        </w:tc>
        <w:tc>
          <w:tcPr>
            <w:tcW w:w="4821" w:type="dxa"/>
            <w:vAlign w:val="center"/>
          </w:tcPr>
          <w:p>
            <w:pPr>
              <w:pStyle w:val="30"/>
              <w:rPr>
                <w:rFonts w:hint="default"/>
              </w:rP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挖掘机</w:t>
            </w:r>
          </w:p>
        </w:tc>
        <w:tc>
          <w:tcPr>
            <w:tcW w:w="4821" w:type="dxa"/>
            <w:vAlign w:val="center"/>
          </w:tcPr>
          <w:p>
            <w:pPr>
              <w:pStyle w:val="30"/>
              <w:rPr>
                <w:rFonts w:hint="default"/>
              </w:rP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推土机</w:t>
            </w:r>
          </w:p>
        </w:tc>
        <w:tc>
          <w:tcPr>
            <w:tcW w:w="4821" w:type="dxa"/>
            <w:vAlign w:val="center"/>
          </w:tcPr>
          <w:p>
            <w:pPr>
              <w:pStyle w:val="30"/>
              <w:rPr>
                <w:rFonts w:hint="default"/>
              </w:rPr>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电锯</w:t>
            </w:r>
          </w:p>
        </w:tc>
        <w:tc>
          <w:tcPr>
            <w:tcW w:w="4821" w:type="dxa"/>
            <w:vAlign w:val="center"/>
          </w:tcPr>
          <w:p>
            <w:pPr>
              <w:pStyle w:val="30"/>
              <w:rPr>
                <w:rFonts w:hint="default"/>
              </w:rPr>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电锤</w:t>
            </w:r>
          </w:p>
        </w:tc>
        <w:tc>
          <w:tcPr>
            <w:tcW w:w="4821" w:type="dxa"/>
            <w:vAlign w:val="center"/>
          </w:tcPr>
          <w:p>
            <w:pPr>
              <w:pStyle w:val="30"/>
              <w:rPr>
                <w:rFonts w:hint="default"/>
              </w:rPr>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1" w:type="dxa"/>
            <w:vAlign w:val="center"/>
          </w:tcPr>
          <w:p>
            <w:pPr>
              <w:pStyle w:val="30"/>
              <w:rPr>
                <w:rFonts w:hint="default"/>
              </w:rPr>
            </w:pPr>
            <w:r>
              <w:t>电刨</w:t>
            </w:r>
          </w:p>
        </w:tc>
        <w:tc>
          <w:tcPr>
            <w:tcW w:w="4821" w:type="dxa"/>
            <w:vAlign w:val="center"/>
          </w:tcPr>
          <w:p>
            <w:pPr>
              <w:pStyle w:val="30"/>
              <w:rPr>
                <w:rFonts w:hint="default"/>
              </w:rPr>
            </w:pPr>
            <w:r>
              <w:t>85</w:t>
            </w:r>
          </w:p>
        </w:tc>
      </w:tr>
    </w:tbl>
    <w:p>
      <w:pPr>
        <w:widowControl/>
        <w:ind w:firstLine="480"/>
        <w:rPr>
          <w:color w:val="000000"/>
          <w:szCs w:val="24"/>
          <w:lang w:val="en-US" w:bidi="ar"/>
        </w:rPr>
      </w:pPr>
      <w:r>
        <w:rPr>
          <w:rFonts w:hint="eastAsia"/>
          <w:color w:val="000000"/>
          <w:szCs w:val="24"/>
          <w:lang w:val="en-US" w:bidi="ar"/>
        </w:rPr>
        <w:t>施工中使用的各种施工机械、运输车辆等都是噪声的产生源。假设所有设备均为稳态连续发声状态，在不考虑任何声屏障情况下，各设备采用最大噪声值进行预测，根据声环境导则无指向性点源几何发散衰减模式：</w:t>
      </w:r>
    </w:p>
    <w:p>
      <w:pPr>
        <w:widowControl/>
        <w:ind w:firstLine="480"/>
        <w:rPr>
          <w:color w:val="000000"/>
          <w:szCs w:val="24"/>
          <w:lang w:val="en-US" w:bidi="ar"/>
        </w:rPr>
      </w:pPr>
      <w:r>
        <w:rPr>
          <w:rFonts w:hint="eastAsia"/>
          <w:color w:val="000000"/>
          <w:szCs w:val="24"/>
          <w:lang w:val="en-US" w:bidi="ar-SA"/>
        </w:rPr>
        <w:drawing>
          <wp:inline distT="0" distB="0" distL="114300" distR="114300">
            <wp:extent cx="2247900" cy="400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2247900" cy="400050"/>
                    </a:xfrm>
                    <a:prstGeom prst="rect">
                      <a:avLst/>
                    </a:prstGeom>
                    <a:noFill/>
                    <a:ln>
                      <a:noFill/>
                    </a:ln>
                  </pic:spPr>
                </pic:pic>
              </a:graphicData>
            </a:graphic>
          </wp:inline>
        </w:drawing>
      </w:r>
    </w:p>
    <w:p>
      <w:pPr>
        <w:widowControl/>
        <w:ind w:firstLine="480"/>
        <w:rPr>
          <w:color w:val="000000"/>
          <w:szCs w:val="24"/>
          <w:lang w:val="en-US" w:bidi="ar"/>
        </w:rPr>
      </w:pPr>
      <w:r>
        <w:rPr>
          <w:rFonts w:hint="eastAsia"/>
          <w:color w:val="000000"/>
          <w:szCs w:val="24"/>
          <w:lang w:val="en-US" w:bidi="ar"/>
        </w:rPr>
        <w:t>式中：</w:t>
      </w:r>
    </w:p>
    <w:p>
      <w:pPr>
        <w:widowControl/>
        <w:ind w:firstLine="480"/>
        <w:rPr>
          <w:color w:val="000000"/>
          <w:szCs w:val="24"/>
          <w:lang w:val="en-US" w:bidi="ar"/>
        </w:rPr>
      </w:pPr>
      <w:r>
        <w:rPr>
          <w:color w:val="000000"/>
          <w:szCs w:val="24"/>
          <w:lang w:val="en-US" w:bidi="ar"/>
        </w:rPr>
        <w:t>Lp(r)——</w:t>
      </w:r>
      <w:r>
        <w:rPr>
          <w:rFonts w:hint="eastAsia"/>
          <w:color w:val="000000"/>
          <w:szCs w:val="24"/>
          <w:lang w:val="en-US" w:bidi="ar"/>
        </w:rPr>
        <w:t>距声源</w:t>
      </w:r>
      <w:r>
        <w:rPr>
          <w:color w:val="000000"/>
          <w:szCs w:val="24"/>
          <w:lang w:val="en-US" w:bidi="ar"/>
        </w:rPr>
        <w:t>r</w:t>
      </w:r>
      <w:r>
        <w:rPr>
          <w:rFonts w:hint="eastAsia"/>
          <w:color w:val="000000"/>
          <w:szCs w:val="24"/>
          <w:lang w:val="en-US" w:bidi="ar"/>
        </w:rPr>
        <w:t>处的</w:t>
      </w:r>
      <w:r>
        <w:rPr>
          <w:color w:val="000000"/>
          <w:szCs w:val="24"/>
          <w:lang w:val="en-US" w:bidi="ar"/>
        </w:rPr>
        <w:t>A</w:t>
      </w:r>
      <w:r>
        <w:rPr>
          <w:rFonts w:hint="eastAsia"/>
          <w:color w:val="000000"/>
          <w:szCs w:val="24"/>
          <w:lang w:val="en-US" w:bidi="ar"/>
        </w:rPr>
        <w:t>声级，</w:t>
      </w:r>
      <w:r>
        <w:rPr>
          <w:color w:val="000000"/>
          <w:szCs w:val="24"/>
          <w:lang w:val="en-US" w:bidi="ar"/>
        </w:rPr>
        <w:t>dB</w:t>
      </w:r>
    </w:p>
    <w:p>
      <w:pPr>
        <w:widowControl/>
        <w:ind w:firstLine="480"/>
        <w:rPr>
          <w:color w:val="000000"/>
          <w:szCs w:val="24"/>
          <w:lang w:val="en-US" w:bidi="ar"/>
        </w:rPr>
      </w:pPr>
      <w:r>
        <w:rPr>
          <w:color w:val="000000"/>
          <w:szCs w:val="24"/>
          <w:lang w:val="en-US" w:bidi="ar"/>
        </w:rPr>
        <w:t>Lp</w:t>
      </w:r>
      <w:r>
        <w:rPr>
          <w:rFonts w:hint="eastAsia"/>
          <w:color w:val="000000"/>
          <w:szCs w:val="24"/>
          <w:lang w:val="en-US" w:bidi="ar"/>
        </w:rPr>
        <w:t>（</w:t>
      </w:r>
      <w:r>
        <w:rPr>
          <w:color w:val="000000"/>
          <w:szCs w:val="24"/>
          <w:lang w:val="en-US" w:bidi="ar"/>
        </w:rPr>
        <w:t>r0</w:t>
      </w:r>
      <w:r>
        <w:rPr>
          <w:rFonts w:hint="eastAsia"/>
          <w:color w:val="000000"/>
          <w:szCs w:val="24"/>
          <w:lang w:val="en-US" w:bidi="ar"/>
        </w:rPr>
        <w:t>）</w:t>
      </w:r>
      <w:r>
        <w:rPr>
          <w:color w:val="000000"/>
          <w:szCs w:val="24"/>
          <w:lang w:val="en-US" w:bidi="ar"/>
        </w:rPr>
        <w:t>——</w:t>
      </w:r>
      <w:r>
        <w:rPr>
          <w:rFonts w:hint="eastAsia"/>
          <w:color w:val="000000"/>
          <w:szCs w:val="24"/>
          <w:lang w:val="en-US" w:bidi="ar"/>
        </w:rPr>
        <w:t>声源噪声功率级，</w:t>
      </w:r>
      <w:r>
        <w:rPr>
          <w:color w:val="000000"/>
          <w:szCs w:val="24"/>
          <w:lang w:val="en-US" w:bidi="ar"/>
        </w:rPr>
        <w:t>dB</w:t>
      </w:r>
    </w:p>
    <w:p>
      <w:pPr>
        <w:widowControl/>
        <w:ind w:firstLine="480"/>
        <w:rPr>
          <w:color w:val="000000"/>
          <w:szCs w:val="24"/>
          <w:lang w:val="en-US" w:bidi="ar"/>
        </w:rPr>
      </w:pPr>
      <w:r>
        <w:rPr>
          <w:color w:val="000000"/>
          <w:szCs w:val="24"/>
          <w:lang w:val="en-US" w:bidi="ar"/>
        </w:rPr>
        <w:t>r ——</w:t>
      </w:r>
      <w:r>
        <w:rPr>
          <w:rFonts w:hint="eastAsia"/>
          <w:color w:val="000000"/>
          <w:szCs w:val="24"/>
          <w:lang w:val="en-US" w:bidi="ar"/>
        </w:rPr>
        <w:t>受声点与声源距离，</w:t>
      </w:r>
      <w:r>
        <w:rPr>
          <w:color w:val="000000"/>
          <w:szCs w:val="24"/>
          <w:lang w:val="en-US" w:bidi="ar"/>
        </w:rPr>
        <w:t>m</w:t>
      </w:r>
    </w:p>
    <w:p>
      <w:pPr>
        <w:widowControl/>
        <w:ind w:firstLine="480"/>
        <w:rPr>
          <w:color w:val="000000"/>
          <w:szCs w:val="24"/>
          <w:lang w:val="en-US" w:bidi="ar"/>
        </w:rPr>
      </w:pPr>
      <w:r>
        <w:rPr>
          <w:rFonts w:hint="eastAsia"/>
          <w:color w:val="000000"/>
          <w:szCs w:val="24"/>
          <w:lang w:val="en-US" w:bidi="ar"/>
        </w:rPr>
        <w:t>点声源距离衰减情况如下表所示：</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b/>
          <w:bCs/>
          <w:color w:val="000000"/>
          <w:szCs w:val="24"/>
          <w:lang w:val="en-US" w:bidi="ar"/>
        </w:rPr>
      </w:pPr>
      <w:r>
        <w:rPr>
          <w:rFonts w:hint="eastAsia"/>
          <w:b/>
          <w:bCs/>
          <w:color w:val="000000"/>
          <w:szCs w:val="24"/>
          <w:lang w:val="en-US" w:bidi="ar"/>
        </w:rPr>
        <w:t>表6.1-4  点声源距离衰减情况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840"/>
        <w:gridCol w:w="721"/>
        <w:gridCol w:w="845"/>
        <w:gridCol w:w="845"/>
        <w:gridCol w:w="845"/>
        <w:gridCol w:w="845"/>
        <w:gridCol w:w="845"/>
        <w:gridCol w:w="845"/>
        <w:gridCol w:w="845"/>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pPr>
              <w:pStyle w:val="30"/>
              <w:rPr>
                <w:rFonts w:hint="default"/>
              </w:rPr>
            </w:pPr>
            <w:r>
              <w:t>源强</w:t>
            </w:r>
          </w:p>
        </w:tc>
        <w:tc>
          <w:tcPr>
            <w:tcW w:w="8321" w:type="dxa"/>
            <w:gridSpan w:val="10"/>
            <w:vAlign w:val="center"/>
          </w:tcPr>
          <w:p>
            <w:pPr>
              <w:pStyle w:val="30"/>
              <w:rPr>
                <w:rFonts w:hint="default"/>
              </w:rPr>
            </w:pPr>
            <w:r>
              <w:rPr>
                <w:rFonts w:hint="default"/>
              </w:rPr>
              <w:t>100dB</w:t>
            </w:r>
            <w:r>
              <w:t>（</w:t>
            </w:r>
            <w:r>
              <w:rPr>
                <w:rFonts w:hint="default"/>
              </w:rPr>
              <w:t>A</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pPr>
              <w:pStyle w:val="30"/>
              <w:rPr>
                <w:rFonts w:hint="default"/>
              </w:rPr>
            </w:pPr>
            <w:r>
              <w:t>距离</w:t>
            </w:r>
          </w:p>
        </w:tc>
        <w:tc>
          <w:tcPr>
            <w:tcW w:w="840" w:type="dxa"/>
            <w:vAlign w:val="center"/>
          </w:tcPr>
          <w:p>
            <w:pPr>
              <w:pStyle w:val="30"/>
              <w:rPr>
                <w:rFonts w:hint="default"/>
              </w:rPr>
            </w:pPr>
            <w:r>
              <w:t>30</w:t>
            </w:r>
          </w:p>
        </w:tc>
        <w:tc>
          <w:tcPr>
            <w:tcW w:w="721" w:type="dxa"/>
            <w:vAlign w:val="center"/>
          </w:tcPr>
          <w:p>
            <w:pPr>
              <w:pStyle w:val="30"/>
              <w:rPr>
                <w:rFonts w:hint="default"/>
              </w:rPr>
            </w:pPr>
            <w:r>
              <w:t>50</w:t>
            </w:r>
          </w:p>
        </w:tc>
        <w:tc>
          <w:tcPr>
            <w:tcW w:w="845" w:type="dxa"/>
            <w:vAlign w:val="center"/>
          </w:tcPr>
          <w:p>
            <w:pPr>
              <w:pStyle w:val="30"/>
              <w:rPr>
                <w:rFonts w:hint="default"/>
              </w:rPr>
            </w:pPr>
            <w:r>
              <w:t>100</w:t>
            </w:r>
          </w:p>
        </w:tc>
        <w:tc>
          <w:tcPr>
            <w:tcW w:w="845" w:type="dxa"/>
            <w:vAlign w:val="center"/>
          </w:tcPr>
          <w:p>
            <w:pPr>
              <w:pStyle w:val="30"/>
              <w:rPr>
                <w:rFonts w:hint="default"/>
              </w:rPr>
            </w:pPr>
            <w:r>
              <w:t>150</w:t>
            </w:r>
          </w:p>
        </w:tc>
        <w:tc>
          <w:tcPr>
            <w:tcW w:w="845" w:type="dxa"/>
            <w:vAlign w:val="center"/>
          </w:tcPr>
          <w:p>
            <w:pPr>
              <w:pStyle w:val="30"/>
              <w:rPr>
                <w:rFonts w:hint="default"/>
              </w:rPr>
            </w:pPr>
            <w:r>
              <w:t>200</w:t>
            </w:r>
          </w:p>
        </w:tc>
        <w:tc>
          <w:tcPr>
            <w:tcW w:w="845" w:type="dxa"/>
            <w:vAlign w:val="center"/>
          </w:tcPr>
          <w:p>
            <w:pPr>
              <w:pStyle w:val="30"/>
              <w:rPr>
                <w:rFonts w:hint="default"/>
              </w:rPr>
            </w:pPr>
            <w:r>
              <w:t>300</w:t>
            </w:r>
          </w:p>
        </w:tc>
        <w:tc>
          <w:tcPr>
            <w:tcW w:w="845" w:type="dxa"/>
            <w:vAlign w:val="center"/>
          </w:tcPr>
          <w:p>
            <w:pPr>
              <w:pStyle w:val="30"/>
              <w:rPr>
                <w:rFonts w:hint="default"/>
              </w:rPr>
            </w:pPr>
            <w:r>
              <w:t>400</w:t>
            </w:r>
          </w:p>
        </w:tc>
        <w:tc>
          <w:tcPr>
            <w:tcW w:w="845" w:type="dxa"/>
            <w:vAlign w:val="center"/>
          </w:tcPr>
          <w:p>
            <w:pPr>
              <w:pStyle w:val="30"/>
              <w:rPr>
                <w:rFonts w:hint="default"/>
              </w:rPr>
            </w:pPr>
            <w:r>
              <w:t>500</w:t>
            </w:r>
          </w:p>
        </w:tc>
        <w:tc>
          <w:tcPr>
            <w:tcW w:w="845" w:type="dxa"/>
            <w:vAlign w:val="center"/>
          </w:tcPr>
          <w:p>
            <w:pPr>
              <w:pStyle w:val="30"/>
              <w:rPr>
                <w:rFonts w:hint="default"/>
              </w:rPr>
            </w:pPr>
            <w:r>
              <w:t>600</w:t>
            </w:r>
          </w:p>
        </w:tc>
        <w:tc>
          <w:tcPr>
            <w:tcW w:w="845" w:type="dxa"/>
            <w:vAlign w:val="center"/>
          </w:tcPr>
          <w:p>
            <w:pPr>
              <w:pStyle w:val="30"/>
              <w:rPr>
                <w:rFonts w:hint="default"/>
              </w:rPr>
            </w:pPr>
            <w: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pPr>
              <w:pStyle w:val="30"/>
              <w:rPr>
                <w:rFonts w:hint="default"/>
              </w:rPr>
            </w:pPr>
            <w:r>
              <w:t>贡献值</w:t>
            </w:r>
          </w:p>
        </w:tc>
        <w:tc>
          <w:tcPr>
            <w:tcW w:w="840" w:type="dxa"/>
            <w:vAlign w:val="center"/>
          </w:tcPr>
          <w:p>
            <w:pPr>
              <w:pStyle w:val="30"/>
              <w:rPr>
                <w:rFonts w:hint="default"/>
              </w:rPr>
            </w:pPr>
            <w:r>
              <w:rPr>
                <w:rFonts w:hint="default"/>
              </w:rPr>
              <w:t>70.45</w:t>
            </w:r>
          </w:p>
        </w:tc>
        <w:tc>
          <w:tcPr>
            <w:tcW w:w="721" w:type="dxa"/>
            <w:vAlign w:val="center"/>
          </w:tcPr>
          <w:p>
            <w:pPr>
              <w:pStyle w:val="30"/>
              <w:rPr>
                <w:rFonts w:hint="default"/>
              </w:rPr>
            </w:pPr>
            <w:r>
              <w:rPr>
                <w:rFonts w:hint="default"/>
              </w:rPr>
              <w:t>66.02</w:t>
            </w:r>
          </w:p>
        </w:tc>
        <w:tc>
          <w:tcPr>
            <w:tcW w:w="845" w:type="dxa"/>
            <w:vAlign w:val="center"/>
          </w:tcPr>
          <w:p>
            <w:pPr>
              <w:pStyle w:val="30"/>
              <w:rPr>
                <w:rFonts w:hint="default"/>
              </w:rPr>
            </w:pPr>
            <w:r>
              <w:rPr>
                <w:rFonts w:hint="default"/>
              </w:rPr>
              <w:t>60</w:t>
            </w:r>
          </w:p>
        </w:tc>
        <w:tc>
          <w:tcPr>
            <w:tcW w:w="845" w:type="dxa"/>
            <w:vAlign w:val="center"/>
          </w:tcPr>
          <w:p>
            <w:pPr>
              <w:pStyle w:val="30"/>
              <w:rPr>
                <w:rFonts w:hint="default"/>
              </w:rPr>
            </w:pPr>
            <w:r>
              <w:rPr>
                <w:rFonts w:hint="default"/>
              </w:rPr>
              <w:t>56.48</w:t>
            </w:r>
          </w:p>
        </w:tc>
        <w:tc>
          <w:tcPr>
            <w:tcW w:w="845" w:type="dxa"/>
            <w:vAlign w:val="center"/>
          </w:tcPr>
          <w:p>
            <w:pPr>
              <w:pStyle w:val="30"/>
              <w:rPr>
                <w:rFonts w:hint="default"/>
              </w:rPr>
            </w:pPr>
            <w:r>
              <w:rPr>
                <w:rFonts w:hint="default"/>
              </w:rPr>
              <w:t>53.97</w:t>
            </w:r>
          </w:p>
        </w:tc>
        <w:tc>
          <w:tcPr>
            <w:tcW w:w="845" w:type="dxa"/>
            <w:vAlign w:val="center"/>
          </w:tcPr>
          <w:p>
            <w:pPr>
              <w:pStyle w:val="30"/>
              <w:rPr>
                <w:rFonts w:hint="default"/>
              </w:rPr>
            </w:pPr>
            <w:r>
              <w:rPr>
                <w:rFonts w:hint="default"/>
              </w:rPr>
              <w:t>50.45</w:t>
            </w:r>
          </w:p>
        </w:tc>
        <w:tc>
          <w:tcPr>
            <w:tcW w:w="845" w:type="dxa"/>
            <w:vAlign w:val="center"/>
          </w:tcPr>
          <w:p>
            <w:pPr>
              <w:pStyle w:val="30"/>
              <w:rPr>
                <w:rFonts w:hint="default"/>
              </w:rPr>
            </w:pPr>
            <w:r>
              <w:rPr>
                <w:rFonts w:hint="default"/>
              </w:rPr>
              <w:t>47.96</w:t>
            </w:r>
          </w:p>
        </w:tc>
        <w:tc>
          <w:tcPr>
            <w:tcW w:w="845" w:type="dxa"/>
            <w:vAlign w:val="center"/>
          </w:tcPr>
          <w:p>
            <w:pPr>
              <w:pStyle w:val="30"/>
              <w:rPr>
                <w:rFonts w:hint="default"/>
              </w:rPr>
            </w:pPr>
            <w:r>
              <w:rPr>
                <w:rFonts w:hint="default"/>
              </w:rPr>
              <w:t>46.02</w:t>
            </w:r>
          </w:p>
        </w:tc>
        <w:tc>
          <w:tcPr>
            <w:tcW w:w="845" w:type="dxa"/>
            <w:vAlign w:val="center"/>
          </w:tcPr>
          <w:p>
            <w:pPr>
              <w:pStyle w:val="30"/>
              <w:rPr>
                <w:rFonts w:hint="default"/>
              </w:rPr>
            </w:pPr>
            <w:r>
              <w:rPr>
                <w:rFonts w:hint="default"/>
              </w:rPr>
              <w:t>44.43</w:t>
            </w:r>
          </w:p>
        </w:tc>
        <w:tc>
          <w:tcPr>
            <w:tcW w:w="845" w:type="dxa"/>
            <w:vAlign w:val="center"/>
          </w:tcPr>
          <w:p>
            <w:pPr>
              <w:pStyle w:val="30"/>
              <w:rPr>
                <w:rFonts w:hint="default"/>
              </w:rPr>
            </w:pPr>
            <w:r>
              <w:rPr>
                <w:rFonts w:hint="default"/>
              </w:rPr>
              <w:t>43.09</w:t>
            </w:r>
          </w:p>
        </w:tc>
      </w:tr>
    </w:tbl>
    <w:p>
      <w:pPr>
        <w:widowControl/>
        <w:ind w:firstLine="480"/>
        <w:rPr>
          <w:color w:val="000000"/>
          <w:szCs w:val="24"/>
          <w:lang w:val="en-US" w:bidi="ar"/>
        </w:rPr>
      </w:pPr>
      <w:r>
        <w:rPr>
          <w:rFonts w:hint="eastAsia"/>
          <w:color w:val="000000"/>
          <w:szCs w:val="24"/>
          <w:lang w:val="en-US" w:bidi="ar"/>
        </w:rPr>
        <w:t>根据《建筑施工场界环境噪声排放标准》（</w:t>
      </w:r>
      <w:r>
        <w:rPr>
          <w:color w:val="000000"/>
          <w:szCs w:val="24"/>
          <w:lang w:val="en-US" w:bidi="ar"/>
        </w:rPr>
        <w:t>GB12523-2011</w:t>
      </w:r>
      <w:r>
        <w:rPr>
          <w:rFonts w:hint="eastAsia"/>
          <w:color w:val="000000"/>
          <w:szCs w:val="24"/>
          <w:lang w:val="en-US" w:bidi="ar"/>
        </w:rPr>
        <w:t>）的规定，施工噪声控制在昼间</w:t>
      </w:r>
      <w:r>
        <w:rPr>
          <w:color w:val="000000"/>
          <w:szCs w:val="24"/>
          <w:lang w:val="en-US" w:bidi="ar"/>
        </w:rPr>
        <w:t>70dB</w:t>
      </w:r>
      <w:r>
        <w:rPr>
          <w:rFonts w:hint="eastAsia"/>
          <w:color w:val="000000"/>
          <w:szCs w:val="24"/>
          <w:lang w:val="en-US" w:bidi="ar"/>
        </w:rPr>
        <w:t>（</w:t>
      </w:r>
      <w:r>
        <w:rPr>
          <w:color w:val="000000"/>
          <w:szCs w:val="24"/>
          <w:lang w:val="en-US" w:bidi="ar"/>
        </w:rPr>
        <w:t>A</w:t>
      </w:r>
      <w:r>
        <w:rPr>
          <w:rFonts w:hint="eastAsia"/>
          <w:color w:val="000000"/>
          <w:szCs w:val="24"/>
          <w:lang w:val="en-US" w:bidi="ar"/>
        </w:rPr>
        <w:t>），夜间控制在</w:t>
      </w:r>
      <w:r>
        <w:rPr>
          <w:color w:val="000000"/>
          <w:szCs w:val="24"/>
          <w:lang w:val="en-US" w:bidi="ar"/>
        </w:rPr>
        <w:t>55dB</w:t>
      </w:r>
      <w:r>
        <w:rPr>
          <w:rFonts w:hint="eastAsia"/>
          <w:color w:val="000000"/>
          <w:szCs w:val="24"/>
          <w:lang w:val="en-US" w:bidi="ar"/>
        </w:rPr>
        <w:t>（</w:t>
      </w:r>
      <w:r>
        <w:rPr>
          <w:color w:val="000000"/>
          <w:szCs w:val="24"/>
          <w:lang w:val="en-US" w:bidi="ar"/>
        </w:rPr>
        <w:t>A</w:t>
      </w:r>
      <w:r>
        <w:rPr>
          <w:rFonts w:hint="eastAsia"/>
          <w:color w:val="000000"/>
          <w:szCs w:val="24"/>
          <w:lang w:val="en-US" w:bidi="ar"/>
        </w:rPr>
        <w:t>）。项目施工机械最大声功率级按</w:t>
      </w:r>
      <w:r>
        <w:rPr>
          <w:color w:val="000000"/>
          <w:szCs w:val="24"/>
          <w:lang w:val="en-US" w:bidi="ar"/>
        </w:rPr>
        <w:t>100dB</w:t>
      </w:r>
      <w:r>
        <w:rPr>
          <w:rFonts w:hint="eastAsia"/>
          <w:color w:val="000000"/>
          <w:szCs w:val="24"/>
          <w:lang w:val="en-US" w:bidi="ar"/>
        </w:rPr>
        <w:t>（</w:t>
      </w:r>
      <w:r>
        <w:rPr>
          <w:color w:val="000000"/>
          <w:szCs w:val="24"/>
          <w:lang w:val="en-US" w:bidi="ar"/>
        </w:rPr>
        <w:t>A</w:t>
      </w:r>
      <w:r>
        <w:rPr>
          <w:rFonts w:hint="eastAsia"/>
          <w:color w:val="000000"/>
          <w:szCs w:val="24"/>
          <w:lang w:val="en-US" w:bidi="ar"/>
        </w:rPr>
        <w:t>）计算，白天衰减至</w:t>
      </w:r>
      <w:r>
        <w:rPr>
          <w:color w:val="000000"/>
          <w:szCs w:val="24"/>
          <w:lang w:val="en-US" w:bidi="ar"/>
        </w:rPr>
        <w:t>70dB</w:t>
      </w:r>
      <w:r>
        <w:rPr>
          <w:rFonts w:hint="eastAsia"/>
          <w:color w:val="000000"/>
          <w:szCs w:val="24"/>
          <w:lang w:val="en-US" w:bidi="ar"/>
        </w:rPr>
        <w:t>（</w:t>
      </w:r>
      <w:r>
        <w:rPr>
          <w:color w:val="000000"/>
          <w:szCs w:val="24"/>
          <w:lang w:val="en-US" w:bidi="ar"/>
        </w:rPr>
        <w:t>A</w:t>
      </w:r>
      <w:r>
        <w:rPr>
          <w:rFonts w:hint="eastAsia"/>
          <w:color w:val="000000"/>
          <w:szCs w:val="24"/>
          <w:lang w:val="en-US" w:bidi="ar"/>
        </w:rPr>
        <w:t>）时需要满足的衰减距离为</w:t>
      </w:r>
      <w:r>
        <w:rPr>
          <w:color w:val="000000"/>
          <w:szCs w:val="24"/>
          <w:lang w:val="en-US" w:bidi="ar"/>
        </w:rPr>
        <w:t>30m</w:t>
      </w:r>
      <w:r>
        <w:rPr>
          <w:rFonts w:hint="eastAsia"/>
          <w:color w:val="000000"/>
          <w:szCs w:val="24"/>
          <w:lang w:val="en-US" w:bidi="ar"/>
        </w:rPr>
        <w:t>，夜间衰减至</w:t>
      </w:r>
      <w:r>
        <w:rPr>
          <w:color w:val="000000"/>
          <w:szCs w:val="24"/>
          <w:lang w:val="en-US" w:bidi="ar"/>
        </w:rPr>
        <w:t>55dB</w:t>
      </w:r>
      <w:r>
        <w:rPr>
          <w:rFonts w:hint="eastAsia"/>
          <w:color w:val="000000"/>
          <w:szCs w:val="24"/>
          <w:lang w:val="en-US" w:bidi="ar"/>
        </w:rPr>
        <w:t>（</w:t>
      </w:r>
      <w:r>
        <w:rPr>
          <w:color w:val="000000"/>
          <w:szCs w:val="24"/>
          <w:lang w:val="en-US" w:bidi="ar"/>
        </w:rPr>
        <w:t>A</w:t>
      </w:r>
      <w:r>
        <w:rPr>
          <w:rFonts w:hint="eastAsia"/>
          <w:color w:val="000000"/>
          <w:szCs w:val="24"/>
          <w:lang w:val="en-US" w:bidi="ar"/>
        </w:rPr>
        <w:t>）时需要满足的衰减距离为</w:t>
      </w:r>
      <w:r>
        <w:rPr>
          <w:color w:val="000000"/>
          <w:szCs w:val="24"/>
          <w:lang w:val="en-US" w:bidi="ar"/>
        </w:rPr>
        <w:t>230m</w:t>
      </w:r>
      <w:r>
        <w:rPr>
          <w:rFonts w:hint="eastAsia"/>
          <w:color w:val="000000"/>
          <w:szCs w:val="24"/>
          <w:lang w:val="en-US" w:bidi="ar"/>
        </w:rPr>
        <w:t>。距离本项目施工区域最近的敏感目标为环境敏感点为</w:t>
      </w:r>
      <w:r>
        <w:rPr>
          <w:rFonts w:hint="eastAsia"/>
          <w:color w:val="000000"/>
          <w:szCs w:val="24"/>
          <w:lang w:val="en-US" w:eastAsia="zh-CN" w:bidi="ar"/>
        </w:rPr>
        <w:t>西南</w:t>
      </w:r>
      <w:r>
        <w:rPr>
          <w:rFonts w:hint="eastAsia"/>
          <w:color w:val="000000"/>
          <w:szCs w:val="24"/>
          <w:lang w:val="en-US" w:bidi="ar"/>
        </w:rPr>
        <w:t>侧</w:t>
      </w:r>
      <w:r>
        <w:rPr>
          <w:rFonts w:hint="eastAsia"/>
          <w:color w:val="000000"/>
          <w:szCs w:val="24"/>
          <w:lang w:val="en-US" w:eastAsia="zh-CN" w:bidi="ar"/>
        </w:rPr>
        <w:t>后王庄120</w:t>
      </w:r>
      <w:r>
        <w:rPr>
          <w:rFonts w:hint="eastAsia"/>
          <w:color w:val="000000"/>
          <w:szCs w:val="24"/>
          <w:lang w:val="en-US" w:bidi="ar"/>
        </w:rPr>
        <w:t>m。在严格控制夜间不施工的前提下，采用低噪声设备、对设备进行隔声、减振处理，本项目施工期间产生的噪声不会对周围环境造成明显影响，其施工场界声环境可满足《建筑施工场界环境噪声排放标准》（</w:t>
      </w:r>
      <w:r>
        <w:rPr>
          <w:color w:val="000000"/>
          <w:szCs w:val="24"/>
          <w:lang w:val="en-US" w:bidi="ar"/>
        </w:rPr>
        <w:t>GB12523-2011</w:t>
      </w:r>
      <w:r>
        <w:rPr>
          <w:rFonts w:hint="eastAsia"/>
          <w:color w:val="000000"/>
          <w:szCs w:val="24"/>
          <w:lang w:val="en-US" w:bidi="ar"/>
        </w:rPr>
        <w:t>）要求，对区域声环境不会产生显著性不良影响。因生产工艺要求或者因特殊需要须昼夜连续作业的，施工单位必须报环境保护行政主管部门审批，公告周边居民，并采取有效措施，避免噪声扰民。未经批准，不得在夜间使用产生严重噪声污染的大型施工机具。施工现场夜间禁止使用电锯、风镐等高噪声设备。</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为减轻施工期噪声对周边居民的影响，要求建设单位在施工期采取以下相应措施：</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①首先从噪声源强进行控制：建设单位在与施工单位签订合同时，应要求其使用的主要机械设备为低噪声设备作为合同内容的一部分。尽量选低噪声液压施工机械替代气压机械。如采用液压挖掘机；不使用汽锤打桩机。采用长螺旋钻机；使用商品混凝土，不使用混凝土搅拌机。同时，高噪声设备合理布局，尽量布置于施工场地西北侧，在高噪声设备周围设置屏障减轻噪声对周围环境的影响，控制施工</w:t>
      </w:r>
      <w:r>
        <w:rPr>
          <w:rFonts w:hint="eastAsia" w:cs="宋体"/>
          <w:color w:val="000000"/>
          <w:szCs w:val="24"/>
          <w:lang w:eastAsia="zh-CN" w:bidi="ar"/>
        </w:rPr>
        <w:t>厂界</w:t>
      </w:r>
      <w:r>
        <w:rPr>
          <w:rFonts w:hint="eastAsia" w:cs="宋体"/>
          <w:color w:val="000000"/>
          <w:szCs w:val="24"/>
          <w:lang w:bidi="ar"/>
        </w:rPr>
        <w:t>噪声不超过《建筑施工场界环境噪声排放标准》(GB12523-2011)。</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②在施工过程中施工单位应设专人对设备进行定期保养和维护，并负责对现场工作人员进行培训，严格按操作规范使用各类机械对动力机械设备定期进行维修和养护，避免因松动部件振动或消声器损坏而加大设备工作时的声级。</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③合理布置施工现场，应尽量避免在施工现场的同一地点安排大量的高噪声设备，造成局部声级过高。</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④将有固定工作地点的施工机械尽量设置在距西侧、北侧居民区较远的位置，同时尽量将其入棚操作，可适当建立声屏障，施工场地四周建2.5m高的围挡。</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⑤闲置不用的设备应立即关闭，运输车辆进入现场应减速慢行，并禁止各种车辆在施工场地鸣笛、超载，施工现场设置限速、禁止鸣笛、超载的标志牌；禁止用哨子、高音喇叭等指挥作业，减少人为噪声。同时，合理安排施工过程，不得在午间12时至14时和夜间22时至次日6时从事打桩、搅拌或浇注混凝土等高噪声作业，夜间禁止使用高噪设备，若必须夜间施工时，须先向环保部门申报并征得许可，同时事先通知周围居民，以取得谅解。</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⑥产生振动的大型设备的底座安装减振器，通过基础减振来降低噪声影响。</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⑦安装局部隔声罩和部分吸声结构，以降低高噪声设备噪声传播的强度，并通过车间隔声来降低噪声传播的强度。</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⑧完善生态绿地系统，建设噪声防护绿带，在临近道路侧加强绿化植树，建设护林带，建筑物积极进行垂直绿化，减少施工期噪声对周围环境的影响。</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⑨在施工场地东边界、南边界设置2.5m高的隔声屏障，减轻施工噪声对</w:t>
      </w:r>
      <w:r>
        <w:rPr>
          <w:rFonts w:hint="eastAsia" w:cs="宋体"/>
          <w:color w:val="000000"/>
          <w:szCs w:val="24"/>
          <w:lang w:eastAsia="zh-CN" w:bidi="ar"/>
        </w:rPr>
        <w:t>后王庄</w:t>
      </w:r>
      <w:r>
        <w:rPr>
          <w:rFonts w:hint="eastAsia" w:cs="宋体"/>
          <w:color w:val="000000"/>
          <w:szCs w:val="24"/>
          <w:lang w:bidi="ar"/>
        </w:rPr>
        <w:t>的影响。</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⑩建设单位应将施工噪声控制纳入施工承包内容，并在施工和工程监理过程中设置专门管理小组，专人负责管理，以确保噪声措施的实施。同时，经常派专人对施工人员进行环保法制宣传，保证施工单位严格遵守环评提出的环保要求，加强现场科学管理，做好施工人员的环境保护意识，提倡文明施工，降低人为因素造成的施工噪声加重。</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施工单位要对现场施工人员进行严格管理，做到文明施工，将施工期噪声影响降到最低限度。同时安排专人负责对周围居民进行沟通调节工作，一旦发生噪声扰民现象应立即停止施工，并做好调解解释工作。尽量减少施工噪声对周围居民的影响，施工期的影响是暂时的，随着施工期的结束而消失，采取以上措施，其影响在可接受的范围内。</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2、车辆运输噪声影响分析</w:t>
      </w:r>
    </w:p>
    <w:p>
      <w:pPr>
        <w:pStyle w:val="19"/>
        <w:widowControl/>
        <w:spacing w:beforeAutospacing="0" w:afterAutospacing="0"/>
        <w:ind w:firstLine="480"/>
        <w:jc w:val="both"/>
        <w:rPr>
          <w:rFonts w:cs="宋体"/>
          <w:color w:val="000000"/>
          <w:szCs w:val="24"/>
          <w:lang w:bidi="ar"/>
        </w:rPr>
      </w:pPr>
      <w:r>
        <w:rPr>
          <w:rFonts w:hint="eastAsia" w:cs="宋体"/>
          <w:color w:val="000000"/>
          <w:szCs w:val="24"/>
          <w:lang w:bidi="ar"/>
        </w:rPr>
        <w:t>本项目位于</w:t>
      </w:r>
      <w:r>
        <w:rPr>
          <w:rFonts w:hint="eastAsia"/>
          <w:lang w:val="en-US" w:eastAsia="zh-CN"/>
        </w:rPr>
        <w:t>平顶山市叶县廉村镇二郎庙村村北200米路东</w:t>
      </w:r>
      <w:r>
        <w:rPr>
          <w:rFonts w:hint="eastAsia" w:cs="宋体"/>
          <w:color w:val="000000"/>
          <w:szCs w:val="24"/>
          <w:lang w:bidi="ar"/>
        </w:rPr>
        <w:t>，为了降低车辆交通噪声对运输道路两侧居民的噪声影响，运输道路路面要经常维护修补，汽车也应经常维修保养，维持良好的车况。据加利福利亚大学运输系统测定，依照速度限制，车速每降低40公里/小时，交通噪声水平可减少5dB（A）。需要注意的是不要设置减速带，因为这将造成车辆反复加减速，油门噪声变大，还会造成车辆颠簸，产生更刺耳的噪声。企业应对经常对运输车辆进行维修保养，维持其良好的车库，并派专人维护路面平整，在敏感点附近路段两端设置限速标准等措施，运输时段为昼间，严禁夜间运输，以最大</w:t>
      </w:r>
      <w:r>
        <w:rPr>
          <w:rFonts w:hint="eastAsia" w:cs="宋体"/>
          <w:color w:val="000000"/>
          <w:szCs w:val="24"/>
          <w:lang w:eastAsia="zh-CN" w:bidi="ar"/>
        </w:rPr>
        <w:t>限度地减轻</w:t>
      </w:r>
      <w:r>
        <w:rPr>
          <w:rFonts w:hint="eastAsia" w:cs="宋体"/>
          <w:color w:val="000000"/>
          <w:szCs w:val="24"/>
          <w:lang w:bidi="ar"/>
        </w:rPr>
        <w:t>交通噪声对沿线居民的影响。</w:t>
      </w:r>
    </w:p>
    <w:p>
      <w:pPr>
        <w:pStyle w:val="4"/>
        <w:ind w:firstLine="602"/>
        <w:rPr>
          <w:lang w:val="en-US"/>
        </w:rPr>
      </w:pPr>
      <w:bookmarkStart w:id="140" w:name="_Toc27343"/>
      <w:r>
        <w:rPr>
          <w:lang w:val="en-US"/>
        </w:rPr>
        <w:t xml:space="preserve">6.1.4 </w:t>
      </w:r>
      <w:r>
        <w:rPr>
          <w:rFonts w:hint="eastAsia"/>
          <w:lang w:val="en-US"/>
        </w:rPr>
        <w:t>固体废物影响分析</w:t>
      </w:r>
      <w:bookmarkEnd w:id="140"/>
    </w:p>
    <w:p>
      <w:pPr>
        <w:ind w:firstLine="480"/>
        <w:rPr>
          <w:lang w:val="en-US"/>
        </w:rPr>
      </w:pPr>
      <w:r>
        <w:rPr>
          <w:rFonts w:hint="eastAsia"/>
          <w:lang w:val="en-US"/>
        </w:rPr>
        <w:t>施工期固废主要为土地开挖产生的弃土、施工工程产生的建筑垃圾、施工人员产生的生活垃圾。</w:t>
      </w:r>
    </w:p>
    <w:p>
      <w:pPr>
        <w:ind w:firstLine="480"/>
        <w:rPr>
          <w:lang w:val="en-US"/>
        </w:rPr>
      </w:pPr>
      <w:r>
        <w:rPr>
          <w:rFonts w:hint="eastAsia"/>
          <w:lang w:val="en-US" w:eastAsia="zh-CN"/>
        </w:rPr>
        <w:t>1</w:t>
      </w:r>
      <w:r>
        <w:rPr>
          <w:rFonts w:hint="eastAsia"/>
          <w:lang w:val="en-US"/>
        </w:rPr>
        <w:t>、弃土</w:t>
      </w:r>
    </w:p>
    <w:p>
      <w:pPr>
        <w:ind w:firstLine="480"/>
        <w:rPr>
          <w:lang w:val="en-US"/>
        </w:rPr>
      </w:pPr>
      <w:r>
        <w:rPr>
          <w:rFonts w:hint="eastAsia"/>
          <w:lang w:val="en-US"/>
        </w:rPr>
        <w:t>项目施工期产生的弃土可作为一般固废进行处置，经平顶山市</w:t>
      </w:r>
      <w:r>
        <w:rPr>
          <w:rFonts w:hint="eastAsia"/>
          <w:lang w:val="en-US" w:eastAsia="zh-CN"/>
        </w:rPr>
        <w:t>叶县</w:t>
      </w:r>
      <w:r>
        <w:rPr>
          <w:rFonts w:hint="eastAsia"/>
          <w:lang w:val="en-US"/>
        </w:rPr>
        <w:t>渣土办许可后及时送往指定的建筑垃圾堆场，不得随意排放。</w:t>
      </w:r>
    </w:p>
    <w:p>
      <w:pPr>
        <w:ind w:firstLine="480"/>
        <w:rPr>
          <w:lang w:val="en-US"/>
        </w:rPr>
      </w:pPr>
      <w:r>
        <w:rPr>
          <w:rFonts w:hint="eastAsia"/>
          <w:lang w:val="en-US" w:eastAsia="zh-CN"/>
        </w:rPr>
        <w:t>2</w:t>
      </w:r>
      <w:r>
        <w:rPr>
          <w:rFonts w:hint="eastAsia"/>
          <w:lang w:val="en-US"/>
        </w:rPr>
        <w:t>、建筑垃圾</w:t>
      </w:r>
    </w:p>
    <w:p>
      <w:pPr>
        <w:ind w:firstLine="480"/>
        <w:rPr>
          <w:lang w:val="en-US"/>
        </w:rPr>
      </w:pPr>
      <w:r>
        <w:rPr>
          <w:rFonts w:hint="eastAsia"/>
          <w:lang w:val="en-US"/>
        </w:rPr>
        <w:t>建筑垃圾的产生量与施工水平、建筑类型等多种因素有关，数据之间相差较大。建筑垃圾主要是无机类物质，有机成分含量较低。由于垃圾中的主要成分为无机垃圾，因此燃烧热值小，适于填埋处理。项目建设后期所产生的装修垃圾中含有的废油漆、有机溶剂、装修材料的</w:t>
      </w:r>
      <w:r>
        <w:rPr>
          <w:rFonts w:hint="eastAsia"/>
          <w:lang w:val="en-US" w:eastAsia="zh-CN"/>
        </w:rPr>
        <w:t>边角废料</w:t>
      </w:r>
      <w:r>
        <w:rPr>
          <w:rFonts w:hint="eastAsia"/>
          <w:lang w:val="en-US"/>
        </w:rPr>
        <w:t>等，一部分属于易燃、有毒有害物质，应慎重处理。</w:t>
      </w:r>
    </w:p>
    <w:p>
      <w:pPr>
        <w:ind w:firstLine="480"/>
        <w:rPr>
          <w:lang w:val="en-US"/>
        </w:rPr>
      </w:pPr>
      <w:r>
        <w:rPr>
          <w:rFonts w:hint="eastAsia"/>
          <w:lang w:val="en-US"/>
        </w:rPr>
        <w:t>施工单位应在施工场地内集中收集</w:t>
      </w:r>
      <w:r>
        <w:rPr>
          <w:rFonts w:hint="eastAsia"/>
          <w:lang w:val="en-US" w:eastAsia="zh-CN"/>
        </w:rPr>
        <w:t>建筑垃圾</w:t>
      </w:r>
      <w:r>
        <w:rPr>
          <w:rFonts w:hint="eastAsia"/>
          <w:lang w:val="en-US"/>
        </w:rPr>
        <w:t>，可以回用的进行再次利用，其余应运送到指定的建筑垃圾堆放点。建筑垃圾的处理应严格按照《城市建筑垃圾管理规定》进行处理，具体要求如下：</w:t>
      </w:r>
    </w:p>
    <w:p>
      <w:pPr>
        <w:ind w:firstLine="480"/>
        <w:rPr>
          <w:lang w:val="en-US"/>
        </w:rPr>
      </w:pPr>
      <w:r>
        <w:rPr>
          <w:rFonts w:hint="eastAsia"/>
          <w:lang w:val="en-US"/>
        </w:rPr>
        <w:t>（1）处置建筑垃圾的单位，应当向城市人民政府市容环境卫生主管部门提出申请，获得城市建筑垃圾处置核准后，方可处置。</w:t>
      </w:r>
    </w:p>
    <w:p>
      <w:pPr>
        <w:ind w:firstLine="480"/>
        <w:rPr>
          <w:lang w:val="en-US"/>
        </w:rPr>
      </w:pPr>
      <w:r>
        <w:rPr>
          <w:rFonts w:hint="eastAsia"/>
          <w:lang w:val="en-US"/>
        </w:rPr>
        <w:t>（2）建筑垃圾处置实行减量化、资源化、无害化和谁产生、谁承担处置责任的原则。施工单位不得将建筑垃圾交给个人或者未经核准从事建筑垃圾运输的单位运输。</w:t>
      </w:r>
    </w:p>
    <w:p>
      <w:pPr>
        <w:ind w:firstLine="480"/>
        <w:rPr>
          <w:lang w:val="en-US"/>
        </w:rPr>
      </w:pPr>
      <w:r>
        <w:rPr>
          <w:rFonts w:hint="eastAsia"/>
          <w:lang w:val="en-US"/>
        </w:rPr>
        <w:t>（3）企业不得将建筑垃圾混入生活垃圾，不得将危险废物混入建筑垃圾，不得擅自设立弃置场受纳建筑垃圾。不得随意倾倒、抛撒或者堆放建筑垃圾。</w:t>
      </w:r>
    </w:p>
    <w:p>
      <w:pPr>
        <w:ind w:firstLine="480"/>
        <w:rPr>
          <w:lang w:val="en-US"/>
        </w:rPr>
      </w:pPr>
      <w:r>
        <w:rPr>
          <w:rFonts w:hint="eastAsia"/>
          <w:lang w:val="en-US"/>
        </w:rPr>
        <w:t>（4）施工单位应当及时清运工程施工过程中产生的建筑垃圾，并按照城市人民政府市容环境卫生主管部门的规定处置，防止污染环境。</w:t>
      </w:r>
    </w:p>
    <w:p>
      <w:pPr>
        <w:ind w:firstLine="480"/>
        <w:rPr>
          <w:lang w:val="en-US"/>
        </w:rPr>
      </w:pPr>
      <w:r>
        <w:rPr>
          <w:rFonts w:hint="eastAsia"/>
          <w:lang w:val="en-US"/>
        </w:rPr>
        <w:t>（5）运输车辆应采进行封闭，严禁在运输过程中产生遗落、抛洒，运输车辆及时进行清洗，应做到车身干净整洁，车轮及时冲洗，避免造成道路扬尘等二次污染。</w:t>
      </w:r>
    </w:p>
    <w:p>
      <w:pPr>
        <w:ind w:firstLine="480"/>
        <w:rPr>
          <w:lang w:val="en-US"/>
        </w:rPr>
      </w:pPr>
      <w:r>
        <w:rPr>
          <w:rFonts w:hint="eastAsia"/>
          <w:lang w:val="en-US"/>
        </w:rPr>
        <w:t>（6）合理安排</w:t>
      </w:r>
      <w:r>
        <w:rPr>
          <w:rFonts w:hint="eastAsia"/>
          <w:lang w:val="en-US" w:eastAsia="zh-CN"/>
        </w:rPr>
        <w:t>运输</w:t>
      </w:r>
      <w:r>
        <w:rPr>
          <w:rFonts w:hint="eastAsia"/>
          <w:lang w:val="en-US"/>
        </w:rPr>
        <w:t>时间及运输路线，及时向有关部门进行申请备案，尽量避开市区主要</w:t>
      </w:r>
      <w:r>
        <w:rPr>
          <w:rFonts w:hint="eastAsia"/>
          <w:lang w:val="en-US" w:eastAsia="zh-CN"/>
        </w:rPr>
        <w:t>干道</w:t>
      </w:r>
      <w:r>
        <w:rPr>
          <w:rFonts w:hint="eastAsia"/>
          <w:lang w:val="en-US"/>
        </w:rPr>
        <w:t>，降低运输车辆噪声对居民影响。</w:t>
      </w:r>
    </w:p>
    <w:p>
      <w:pPr>
        <w:pStyle w:val="4"/>
        <w:ind w:firstLine="602"/>
        <w:rPr>
          <w:lang w:val="en-US"/>
        </w:rPr>
      </w:pPr>
      <w:bookmarkStart w:id="141" w:name="_Toc25936"/>
      <w:r>
        <w:rPr>
          <w:rFonts w:hint="eastAsia"/>
          <w:lang w:val="en-US"/>
        </w:rPr>
        <w:t>6.1.5 生态环境影响分析</w:t>
      </w:r>
      <w:bookmarkEnd w:id="141"/>
    </w:p>
    <w:p>
      <w:pPr>
        <w:ind w:firstLine="480"/>
        <w:rPr>
          <w:lang w:val="en-US"/>
        </w:rPr>
      </w:pPr>
      <w:r>
        <w:rPr>
          <w:rFonts w:hint="eastAsia"/>
          <w:lang w:val="en-US"/>
        </w:rPr>
        <w:t>1、施工期对植被的影响</w:t>
      </w:r>
    </w:p>
    <w:p>
      <w:pPr>
        <w:ind w:firstLine="480"/>
        <w:rPr>
          <w:lang w:val="en-US"/>
        </w:rPr>
      </w:pPr>
      <w:r>
        <w:rPr>
          <w:rFonts w:hint="eastAsia"/>
          <w:lang w:val="en-US"/>
        </w:rPr>
        <w:t>本项目所处的区域主要为</w:t>
      </w:r>
      <w:r>
        <w:rPr>
          <w:rFonts w:hint="eastAsia"/>
          <w:lang w:val="en-US" w:eastAsia="zh-CN"/>
        </w:rPr>
        <w:t>农村</w:t>
      </w:r>
      <w:r>
        <w:rPr>
          <w:rFonts w:hint="eastAsia"/>
          <w:lang w:val="en-US"/>
        </w:rPr>
        <w:t>生态系统，居住、交通是其主要的环境功能。根据现场实地踏勘，建设项目所在地目前</w:t>
      </w:r>
      <w:r>
        <w:rPr>
          <w:rFonts w:hint="eastAsia"/>
          <w:lang w:val="en-US" w:eastAsia="zh-CN"/>
        </w:rPr>
        <w:t>有部分厂房</w:t>
      </w:r>
      <w:r>
        <w:rPr>
          <w:rFonts w:hint="eastAsia"/>
          <w:lang w:val="en-US"/>
        </w:rPr>
        <w:t>，植被覆盖率较低，其主要作物为当地常见小型灌木、大量季节性杂草，施工过程需对场地进行开挖、填筑和平整，清除地表植被。施工期清除的区域草本植物均为本地区常见物种，无珍稀植被存在。施工结束后将通过绿化手段建立新的人工绿地、林木，培养起新的复合生态系统，这将在一定的程度上补偿对原有生态的影响，并能使项目</w:t>
      </w:r>
      <w:r>
        <w:rPr>
          <w:rFonts w:hint="eastAsia"/>
          <w:lang w:val="en-US" w:eastAsia="zh-CN"/>
        </w:rPr>
        <w:t>与</w:t>
      </w:r>
      <w:r>
        <w:rPr>
          <w:rFonts w:hint="eastAsia"/>
          <w:lang w:val="en-US"/>
        </w:rPr>
        <w:t>周围环境更加协调，起到美化环境的效果。</w:t>
      </w:r>
    </w:p>
    <w:p>
      <w:pPr>
        <w:ind w:firstLine="480"/>
        <w:rPr>
          <w:lang w:val="en-US"/>
        </w:rPr>
      </w:pPr>
      <w:r>
        <w:rPr>
          <w:rFonts w:hint="eastAsia"/>
          <w:lang w:val="en-US"/>
        </w:rPr>
        <w:t>施工期对生态的影响只是暂时性的，施工完成后，</w:t>
      </w:r>
      <w:r>
        <w:rPr>
          <w:rFonts w:hint="eastAsia"/>
          <w:lang w:val="en-US" w:eastAsia="zh-CN"/>
        </w:rPr>
        <w:t>厂区</w:t>
      </w:r>
      <w:r>
        <w:rPr>
          <w:rFonts w:hint="eastAsia"/>
          <w:lang w:val="en-US"/>
        </w:rPr>
        <w:t>将进行绿化美化。因此，尽管施工期对建设区域植被有一定的不利影响，但随着施工期的结束和绿化设施的完善，这种影响也将随之消失。</w:t>
      </w:r>
    </w:p>
    <w:p>
      <w:pPr>
        <w:ind w:firstLine="480"/>
        <w:rPr>
          <w:lang w:val="en-US"/>
        </w:rPr>
      </w:pPr>
      <w:r>
        <w:rPr>
          <w:rFonts w:hint="eastAsia"/>
          <w:lang w:val="en-US"/>
        </w:rPr>
        <w:t>2、施工期对野生动物的影响</w:t>
      </w:r>
    </w:p>
    <w:p>
      <w:pPr>
        <w:ind w:firstLine="480"/>
        <w:rPr>
          <w:lang w:val="en-US"/>
        </w:rPr>
      </w:pPr>
      <w:r>
        <w:rPr>
          <w:rFonts w:hint="eastAsia"/>
          <w:lang w:val="en-US"/>
        </w:rPr>
        <w:t>因调查区内受人为活动的影响，区内大型野生动物已很少见，主要动物为昆虫、鸟类和爬行类，未发现国家重点保护野生动物。由于项目区域内的动物类型为常见种类，在区域其它地方都普遍存在，本区域数量较少，施工区对于动物的逃生、迁徙等较为有利，不会影响整个动物区系的组成。</w:t>
      </w:r>
    </w:p>
    <w:p>
      <w:pPr>
        <w:ind w:firstLine="480"/>
        <w:rPr>
          <w:lang w:val="en-US"/>
        </w:rPr>
      </w:pPr>
      <w:r>
        <w:rPr>
          <w:rFonts w:hint="eastAsia"/>
          <w:lang w:val="en-US"/>
        </w:rPr>
        <w:t>3、施工期水土流失</w:t>
      </w:r>
    </w:p>
    <w:p>
      <w:pPr>
        <w:ind w:firstLine="480"/>
        <w:rPr>
          <w:lang w:val="en-US"/>
        </w:rPr>
      </w:pPr>
      <w:r>
        <w:rPr>
          <w:rFonts w:hint="eastAsia"/>
          <w:lang w:val="en-US"/>
        </w:rPr>
        <w:t>施工期对周围生态环境的影响主要是施工活动造成的水土流失，特别是在雨季，若水土保持措施采取不当，可能会对施工区域四周生态环境造成影响。施工过程中如若对建筑垃圾、土石方处理不当，将会产生一定量的水土流失。造成水土流失的成因主要有：</w:t>
      </w:r>
    </w:p>
    <w:p>
      <w:pPr>
        <w:ind w:firstLine="480"/>
        <w:rPr>
          <w:lang w:val="en-US"/>
        </w:rPr>
      </w:pPr>
      <w:r>
        <w:rPr>
          <w:rFonts w:hint="eastAsia"/>
          <w:lang w:val="en-US"/>
        </w:rPr>
        <w:t>（1）开挖地表，使原有地表植被、土壤结构受到破坏，造成地表裸露，表层土抗蚀能力减弱，将加剧水土流失；</w:t>
      </w:r>
    </w:p>
    <w:p>
      <w:pPr>
        <w:ind w:firstLine="480"/>
        <w:rPr>
          <w:lang w:val="en-US"/>
        </w:rPr>
      </w:pPr>
      <w:r>
        <w:rPr>
          <w:rFonts w:hint="eastAsia"/>
          <w:lang w:val="en-US"/>
        </w:rPr>
        <w:t>（2）建设过程中施工区的土石渣料，不可避免的产生部分水土流失；</w:t>
      </w:r>
    </w:p>
    <w:p>
      <w:pPr>
        <w:ind w:firstLine="480"/>
        <w:rPr>
          <w:lang w:val="en-US"/>
        </w:rPr>
      </w:pPr>
      <w:r>
        <w:rPr>
          <w:rFonts w:hint="eastAsia"/>
          <w:lang w:val="en-US"/>
        </w:rPr>
        <w:t>（3）土石方因受地形和运输条件限制，不便运走时，由于结构疏松，空隙</w:t>
      </w:r>
    </w:p>
    <w:p>
      <w:pPr>
        <w:ind w:firstLine="480"/>
        <w:rPr>
          <w:lang w:val="en-US"/>
        </w:rPr>
      </w:pPr>
      <w:r>
        <w:rPr>
          <w:rFonts w:hint="eastAsia"/>
          <w:lang w:val="en-US"/>
        </w:rPr>
        <w:t>度增大，易产生水土流失；</w:t>
      </w:r>
    </w:p>
    <w:p>
      <w:pPr>
        <w:ind w:firstLine="480"/>
        <w:rPr>
          <w:lang w:val="en-US"/>
        </w:rPr>
      </w:pPr>
      <w:r>
        <w:rPr>
          <w:rFonts w:hint="eastAsia"/>
          <w:lang w:val="en-US"/>
        </w:rPr>
        <w:t>（4）取土回填也易产生水土流失。因此施工单位应做好水土保持工作，评价要求建设单位严格落实以下各项措施，将建设过程中对地表植被的影响以及土石方开挖造成水土流失的影响减轻到最小。</w:t>
      </w:r>
    </w:p>
    <w:p>
      <w:pPr>
        <w:ind w:firstLine="480"/>
        <w:rPr>
          <w:lang w:val="en-US"/>
        </w:rPr>
      </w:pPr>
      <w:r>
        <w:rPr>
          <w:rFonts w:hint="eastAsia"/>
          <w:lang w:val="en-US"/>
        </w:rPr>
        <w:t>（1）施工前应作详细计划，合理安排施工计划，施工时尽量按设计要求进行开挖，尽量减少开挖面，以减少植被的破坏，并最大限度降低对周边地块的影响；平整场地和道路时尽量做到挖填方平衡，对于多余土应合理布置堆放场地。避免不必要的水土流失和生态变化。</w:t>
      </w:r>
    </w:p>
    <w:p>
      <w:pPr>
        <w:ind w:firstLine="480"/>
        <w:rPr>
          <w:lang w:val="en-US"/>
        </w:rPr>
      </w:pPr>
      <w:r>
        <w:rPr>
          <w:rFonts w:hint="eastAsia"/>
          <w:lang w:val="en-US"/>
        </w:rPr>
        <w:t>（2）工程施工过程中特别注意做好生态环境的保护工作，如基坑开挖弃方的合理处置、对于落差较大的土石方开挖要设置必要的挡土墙对裸露的土壤进行围挡。对于开挖出来的表层覆土，回填时要尽量作为植树种草时的表层恢复土壤，同时设置必要的导流渠以疏导雨水，避免造成严重的水土流失。</w:t>
      </w:r>
    </w:p>
    <w:p>
      <w:pPr>
        <w:ind w:firstLine="480"/>
        <w:rPr>
          <w:lang w:val="en-US"/>
        </w:rPr>
      </w:pPr>
      <w:r>
        <w:rPr>
          <w:rFonts w:hint="eastAsia"/>
          <w:lang w:val="en-US"/>
        </w:rPr>
        <w:t>（3）应尽量避开雨季施工，并及时夯实地面。</w:t>
      </w:r>
    </w:p>
    <w:p>
      <w:pPr>
        <w:ind w:firstLine="480"/>
        <w:rPr>
          <w:lang w:val="en-US"/>
        </w:rPr>
      </w:pPr>
      <w:r>
        <w:rPr>
          <w:rFonts w:hint="eastAsia"/>
          <w:lang w:val="en-US"/>
        </w:rPr>
        <w:t>（4）各种防护措施与主体工程同步实施，以预防雨季路面逐流直接冲刷坡面而造成水土流失。若遇下雨，可用沙袋或草席压住坡面进行暂时防护，以减少水土流失。</w:t>
      </w:r>
    </w:p>
    <w:p>
      <w:pPr>
        <w:ind w:firstLine="480"/>
        <w:rPr>
          <w:lang w:val="en-US"/>
        </w:rPr>
      </w:pPr>
      <w:r>
        <w:rPr>
          <w:rFonts w:hint="eastAsia"/>
          <w:lang w:val="en-US"/>
        </w:rPr>
        <w:t>（5）对于土石方堆场，要修</w:t>
      </w:r>
      <w:r>
        <w:rPr>
          <w:rFonts w:hint="eastAsia"/>
          <w:lang w:val="en-US" w:eastAsia="zh-CN"/>
        </w:rPr>
        <w:t>“</w:t>
      </w:r>
      <w:r>
        <w:rPr>
          <w:rFonts w:hint="eastAsia"/>
          <w:lang w:val="en-US"/>
        </w:rPr>
        <w:t>人</w:t>
      </w:r>
      <w:r>
        <w:rPr>
          <w:rFonts w:hint="eastAsia"/>
          <w:lang w:val="en-US" w:eastAsia="zh-CN"/>
        </w:rPr>
        <w:t>”</w:t>
      </w:r>
      <w:r>
        <w:rPr>
          <w:rFonts w:hint="eastAsia"/>
          <w:lang w:val="en-US"/>
        </w:rPr>
        <w:t>字形排水沟、截水沟、围堰等，以降低降雨侵蚀力，对于小的堆场在雨期尽可能要覆盖，减轻水土流失。</w:t>
      </w:r>
    </w:p>
    <w:p>
      <w:pPr>
        <w:ind w:firstLine="480"/>
        <w:rPr>
          <w:lang w:val="en-US"/>
        </w:rPr>
      </w:pPr>
      <w:r>
        <w:rPr>
          <w:rFonts w:hint="eastAsia"/>
          <w:lang w:val="en-US"/>
        </w:rPr>
        <w:t>（6）必须通过制定切实可行的水土保持方案，做到了定点取土、定点排放，妥善处置弃渣，施工中做到边挖、边运、边整、边治，将因建设造成水土流失影响减轻到最小。</w:t>
      </w:r>
    </w:p>
    <w:p>
      <w:pPr>
        <w:ind w:firstLine="480"/>
        <w:rPr>
          <w:rFonts w:hint="eastAsia"/>
          <w:lang w:val="en-US"/>
        </w:rPr>
      </w:pPr>
      <w:r>
        <w:rPr>
          <w:rFonts w:hint="eastAsia"/>
          <w:lang w:val="en-US"/>
        </w:rPr>
        <w:t>（7）加强对施工现场的环境管理，必要时进行环境监测，以控制工程涉及区的环境污染。对工程涉及区域内的施工人员，应加强宣传、教育，强化其保护环境的意识，文明施工，达到工程建设和环境保护的同步发展。</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142" w:name="_Toc292"/>
      <w:bookmarkStart w:id="143" w:name="_Toc1957"/>
      <w:bookmarkStart w:id="144" w:name="_Toc26426"/>
      <w:bookmarkStart w:id="145" w:name="_Toc18825"/>
      <w:r>
        <w:rPr>
          <w:rFonts w:hint="default"/>
          <w:lang w:val="en-US" w:eastAsia="zh-CN"/>
        </w:rPr>
        <w:t>6.</w:t>
      </w:r>
      <w:r>
        <w:rPr>
          <w:rFonts w:hint="eastAsia"/>
          <w:lang w:val="en-US" w:eastAsia="zh-CN"/>
        </w:rPr>
        <w:t>2</w:t>
      </w:r>
      <w:r>
        <w:rPr>
          <w:rFonts w:hint="default"/>
          <w:lang w:val="en-US" w:eastAsia="zh-CN"/>
        </w:rPr>
        <w:t xml:space="preserve"> </w:t>
      </w:r>
      <w:r>
        <w:rPr>
          <w:lang w:val="en-US" w:eastAsia="zh-CN"/>
        </w:rPr>
        <w:t>环境空气影响预测与评价</w:t>
      </w:r>
      <w:bookmarkEnd w:id="142"/>
      <w:bookmarkEnd w:id="143"/>
      <w:bookmarkEnd w:id="144"/>
    </w:p>
    <w:p>
      <w:pPr>
        <w:pStyle w:val="4"/>
        <w:bidi w:val="0"/>
        <w:rPr>
          <w:b w:val="0"/>
          <w:bCs/>
        </w:rPr>
      </w:pPr>
      <w:r>
        <w:rPr>
          <w:rFonts w:hint="default"/>
          <w:b w:val="0"/>
          <w:bCs/>
          <w:lang w:val="en-US" w:eastAsia="zh-CN"/>
        </w:rPr>
        <w:t>6.</w:t>
      </w:r>
      <w:r>
        <w:rPr>
          <w:rFonts w:hint="eastAsia"/>
          <w:b w:val="0"/>
          <w:bCs/>
          <w:lang w:val="en-US" w:eastAsia="zh-CN"/>
        </w:rPr>
        <w:t>2</w:t>
      </w:r>
      <w:r>
        <w:rPr>
          <w:rFonts w:hint="default"/>
          <w:b w:val="0"/>
          <w:bCs/>
          <w:lang w:val="en-US" w:eastAsia="zh-CN"/>
        </w:rPr>
        <w:t xml:space="preserve">.1 </w:t>
      </w:r>
      <w:r>
        <w:rPr>
          <w:b w:val="0"/>
          <w:bCs/>
          <w:lang w:val="en-US" w:eastAsia="zh-CN"/>
        </w:rPr>
        <w:t>地面气候及气象要素特征</w:t>
      </w:r>
    </w:p>
    <w:p>
      <w:pPr>
        <w:bidi w:val="0"/>
        <w:rPr>
          <w:b/>
          <w:bCs w:val="0"/>
        </w:rPr>
      </w:pPr>
      <w:r>
        <w:rPr>
          <w:rFonts w:hint="eastAsia"/>
          <w:b/>
          <w:bCs w:val="0"/>
          <w:lang w:val="en-US" w:eastAsia="zh-CN"/>
        </w:rPr>
        <w:t>1、评价区域气候特征</w:t>
      </w:r>
    </w:p>
    <w:p>
      <w:pPr>
        <w:bidi w:val="0"/>
      </w:pPr>
      <w:r>
        <w:rPr>
          <w:rFonts w:hint="eastAsia"/>
          <w:lang w:val="en-US" w:eastAsia="zh-CN"/>
        </w:rPr>
        <w:t>叶县处于暖温带和亚热带气候交错的边缘地区，具有明显的过渡性特征，其气候类型属暖温带大陆性季风气候。受季风影响，冬季常受西伯利亚极地冷空气团南下侵袭，气候寒冷，空气干燥，降水稀少。夏季为低气压系统控制，气候炎热，空气湿润，易产生强阵性降水。春秋季节属冬夏的过渡时期，时间短促，气候较为温和。</w:t>
      </w:r>
    </w:p>
    <w:p>
      <w:pPr>
        <w:bidi w:val="0"/>
        <w:rPr>
          <w:b/>
          <w:bCs/>
        </w:rPr>
      </w:pPr>
      <w:r>
        <w:rPr>
          <w:rFonts w:hint="eastAsia"/>
          <w:b/>
          <w:bCs/>
          <w:lang w:val="en-US" w:eastAsia="zh-CN"/>
        </w:rPr>
        <w:t>2、地面气象特征</w:t>
      </w:r>
    </w:p>
    <w:p>
      <w:pPr>
        <w:bidi w:val="0"/>
      </w:pPr>
      <w:r>
        <w:rPr>
          <w:rFonts w:hint="eastAsia"/>
          <w:lang w:val="en-US" w:eastAsia="zh-CN"/>
        </w:rPr>
        <w:t>本次大气环境影响预测地面气象资料项目源于叶县气象局地面气象观测站（</w:t>
      </w:r>
      <w:r>
        <w:rPr>
          <w:rFonts w:hint="default"/>
          <w:lang w:val="en-US" w:eastAsia="zh-CN"/>
        </w:rPr>
        <w:t>57184</w:t>
      </w:r>
      <w:r>
        <w:rPr>
          <w:rFonts w:hint="eastAsia"/>
          <w:lang w:val="en-US" w:eastAsia="zh-CN"/>
        </w:rPr>
        <w:t>），该气象站位于平顶山市叶县（一般站），地理坐标为东经</w:t>
      </w:r>
      <w:r>
        <w:rPr>
          <w:rFonts w:hint="default"/>
          <w:lang w:val="en-US" w:eastAsia="zh-CN"/>
        </w:rPr>
        <w:t>113.30°</w:t>
      </w:r>
      <w:r>
        <w:rPr>
          <w:rFonts w:hint="eastAsia"/>
          <w:lang w:val="en-US" w:eastAsia="zh-CN"/>
        </w:rPr>
        <w:t>，北纬</w:t>
      </w:r>
      <w:r>
        <w:rPr>
          <w:rFonts w:hint="default"/>
          <w:lang w:val="en-US" w:eastAsia="zh-CN"/>
        </w:rPr>
        <w:t>33.63°</w:t>
      </w:r>
      <w:r>
        <w:rPr>
          <w:rFonts w:hint="eastAsia"/>
          <w:lang w:val="en-US" w:eastAsia="zh-CN"/>
        </w:rPr>
        <w:t>，叶县气象站</w:t>
      </w:r>
      <w:r>
        <w:rPr>
          <w:rFonts w:hint="default"/>
          <w:lang w:val="en-US" w:eastAsia="zh-CN"/>
        </w:rPr>
        <w:t>1999-2018</w:t>
      </w:r>
      <w:r>
        <w:rPr>
          <w:rFonts w:hint="eastAsia"/>
          <w:lang w:val="en-US" w:eastAsia="zh-CN"/>
        </w:rPr>
        <w:t>年气象数据统计分析整编表如表</w:t>
      </w:r>
      <w:r>
        <w:rPr>
          <w:rFonts w:hint="default"/>
          <w:lang w:val="en-US" w:eastAsia="zh-CN"/>
        </w:rPr>
        <w:t>6.</w:t>
      </w:r>
      <w:r>
        <w:rPr>
          <w:rFonts w:hint="eastAsia"/>
          <w:lang w:val="en-US" w:eastAsia="zh-CN"/>
        </w:rPr>
        <w:t>2</w:t>
      </w:r>
      <w:r>
        <w:rPr>
          <w:rFonts w:hint="default"/>
          <w:lang w:val="en-US" w:eastAsia="zh-CN"/>
        </w:rPr>
        <w:t>-1</w:t>
      </w:r>
      <w:r>
        <w:rPr>
          <w:rFonts w:hint="eastAsia"/>
          <w:lang w:val="en-US" w:eastAsia="zh-CN"/>
        </w:rPr>
        <w:t>所示：</w:t>
      </w:r>
    </w:p>
    <w:p>
      <w:pPr>
        <w:bidi w:val="0"/>
        <w:jc w:val="center"/>
        <w:rPr>
          <w:b/>
          <w:bCs/>
        </w:rPr>
      </w:pPr>
      <w:r>
        <w:rPr>
          <w:rFonts w:hint="eastAsia"/>
          <w:b/>
          <w:bCs/>
          <w:lang w:val="en-US" w:eastAsia="zh-CN"/>
        </w:rPr>
        <w:t>表</w:t>
      </w:r>
      <w:r>
        <w:rPr>
          <w:b/>
          <w:bCs/>
          <w:lang w:val="en-US" w:eastAsia="zh-CN"/>
        </w:rPr>
        <w:t>6.</w:t>
      </w:r>
      <w:r>
        <w:rPr>
          <w:rFonts w:hint="eastAsia"/>
          <w:b/>
          <w:bCs/>
          <w:lang w:val="en-US" w:eastAsia="zh-CN"/>
        </w:rPr>
        <w:t>2</w:t>
      </w:r>
      <w:r>
        <w:rPr>
          <w:b/>
          <w:bCs/>
          <w:lang w:val="en-US" w:eastAsia="zh-CN"/>
        </w:rPr>
        <w:t xml:space="preserve">-1 </w:t>
      </w:r>
      <w:r>
        <w:rPr>
          <w:rFonts w:hint="eastAsia"/>
          <w:b/>
          <w:bCs/>
          <w:lang w:val="en-US" w:eastAsia="zh-CN"/>
        </w:rPr>
        <w:t xml:space="preserve"> 叶县多年气象数据（</w:t>
      </w:r>
      <w:r>
        <w:rPr>
          <w:rFonts w:hint="default"/>
          <w:b/>
          <w:bCs/>
          <w:lang w:val="en-US" w:eastAsia="zh-CN"/>
        </w:rPr>
        <w:t>1999-2018</w:t>
      </w:r>
      <w:r>
        <w:rPr>
          <w:rFonts w:hint="eastAsia"/>
          <w:b/>
          <w:bCs/>
          <w:lang w:val="en-US" w:eastAsia="zh-CN"/>
        </w:rPr>
        <w:t>）统计表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2323"/>
        <w:gridCol w:w="2323"/>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类别</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参数</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单位</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气温</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年平均气温</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极端最高气温</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rPr>
            </w:pPr>
            <w:r>
              <w:rPr>
                <w:rFonts w:hint="eastAsia"/>
                <w:sz w:val="21"/>
                <w:szCs w:val="21"/>
                <w:lang w:val="en-US" w:eastAsia="zh-CN"/>
              </w:rPr>
              <w:t>极端最低气温</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气压</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年平均气压</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hPa</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1008.7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降水量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年平均降水量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mm</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年最大降水量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mm</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1323.6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年最小降水量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mm</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蒸发量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年平均蒸发量</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mm</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湿度</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年相对湿度</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日照</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年平均年日照时数</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h</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2145.9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风速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多年平均风速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m/s</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年最大风速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m/s</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风向</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年主导风向</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default"/>
                <w:sz w:val="21"/>
                <w:szCs w:val="21"/>
                <w:lang w:val="en-US" w:eastAsia="zh-CN"/>
              </w:rPr>
              <w:t>/</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无霜期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年平均无霜期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冰冻期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年平均冰冻期</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d</w:t>
            </w:r>
          </w:p>
        </w:tc>
        <w:tc>
          <w:tcPr>
            <w:tcW w:w="2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70</w:t>
            </w:r>
          </w:p>
        </w:tc>
      </w:tr>
    </w:tbl>
    <w:p>
      <w:pPr>
        <w:bidi w:val="0"/>
      </w:pPr>
      <w:r>
        <w:rPr>
          <w:rFonts w:hint="default"/>
          <w:lang w:val="en-US" w:eastAsia="zh-CN"/>
        </w:rPr>
        <w:t>6.2.1.3</w:t>
      </w:r>
      <w:r>
        <w:rPr>
          <w:rFonts w:hint="eastAsia"/>
          <w:lang w:val="en-US" w:eastAsia="zh-CN"/>
        </w:rPr>
        <w:t>近年地面气象要素</w:t>
      </w:r>
    </w:p>
    <w:p>
      <w:pPr>
        <w:bidi w:val="0"/>
      </w:pPr>
      <w:r>
        <w:rPr>
          <w:rFonts w:hint="eastAsia"/>
          <w:lang w:val="en-US" w:eastAsia="zh-CN"/>
        </w:rPr>
        <w:t>本次评价近年地面气象资料采用年</w:t>
      </w:r>
      <w:r>
        <w:rPr>
          <w:rFonts w:hint="default"/>
          <w:lang w:val="en-US" w:eastAsia="zh-CN"/>
        </w:rPr>
        <w:t>2018</w:t>
      </w:r>
      <w:r>
        <w:rPr>
          <w:rFonts w:hint="eastAsia"/>
          <w:lang w:val="en-US" w:eastAsia="zh-CN"/>
        </w:rPr>
        <w:t>叶县气象观测站逐时逐次的观测数据。</w:t>
      </w:r>
    </w:p>
    <w:p>
      <w:pPr>
        <w:bidi w:val="0"/>
      </w:pPr>
      <w:r>
        <w:rPr>
          <w:rFonts w:hint="eastAsia"/>
          <w:lang w:val="en-US" w:eastAsia="zh-CN"/>
        </w:rPr>
        <w:t>（</w:t>
      </w:r>
      <w:r>
        <w:rPr>
          <w:rFonts w:hint="default"/>
          <w:lang w:val="en-US" w:eastAsia="zh-CN"/>
        </w:rPr>
        <w:t>1</w:t>
      </w:r>
      <w:r>
        <w:rPr>
          <w:rFonts w:hint="eastAsia"/>
          <w:lang w:val="en-US" w:eastAsia="zh-CN"/>
        </w:rPr>
        <w:t>）温度</w:t>
      </w:r>
    </w:p>
    <w:p>
      <w:pPr>
        <w:bidi w:val="0"/>
      </w:pPr>
      <w:r>
        <w:rPr>
          <w:rFonts w:hint="eastAsia"/>
          <w:lang w:val="en-US" w:eastAsia="zh-CN"/>
        </w:rPr>
        <w:t>各月平均气温统计结果分别见表</w:t>
      </w:r>
      <w:r>
        <w:rPr>
          <w:rFonts w:hint="default"/>
          <w:lang w:val="en-US" w:eastAsia="zh-CN"/>
        </w:rPr>
        <w:t>6.</w:t>
      </w:r>
      <w:r>
        <w:rPr>
          <w:rFonts w:hint="eastAsia"/>
          <w:lang w:val="en-US" w:eastAsia="zh-CN"/>
        </w:rPr>
        <w:t>2</w:t>
      </w:r>
      <w:r>
        <w:rPr>
          <w:rFonts w:hint="default"/>
          <w:lang w:val="en-US" w:eastAsia="zh-CN"/>
        </w:rPr>
        <w:t>-2</w:t>
      </w:r>
      <w:r>
        <w:rPr>
          <w:rFonts w:hint="eastAsia"/>
          <w:lang w:val="en-US" w:eastAsia="zh-CN"/>
        </w:rPr>
        <w:t>和图</w:t>
      </w:r>
      <w:r>
        <w:rPr>
          <w:rFonts w:hint="default"/>
          <w:lang w:val="en-US" w:eastAsia="zh-CN"/>
        </w:rPr>
        <w:t>6.1-1</w:t>
      </w:r>
      <w:r>
        <w:rPr>
          <w:rFonts w:hint="eastAsia"/>
          <w:lang w:val="en-US" w:eastAsia="zh-CN"/>
        </w:rPr>
        <w:t>。</w:t>
      </w:r>
    </w:p>
    <w:p>
      <w:pPr>
        <w:bidi w:val="0"/>
        <w:jc w:val="center"/>
        <w:rPr>
          <w:b/>
          <w:bCs/>
        </w:rPr>
      </w:pPr>
      <w:r>
        <w:rPr>
          <w:rFonts w:hint="eastAsia"/>
          <w:b/>
          <w:bCs/>
          <w:lang w:val="en-US" w:eastAsia="zh-CN"/>
        </w:rPr>
        <w:t>表</w:t>
      </w:r>
      <w:r>
        <w:rPr>
          <w:b/>
          <w:bCs/>
          <w:lang w:val="en-US" w:eastAsia="zh-CN"/>
        </w:rPr>
        <w:t xml:space="preserve">6.1-2 </w:t>
      </w:r>
      <w:r>
        <w:rPr>
          <w:rFonts w:hint="eastAsia"/>
          <w:b/>
          <w:bCs/>
          <w:lang w:val="en-US" w:eastAsia="zh-CN"/>
        </w:rPr>
        <w:t xml:space="preserve"> 平均气温的月变化</w:t>
      </w:r>
      <w:r>
        <w:rPr>
          <w:rFonts w:hint="default"/>
          <w:b/>
          <w:bCs/>
          <w:lang w:val="en-US" w:eastAsia="zh-CN"/>
        </w:rPr>
        <w:t>(</w:t>
      </w:r>
      <w:r>
        <w:rPr>
          <w:rFonts w:hint="eastAsia"/>
          <w:b/>
          <w:bCs/>
          <w:lang w:val="en-US" w:eastAsia="zh-CN"/>
        </w:rPr>
        <w:t>℃</w:t>
      </w:r>
      <w:r>
        <w:rPr>
          <w:rFonts w:hint="default"/>
          <w:b/>
          <w:bCs/>
          <w:lang w:val="en-US"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22"/>
        <w:gridCol w:w="591"/>
        <w:gridCol w:w="759"/>
        <w:gridCol w:w="694"/>
        <w:gridCol w:w="703"/>
        <w:gridCol w:w="759"/>
        <w:gridCol w:w="750"/>
        <w:gridCol w:w="741"/>
        <w:gridCol w:w="750"/>
        <w:gridCol w:w="703"/>
        <w:gridCol w:w="675"/>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月份</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w:t>
            </w:r>
            <w:r>
              <w:rPr>
                <w:rFonts w:hint="eastAsia"/>
                <w:sz w:val="21"/>
                <w:szCs w:val="21"/>
                <w:lang w:val="en-US" w:eastAsia="zh-CN"/>
              </w:rPr>
              <w:t>月</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2月</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3月</w:t>
            </w:r>
          </w:p>
        </w:tc>
        <w:tc>
          <w:tcPr>
            <w:tcW w:w="6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4月</w:t>
            </w:r>
          </w:p>
        </w:tc>
        <w:tc>
          <w:tcPr>
            <w:tcW w:w="70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5月</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6月</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7月</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8月</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9月</w:t>
            </w:r>
          </w:p>
        </w:tc>
        <w:tc>
          <w:tcPr>
            <w:tcW w:w="70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w:t>
            </w:r>
            <w:r>
              <w:rPr>
                <w:rFonts w:hint="eastAsia"/>
                <w:sz w:val="21"/>
                <w:szCs w:val="21"/>
                <w:lang w:val="en-US" w:eastAsia="zh-CN"/>
              </w:rPr>
              <w:t>0月</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w:t>
            </w:r>
            <w:r>
              <w:rPr>
                <w:rFonts w:hint="eastAsia"/>
                <w:sz w:val="21"/>
                <w:szCs w:val="21"/>
                <w:lang w:val="en-US" w:eastAsia="zh-CN"/>
              </w:rPr>
              <w:t>1月</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w:t>
            </w:r>
            <w:r>
              <w:rPr>
                <w:rFonts w:hint="eastAsia"/>
                <w:sz w:val="21"/>
                <w:szCs w:val="21"/>
                <w:lang w:val="en-US" w:eastAsia="zh-CN"/>
              </w:rPr>
              <w:t>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温度（℃）</w:t>
            </w:r>
          </w:p>
        </w:tc>
        <w:tc>
          <w:tcPr>
            <w:tcW w:w="7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-0.67</w:t>
            </w:r>
          </w:p>
        </w:tc>
        <w:tc>
          <w:tcPr>
            <w:tcW w:w="59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4.21</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10.84</w:t>
            </w:r>
          </w:p>
        </w:tc>
        <w:tc>
          <w:tcPr>
            <w:tcW w:w="6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16.36</w:t>
            </w:r>
          </w:p>
        </w:tc>
        <w:tc>
          <w:tcPr>
            <w:tcW w:w="70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21.32</w:t>
            </w:r>
          </w:p>
        </w:tc>
        <w:tc>
          <w:tcPr>
            <w:tcW w:w="7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26.49</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27.96</w:t>
            </w:r>
          </w:p>
        </w:tc>
        <w:tc>
          <w:tcPr>
            <w:tcW w:w="7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27.11</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21.51</w:t>
            </w:r>
          </w:p>
        </w:tc>
        <w:tc>
          <w:tcPr>
            <w:tcW w:w="70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16.43</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default"/>
                <w:sz w:val="21"/>
                <w:szCs w:val="21"/>
                <w:lang w:val="en-US" w:eastAsia="zh-CN"/>
              </w:rPr>
              <w:t>9.48</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2.49</w:t>
            </w:r>
          </w:p>
        </w:tc>
      </w:tr>
    </w:tbl>
    <w:p>
      <w:pPr>
        <w:pStyle w:val="3"/>
        <w:ind w:firstLine="721"/>
        <w:outlineLvl w:val="9"/>
        <w:rPr>
          <w:lang w:val="en-US"/>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rPr>
      </w:pPr>
      <w:r>
        <w:drawing>
          <wp:inline distT="0" distB="0" distL="114300" distR="114300">
            <wp:extent cx="5572125" cy="2162175"/>
            <wp:effectExtent l="0" t="0" r="952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3"/>
                    <a:stretch>
                      <a:fillRect/>
                    </a:stretch>
                  </pic:blipFill>
                  <pic:spPr>
                    <a:xfrm>
                      <a:off x="0" y="0"/>
                      <a:ext cx="5572125" cy="2162175"/>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6.</w:t>
      </w:r>
      <w:r>
        <w:rPr>
          <w:rFonts w:hint="eastAsia"/>
          <w:b/>
          <w:bCs/>
          <w:lang w:val="en-US" w:eastAsia="zh-CN"/>
        </w:rPr>
        <w:t>2</w:t>
      </w:r>
      <w:r>
        <w:rPr>
          <w:b/>
          <w:bCs/>
          <w:lang w:val="en-US" w:eastAsia="zh-CN"/>
        </w:rPr>
        <w:t xml:space="preserve">-1 </w:t>
      </w:r>
      <w:r>
        <w:rPr>
          <w:rFonts w:hint="eastAsia"/>
          <w:b/>
          <w:bCs/>
          <w:lang w:val="en-US" w:eastAsia="zh-CN"/>
        </w:rPr>
        <w:t xml:space="preserve"> 平均气温月变化曲线</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由</w:t>
      </w:r>
      <w:r>
        <w:rPr>
          <w:rFonts w:hint="eastAsia" w:ascii="宋体" w:hAnsi="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和图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可知：叶县</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年平均气温</w:t>
      </w:r>
      <w:r>
        <w:rPr>
          <w:rFonts w:hint="default" w:ascii="Times New Roman" w:hAnsi="Times New Roman" w:eastAsia="宋体" w:cs="Times New Roman"/>
          <w:color w:val="000000"/>
          <w:kern w:val="0"/>
          <w:sz w:val="24"/>
          <w:szCs w:val="24"/>
          <w:lang w:val="en-US" w:eastAsia="zh-CN" w:bidi="ar"/>
        </w:rPr>
        <w:t>15.35℃</w:t>
      </w:r>
      <w:r>
        <w:rPr>
          <w:rFonts w:hint="eastAsia" w:ascii="宋体" w:hAnsi="宋体" w:eastAsia="宋体" w:cs="宋体"/>
          <w:color w:val="000000"/>
          <w:kern w:val="0"/>
          <w:sz w:val="24"/>
          <w:szCs w:val="24"/>
          <w:lang w:val="en-US" w:eastAsia="zh-CN" w:bidi="ar"/>
        </w:rPr>
        <w:t>。其中</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月至次年</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月份的平均气温在年均值以下，以</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月份最低，为</w:t>
      </w:r>
      <w:r>
        <w:rPr>
          <w:rFonts w:hint="default" w:ascii="Times New Roman" w:hAnsi="Times New Roman" w:eastAsia="宋体" w:cs="Times New Roman"/>
          <w:color w:val="000000"/>
          <w:kern w:val="0"/>
          <w:sz w:val="24"/>
          <w:szCs w:val="24"/>
          <w:lang w:val="en-US" w:eastAsia="zh-CN" w:bidi="ar"/>
        </w:rPr>
        <w:t>-0.67℃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月至</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月份的平均气温在年均值以上，以</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月份最高，为</w:t>
      </w:r>
      <w:r>
        <w:rPr>
          <w:rFonts w:hint="default" w:ascii="Times New Roman" w:hAnsi="Times New Roman" w:eastAsia="宋体" w:cs="Times New Roman"/>
          <w:color w:val="000000"/>
          <w:kern w:val="0"/>
          <w:sz w:val="24"/>
          <w:szCs w:val="24"/>
          <w:lang w:val="en-US" w:eastAsia="zh-CN" w:bidi="ar"/>
        </w:rPr>
        <w:t>27.96℃</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）风速</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年各月平均风速统计结果见表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p>
    <w:p>
      <w:pPr>
        <w:bidi w:val="0"/>
        <w:jc w:val="center"/>
        <w:rPr>
          <w:b/>
          <w:bCs/>
        </w:rPr>
      </w:pPr>
      <w:r>
        <w:rPr>
          <w:rFonts w:hint="eastAsia"/>
          <w:b/>
          <w:bCs/>
          <w:lang w:val="en-US" w:eastAsia="zh-CN"/>
        </w:rPr>
        <w:t>表</w:t>
      </w:r>
      <w:r>
        <w:rPr>
          <w:b/>
          <w:bCs/>
          <w:lang w:val="en-US" w:eastAsia="zh-CN"/>
        </w:rPr>
        <w:t>6.</w:t>
      </w:r>
      <w:r>
        <w:rPr>
          <w:rFonts w:hint="eastAsia"/>
          <w:b/>
          <w:bCs/>
          <w:lang w:val="en-US" w:eastAsia="zh-CN"/>
        </w:rPr>
        <w:t>2</w:t>
      </w:r>
      <w:r>
        <w:rPr>
          <w:b/>
          <w:bCs/>
          <w:lang w:val="en-US" w:eastAsia="zh-CN"/>
        </w:rPr>
        <w:t xml:space="preserve">-3 </w:t>
      </w:r>
      <w:r>
        <w:rPr>
          <w:rFonts w:hint="eastAsia"/>
          <w:b/>
          <w:bCs/>
          <w:lang w:val="en-US" w:eastAsia="zh-CN"/>
        </w:rPr>
        <w:t xml:space="preserve"> </w:t>
      </w:r>
      <w:r>
        <w:rPr>
          <w:b/>
          <w:bCs/>
          <w:lang w:val="en-US" w:eastAsia="zh-CN"/>
        </w:rPr>
        <w:t>2018</w:t>
      </w:r>
      <w:r>
        <w:rPr>
          <w:rFonts w:hint="eastAsia"/>
          <w:b/>
          <w:bCs/>
          <w:lang w:val="en-US" w:eastAsia="zh-CN"/>
        </w:rPr>
        <w:t>年月平均风速（</w:t>
      </w:r>
      <w:r>
        <w:rPr>
          <w:rFonts w:hint="default"/>
          <w:b/>
          <w:bCs/>
          <w:lang w:val="en-US" w:eastAsia="zh-CN"/>
        </w:rPr>
        <w:t>m/s</w:t>
      </w:r>
      <w:r>
        <w:rPr>
          <w:rFonts w:hint="eastAsia"/>
          <w:b/>
          <w:bCs/>
          <w:lang w:val="en-US"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684"/>
        <w:gridCol w:w="685"/>
        <w:gridCol w:w="665"/>
        <w:gridCol w:w="647"/>
        <w:gridCol w:w="722"/>
        <w:gridCol w:w="666"/>
        <w:gridCol w:w="731"/>
        <w:gridCol w:w="666"/>
        <w:gridCol w:w="759"/>
        <w:gridCol w:w="713"/>
        <w:gridCol w:w="693"/>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Align w:val="center"/>
          </w:tcPr>
          <w:p>
            <w:pPr>
              <w:pStyle w:val="30"/>
              <w:bidi w:val="0"/>
              <w:jc w:val="center"/>
              <w:rPr>
                <w:lang w:val="en-US"/>
              </w:rPr>
            </w:pPr>
            <w:r>
              <w:rPr>
                <w:rFonts w:hint="eastAsia"/>
                <w:lang w:val="en-US" w:eastAsia="zh-CN"/>
              </w:rPr>
              <w:t>月份</w:t>
            </w:r>
          </w:p>
        </w:tc>
        <w:tc>
          <w:tcPr>
            <w:tcW w:w="684" w:type="dxa"/>
            <w:vAlign w:val="center"/>
          </w:tcPr>
          <w:p>
            <w:pPr>
              <w:pStyle w:val="30"/>
              <w:bidi w:val="0"/>
              <w:jc w:val="center"/>
              <w:rPr>
                <w:lang w:val="en-US"/>
              </w:rPr>
            </w:pPr>
            <w:r>
              <w:rPr>
                <w:rFonts w:hint="default"/>
                <w:lang w:val="en-US" w:eastAsia="zh-CN"/>
              </w:rPr>
              <w:t>1</w:t>
            </w:r>
            <w:r>
              <w:rPr>
                <w:rFonts w:hint="eastAsia"/>
                <w:lang w:val="en-US" w:eastAsia="zh-CN"/>
              </w:rPr>
              <w:t>月</w:t>
            </w:r>
          </w:p>
        </w:tc>
        <w:tc>
          <w:tcPr>
            <w:tcW w:w="685" w:type="dxa"/>
            <w:vAlign w:val="center"/>
          </w:tcPr>
          <w:p>
            <w:pPr>
              <w:pStyle w:val="30"/>
              <w:bidi w:val="0"/>
              <w:jc w:val="center"/>
              <w:rPr>
                <w:lang w:val="en-US"/>
              </w:rPr>
            </w:pPr>
            <w:r>
              <w:rPr>
                <w:rFonts w:hint="eastAsia"/>
                <w:lang w:val="en-US" w:eastAsia="zh-CN"/>
              </w:rPr>
              <w:t>2月</w:t>
            </w:r>
          </w:p>
        </w:tc>
        <w:tc>
          <w:tcPr>
            <w:tcW w:w="665" w:type="dxa"/>
            <w:vAlign w:val="center"/>
          </w:tcPr>
          <w:p>
            <w:pPr>
              <w:pStyle w:val="30"/>
              <w:bidi w:val="0"/>
              <w:jc w:val="center"/>
              <w:rPr>
                <w:lang w:val="en-US"/>
              </w:rPr>
            </w:pPr>
            <w:r>
              <w:rPr>
                <w:rFonts w:hint="eastAsia"/>
                <w:lang w:val="en-US" w:eastAsia="zh-CN"/>
              </w:rPr>
              <w:t>3月</w:t>
            </w:r>
          </w:p>
        </w:tc>
        <w:tc>
          <w:tcPr>
            <w:tcW w:w="647" w:type="dxa"/>
            <w:vAlign w:val="center"/>
          </w:tcPr>
          <w:p>
            <w:pPr>
              <w:pStyle w:val="30"/>
              <w:bidi w:val="0"/>
              <w:jc w:val="center"/>
              <w:rPr>
                <w:lang w:val="en-US"/>
              </w:rPr>
            </w:pPr>
            <w:r>
              <w:rPr>
                <w:rFonts w:hint="eastAsia"/>
                <w:lang w:val="en-US" w:eastAsia="zh-CN"/>
              </w:rPr>
              <w:t>4月</w:t>
            </w:r>
          </w:p>
        </w:tc>
        <w:tc>
          <w:tcPr>
            <w:tcW w:w="722" w:type="dxa"/>
            <w:vAlign w:val="center"/>
          </w:tcPr>
          <w:p>
            <w:pPr>
              <w:pStyle w:val="30"/>
              <w:bidi w:val="0"/>
              <w:jc w:val="center"/>
              <w:rPr>
                <w:lang w:val="en-US"/>
              </w:rPr>
            </w:pPr>
            <w:r>
              <w:rPr>
                <w:rFonts w:hint="eastAsia"/>
                <w:lang w:val="en-US" w:eastAsia="zh-CN"/>
              </w:rPr>
              <w:t>5月</w:t>
            </w:r>
          </w:p>
        </w:tc>
        <w:tc>
          <w:tcPr>
            <w:tcW w:w="666" w:type="dxa"/>
            <w:vAlign w:val="center"/>
          </w:tcPr>
          <w:p>
            <w:pPr>
              <w:pStyle w:val="30"/>
              <w:bidi w:val="0"/>
              <w:jc w:val="center"/>
              <w:rPr>
                <w:lang w:val="en-US"/>
              </w:rPr>
            </w:pPr>
            <w:r>
              <w:rPr>
                <w:rFonts w:hint="eastAsia"/>
                <w:lang w:val="en-US" w:eastAsia="zh-CN"/>
              </w:rPr>
              <w:t>6月</w:t>
            </w:r>
          </w:p>
        </w:tc>
        <w:tc>
          <w:tcPr>
            <w:tcW w:w="731" w:type="dxa"/>
            <w:vAlign w:val="center"/>
          </w:tcPr>
          <w:p>
            <w:pPr>
              <w:pStyle w:val="30"/>
              <w:bidi w:val="0"/>
              <w:jc w:val="center"/>
              <w:rPr>
                <w:lang w:val="en-US"/>
              </w:rPr>
            </w:pPr>
            <w:r>
              <w:rPr>
                <w:rFonts w:hint="eastAsia"/>
                <w:lang w:val="en-US" w:eastAsia="zh-CN"/>
              </w:rPr>
              <w:t>7月</w:t>
            </w:r>
          </w:p>
        </w:tc>
        <w:tc>
          <w:tcPr>
            <w:tcW w:w="666" w:type="dxa"/>
            <w:vAlign w:val="center"/>
          </w:tcPr>
          <w:p>
            <w:pPr>
              <w:pStyle w:val="30"/>
              <w:bidi w:val="0"/>
              <w:jc w:val="center"/>
              <w:rPr>
                <w:lang w:val="en-US"/>
              </w:rPr>
            </w:pPr>
            <w:r>
              <w:rPr>
                <w:rFonts w:hint="eastAsia"/>
                <w:lang w:val="en-US" w:eastAsia="zh-CN"/>
              </w:rPr>
              <w:t>8月</w:t>
            </w:r>
          </w:p>
        </w:tc>
        <w:tc>
          <w:tcPr>
            <w:tcW w:w="759" w:type="dxa"/>
            <w:vAlign w:val="center"/>
          </w:tcPr>
          <w:p>
            <w:pPr>
              <w:pStyle w:val="30"/>
              <w:bidi w:val="0"/>
              <w:jc w:val="center"/>
              <w:rPr>
                <w:lang w:val="en-US"/>
              </w:rPr>
            </w:pPr>
            <w:r>
              <w:rPr>
                <w:rFonts w:hint="eastAsia"/>
                <w:lang w:val="en-US" w:eastAsia="zh-CN"/>
              </w:rPr>
              <w:t>9月</w:t>
            </w:r>
          </w:p>
        </w:tc>
        <w:tc>
          <w:tcPr>
            <w:tcW w:w="713" w:type="dxa"/>
            <w:vAlign w:val="center"/>
          </w:tcPr>
          <w:p>
            <w:pPr>
              <w:pStyle w:val="30"/>
              <w:bidi w:val="0"/>
              <w:jc w:val="center"/>
              <w:rPr>
                <w:lang w:val="en-US"/>
              </w:rPr>
            </w:pPr>
            <w:r>
              <w:rPr>
                <w:rFonts w:hint="default"/>
                <w:lang w:val="en-US" w:eastAsia="zh-CN"/>
              </w:rPr>
              <w:t>1</w:t>
            </w:r>
            <w:r>
              <w:rPr>
                <w:rFonts w:hint="eastAsia"/>
                <w:lang w:val="en-US" w:eastAsia="zh-CN"/>
              </w:rPr>
              <w:t>0月</w:t>
            </w:r>
          </w:p>
        </w:tc>
        <w:tc>
          <w:tcPr>
            <w:tcW w:w="693" w:type="dxa"/>
            <w:vAlign w:val="center"/>
          </w:tcPr>
          <w:p>
            <w:pPr>
              <w:pStyle w:val="30"/>
              <w:bidi w:val="0"/>
              <w:jc w:val="center"/>
              <w:rPr>
                <w:lang w:val="en-US"/>
              </w:rPr>
            </w:pPr>
            <w:r>
              <w:rPr>
                <w:rFonts w:hint="default"/>
                <w:lang w:val="en-US" w:eastAsia="zh-CN"/>
              </w:rPr>
              <w:t>1</w:t>
            </w:r>
            <w:r>
              <w:rPr>
                <w:rFonts w:hint="eastAsia"/>
                <w:lang w:val="en-US" w:eastAsia="zh-CN"/>
              </w:rPr>
              <w:t>1月</w:t>
            </w:r>
          </w:p>
        </w:tc>
        <w:tc>
          <w:tcPr>
            <w:tcW w:w="732" w:type="dxa"/>
            <w:vAlign w:val="center"/>
          </w:tcPr>
          <w:p>
            <w:pPr>
              <w:pStyle w:val="30"/>
              <w:bidi w:val="0"/>
              <w:jc w:val="center"/>
              <w:rPr>
                <w:lang w:val="en-US"/>
              </w:rPr>
            </w:pPr>
            <w:r>
              <w:rPr>
                <w:rFonts w:hint="default"/>
                <w:lang w:val="en-US" w:eastAsia="zh-CN"/>
              </w:rPr>
              <w:t>1</w:t>
            </w:r>
            <w:r>
              <w:rPr>
                <w:rFonts w:hint="eastAsia"/>
                <w:lang w:val="en-US" w:eastAsia="zh-CN"/>
              </w:rPr>
              <w:t>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Align w:val="center"/>
          </w:tcPr>
          <w:p>
            <w:pPr>
              <w:pStyle w:val="30"/>
              <w:bidi w:val="0"/>
              <w:jc w:val="center"/>
              <w:rPr>
                <w:lang w:val="en-US"/>
              </w:rPr>
            </w:pPr>
            <w:r>
              <w:rPr>
                <w:rFonts w:hint="eastAsia"/>
                <w:lang w:val="en-US" w:eastAsia="zh-CN"/>
              </w:rPr>
              <w:t>风速（m/s）</w:t>
            </w:r>
          </w:p>
        </w:tc>
        <w:tc>
          <w:tcPr>
            <w:tcW w:w="684" w:type="dxa"/>
            <w:vAlign w:val="center"/>
          </w:tcPr>
          <w:p>
            <w:pPr>
              <w:pStyle w:val="30"/>
              <w:bidi w:val="0"/>
              <w:jc w:val="center"/>
              <w:rPr>
                <w:rFonts w:hint="default" w:eastAsia="宋体"/>
                <w:lang w:val="en-US" w:eastAsia="zh-CN"/>
              </w:rPr>
            </w:pPr>
            <w:r>
              <w:rPr>
                <w:rFonts w:hint="eastAsia"/>
                <w:lang w:val="en-US" w:eastAsia="zh-CN"/>
              </w:rPr>
              <w:t>3.03</w:t>
            </w:r>
          </w:p>
        </w:tc>
        <w:tc>
          <w:tcPr>
            <w:tcW w:w="685" w:type="dxa"/>
            <w:vAlign w:val="center"/>
          </w:tcPr>
          <w:p>
            <w:pPr>
              <w:pStyle w:val="30"/>
              <w:bidi w:val="0"/>
              <w:jc w:val="center"/>
              <w:rPr>
                <w:rFonts w:hint="default" w:eastAsia="宋体"/>
                <w:lang w:val="en-US" w:eastAsia="zh-CN"/>
              </w:rPr>
            </w:pPr>
            <w:r>
              <w:rPr>
                <w:rFonts w:hint="eastAsia"/>
                <w:lang w:val="en-US" w:eastAsia="zh-CN"/>
              </w:rPr>
              <w:t>3.06</w:t>
            </w:r>
          </w:p>
        </w:tc>
        <w:tc>
          <w:tcPr>
            <w:tcW w:w="665" w:type="dxa"/>
            <w:vAlign w:val="center"/>
          </w:tcPr>
          <w:p>
            <w:pPr>
              <w:pStyle w:val="30"/>
              <w:bidi w:val="0"/>
              <w:jc w:val="center"/>
              <w:rPr>
                <w:rFonts w:hint="default" w:eastAsia="宋体"/>
                <w:lang w:val="en-US" w:eastAsia="zh-CN"/>
              </w:rPr>
            </w:pPr>
            <w:r>
              <w:rPr>
                <w:rFonts w:hint="eastAsia"/>
                <w:lang w:val="en-US" w:eastAsia="zh-CN"/>
              </w:rPr>
              <w:t>3.03</w:t>
            </w:r>
          </w:p>
        </w:tc>
        <w:tc>
          <w:tcPr>
            <w:tcW w:w="647" w:type="dxa"/>
            <w:vAlign w:val="center"/>
          </w:tcPr>
          <w:p>
            <w:pPr>
              <w:pStyle w:val="30"/>
              <w:bidi w:val="0"/>
              <w:jc w:val="center"/>
              <w:rPr>
                <w:rFonts w:hint="default" w:eastAsia="宋体"/>
                <w:lang w:val="en-US" w:eastAsia="zh-CN"/>
              </w:rPr>
            </w:pPr>
            <w:r>
              <w:rPr>
                <w:rFonts w:hint="eastAsia"/>
                <w:lang w:val="en-US" w:eastAsia="zh-CN"/>
              </w:rPr>
              <w:t>2.82</w:t>
            </w:r>
          </w:p>
        </w:tc>
        <w:tc>
          <w:tcPr>
            <w:tcW w:w="722" w:type="dxa"/>
            <w:vAlign w:val="center"/>
          </w:tcPr>
          <w:p>
            <w:pPr>
              <w:pStyle w:val="30"/>
              <w:bidi w:val="0"/>
              <w:jc w:val="center"/>
              <w:rPr>
                <w:rFonts w:hint="default" w:eastAsia="宋体"/>
                <w:lang w:val="en-US" w:eastAsia="zh-CN"/>
              </w:rPr>
            </w:pPr>
            <w:r>
              <w:rPr>
                <w:rFonts w:hint="eastAsia"/>
                <w:lang w:val="en-US" w:eastAsia="zh-CN"/>
              </w:rPr>
              <w:t>2.40</w:t>
            </w:r>
          </w:p>
        </w:tc>
        <w:tc>
          <w:tcPr>
            <w:tcW w:w="666" w:type="dxa"/>
            <w:vAlign w:val="center"/>
          </w:tcPr>
          <w:p>
            <w:pPr>
              <w:pStyle w:val="30"/>
              <w:bidi w:val="0"/>
              <w:jc w:val="center"/>
              <w:rPr>
                <w:rFonts w:hint="default" w:eastAsia="宋体"/>
                <w:lang w:val="en-US" w:eastAsia="zh-CN"/>
              </w:rPr>
            </w:pPr>
            <w:r>
              <w:rPr>
                <w:rFonts w:hint="eastAsia"/>
                <w:lang w:val="en-US" w:eastAsia="zh-CN"/>
              </w:rPr>
              <w:t>2.27</w:t>
            </w:r>
          </w:p>
        </w:tc>
        <w:tc>
          <w:tcPr>
            <w:tcW w:w="731" w:type="dxa"/>
            <w:vAlign w:val="center"/>
          </w:tcPr>
          <w:p>
            <w:pPr>
              <w:pStyle w:val="30"/>
              <w:bidi w:val="0"/>
              <w:jc w:val="center"/>
              <w:rPr>
                <w:rFonts w:hint="default" w:eastAsia="宋体"/>
                <w:lang w:val="en-US" w:eastAsia="zh-CN"/>
              </w:rPr>
            </w:pPr>
            <w:r>
              <w:rPr>
                <w:rFonts w:hint="eastAsia"/>
                <w:lang w:val="en-US" w:eastAsia="zh-CN"/>
              </w:rPr>
              <w:t>1.87</w:t>
            </w:r>
          </w:p>
        </w:tc>
        <w:tc>
          <w:tcPr>
            <w:tcW w:w="666" w:type="dxa"/>
            <w:vAlign w:val="center"/>
          </w:tcPr>
          <w:p>
            <w:pPr>
              <w:pStyle w:val="30"/>
              <w:bidi w:val="0"/>
              <w:jc w:val="center"/>
              <w:rPr>
                <w:rFonts w:hint="default" w:eastAsia="宋体"/>
                <w:lang w:val="en-US" w:eastAsia="zh-CN"/>
              </w:rPr>
            </w:pPr>
            <w:r>
              <w:rPr>
                <w:rFonts w:hint="eastAsia"/>
                <w:lang w:val="en-US" w:eastAsia="zh-CN"/>
              </w:rPr>
              <w:t>2.17</w:t>
            </w:r>
          </w:p>
        </w:tc>
        <w:tc>
          <w:tcPr>
            <w:tcW w:w="759" w:type="dxa"/>
            <w:vAlign w:val="center"/>
          </w:tcPr>
          <w:p>
            <w:pPr>
              <w:pStyle w:val="30"/>
              <w:bidi w:val="0"/>
              <w:jc w:val="center"/>
              <w:rPr>
                <w:rFonts w:hint="default" w:eastAsia="宋体"/>
                <w:lang w:val="en-US" w:eastAsia="zh-CN"/>
              </w:rPr>
            </w:pPr>
            <w:r>
              <w:rPr>
                <w:rFonts w:hint="eastAsia"/>
                <w:lang w:val="en-US" w:eastAsia="zh-CN"/>
              </w:rPr>
              <w:t>2.28</w:t>
            </w:r>
          </w:p>
        </w:tc>
        <w:tc>
          <w:tcPr>
            <w:tcW w:w="713" w:type="dxa"/>
            <w:vAlign w:val="center"/>
          </w:tcPr>
          <w:p>
            <w:pPr>
              <w:pStyle w:val="30"/>
              <w:bidi w:val="0"/>
              <w:jc w:val="center"/>
              <w:rPr>
                <w:rFonts w:hint="default" w:eastAsia="宋体"/>
                <w:lang w:val="en-US" w:eastAsia="zh-CN"/>
              </w:rPr>
            </w:pPr>
            <w:r>
              <w:rPr>
                <w:rFonts w:hint="eastAsia"/>
                <w:lang w:val="en-US" w:eastAsia="zh-CN"/>
              </w:rPr>
              <w:t>2.32</w:t>
            </w:r>
          </w:p>
        </w:tc>
        <w:tc>
          <w:tcPr>
            <w:tcW w:w="693" w:type="dxa"/>
            <w:vAlign w:val="center"/>
          </w:tcPr>
          <w:p>
            <w:pPr>
              <w:pStyle w:val="30"/>
              <w:bidi w:val="0"/>
              <w:jc w:val="center"/>
              <w:rPr>
                <w:rFonts w:hint="default" w:eastAsia="宋体"/>
                <w:lang w:val="en-US" w:eastAsia="zh-CN"/>
              </w:rPr>
            </w:pPr>
            <w:r>
              <w:rPr>
                <w:rFonts w:hint="eastAsia"/>
                <w:lang w:val="en-US" w:eastAsia="zh-CN"/>
              </w:rPr>
              <w:t>2.41</w:t>
            </w:r>
          </w:p>
        </w:tc>
        <w:tc>
          <w:tcPr>
            <w:tcW w:w="732" w:type="dxa"/>
            <w:vAlign w:val="center"/>
          </w:tcPr>
          <w:p>
            <w:pPr>
              <w:pStyle w:val="30"/>
              <w:bidi w:val="0"/>
              <w:jc w:val="center"/>
              <w:rPr>
                <w:rFonts w:hint="default"/>
                <w:lang w:val="en-US" w:eastAsia="zh-CN"/>
              </w:rPr>
            </w:pPr>
            <w:r>
              <w:rPr>
                <w:rFonts w:hint="eastAsia"/>
                <w:lang w:val="en-US" w:eastAsia="zh-CN"/>
              </w:rPr>
              <w:t>2.44</w:t>
            </w:r>
          </w:p>
        </w:tc>
      </w:tr>
    </w:tbl>
    <w:p>
      <w:pPr>
        <w:pStyle w:val="20"/>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rPr>
      </w:pPr>
      <w:r>
        <w:drawing>
          <wp:inline distT="0" distB="0" distL="114300" distR="114300">
            <wp:extent cx="5572125" cy="2162175"/>
            <wp:effectExtent l="0" t="0" r="9525" b="952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4"/>
                    <a:stretch>
                      <a:fillRect/>
                    </a:stretch>
                  </pic:blipFill>
                  <pic:spPr>
                    <a:xfrm>
                      <a:off x="0" y="0"/>
                      <a:ext cx="5572125" cy="2162175"/>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 xml:space="preserve">6.1-2 </w:t>
      </w:r>
      <w:r>
        <w:rPr>
          <w:rFonts w:hint="eastAsia"/>
          <w:b/>
          <w:bCs/>
          <w:lang w:val="en-US" w:eastAsia="zh-CN"/>
        </w:rPr>
        <w:t xml:space="preserve"> </w:t>
      </w:r>
      <w:r>
        <w:rPr>
          <w:b/>
          <w:bCs/>
          <w:lang w:val="en-US" w:eastAsia="zh-CN"/>
        </w:rPr>
        <w:t xml:space="preserve">2018 </w:t>
      </w:r>
      <w:r>
        <w:rPr>
          <w:rFonts w:hint="eastAsia"/>
          <w:b/>
          <w:bCs/>
          <w:lang w:val="en-US" w:eastAsia="zh-CN"/>
        </w:rPr>
        <w:t>年平均风速的月变化曲线</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由表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可知：</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年叶县平均风速</w:t>
      </w:r>
      <w:r>
        <w:rPr>
          <w:rFonts w:hint="default" w:ascii="Times New Roman" w:hAnsi="Times New Roman" w:eastAsia="宋体" w:cs="Times New Roman"/>
          <w:color w:val="000000"/>
          <w:kern w:val="0"/>
          <w:sz w:val="24"/>
          <w:szCs w:val="24"/>
          <w:lang w:val="en-US" w:eastAsia="zh-CN" w:bidi="ar"/>
        </w:rPr>
        <w:t>2.50m/s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月份的风速最大，</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月份的风速较小。</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）季小时平均风速的日变化</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根据叶县气象观测站记录资料，</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年各季小时平均风速的日变化详见表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p>
    <w:p>
      <w:pPr>
        <w:bidi w:val="0"/>
        <w:jc w:val="center"/>
        <w:rPr>
          <w:b/>
          <w:bCs/>
        </w:rPr>
      </w:pPr>
      <w:r>
        <w:rPr>
          <w:rFonts w:hint="eastAsia"/>
          <w:b/>
          <w:bCs/>
          <w:lang w:val="en-US" w:eastAsia="zh-CN"/>
        </w:rPr>
        <w:t>表</w:t>
      </w:r>
      <w:r>
        <w:rPr>
          <w:b/>
          <w:bCs/>
          <w:lang w:val="en-US" w:eastAsia="zh-CN"/>
        </w:rPr>
        <w:t>6.</w:t>
      </w:r>
      <w:r>
        <w:rPr>
          <w:rFonts w:hint="eastAsia"/>
          <w:b/>
          <w:bCs/>
          <w:lang w:val="en-US" w:eastAsia="zh-CN"/>
        </w:rPr>
        <w:t>2</w:t>
      </w:r>
      <w:r>
        <w:rPr>
          <w:b/>
          <w:bCs/>
          <w:lang w:val="en-US" w:eastAsia="zh-CN"/>
        </w:rPr>
        <w:t>-4</w:t>
      </w:r>
      <w:r>
        <w:rPr>
          <w:rFonts w:hint="eastAsia"/>
          <w:b/>
          <w:bCs/>
          <w:lang w:val="en-US" w:eastAsia="zh-CN"/>
        </w:rPr>
        <w:t xml:space="preserve"> </w:t>
      </w:r>
      <w:r>
        <w:rPr>
          <w:b/>
          <w:bCs/>
          <w:lang w:val="en-US" w:eastAsia="zh-CN"/>
        </w:rPr>
        <w:t xml:space="preserve"> </w:t>
      </w:r>
      <w:r>
        <w:rPr>
          <w:rFonts w:hint="eastAsia"/>
          <w:b/>
          <w:bCs/>
          <w:lang w:val="en-US" w:eastAsia="zh-CN"/>
        </w:rPr>
        <w:t>叶县</w:t>
      </w:r>
      <w:r>
        <w:rPr>
          <w:rFonts w:hint="default"/>
          <w:b/>
          <w:bCs/>
          <w:lang w:val="en-US" w:eastAsia="zh-CN"/>
        </w:rPr>
        <w:t>2018</w:t>
      </w:r>
      <w:r>
        <w:rPr>
          <w:rFonts w:hint="eastAsia"/>
          <w:b/>
          <w:bCs/>
          <w:lang w:val="en-US" w:eastAsia="zh-CN"/>
        </w:rPr>
        <w:t>年各季小时平均风速的日变化单位：</w:t>
      </w:r>
      <w:r>
        <w:rPr>
          <w:rFonts w:hint="default"/>
          <w:b/>
          <w:bCs/>
          <w:lang w:val="en-US" w:eastAsia="zh-CN"/>
        </w:rPr>
        <w:t>m/s</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rPr>
      </w:pPr>
      <w:r>
        <w:drawing>
          <wp:inline distT="0" distB="0" distL="114300" distR="114300">
            <wp:extent cx="5758180" cy="2831465"/>
            <wp:effectExtent l="0" t="0" r="13970" b="698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5"/>
                    <a:stretch>
                      <a:fillRect/>
                    </a:stretch>
                  </pic:blipFill>
                  <pic:spPr>
                    <a:xfrm>
                      <a:off x="0" y="0"/>
                      <a:ext cx="5758180" cy="283146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从月平均风速统计资料中可以看出叶县各季小时月平均风速统计资料中可以看出叶县在春季最高，秋季风速最低，一天内</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w:t>
      </w:r>
      <w:r>
        <w:rPr>
          <w:rFonts w:hint="eastAsia" w:ascii="宋体" w:hAnsi="宋体" w:eastAsia="宋体" w:cs="宋体"/>
          <w:color w:val="000000"/>
          <w:kern w:val="0"/>
          <w:sz w:val="24"/>
          <w:szCs w:val="24"/>
          <w:lang w:val="en-US" w:eastAsia="zh-CN" w:bidi="ar"/>
        </w:rPr>
        <w:t>的风速较高。</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rPr>
      </w:pPr>
      <w:r>
        <w:drawing>
          <wp:inline distT="0" distB="0" distL="114300" distR="114300">
            <wp:extent cx="5572125" cy="2333625"/>
            <wp:effectExtent l="0" t="0" r="9525" b="952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6"/>
                    <a:stretch>
                      <a:fillRect/>
                    </a:stretch>
                  </pic:blipFill>
                  <pic:spPr>
                    <a:xfrm>
                      <a:off x="0" y="0"/>
                      <a:ext cx="5572125" cy="2333625"/>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6.</w:t>
      </w:r>
      <w:r>
        <w:rPr>
          <w:rFonts w:hint="eastAsia"/>
          <w:b/>
          <w:bCs/>
          <w:lang w:val="en-US" w:eastAsia="zh-CN"/>
        </w:rPr>
        <w:t>2</w:t>
      </w:r>
      <w:r>
        <w:rPr>
          <w:b/>
          <w:bCs/>
          <w:lang w:val="en-US" w:eastAsia="zh-CN"/>
        </w:rPr>
        <w:t xml:space="preserve">-3 </w:t>
      </w:r>
      <w:r>
        <w:rPr>
          <w:rFonts w:hint="eastAsia"/>
          <w:b/>
          <w:bCs/>
          <w:lang w:val="en-US" w:eastAsia="zh-CN"/>
        </w:rPr>
        <w:t xml:space="preserve"> </w:t>
      </w:r>
      <w:r>
        <w:rPr>
          <w:b/>
          <w:bCs/>
          <w:lang w:val="en-US" w:eastAsia="zh-CN"/>
        </w:rPr>
        <w:t>2018</w:t>
      </w:r>
      <w:r>
        <w:rPr>
          <w:rFonts w:hint="eastAsia"/>
          <w:b/>
          <w:bCs/>
          <w:lang w:val="en-US" w:eastAsia="zh-CN"/>
        </w:rPr>
        <w:t>年各季小时平均风速的日变化曲线图</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）风向、风频</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年各月各风向出现频率结果见表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，各季各风向频率统计结果见表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，全年及各季风向频率见图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p>
    <w:p>
      <w:pPr>
        <w:bidi w:val="0"/>
        <w:jc w:val="center"/>
        <w:rPr>
          <w:b/>
          <w:bCs/>
        </w:rPr>
      </w:pPr>
      <w:r>
        <w:rPr>
          <w:rFonts w:hint="eastAsia"/>
          <w:b/>
          <w:bCs/>
          <w:lang w:val="en-US" w:eastAsia="zh-CN"/>
        </w:rPr>
        <w:t>表</w:t>
      </w:r>
      <w:r>
        <w:rPr>
          <w:b/>
          <w:bCs/>
          <w:lang w:val="en-US" w:eastAsia="zh-CN"/>
        </w:rPr>
        <w:t>6.</w:t>
      </w:r>
      <w:r>
        <w:rPr>
          <w:rFonts w:hint="eastAsia"/>
          <w:b/>
          <w:bCs/>
          <w:lang w:val="en-US" w:eastAsia="zh-CN"/>
        </w:rPr>
        <w:t>2</w:t>
      </w:r>
      <w:r>
        <w:rPr>
          <w:b/>
          <w:bCs/>
          <w:lang w:val="en-US" w:eastAsia="zh-CN"/>
        </w:rPr>
        <w:t xml:space="preserve">-5 </w:t>
      </w:r>
      <w:r>
        <w:rPr>
          <w:rFonts w:hint="eastAsia"/>
          <w:b/>
          <w:bCs/>
          <w:lang w:val="en-US" w:eastAsia="zh-CN"/>
        </w:rPr>
        <w:t xml:space="preserve"> 各月各风向出现频率</w:t>
      </w:r>
      <w:r>
        <w:rPr>
          <w:rFonts w:hint="default"/>
          <w:b/>
          <w:bCs/>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lang w:val="en-US"/>
        </w:rPr>
      </w:pPr>
      <w:r>
        <w:drawing>
          <wp:inline distT="0" distB="0" distL="114300" distR="114300">
            <wp:extent cx="5762625" cy="3280410"/>
            <wp:effectExtent l="0" t="0" r="9525" b="1524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7"/>
                    <a:stretch>
                      <a:fillRect/>
                    </a:stretch>
                  </pic:blipFill>
                  <pic:spPr>
                    <a:xfrm>
                      <a:off x="0" y="0"/>
                      <a:ext cx="5762625" cy="3280410"/>
                    </a:xfrm>
                    <a:prstGeom prst="rect">
                      <a:avLst/>
                    </a:prstGeom>
                    <a:noFill/>
                    <a:ln>
                      <a:noFill/>
                    </a:ln>
                  </pic:spPr>
                </pic:pic>
              </a:graphicData>
            </a:graphic>
          </wp:inline>
        </w:drawing>
      </w:r>
    </w:p>
    <w:p>
      <w:pPr>
        <w:bidi w:val="0"/>
        <w:jc w:val="center"/>
        <w:rPr>
          <w:lang w:val="en-US"/>
        </w:rPr>
      </w:pPr>
      <w:r>
        <w:drawing>
          <wp:inline distT="0" distB="0" distL="114300" distR="114300">
            <wp:extent cx="3419475" cy="4679950"/>
            <wp:effectExtent l="0" t="0" r="9525" b="635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8"/>
                    <a:stretch>
                      <a:fillRect/>
                    </a:stretch>
                  </pic:blipFill>
                  <pic:spPr>
                    <a:xfrm>
                      <a:off x="0" y="0"/>
                      <a:ext cx="3419475" cy="4679950"/>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6.</w:t>
      </w:r>
      <w:r>
        <w:rPr>
          <w:rFonts w:hint="eastAsia"/>
          <w:b/>
          <w:bCs/>
          <w:lang w:val="en-US" w:eastAsia="zh-CN"/>
        </w:rPr>
        <w:t>2</w:t>
      </w:r>
      <w:r>
        <w:rPr>
          <w:b/>
          <w:bCs/>
          <w:lang w:val="en-US" w:eastAsia="zh-CN"/>
        </w:rPr>
        <w:t xml:space="preserve">-4 </w:t>
      </w:r>
      <w:r>
        <w:rPr>
          <w:rFonts w:hint="eastAsia"/>
          <w:b/>
          <w:bCs/>
          <w:lang w:val="en-US" w:eastAsia="zh-CN"/>
        </w:rPr>
        <w:t xml:space="preserve"> 叶县</w:t>
      </w:r>
      <w:r>
        <w:rPr>
          <w:rFonts w:hint="default"/>
          <w:b/>
          <w:bCs/>
          <w:lang w:val="en-US" w:eastAsia="zh-CN"/>
        </w:rPr>
        <w:t>2018</w:t>
      </w:r>
      <w:r>
        <w:rPr>
          <w:rFonts w:hint="eastAsia"/>
          <w:b/>
          <w:bCs/>
          <w:lang w:val="en-US" w:eastAsia="zh-CN"/>
        </w:rPr>
        <w:t>全年及各季风向频率图</w:t>
      </w:r>
    </w:p>
    <w:p>
      <w:pPr>
        <w:bidi w:val="0"/>
        <w:jc w:val="center"/>
        <w:rPr>
          <w:b/>
          <w:bCs/>
        </w:rPr>
      </w:pPr>
      <w:r>
        <w:rPr>
          <w:rFonts w:hint="eastAsia"/>
          <w:b/>
          <w:bCs/>
          <w:lang w:val="en-US" w:eastAsia="zh-CN"/>
        </w:rPr>
        <w:t>表</w:t>
      </w:r>
      <w:r>
        <w:rPr>
          <w:rFonts w:hint="default"/>
          <w:b/>
          <w:bCs/>
          <w:lang w:val="en-US" w:eastAsia="zh-CN"/>
        </w:rPr>
        <w:t>6.</w:t>
      </w:r>
      <w:r>
        <w:rPr>
          <w:rFonts w:hint="eastAsia"/>
          <w:b/>
          <w:bCs/>
          <w:lang w:val="en-US" w:eastAsia="zh-CN"/>
        </w:rPr>
        <w:t>2</w:t>
      </w:r>
      <w:r>
        <w:rPr>
          <w:rFonts w:hint="default"/>
          <w:b/>
          <w:bCs/>
          <w:lang w:val="en-US" w:eastAsia="zh-CN"/>
        </w:rPr>
        <w:t xml:space="preserve">-6 </w:t>
      </w:r>
      <w:r>
        <w:rPr>
          <w:rFonts w:hint="eastAsia"/>
          <w:b/>
          <w:bCs/>
          <w:lang w:val="en-US" w:eastAsia="zh-CN"/>
        </w:rPr>
        <w:t xml:space="preserve"> </w:t>
      </w:r>
      <w:r>
        <w:rPr>
          <w:rFonts w:hint="default"/>
          <w:b/>
          <w:bCs/>
          <w:lang w:val="en-US" w:eastAsia="zh-CN"/>
        </w:rPr>
        <w:t>2018</w:t>
      </w:r>
      <w:r>
        <w:rPr>
          <w:rFonts w:hint="eastAsia"/>
          <w:b/>
          <w:bCs/>
          <w:lang w:val="en-US" w:eastAsia="zh-CN"/>
        </w:rPr>
        <w:t>全年及各季风向频率</w:t>
      </w:r>
      <w:r>
        <w:rPr>
          <w:rFonts w:hint="default"/>
          <w:b/>
          <w:bCs/>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5755640" cy="2059305"/>
            <wp:effectExtent l="0" t="0" r="16510" b="1714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9"/>
                    <a:stretch>
                      <a:fillRect/>
                    </a:stretch>
                  </pic:blipFill>
                  <pic:spPr>
                    <a:xfrm>
                      <a:off x="0" y="0"/>
                      <a:ext cx="5755640" cy="205930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根据统计结果可知，该地</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年全年最多风向为</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风，频率</w:t>
      </w:r>
      <w:r>
        <w:rPr>
          <w:rFonts w:hint="default" w:ascii="Times New Roman" w:hAnsi="Times New Roman" w:eastAsia="宋体" w:cs="Times New Roman"/>
          <w:color w:val="000000"/>
          <w:kern w:val="0"/>
          <w:sz w:val="24"/>
          <w:szCs w:val="24"/>
          <w:lang w:val="en-US" w:eastAsia="zh-CN" w:bidi="ar"/>
        </w:rPr>
        <w:t>9.42%</w:t>
      </w:r>
      <w:r>
        <w:rPr>
          <w:rFonts w:hint="eastAsia" w:ascii="宋体" w:hAnsi="宋体" w:eastAsia="宋体" w:cs="宋体"/>
          <w:color w:val="000000"/>
          <w:kern w:val="0"/>
          <w:sz w:val="24"/>
          <w:szCs w:val="24"/>
          <w:lang w:val="en-US" w:eastAsia="zh-CN" w:bidi="ar"/>
        </w:rPr>
        <w:t>；次多风向为</w:t>
      </w:r>
      <w:r>
        <w:rPr>
          <w:rFonts w:hint="default" w:ascii="Times New Roman" w:hAnsi="Times New Roman" w:eastAsia="宋体" w:cs="Times New Roman"/>
          <w:color w:val="000000"/>
          <w:kern w:val="0"/>
          <w:sz w:val="24"/>
          <w:szCs w:val="24"/>
          <w:lang w:val="en-US" w:eastAsia="zh-CN" w:bidi="ar"/>
        </w:rPr>
        <w:t>NNE</w:t>
      </w:r>
      <w:r>
        <w:rPr>
          <w:rFonts w:hint="eastAsia" w:ascii="宋体" w:hAnsi="宋体" w:eastAsia="宋体" w:cs="宋体"/>
          <w:color w:val="000000"/>
          <w:kern w:val="0"/>
          <w:sz w:val="24"/>
          <w:szCs w:val="24"/>
          <w:lang w:val="en-US" w:eastAsia="zh-CN" w:bidi="ar"/>
        </w:rPr>
        <w:t>风，频率为</w:t>
      </w:r>
      <w:r>
        <w:rPr>
          <w:rFonts w:hint="default" w:ascii="Times New Roman" w:hAnsi="Times New Roman" w:eastAsia="宋体" w:cs="Times New Roman"/>
          <w:color w:val="000000"/>
          <w:kern w:val="0"/>
          <w:sz w:val="24"/>
          <w:szCs w:val="24"/>
          <w:lang w:val="en-US" w:eastAsia="zh-CN" w:bidi="ar"/>
        </w:rPr>
        <w:t>8.78%</w:t>
      </w:r>
      <w:r>
        <w:rPr>
          <w:rFonts w:hint="eastAsia" w:ascii="宋体" w:hAnsi="宋体" w:eastAsia="宋体" w:cs="宋体"/>
          <w:color w:val="000000"/>
          <w:kern w:val="0"/>
          <w:sz w:val="24"/>
          <w:szCs w:val="24"/>
          <w:lang w:val="en-US" w:eastAsia="zh-CN" w:bidi="ar"/>
        </w:rPr>
        <w:t>。</w:t>
      </w:r>
    </w:p>
    <w:p>
      <w:pPr>
        <w:pStyle w:val="4"/>
        <w:bidi w:val="0"/>
      </w:pPr>
      <w:r>
        <w:rPr>
          <w:rFonts w:hint="default"/>
          <w:lang w:val="en-US" w:eastAsia="zh-CN"/>
        </w:rPr>
        <w:t>6.2.</w:t>
      </w:r>
      <w:r>
        <w:rPr>
          <w:rFonts w:hint="eastAsia"/>
          <w:lang w:val="en-US" w:eastAsia="zh-CN"/>
        </w:rPr>
        <w:t>2</w:t>
      </w:r>
      <w:r>
        <w:rPr>
          <w:rFonts w:hint="default"/>
          <w:lang w:val="en-US" w:eastAsia="zh-CN"/>
        </w:rPr>
        <w:t xml:space="preserve"> </w:t>
      </w:r>
      <w:r>
        <w:rPr>
          <w:lang w:val="en-US" w:eastAsia="zh-CN"/>
        </w:rPr>
        <w:t>评价工作等级的确定</w:t>
      </w:r>
    </w:p>
    <w:p>
      <w:pPr>
        <w:bidi w:val="0"/>
        <w:rPr>
          <w:sz w:val="24"/>
          <w:szCs w:val="24"/>
        </w:rPr>
      </w:pPr>
      <w:r>
        <w:rPr>
          <w:sz w:val="24"/>
          <w:szCs w:val="24"/>
        </w:rPr>
        <w:drawing>
          <wp:anchor distT="0" distB="0" distL="114300" distR="114300" simplePos="0" relativeHeight="251660288" behindDoc="0" locked="0" layoutInCell="1" allowOverlap="1">
            <wp:simplePos x="0" y="0"/>
            <wp:positionH relativeFrom="column">
              <wp:posOffset>3124200</wp:posOffset>
            </wp:positionH>
            <wp:positionV relativeFrom="paragraph">
              <wp:posOffset>527050</wp:posOffset>
            </wp:positionV>
            <wp:extent cx="789305" cy="360045"/>
            <wp:effectExtent l="0" t="0" r="10795" b="190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2"/>
                    <a:stretch>
                      <a:fillRect/>
                    </a:stretch>
                  </pic:blipFill>
                  <pic:spPr>
                    <a:xfrm>
                      <a:off x="0" y="0"/>
                      <a:ext cx="789305" cy="360045"/>
                    </a:xfrm>
                    <a:prstGeom prst="rect">
                      <a:avLst/>
                    </a:prstGeom>
                    <a:noFill/>
                    <a:ln>
                      <a:noFill/>
                    </a:ln>
                  </pic:spPr>
                </pic:pic>
              </a:graphicData>
            </a:graphic>
          </wp:anchor>
        </w:drawing>
      </w:r>
      <w:r>
        <w:rPr>
          <w:sz w:val="24"/>
          <w:szCs w:val="24"/>
        </w:rPr>
        <w:t>根据《环境影响评价技术导则-大气环境》（HJ2.2-2018）中的有关规定，将大气环境影响评价工作分为一、二、三级，划分依据见表</w:t>
      </w:r>
      <w:r>
        <w:rPr>
          <w:rFonts w:hint="eastAsia"/>
          <w:sz w:val="24"/>
          <w:szCs w:val="24"/>
          <w:lang w:val="en-US" w:eastAsia="zh-CN"/>
        </w:rPr>
        <w:t>6.2-7</w:t>
      </w:r>
      <w:r>
        <w:rPr>
          <w:sz w:val="24"/>
          <w:szCs w:val="24"/>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4" w:firstLineChars="200"/>
        <w:textAlignment w:val="auto"/>
        <w:rPr>
          <w:rFonts w:ascii="Times New Roman" w:hAnsi="Times New Roman" w:eastAsia="宋体"/>
          <w:sz w:val="24"/>
          <w:szCs w:val="24"/>
        </w:rPr>
      </w:pPr>
      <w:r>
        <w:rPr>
          <w:rFonts w:ascii="Times New Roman" w:hAnsi="Times New Roman" w:eastAsia="宋体"/>
          <w:spacing w:val="-4"/>
          <w:position w:val="2"/>
          <w:sz w:val="24"/>
          <w:szCs w:val="24"/>
        </w:rPr>
        <w:t>各污染物的最大地面浓度占标率</w:t>
      </w:r>
      <w:r>
        <w:rPr>
          <w:rFonts w:ascii="Times New Roman" w:hAnsi="Times New Roman" w:eastAsia="宋体"/>
          <w:position w:val="2"/>
          <w:sz w:val="24"/>
          <w:szCs w:val="24"/>
        </w:rPr>
        <w:t>P</w:t>
      </w:r>
      <w:r>
        <w:rPr>
          <w:rFonts w:ascii="Times New Roman" w:hAnsi="Times New Roman" w:eastAsia="宋体"/>
          <w:sz w:val="24"/>
          <w:szCs w:val="24"/>
        </w:rPr>
        <w:t>i</w:t>
      </w:r>
      <w:r>
        <w:rPr>
          <w:rFonts w:ascii="Times New Roman" w:hAnsi="Times New Roman" w:eastAsia="宋体"/>
          <w:spacing w:val="-5"/>
          <w:position w:val="2"/>
          <w:sz w:val="24"/>
          <w:szCs w:val="24"/>
        </w:rPr>
        <w:t>的计算：</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式中：Pi——第i个污染物的最大地面浓度占标率，%；</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Ci——采用估算模式计算出的第i个污染物的最大地面浓度，mg/m</w:t>
      </w:r>
      <w:r>
        <w:rPr>
          <w:rFonts w:hint="eastAsia" w:ascii="Times New Roman" w:hAnsi="Times New Roman"/>
          <w:sz w:val="24"/>
          <w:szCs w:val="24"/>
          <w:vertAlign w:val="superscript"/>
          <w:lang w:val="en-US" w:eastAsia="zh-CN"/>
        </w:rPr>
        <w:t>3</w:t>
      </w:r>
      <w:r>
        <w:rPr>
          <w:rFonts w:ascii="Times New Roman" w:hAnsi="Times New Roman" w:eastAsia="宋体"/>
          <w:sz w:val="24"/>
          <w:szCs w:val="24"/>
        </w:rPr>
        <w:t>；</w:t>
      </w:r>
    </w:p>
    <w:p>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ascii="Times New Roman" w:hAnsi="Times New Roman" w:eastAsia="宋体"/>
          <w:sz w:val="24"/>
          <w:szCs w:val="24"/>
        </w:rPr>
      </w:pPr>
      <w:r>
        <w:rPr>
          <w:rFonts w:ascii="Times New Roman" w:hAnsi="Times New Roman" w:eastAsia="宋体"/>
          <w:sz w:val="24"/>
          <w:szCs w:val="24"/>
        </w:rPr>
        <w:t>Coi——第i个污染物的环境空气质量标准，mg/m</w:t>
      </w:r>
      <w:r>
        <w:rPr>
          <w:rFonts w:hint="eastAsia" w:ascii="Times New Roman" w:hAnsi="Times New Roman"/>
          <w:sz w:val="24"/>
          <w:szCs w:val="24"/>
          <w:vertAlign w:val="superscript"/>
          <w:lang w:val="en-US" w:eastAsia="zh-CN"/>
        </w:rPr>
        <w:t>3</w:t>
      </w:r>
      <w:r>
        <w:rPr>
          <w:rFonts w:ascii="Times New Roman" w:hAnsi="Times New Roman" w:eastAsia="宋体"/>
          <w:sz w:val="24"/>
          <w:szCs w:val="24"/>
        </w:rPr>
        <w:t>。</w:t>
      </w:r>
    </w:p>
    <w:p>
      <w:pPr>
        <w:bidi w:val="0"/>
        <w:jc w:val="center"/>
        <w:rPr>
          <w:rFonts w:hint="eastAsia"/>
          <w:b/>
          <w:bCs/>
          <w:lang w:val="en-US" w:eastAsia="zh-CN"/>
        </w:rPr>
      </w:pPr>
      <w:r>
        <w:rPr>
          <w:rFonts w:hint="eastAsia"/>
          <w:b/>
          <w:bCs/>
          <w:lang w:val="en-US" w:eastAsia="zh-CN"/>
        </w:rPr>
        <w:t>表6.2-7  大气环境评价工作级别（一、二、三级）</w:t>
      </w:r>
    </w:p>
    <w:tbl>
      <w:tblPr>
        <w:tblStyle w:val="21"/>
        <w:tblW w:w="5015"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826"/>
        <w:gridCol w:w="52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5" w:hRule="atLeast"/>
          <w:jc w:val="center"/>
        </w:trPr>
        <w:tc>
          <w:tcPr>
            <w:tcW w:w="4147"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评价工作等级</w:t>
            </w:r>
          </w:p>
        </w:tc>
        <w:tc>
          <w:tcPr>
            <w:tcW w:w="573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 w:hRule="atLeast"/>
          <w:jc w:val="center"/>
        </w:trPr>
        <w:tc>
          <w:tcPr>
            <w:tcW w:w="4147"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一级</w:t>
            </w:r>
          </w:p>
        </w:tc>
        <w:tc>
          <w:tcPr>
            <w:tcW w:w="573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jc w:val="center"/>
        </w:trPr>
        <w:tc>
          <w:tcPr>
            <w:tcW w:w="4147"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二级</w:t>
            </w:r>
          </w:p>
        </w:tc>
        <w:tc>
          <w:tcPr>
            <w:tcW w:w="573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1%≤Pmax＜10%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3" w:hRule="atLeast"/>
          <w:jc w:val="center"/>
        </w:trPr>
        <w:tc>
          <w:tcPr>
            <w:tcW w:w="4147"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三级</w:t>
            </w:r>
          </w:p>
        </w:tc>
        <w:tc>
          <w:tcPr>
            <w:tcW w:w="5733" w:type="dxa"/>
            <w:tcBorders>
              <w:top w:val="single" w:color="000000" w:sz="4" w:space="0"/>
              <w:left w:val="single" w:color="000000" w:sz="4" w:space="0"/>
              <w:bottom w:val="single" w:color="000000" w:sz="4" w:space="0"/>
              <w:right w:val="single" w:color="000000" w:sz="4" w:space="0"/>
            </w:tcBorders>
            <w:vAlign w:val="center"/>
          </w:tcPr>
          <w:p>
            <w:pPr>
              <w:pStyle w:val="30"/>
              <w:bidi w:val="0"/>
              <w:jc w:val="center"/>
            </w:pPr>
            <w:r>
              <w:t>Pmax＜1%</w:t>
            </w:r>
          </w:p>
        </w:tc>
      </w:tr>
    </w:tbl>
    <w:p>
      <w:pPr>
        <w:pStyle w:val="4"/>
        <w:bidi w:val="0"/>
      </w:pPr>
      <w:r>
        <w:rPr>
          <w:rFonts w:hint="default"/>
          <w:lang w:val="en-US" w:eastAsia="zh-CN"/>
        </w:rPr>
        <w:t>6.2.</w:t>
      </w:r>
      <w:r>
        <w:rPr>
          <w:rFonts w:hint="eastAsia"/>
          <w:lang w:val="en-US" w:eastAsia="zh-CN"/>
        </w:rPr>
        <w:t>3</w:t>
      </w:r>
      <w:r>
        <w:rPr>
          <w:rFonts w:hint="default"/>
          <w:lang w:val="en-US" w:eastAsia="zh-CN"/>
        </w:rPr>
        <w:t xml:space="preserve"> </w:t>
      </w:r>
      <w:r>
        <w:rPr>
          <w:lang w:val="en-US" w:eastAsia="zh-CN"/>
        </w:rPr>
        <w:t>评价因子和评价标准的筛选</w:t>
      </w:r>
    </w:p>
    <w:p>
      <w:pPr>
        <w:bidi w:val="0"/>
      </w:pPr>
      <w:r>
        <w:rPr>
          <w:rFonts w:hint="eastAsia"/>
          <w:lang w:val="en-US" w:eastAsia="zh-CN"/>
        </w:rPr>
        <w:t>本评价选取非甲烷总烃和颗粒物为主要污染物进行评价工作等级的确定，采用《环境影响评价技术导则  大气环境》（</w:t>
      </w:r>
      <w:r>
        <w:rPr>
          <w:rFonts w:hint="default"/>
          <w:lang w:val="en-US" w:eastAsia="zh-CN"/>
        </w:rPr>
        <w:t>HJ2.2-2018</w:t>
      </w:r>
      <w:r>
        <w:rPr>
          <w:rFonts w:hint="eastAsia"/>
          <w:lang w:val="en-US" w:eastAsia="zh-CN"/>
        </w:rPr>
        <w:t>）中推荐的</w:t>
      </w:r>
      <w:r>
        <w:rPr>
          <w:rFonts w:hint="default"/>
          <w:lang w:val="en-US" w:eastAsia="zh-CN"/>
        </w:rPr>
        <w:t>Aerscreen</w:t>
      </w:r>
      <w:r>
        <w:rPr>
          <w:rFonts w:hint="eastAsia"/>
          <w:lang w:val="en-US" w:eastAsia="zh-CN"/>
        </w:rPr>
        <w:t>估算模式进行计算。评价因子和评价标准见表6.2-8、估算模型参数见表6.2-12。</w:t>
      </w:r>
    </w:p>
    <w:p>
      <w:pPr>
        <w:bidi w:val="0"/>
        <w:jc w:val="center"/>
        <w:rPr>
          <w:rFonts w:hint="eastAsia"/>
          <w:b/>
          <w:bCs/>
          <w:lang w:val="en-US" w:eastAsia="zh-CN"/>
        </w:rPr>
      </w:pPr>
      <w:r>
        <w:rPr>
          <w:rFonts w:hint="eastAsia"/>
          <w:b/>
          <w:bCs/>
          <w:lang w:val="en-US" w:eastAsia="zh-CN"/>
        </w:rPr>
        <w:t>表6.2-8  评价因子和评价标准表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88"/>
        <w:gridCol w:w="1496"/>
        <w:gridCol w:w="1445"/>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污染物名称</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功能区</w:t>
            </w:r>
          </w:p>
        </w:tc>
        <w:tc>
          <w:tcPr>
            <w:tcW w:w="149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取值时间</w:t>
            </w:r>
          </w:p>
        </w:tc>
        <w:tc>
          <w:tcPr>
            <w:tcW w:w="144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1"/>
                <w:szCs w:val="21"/>
                <w:vertAlign w:val="baseline"/>
              </w:rPr>
            </w:pPr>
            <w:r>
              <w:rPr>
                <w:rFonts w:hint="eastAsia" w:ascii="宋体" w:hAnsi="宋体" w:eastAsia="宋体" w:cs="宋体"/>
                <w:b w:val="0"/>
                <w:bCs w:val="0"/>
                <w:color w:val="000000"/>
                <w:kern w:val="0"/>
                <w:sz w:val="21"/>
                <w:szCs w:val="21"/>
                <w:lang w:val="en-US" w:eastAsia="zh-CN" w:bidi="ar"/>
              </w:rPr>
              <w:t>标准值</w:t>
            </w:r>
          </w:p>
        </w:tc>
        <w:tc>
          <w:tcPr>
            <w:tcW w:w="320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spacing w:val="-16"/>
                <w:sz w:val="24"/>
                <w:vertAlign w:val="baseline"/>
              </w:rPr>
            </w:pPr>
            <w:r>
              <w:rPr>
                <w:rFonts w:hint="eastAsia" w:ascii="宋体" w:hAnsi="宋体" w:eastAsia="宋体" w:cs="宋体"/>
                <w:b w:val="0"/>
                <w:bCs w:val="0"/>
                <w:color w:val="000000"/>
                <w:kern w:val="0"/>
                <w:sz w:val="21"/>
                <w:szCs w:val="21"/>
                <w:lang w:val="en-US" w:eastAsia="zh-CN"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color w:val="000000" w:themeColor="text1"/>
                <w:spacing w:val="-16"/>
                <w:sz w:val="21"/>
                <w:szCs w:val="21"/>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颗粒物</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color w:val="000000" w:themeColor="text1"/>
                <w:spacing w:val="-16"/>
                <w:sz w:val="21"/>
                <w:szCs w:val="21"/>
                <w:vertAlign w:val="baseline"/>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二类限区</w:t>
            </w:r>
          </w:p>
        </w:tc>
        <w:tc>
          <w:tcPr>
            <w:tcW w:w="149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b w:val="0"/>
                <w:bCs w:val="0"/>
                <w:color w:val="000000" w:themeColor="text1"/>
                <w:spacing w:val="-16"/>
                <w:sz w:val="21"/>
                <w:szCs w:val="21"/>
                <w:vertAlign w:val="baseline"/>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一小时</w:t>
            </w:r>
          </w:p>
        </w:tc>
        <w:tc>
          <w:tcPr>
            <w:tcW w:w="144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b w:val="0"/>
                <w:bCs w:val="0"/>
                <w:color w:val="000000" w:themeColor="text1"/>
                <w:spacing w:val="-16"/>
                <w:sz w:val="21"/>
                <w:szCs w:val="21"/>
                <w:vertAlign w:val="baseline"/>
                <w:lang w:val="en-US"/>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450</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μg/m</w:t>
            </w:r>
            <w:r>
              <w:rPr>
                <w:rFonts w:hint="eastAsia"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p>
        </w:tc>
        <w:tc>
          <w:tcPr>
            <w:tcW w:w="3209" w:type="dxa"/>
            <w:vAlign w:val="center"/>
          </w:tcPr>
          <w:p>
            <w:pPr>
              <w:pStyle w:val="30"/>
              <w:bidi w:val="0"/>
              <w:rPr>
                <w:color w:val="C00000"/>
                <w:sz w:val="21"/>
                <w:szCs w:val="21"/>
              </w:rPr>
            </w:pPr>
            <w:r>
              <w:rPr>
                <w:rFonts w:hint="eastAsia" w:ascii="宋体" w:hAnsi="宋体" w:eastAsia="宋体" w:cs="宋体"/>
                <w:color w:val="000000"/>
                <w:kern w:val="0"/>
                <w:sz w:val="21"/>
                <w:szCs w:val="21"/>
                <w:lang w:val="en-US" w:eastAsia="zh-CN" w:bidi="ar"/>
              </w:rPr>
              <w:t>《环境空气质量标准》（</w:t>
            </w:r>
            <w:r>
              <w:rPr>
                <w:rFonts w:hint="default" w:ascii="Times New Roman" w:hAnsi="Times New Roman" w:eastAsia="宋体" w:cs="Times New Roman"/>
                <w:color w:val="000000"/>
                <w:kern w:val="0"/>
                <w:sz w:val="21"/>
                <w:szCs w:val="21"/>
                <w:lang w:val="en-US" w:eastAsia="zh-CN" w:bidi="ar"/>
              </w:rPr>
              <w:t>GB3095-2012</w:t>
            </w:r>
            <w:r>
              <w:rPr>
                <w:rFonts w:hint="eastAsia" w:ascii="宋体" w:hAnsi="宋体" w:eastAsia="宋体" w:cs="宋体"/>
                <w:color w:val="000000"/>
                <w:kern w:val="0"/>
                <w:sz w:val="21"/>
                <w:szCs w:val="21"/>
                <w:lang w:val="en-US" w:eastAsia="zh-CN" w:bidi="ar"/>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r>
              <w:rPr>
                <w:rFonts w:hint="eastAsia" w:ascii="Times New Roman" w:hAnsi="Times New Roman" w:eastAsia="宋体" w:cs="Times New Roman"/>
                <w:color w:val="000000"/>
                <w:kern w:val="0"/>
                <w:sz w:val="21"/>
                <w:szCs w:val="21"/>
                <w:lang w:val="en-US" w:eastAsia="zh-CN" w:bidi="ar"/>
              </w:rPr>
              <w:t>非甲烷总烃</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r>
              <w:rPr>
                <w:rFonts w:hint="eastAsia" w:ascii="宋体" w:hAnsi="宋体" w:eastAsia="宋体" w:cs="宋体"/>
                <w:color w:val="000000"/>
                <w:kern w:val="0"/>
                <w:sz w:val="21"/>
                <w:szCs w:val="21"/>
                <w:lang w:val="en-US" w:eastAsia="zh-CN" w:bidi="ar"/>
              </w:rPr>
              <w:t>二类限区</w:t>
            </w:r>
          </w:p>
        </w:tc>
        <w:tc>
          <w:tcPr>
            <w:tcW w:w="149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spacing w:val="-16"/>
                <w:sz w:val="21"/>
                <w:szCs w:val="21"/>
                <w:vertAlign w:val="baseline"/>
              </w:rPr>
            </w:pPr>
            <w:r>
              <w:rPr>
                <w:rFonts w:hint="eastAsia" w:ascii="宋体" w:hAnsi="宋体" w:eastAsia="宋体" w:cs="宋体"/>
                <w:color w:val="000000"/>
                <w:kern w:val="0"/>
                <w:sz w:val="21"/>
                <w:szCs w:val="21"/>
                <w:lang w:val="en-US" w:eastAsia="zh-CN" w:bidi="ar"/>
              </w:rPr>
              <w:t>一小时</w:t>
            </w:r>
          </w:p>
        </w:tc>
        <w:tc>
          <w:tcPr>
            <w:tcW w:w="144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default"/>
                <w:spacing w:val="-16"/>
                <w:sz w:val="21"/>
                <w:szCs w:val="21"/>
                <w:vertAlign w:val="baseline"/>
                <w:lang w:val="en-US"/>
              </w:rPr>
            </w:pPr>
            <w:r>
              <w:rPr>
                <w:rFonts w:hint="eastAsia" w:ascii="Times New Roman" w:hAnsi="Times New Roman" w:eastAsia="宋体" w:cs="Times New Roman"/>
                <w:color w:val="000000"/>
                <w:kern w:val="0"/>
                <w:sz w:val="21"/>
                <w:szCs w:val="21"/>
                <w:lang w:val="en-US" w:eastAsia="zh-CN" w:bidi="ar"/>
              </w:rPr>
              <w:t>2.0</w:t>
            </w:r>
            <w:r>
              <w:rPr>
                <w:rFonts w:hint="default" w:ascii="Times New Roman" w:hAnsi="Times New Roman" w:eastAsia="宋体" w:cs="Times New Roman"/>
                <w:b w:val="0"/>
                <w:bCs w:val="0"/>
                <w:color w:val="000000"/>
                <w:kern w:val="0"/>
                <w:sz w:val="21"/>
                <w:szCs w:val="21"/>
                <w:lang w:val="en-US" w:eastAsia="zh-CN" w:bidi="ar"/>
              </w:rPr>
              <w:t>(</w:t>
            </w:r>
            <w:r>
              <w:rPr>
                <w:rFonts w:hint="eastAsia" w:ascii="Times New Roman" w:hAnsi="Times New Roman" w:eastAsia="宋体" w:cs="Times New Roman"/>
                <w:b w:val="0"/>
                <w:bCs w:val="0"/>
                <w:color w:val="000000"/>
                <w:kern w:val="0"/>
                <w:sz w:val="21"/>
                <w:szCs w:val="21"/>
                <w:lang w:val="en-US" w:eastAsia="zh-CN" w:bidi="ar"/>
              </w:rPr>
              <w:t>m</w:t>
            </w:r>
            <w:r>
              <w:rPr>
                <w:rFonts w:hint="default" w:ascii="Times New Roman" w:hAnsi="Times New Roman" w:eastAsia="宋体" w:cs="Times New Roman"/>
                <w:b w:val="0"/>
                <w:bCs w:val="0"/>
                <w:color w:val="000000"/>
                <w:kern w:val="0"/>
                <w:sz w:val="21"/>
                <w:szCs w:val="21"/>
                <w:lang w:val="en-US" w:eastAsia="zh-CN" w:bidi="ar"/>
              </w:rPr>
              <w:t>g/m</w:t>
            </w:r>
            <w:r>
              <w:rPr>
                <w:rFonts w:hint="eastAsia" w:ascii="Times New Roman" w:hAnsi="Times New Roman" w:eastAsia="宋体" w:cs="Times New Roman"/>
                <w:b w:val="0"/>
                <w:bCs w:val="0"/>
                <w:color w:val="000000"/>
                <w:kern w:val="0"/>
                <w:sz w:val="21"/>
                <w:szCs w:val="21"/>
                <w:vertAlign w:val="superscript"/>
                <w:lang w:val="en-US" w:eastAsia="zh-CN" w:bidi="ar"/>
              </w:rPr>
              <w:t>3</w:t>
            </w:r>
            <w:r>
              <w:rPr>
                <w:rFonts w:hint="eastAsia" w:cs="Times New Roman"/>
                <w:b w:val="0"/>
                <w:bCs w:val="0"/>
                <w:color w:val="000000"/>
                <w:kern w:val="0"/>
                <w:sz w:val="21"/>
                <w:szCs w:val="21"/>
                <w:vertAlign w:val="baseline"/>
                <w:lang w:val="en-US" w:eastAsia="zh-CN" w:bidi="ar"/>
              </w:rPr>
              <w:t>)</w:t>
            </w:r>
          </w:p>
        </w:tc>
        <w:tc>
          <w:tcPr>
            <w:tcW w:w="3209" w:type="dxa"/>
            <w:vAlign w:val="top"/>
          </w:tcPr>
          <w:p>
            <w:pPr>
              <w:pStyle w:val="30"/>
              <w:bidi w:val="0"/>
              <w:rPr>
                <w:sz w:val="21"/>
                <w:szCs w:val="21"/>
              </w:rPr>
            </w:pPr>
            <w:r>
              <w:rPr>
                <w:rFonts w:hint="eastAsia"/>
                <w:sz w:val="21"/>
                <w:szCs w:val="21"/>
                <w:lang w:val="en-US" w:eastAsia="zh-CN"/>
              </w:rPr>
              <w:t>《大气污染物综合排放标准详解》（中国环境科学出版社出版）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苯乙烯</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二类限区</w:t>
            </w:r>
          </w:p>
        </w:tc>
        <w:tc>
          <w:tcPr>
            <w:tcW w:w="1496"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
              </w:rPr>
            </w:pPr>
            <w:r>
              <w:rPr>
                <w:sz w:val="21"/>
                <w:szCs w:val="21"/>
                <w:u w:val="single"/>
              </w:rPr>
              <w:t>小时平均</w:t>
            </w:r>
          </w:p>
        </w:tc>
        <w:tc>
          <w:tcPr>
            <w:tcW w:w="1445"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color w:val="000000"/>
                <w:kern w:val="0"/>
                <w:sz w:val="21"/>
                <w:szCs w:val="21"/>
                <w:lang w:val="en-US" w:eastAsia="zh-CN" w:bidi="ar"/>
              </w:rPr>
            </w:pPr>
            <w:r>
              <w:rPr>
                <w:rFonts w:cs="Times New Roman"/>
                <w:spacing w:val="-4"/>
                <w:sz w:val="21"/>
                <w:szCs w:val="21"/>
                <w:u w:val="single"/>
              </w:rPr>
              <w:t>10</w:t>
            </w:r>
            <w:r>
              <w:rPr>
                <w:rFonts w:cs="Times New Roman"/>
                <w:bCs/>
                <w:sz w:val="21"/>
                <w:szCs w:val="21"/>
                <w:u w:val="single"/>
              </w:rPr>
              <w:t>μg/m</w:t>
            </w:r>
            <w:r>
              <w:rPr>
                <w:rFonts w:cs="Times New Roman"/>
                <w:bCs/>
                <w:sz w:val="21"/>
                <w:szCs w:val="21"/>
                <w:u w:val="single"/>
                <w:vertAlign w:val="superscript"/>
              </w:rPr>
              <w:t>3</w:t>
            </w:r>
          </w:p>
        </w:tc>
        <w:tc>
          <w:tcPr>
            <w:tcW w:w="3209" w:type="dxa"/>
            <w:vMerge w:val="restart"/>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sz w:val="21"/>
                <w:szCs w:val="21"/>
                <w:lang w:val="en-US" w:eastAsia="zh-CN"/>
              </w:rPr>
            </w:pPr>
            <w:r>
              <w:rPr>
                <w:rFonts w:hint="eastAsia" w:ascii="Times New Roman" w:eastAsia="Times New Roman"/>
                <w:sz w:val="21"/>
                <w:szCs w:val="21"/>
                <w:lang w:val="en-US" w:eastAsia="zh-CN"/>
              </w:rPr>
              <w:t>《环境影响评价技术导则大气环境》（HJ 2.2-2008）附录D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硫化氢</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二类限区</w:t>
            </w:r>
          </w:p>
        </w:tc>
        <w:tc>
          <w:tcPr>
            <w:tcW w:w="1496"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
              </w:rPr>
            </w:pPr>
            <w:r>
              <w:rPr>
                <w:sz w:val="21"/>
                <w:szCs w:val="21"/>
                <w:u w:val="single"/>
              </w:rPr>
              <w:t>小时平均</w:t>
            </w:r>
          </w:p>
        </w:tc>
        <w:tc>
          <w:tcPr>
            <w:tcW w:w="1445"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u w:val="single"/>
                <w:lang w:val="en-US" w:eastAsia="zh-CN" w:bidi="ar"/>
              </w:rPr>
              <w:t>10</w:t>
            </w:r>
            <w:r>
              <w:rPr>
                <w:rFonts w:hint="default" w:ascii="Times New Roman" w:hAnsi="Times New Roman" w:cs="Times New Roman"/>
                <w:bCs/>
                <w:sz w:val="21"/>
                <w:szCs w:val="21"/>
                <w:u w:val="single"/>
              </w:rPr>
              <w:t>μg/m</w:t>
            </w:r>
            <w:r>
              <w:rPr>
                <w:rFonts w:hint="default" w:ascii="Times New Roman" w:hAnsi="Times New Roman" w:cs="Times New Roman"/>
                <w:bCs/>
                <w:sz w:val="21"/>
                <w:szCs w:val="21"/>
                <w:u w:val="single"/>
                <w:vertAlign w:val="superscript"/>
              </w:rPr>
              <w:t>3</w:t>
            </w:r>
          </w:p>
        </w:tc>
        <w:tc>
          <w:tcPr>
            <w:tcW w:w="3209" w:type="dxa"/>
            <w:vMerge w:val="continue"/>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firstLine="0" w:firstLineChars="0"/>
              <w:jc w:val="center"/>
              <w:textAlignment w:val="auto"/>
              <w:rPr>
                <w:rFonts w:hint="eastAsia" w:ascii="Times New Roman" w:hAnsi="Times New Roman" w:eastAsia="宋体" w:cs="Times New Roman"/>
                <w:color w:val="000000"/>
                <w:kern w:val="0"/>
                <w:sz w:val="21"/>
                <w:szCs w:val="21"/>
                <w:u w:val="single"/>
                <w:lang w:val="en-US" w:eastAsia="zh-CN" w:bidi="ar"/>
              </w:rPr>
            </w:pPr>
            <w:r>
              <w:rPr>
                <w:rFonts w:hint="eastAsia" w:cs="Times New Roman"/>
                <w:color w:val="000000"/>
                <w:kern w:val="0"/>
                <w:sz w:val="21"/>
                <w:szCs w:val="21"/>
                <w:u w:val="single"/>
                <w:lang w:val="en-US" w:eastAsia="zh-CN" w:bidi="ar"/>
              </w:rPr>
              <w:t>氨</w:t>
            </w:r>
          </w:p>
        </w:tc>
        <w:tc>
          <w:tcPr>
            <w:tcW w:w="1288"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line="240" w:lineRule="auto"/>
              <w:ind w:right="0" w:righ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二类限区</w:t>
            </w:r>
          </w:p>
        </w:tc>
        <w:tc>
          <w:tcPr>
            <w:tcW w:w="1496"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
              </w:rPr>
            </w:pPr>
            <w:r>
              <w:rPr>
                <w:sz w:val="21"/>
                <w:szCs w:val="21"/>
                <w:u w:val="single"/>
              </w:rPr>
              <w:t>小时平均</w:t>
            </w:r>
          </w:p>
        </w:tc>
        <w:tc>
          <w:tcPr>
            <w:tcW w:w="1445" w:type="dxa"/>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u w:val="single"/>
                <w:lang w:val="en-US" w:eastAsia="zh-CN" w:bidi="ar"/>
              </w:rPr>
              <w:t>200</w:t>
            </w:r>
            <w:r>
              <w:rPr>
                <w:rFonts w:hint="default" w:ascii="Times New Roman" w:hAnsi="Times New Roman" w:cs="Times New Roman"/>
                <w:bCs/>
                <w:sz w:val="21"/>
                <w:szCs w:val="21"/>
                <w:u w:val="single"/>
              </w:rPr>
              <w:t>μg/m</w:t>
            </w:r>
            <w:r>
              <w:rPr>
                <w:rFonts w:hint="default" w:ascii="Times New Roman" w:hAnsi="Times New Roman" w:cs="Times New Roman"/>
                <w:bCs/>
                <w:sz w:val="21"/>
                <w:szCs w:val="21"/>
                <w:u w:val="single"/>
                <w:vertAlign w:val="superscript"/>
              </w:rPr>
              <w:t>3</w:t>
            </w:r>
          </w:p>
        </w:tc>
        <w:tc>
          <w:tcPr>
            <w:tcW w:w="3209" w:type="dxa"/>
            <w:vMerge w:val="continue"/>
            <w:vAlign w:val="center"/>
          </w:tcPr>
          <w:p>
            <w:pPr>
              <w:pStyle w:val="31"/>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sz w:val="21"/>
                <w:szCs w:val="21"/>
                <w:lang w:val="en-US" w:eastAsia="zh-CN"/>
              </w:rPr>
            </w:pPr>
          </w:p>
        </w:tc>
      </w:tr>
    </w:tbl>
    <w:p>
      <w:pPr>
        <w:pStyle w:val="4"/>
        <w:bidi w:val="0"/>
      </w:pPr>
      <w:r>
        <w:rPr>
          <w:rFonts w:hint="default"/>
          <w:lang w:val="en-US" w:eastAsia="zh-CN"/>
        </w:rPr>
        <w:t>6.2.</w:t>
      </w:r>
      <w:r>
        <w:rPr>
          <w:rFonts w:hint="eastAsia"/>
          <w:lang w:val="en-US" w:eastAsia="zh-CN"/>
        </w:rPr>
        <w:t>4</w:t>
      </w:r>
      <w:r>
        <w:rPr>
          <w:rFonts w:hint="default"/>
          <w:lang w:val="en-US" w:eastAsia="zh-CN"/>
        </w:rPr>
        <w:t xml:space="preserve"> </w:t>
      </w:r>
      <w:r>
        <w:rPr>
          <w:lang w:val="en-US" w:eastAsia="zh-CN"/>
        </w:rPr>
        <w:t>预测参数及结果</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sectPr>
          <w:footerReference r:id="rId10" w:type="default"/>
          <w:pgSz w:w="11910" w:h="16840"/>
          <w:pgMar w:top="1417" w:right="1417" w:bottom="1417" w:left="1417" w:header="850" w:footer="1448"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000000"/>
          <w:kern w:val="0"/>
          <w:sz w:val="24"/>
          <w:szCs w:val="24"/>
          <w:lang w:val="en-US" w:eastAsia="zh-CN" w:bidi="ar"/>
        </w:rPr>
        <w:t>本项目点源、面源参数调查清单见表</w:t>
      </w:r>
      <w:r>
        <w:rPr>
          <w:rFonts w:hint="default" w:ascii="Times New Roman" w:hAnsi="Times New Roman" w:eastAsia="宋体" w:cs="Times New Roman"/>
          <w:color w:val="000000"/>
          <w:kern w:val="0"/>
          <w:sz w:val="24"/>
          <w:szCs w:val="24"/>
          <w:lang w:val="en-US" w:eastAsia="zh-CN" w:bidi="ar"/>
        </w:rPr>
        <w:t>6.2-</w:t>
      </w:r>
      <w:r>
        <w:rPr>
          <w:rFonts w:hint="eastAsia" w:ascii="Times New Roman" w:hAnsi="Times New Roman" w:eastAsia="宋体" w:cs="Times New Roman"/>
          <w:color w:val="000000"/>
          <w:kern w:val="0"/>
          <w:sz w:val="24"/>
          <w:szCs w:val="24"/>
          <w:lang w:val="en-US" w:eastAsia="zh-CN" w:bidi="ar"/>
        </w:rPr>
        <w:t>9-6.2-11</w:t>
      </w:r>
      <w:r>
        <w:rPr>
          <w:rFonts w:hint="eastAsia" w:ascii="宋体" w:hAnsi="宋体" w:eastAsia="宋体" w:cs="宋体"/>
          <w:color w:val="000000"/>
          <w:kern w:val="0"/>
          <w:sz w:val="24"/>
          <w:szCs w:val="24"/>
          <w:lang w:val="en-US" w:eastAsia="zh-CN" w:bidi="ar"/>
        </w:rPr>
        <w:t>。</w:t>
      </w:r>
    </w:p>
    <w:p>
      <w:pPr>
        <w:pStyle w:val="19"/>
        <w:widowControl/>
        <w:spacing w:beforeAutospacing="0" w:afterAutospacing="0"/>
        <w:ind w:firstLine="482"/>
        <w:jc w:val="center"/>
        <w:rPr>
          <w:rFonts w:cs="宋体"/>
          <w:b/>
          <w:bCs/>
          <w:color w:val="000000"/>
          <w:szCs w:val="24"/>
          <w:lang w:bidi="ar"/>
        </w:rPr>
      </w:pPr>
      <w:r>
        <w:rPr>
          <w:rFonts w:cs="宋体"/>
          <w:b/>
          <w:bCs/>
          <w:color w:val="000000"/>
          <w:szCs w:val="24"/>
          <w:lang w:bidi="ar"/>
        </w:rPr>
        <w:t>6.2-</w:t>
      </w:r>
      <w:r>
        <w:rPr>
          <w:rFonts w:hint="eastAsia" w:cs="宋体"/>
          <w:b/>
          <w:bCs/>
          <w:color w:val="000000"/>
          <w:szCs w:val="24"/>
          <w:lang w:val="en-US" w:eastAsia="zh-CN" w:bidi="ar"/>
        </w:rPr>
        <w:t>9</w:t>
      </w:r>
      <w:r>
        <w:rPr>
          <w:rFonts w:cs="宋体"/>
          <w:b/>
          <w:bCs/>
          <w:color w:val="000000"/>
          <w:szCs w:val="24"/>
          <w:lang w:bidi="ar"/>
        </w:rPr>
        <w:t xml:space="preserve"> </w:t>
      </w:r>
      <w:r>
        <w:rPr>
          <w:rFonts w:hint="eastAsia" w:cs="宋体"/>
          <w:b/>
          <w:bCs/>
          <w:color w:val="000000"/>
          <w:szCs w:val="24"/>
          <w:lang w:bidi="ar"/>
        </w:rPr>
        <w:t xml:space="preserve"> 正常工况下有组织废气最大排放污染源强参数表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085"/>
        <w:gridCol w:w="1299"/>
        <w:gridCol w:w="1167"/>
        <w:gridCol w:w="1512"/>
        <w:gridCol w:w="966"/>
        <w:gridCol w:w="1219"/>
        <w:gridCol w:w="1115"/>
        <w:gridCol w:w="975"/>
        <w:gridCol w:w="1154"/>
        <w:gridCol w:w="738"/>
        <w:gridCol w:w="1316"/>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20"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编号</w:t>
            </w:r>
          </w:p>
        </w:tc>
        <w:tc>
          <w:tcPr>
            <w:tcW w:w="1085" w:type="dxa"/>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名称</w:t>
            </w:r>
          </w:p>
        </w:tc>
        <w:tc>
          <w:tcPr>
            <w:tcW w:w="2466" w:type="dxa"/>
            <w:gridSpan w:val="2"/>
            <w:vAlign w:val="center"/>
          </w:tcPr>
          <w:p>
            <w:pPr>
              <w:widowControl/>
              <w:spacing w:line="240" w:lineRule="auto"/>
              <w:ind w:firstLine="0" w:firstLineChars="0"/>
              <w:jc w:val="center"/>
              <w:rPr>
                <w:sz w:val="21"/>
                <w:szCs w:val="21"/>
              </w:rPr>
            </w:pPr>
            <w:r>
              <w:rPr>
                <w:rFonts w:hint="eastAsia"/>
                <w:color w:val="000000"/>
                <w:sz w:val="21"/>
                <w:szCs w:val="21"/>
                <w:lang w:val="en-US" w:bidi="ar"/>
              </w:rPr>
              <w:t>排气筒底部中心</w:t>
            </w:r>
          </w:p>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坐标</w:t>
            </w:r>
            <w:r>
              <w:rPr>
                <w:rFonts w:cs="TimesNewRomanPS-BoldMT"/>
                <w:color w:val="000000"/>
                <w:sz w:val="21"/>
                <w:szCs w:val="21"/>
                <w:lang w:val="en-US" w:bidi="ar"/>
              </w:rPr>
              <w:t>/</w:t>
            </w:r>
            <w:r>
              <w:rPr>
                <w:rFonts w:hint="eastAsia" w:cs="TimesNewRomanPS-BoldMT"/>
                <w:color w:val="000000"/>
                <w:sz w:val="21"/>
                <w:szCs w:val="21"/>
                <w:lang w:val="en-US" w:bidi="ar"/>
              </w:rPr>
              <w:t>°</w:t>
            </w:r>
          </w:p>
        </w:tc>
        <w:tc>
          <w:tcPr>
            <w:tcW w:w="1512"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排气筒底部海拔高度</w:t>
            </w:r>
            <w:r>
              <w:rPr>
                <w:rFonts w:cs="TimesNewRomanPS-BoldMT"/>
                <w:color w:val="000000"/>
                <w:sz w:val="21"/>
                <w:szCs w:val="21"/>
                <w:lang w:val="en-US" w:bidi="ar"/>
              </w:rPr>
              <w:t>/m</w:t>
            </w:r>
          </w:p>
        </w:tc>
        <w:tc>
          <w:tcPr>
            <w:tcW w:w="966"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排气筒高度</w:t>
            </w:r>
            <w:r>
              <w:rPr>
                <w:rFonts w:cs="TimesNewRomanPS-BoldMT"/>
                <w:color w:val="000000"/>
                <w:sz w:val="21"/>
                <w:szCs w:val="21"/>
                <w:lang w:val="en-US" w:bidi="ar"/>
              </w:rPr>
              <w:t>/m</w:t>
            </w:r>
          </w:p>
        </w:tc>
        <w:tc>
          <w:tcPr>
            <w:tcW w:w="1219"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排气筒出口内径</w:t>
            </w:r>
            <w:r>
              <w:rPr>
                <w:rFonts w:cs="TimesNewRomanPS-BoldMT"/>
                <w:color w:val="000000"/>
                <w:sz w:val="21"/>
                <w:szCs w:val="21"/>
                <w:lang w:val="en-US" w:bidi="ar"/>
              </w:rPr>
              <w:t>/m</w:t>
            </w:r>
          </w:p>
        </w:tc>
        <w:tc>
          <w:tcPr>
            <w:tcW w:w="1115"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烟气流速</w:t>
            </w:r>
            <w:r>
              <w:rPr>
                <w:rFonts w:cs="TimesNewRomanPS-BoldMT"/>
                <w:color w:val="000000"/>
                <w:sz w:val="21"/>
                <w:szCs w:val="21"/>
                <w:lang w:val="en-US" w:bidi="ar"/>
              </w:rPr>
              <w:t>/</w:t>
            </w:r>
            <w:r>
              <w:rPr>
                <w:rFonts w:hint="eastAsia"/>
                <w:color w:val="000000"/>
                <w:sz w:val="21"/>
                <w:szCs w:val="21"/>
                <w:lang w:val="en-US" w:bidi="ar"/>
              </w:rPr>
              <w:t>（</w:t>
            </w:r>
            <w:r>
              <w:rPr>
                <w:rFonts w:cs="TimesNewRomanPS-BoldMT"/>
                <w:color w:val="000000"/>
                <w:sz w:val="21"/>
                <w:szCs w:val="21"/>
                <w:lang w:val="en-US" w:bidi="ar"/>
              </w:rPr>
              <w:t>m/s</w:t>
            </w:r>
            <w:r>
              <w:rPr>
                <w:rFonts w:hint="eastAsia"/>
                <w:color w:val="000000"/>
                <w:sz w:val="21"/>
                <w:szCs w:val="21"/>
                <w:lang w:val="en-US" w:bidi="ar"/>
              </w:rPr>
              <w:t>）</w:t>
            </w:r>
          </w:p>
        </w:tc>
        <w:tc>
          <w:tcPr>
            <w:tcW w:w="975"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烟气温度</w:t>
            </w:r>
            <w:r>
              <w:rPr>
                <w:rFonts w:cs="TimesNewRomanPS-BoldMT"/>
                <w:color w:val="000000"/>
                <w:sz w:val="21"/>
                <w:szCs w:val="21"/>
                <w:lang w:val="en-US" w:bidi="ar"/>
              </w:rPr>
              <w:t>/</w:t>
            </w:r>
            <w:r>
              <w:rPr>
                <w:rFonts w:hint="eastAsia"/>
                <w:color w:val="000000"/>
                <w:sz w:val="21"/>
                <w:szCs w:val="21"/>
                <w:lang w:val="en-US" w:bidi="ar"/>
              </w:rPr>
              <w:t>℃</w:t>
            </w:r>
          </w:p>
        </w:tc>
        <w:tc>
          <w:tcPr>
            <w:tcW w:w="1154"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年排放小时数</w:t>
            </w:r>
            <w:r>
              <w:rPr>
                <w:rFonts w:cs="TimesNewRomanPS-BoldMT"/>
                <w:color w:val="000000"/>
                <w:sz w:val="21"/>
                <w:szCs w:val="21"/>
                <w:lang w:val="en-US" w:bidi="ar"/>
              </w:rPr>
              <w:t>/h</w:t>
            </w:r>
          </w:p>
        </w:tc>
        <w:tc>
          <w:tcPr>
            <w:tcW w:w="738"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排放工况</w:t>
            </w:r>
          </w:p>
        </w:tc>
        <w:tc>
          <w:tcPr>
            <w:tcW w:w="2570" w:type="dxa"/>
            <w:gridSpan w:val="2"/>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污染物排放</w:t>
            </w:r>
            <w:r>
              <w:rPr>
                <w:rFonts w:hint="eastAsia"/>
                <w:color w:val="000000"/>
                <w:sz w:val="21"/>
                <w:szCs w:val="21"/>
                <w:lang w:val="en-US" w:eastAsia="zh-CN" w:bidi="ar"/>
              </w:rPr>
              <w:t>量</w:t>
            </w:r>
            <w:r>
              <w:rPr>
                <w:rFonts w:cs="TimesNewRomanPS-BoldMT"/>
                <w:color w:val="000000"/>
                <w:sz w:val="21"/>
                <w:szCs w:val="21"/>
                <w:lang w:val="en-US" w:bidi="ar"/>
              </w:rPr>
              <w:t>/(</w:t>
            </w:r>
            <w:r>
              <w:rPr>
                <w:rFonts w:hint="eastAsia"/>
                <w:sz w:val="21"/>
                <w:szCs w:val="21"/>
                <w:lang w:val="en-US" w:eastAsia="zh-CN"/>
              </w:rPr>
              <w:t>kg/h</w:t>
            </w:r>
            <w:r>
              <w:rPr>
                <w:rFonts w:cs="TimesNewRomanPS-BoldMT"/>
                <w:color w:val="000000"/>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20" w:type="dxa"/>
            <w:vMerge w:val="continue"/>
            <w:vAlign w:val="center"/>
          </w:tcPr>
          <w:p>
            <w:pPr>
              <w:pStyle w:val="19"/>
              <w:widowControl/>
              <w:spacing w:beforeAutospacing="0" w:afterAutospacing="0" w:line="240" w:lineRule="auto"/>
              <w:ind w:firstLine="0" w:firstLineChars="0"/>
              <w:jc w:val="center"/>
              <w:rPr>
                <w:sz w:val="21"/>
                <w:szCs w:val="21"/>
              </w:rPr>
            </w:pPr>
          </w:p>
        </w:tc>
        <w:tc>
          <w:tcPr>
            <w:tcW w:w="1085" w:type="dxa"/>
            <w:vMerge w:val="continue"/>
            <w:vAlign w:val="center"/>
          </w:tcPr>
          <w:p>
            <w:pPr>
              <w:pStyle w:val="19"/>
              <w:widowControl/>
              <w:spacing w:beforeAutospacing="0" w:afterAutospacing="0" w:line="240" w:lineRule="auto"/>
              <w:ind w:firstLine="0" w:firstLineChars="0"/>
              <w:jc w:val="center"/>
              <w:rPr>
                <w:sz w:val="21"/>
                <w:szCs w:val="21"/>
              </w:rPr>
            </w:pPr>
          </w:p>
        </w:tc>
        <w:tc>
          <w:tcPr>
            <w:tcW w:w="1299"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X</w:t>
            </w:r>
          </w:p>
        </w:tc>
        <w:tc>
          <w:tcPr>
            <w:tcW w:w="1167"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Y</w:t>
            </w:r>
          </w:p>
        </w:tc>
        <w:tc>
          <w:tcPr>
            <w:tcW w:w="1512"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966"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219"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115"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975"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154"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738"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2570" w:type="dxa"/>
            <w:gridSpan w:val="2"/>
            <w:vMerge w:val="continue"/>
            <w:vAlign w:val="center"/>
          </w:tcPr>
          <w:p>
            <w:pPr>
              <w:pStyle w:val="19"/>
              <w:widowControl/>
              <w:spacing w:beforeAutospacing="0" w:afterAutospacing="0" w:line="240" w:lineRule="auto"/>
              <w:ind w:firstLine="0" w:firstLineChars="0"/>
              <w:jc w:val="center"/>
              <w:rPr>
                <w:rFonts w:hint="eastAsia" w:eastAsia="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1</w:t>
            </w:r>
          </w:p>
        </w:tc>
        <w:tc>
          <w:tcPr>
            <w:tcW w:w="1085"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lang w:eastAsia="zh-CN"/>
              </w:rPr>
              <w:t>粉碎粉尘</w:t>
            </w:r>
            <w:r>
              <w:rPr>
                <w:rFonts w:hint="eastAsia"/>
                <w:color w:val="000000"/>
                <w:sz w:val="21"/>
                <w:szCs w:val="21"/>
              </w:rPr>
              <w:t>排气筒</w:t>
            </w:r>
          </w:p>
        </w:tc>
        <w:tc>
          <w:tcPr>
            <w:tcW w:w="1299" w:type="dxa"/>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default" w:eastAsia="宋体"/>
                <w:color w:val="000000"/>
                <w:sz w:val="21"/>
                <w:szCs w:val="21"/>
                <w:lang w:val="en-US" w:eastAsia="zh-CN"/>
              </w:rPr>
              <w:t>113.476975</w:t>
            </w:r>
          </w:p>
        </w:tc>
        <w:tc>
          <w:tcPr>
            <w:tcW w:w="1167" w:type="dxa"/>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default" w:eastAsia="宋体"/>
                <w:color w:val="000000"/>
                <w:sz w:val="21"/>
                <w:szCs w:val="21"/>
                <w:lang w:val="en-US" w:eastAsia="zh-CN"/>
              </w:rPr>
              <w:t>33.585105</w:t>
            </w:r>
          </w:p>
        </w:tc>
        <w:tc>
          <w:tcPr>
            <w:tcW w:w="1512" w:type="dxa"/>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83</w:t>
            </w:r>
          </w:p>
        </w:tc>
        <w:tc>
          <w:tcPr>
            <w:tcW w:w="966"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15</w:t>
            </w:r>
          </w:p>
        </w:tc>
        <w:tc>
          <w:tcPr>
            <w:tcW w:w="1219"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0.3</w:t>
            </w:r>
          </w:p>
        </w:tc>
        <w:tc>
          <w:tcPr>
            <w:tcW w:w="1115" w:type="dxa"/>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default" w:eastAsia="宋体"/>
                <w:color w:val="000000"/>
                <w:sz w:val="21"/>
                <w:szCs w:val="21"/>
                <w:lang w:val="en-US" w:eastAsia="zh-CN"/>
              </w:rPr>
              <w:t>53.68</w:t>
            </w:r>
          </w:p>
        </w:tc>
        <w:tc>
          <w:tcPr>
            <w:tcW w:w="975"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25</w:t>
            </w:r>
          </w:p>
        </w:tc>
        <w:tc>
          <w:tcPr>
            <w:tcW w:w="1154" w:type="dxa"/>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2400</w:t>
            </w:r>
          </w:p>
        </w:tc>
        <w:tc>
          <w:tcPr>
            <w:tcW w:w="738"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连续</w:t>
            </w:r>
          </w:p>
        </w:tc>
        <w:tc>
          <w:tcPr>
            <w:tcW w:w="1316" w:type="dxa"/>
            <w:vAlign w:val="center"/>
          </w:tcPr>
          <w:p>
            <w:pPr>
              <w:pStyle w:val="30"/>
              <w:ind w:firstLine="0" w:firstLineChars="0"/>
              <w:rPr>
                <w:rFonts w:hint="default" w:eastAsia="宋体"/>
                <w:sz w:val="21"/>
                <w:szCs w:val="21"/>
                <w:lang w:val="en-US" w:eastAsia="zh-CN"/>
              </w:rPr>
            </w:pPr>
            <w:r>
              <w:rPr>
                <w:rFonts w:hint="eastAsia"/>
                <w:sz w:val="21"/>
                <w:szCs w:val="21"/>
                <w:lang w:eastAsia="zh-CN"/>
              </w:rPr>
              <w:t>颗粒物</w:t>
            </w:r>
          </w:p>
        </w:tc>
        <w:tc>
          <w:tcPr>
            <w:tcW w:w="1254" w:type="dxa"/>
            <w:vAlign w:val="center"/>
          </w:tcPr>
          <w:p>
            <w:pPr>
              <w:pStyle w:val="30"/>
              <w:ind w:firstLine="0" w:firstLineChars="0"/>
              <w:rPr>
                <w:rFonts w:hint="default"/>
                <w:sz w:val="21"/>
                <w:szCs w:val="21"/>
                <w:lang w:val="en-US" w:eastAsia="zh-CN"/>
              </w:rPr>
            </w:pPr>
            <w:r>
              <w:rPr>
                <w:rFonts w:hint="eastAsia"/>
                <w:sz w:val="21"/>
                <w:szCs w:val="21"/>
                <w:lang w:val="en-US" w:eastAsia="zh-CN"/>
              </w:rPr>
              <w:t>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20"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2</w:t>
            </w:r>
          </w:p>
        </w:tc>
        <w:tc>
          <w:tcPr>
            <w:tcW w:w="1085"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eastAsia="zh-CN"/>
              </w:rPr>
            </w:pPr>
            <w:r>
              <w:rPr>
                <w:rFonts w:hint="eastAsia"/>
                <w:color w:val="000000"/>
                <w:sz w:val="21"/>
                <w:szCs w:val="21"/>
                <w:lang w:eastAsia="zh-CN"/>
              </w:rPr>
              <w:t>造粒废气排气筒</w:t>
            </w:r>
          </w:p>
        </w:tc>
        <w:tc>
          <w:tcPr>
            <w:tcW w:w="1299"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113.477713</w:t>
            </w:r>
          </w:p>
        </w:tc>
        <w:tc>
          <w:tcPr>
            <w:tcW w:w="1167"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33.585929</w:t>
            </w:r>
          </w:p>
        </w:tc>
        <w:tc>
          <w:tcPr>
            <w:tcW w:w="1512"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83</w:t>
            </w:r>
          </w:p>
        </w:tc>
        <w:tc>
          <w:tcPr>
            <w:tcW w:w="966"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15</w:t>
            </w:r>
          </w:p>
        </w:tc>
        <w:tc>
          <w:tcPr>
            <w:tcW w:w="1219"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rPr>
              <w:t>0.3</w:t>
            </w:r>
          </w:p>
        </w:tc>
        <w:tc>
          <w:tcPr>
            <w:tcW w:w="1115"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color w:val="000000"/>
                <w:sz w:val="21"/>
                <w:szCs w:val="21"/>
                <w:lang w:val="en-US" w:eastAsia="zh-CN"/>
              </w:rPr>
            </w:pPr>
            <w:r>
              <w:rPr>
                <w:rFonts w:hint="eastAsia"/>
                <w:color w:val="000000"/>
                <w:sz w:val="21"/>
                <w:szCs w:val="21"/>
                <w:lang w:val="en-US" w:eastAsia="zh-CN"/>
              </w:rPr>
              <w:t>53.68</w:t>
            </w:r>
          </w:p>
        </w:tc>
        <w:tc>
          <w:tcPr>
            <w:tcW w:w="975" w:type="dxa"/>
            <w:vMerge w:val="restart"/>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25</w:t>
            </w:r>
          </w:p>
        </w:tc>
        <w:tc>
          <w:tcPr>
            <w:tcW w:w="1154" w:type="dxa"/>
            <w:vMerge w:val="restart"/>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r>
              <w:rPr>
                <w:rFonts w:hint="eastAsia"/>
                <w:color w:val="000000"/>
                <w:sz w:val="21"/>
                <w:szCs w:val="21"/>
                <w:lang w:val="en-US" w:eastAsia="zh-CN"/>
              </w:rPr>
              <w:t>2400</w:t>
            </w:r>
          </w:p>
        </w:tc>
        <w:tc>
          <w:tcPr>
            <w:tcW w:w="738"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eastAsia="zh-CN"/>
              </w:rPr>
            </w:pPr>
            <w:r>
              <w:rPr>
                <w:rFonts w:hint="eastAsia"/>
                <w:color w:val="000000"/>
                <w:sz w:val="21"/>
                <w:szCs w:val="21"/>
                <w:lang w:eastAsia="zh-CN"/>
              </w:rPr>
              <w:t>连续</w:t>
            </w:r>
          </w:p>
        </w:tc>
        <w:tc>
          <w:tcPr>
            <w:tcW w:w="1316" w:type="dxa"/>
            <w:vAlign w:val="center"/>
          </w:tcPr>
          <w:p>
            <w:pPr>
              <w:pStyle w:val="30"/>
              <w:ind w:firstLine="0" w:firstLineChars="0"/>
              <w:rPr>
                <w:rFonts w:hint="default" w:eastAsia="宋体"/>
                <w:sz w:val="21"/>
                <w:szCs w:val="21"/>
                <w:lang w:val="en-US" w:eastAsia="zh-CN"/>
              </w:rPr>
            </w:pPr>
            <w:r>
              <w:rPr>
                <w:rFonts w:hint="eastAsia"/>
                <w:sz w:val="21"/>
                <w:szCs w:val="21"/>
                <w:u w:val="single"/>
                <w:lang w:eastAsia="zh-CN"/>
              </w:rPr>
              <w:t>非甲烷总烃</w:t>
            </w:r>
          </w:p>
        </w:tc>
        <w:tc>
          <w:tcPr>
            <w:tcW w:w="1254" w:type="dxa"/>
            <w:vAlign w:val="center"/>
          </w:tcPr>
          <w:p>
            <w:pPr>
              <w:pStyle w:val="30"/>
              <w:ind w:firstLine="0" w:firstLineChars="0"/>
              <w:rPr>
                <w:rFonts w:hint="default"/>
                <w:sz w:val="21"/>
                <w:szCs w:val="21"/>
                <w:lang w:val="en-US" w:eastAsia="zh-CN"/>
              </w:rPr>
            </w:pPr>
            <w:r>
              <w:rPr>
                <w:rFonts w:hint="eastAsia"/>
                <w:sz w:val="21"/>
                <w:szCs w:val="21"/>
                <w:u w:val="single"/>
                <w:lang w:val="en-US" w:eastAsia="zh-CN"/>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20"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299"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167"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512"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966"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219"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1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975"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1154"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738"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316" w:type="dxa"/>
            <w:vAlign w:val="center"/>
          </w:tcPr>
          <w:p>
            <w:pPr>
              <w:pStyle w:val="30"/>
              <w:ind w:firstLine="0" w:firstLineChars="0"/>
              <w:rPr>
                <w:rFonts w:hint="eastAsia"/>
                <w:sz w:val="21"/>
                <w:szCs w:val="21"/>
                <w:lang w:val="en-US" w:eastAsia="zh-CN"/>
              </w:rPr>
            </w:pPr>
            <w:r>
              <w:rPr>
                <w:rFonts w:hint="eastAsia"/>
                <w:sz w:val="21"/>
                <w:szCs w:val="21"/>
                <w:u w:val="single"/>
                <w:lang w:eastAsia="zh-CN"/>
              </w:rPr>
              <w:t>苯乙烯</w:t>
            </w:r>
          </w:p>
        </w:tc>
        <w:tc>
          <w:tcPr>
            <w:tcW w:w="1254" w:type="dxa"/>
            <w:vAlign w:val="center"/>
          </w:tcPr>
          <w:p>
            <w:pPr>
              <w:pStyle w:val="30"/>
              <w:ind w:firstLine="0" w:firstLineChars="0"/>
              <w:rPr>
                <w:rFonts w:hint="eastAsia"/>
                <w:sz w:val="21"/>
                <w:szCs w:val="21"/>
                <w:lang w:val="en-US" w:eastAsia="zh-CN"/>
              </w:rPr>
            </w:pPr>
            <w:r>
              <w:rPr>
                <w:rFonts w:hint="eastAsia"/>
                <w:sz w:val="21"/>
                <w:szCs w:val="21"/>
                <w:u w:val="single"/>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20"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299"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167"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512"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966"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219"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1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975"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1154"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738"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316" w:type="dxa"/>
            <w:vAlign w:val="center"/>
          </w:tcPr>
          <w:p>
            <w:pPr>
              <w:pStyle w:val="30"/>
              <w:ind w:firstLine="0" w:firstLineChars="0"/>
              <w:rPr>
                <w:rFonts w:hint="eastAsia"/>
                <w:sz w:val="21"/>
                <w:szCs w:val="21"/>
                <w:u w:val="single"/>
                <w:lang w:eastAsia="zh-CN"/>
              </w:rPr>
            </w:pPr>
            <w:r>
              <w:rPr>
                <w:rFonts w:hint="eastAsia"/>
                <w:sz w:val="21"/>
                <w:szCs w:val="21"/>
                <w:u w:val="single"/>
                <w:lang w:eastAsia="zh-CN"/>
              </w:rPr>
              <w:t>颗粒物</w:t>
            </w:r>
          </w:p>
        </w:tc>
        <w:tc>
          <w:tcPr>
            <w:tcW w:w="1254" w:type="dxa"/>
            <w:vAlign w:val="center"/>
          </w:tcPr>
          <w:p>
            <w:pPr>
              <w:pStyle w:val="30"/>
              <w:ind w:firstLine="0" w:firstLineChars="0"/>
              <w:rPr>
                <w:rFonts w:hint="eastAsia"/>
                <w:sz w:val="21"/>
                <w:szCs w:val="21"/>
                <w:u w:val="single"/>
                <w:lang w:val="en-US" w:eastAsia="zh-CN"/>
              </w:rPr>
            </w:pPr>
            <w:r>
              <w:rPr>
                <w:rFonts w:hint="eastAsia"/>
                <w:sz w:val="21"/>
                <w:szCs w:val="21"/>
                <w:u w:val="single"/>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20"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3</w:t>
            </w:r>
          </w:p>
        </w:tc>
        <w:tc>
          <w:tcPr>
            <w:tcW w:w="1085"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eastAsia="zh-CN"/>
              </w:rPr>
            </w:pPr>
            <w:r>
              <w:rPr>
                <w:rFonts w:hint="eastAsia"/>
                <w:color w:val="000000"/>
                <w:sz w:val="21"/>
                <w:szCs w:val="21"/>
                <w:lang w:eastAsia="zh-CN"/>
              </w:rPr>
              <w:t>注塑废气排气筒</w:t>
            </w:r>
          </w:p>
        </w:tc>
        <w:tc>
          <w:tcPr>
            <w:tcW w:w="1299"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113.477027</w:t>
            </w:r>
          </w:p>
        </w:tc>
        <w:tc>
          <w:tcPr>
            <w:tcW w:w="1167"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33.585552</w:t>
            </w:r>
          </w:p>
        </w:tc>
        <w:tc>
          <w:tcPr>
            <w:tcW w:w="1512" w:type="dxa"/>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82</w:t>
            </w:r>
          </w:p>
        </w:tc>
        <w:tc>
          <w:tcPr>
            <w:tcW w:w="966"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15</w:t>
            </w:r>
          </w:p>
        </w:tc>
        <w:tc>
          <w:tcPr>
            <w:tcW w:w="1219"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eastAsia="宋体"/>
                <w:color w:val="000000"/>
                <w:sz w:val="21"/>
                <w:szCs w:val="21"/>
                <w:lang w:eastAsia="zh-CN"/>
              </w:rPr>
            </w:pPr>
            <w:r>
              <w:rPr>
                <w:rFonts w:hint="eastAsia"/>
                <w:color w:val="000000"/>
                <w:sz w:val="21"/>
                <w:szCs w:val="21"/>
              </w:rPr>
              <w:t>0.</w:t>
            </w:r>
            <w:r>
              <w:rPr>
                <w:rFonts w:hint="eastAsia"/>
                <w:color w:val="000000"/>
                <w:sz w:val="21"/>
                <w:szCs w:val="21"/>
                <w:lang w:val="en-US" w:eastAsia="zh-CN"/>
              </w:rPr>
              <w:t>6</w:t>
            </w:r>
          </w:p>
        </w:tc>
        <w:tc>
          <w:tcPr>
            <w:tcW w:w="1115"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64.34</w:t>
            </w:r>
          </w:p>
        </w:tc>
        <w:tc>
          <w:tcPr>
            <w:tcW w:w="975" w:type="dxa"/>
            <w:vMerge w:val="restart"/>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25</w:t>
            </w:r>
          </w:p>
        </w:tc>
        <w:tc>
          <w:tcPr>
            <w:tcW w:w="1154" w:type="dxa"/>
            <w:vMerge w:val="restart"/>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r>
              <w:rPr>
                <w:rFonts w:hint="eastAsia"/>
                <w:color w:val="000000"/>
                <w:sz w:val="21"/>
                <w:szCs w:val="21"/>
                <w:lang w:val="en-US" w:eastAsia="zh-CN"/>
              </w:rPr>
              <w:t>2400</w:t>
            </w:r>
          </w:p>
        </w:tc>
        <w:tc>
          <w:tcPr>
            <w:tcW w:w="738"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eastAsia="zh-CN"/>
              </w:rPr>
              <w:t>连续</w:t>
            </w:r>
          </w:p>
        </w:tc>
        <w:tc>
          <w:tcPr>
            <w:tcW w:w="1316" w:type="dxa"/>
            <w:vAlign w:val="center"/>
          </w:tcPr>
          <w:p>
            <w:pPr>
              <w:pStyle w:val="30"/>
              <w:ind w:firstLine="0" w:firstLineChars="0"/>
              <w:rPr>
                <w:rFonts w:hint="default" w:eastAsia="宋体"/>
                <w:sz w:val="21"/>
                <w:szCs w:val="21"/>
                <w:lang w:val="en-US" w:eastAsia="zh-CN"/>
              </w:rPr>
            </w:pPr>
            <w:r>
              <w:rPr>
                <w:rFonts w:hint="eastAsia"/>
                <w:sz w:val="21"/>
                <w:szCs w:val="21"/>
                <w:u w:val="single"/>
                <w:lang w:eastAsia="zh-CN"/>
              </w:rPr>
              <w:t>非甲烷总烃</w:t>
            </w:r>
          </w:p>
        </w:tc>
        <w:tc>
          <w:tcPr>
            <w:tcW w:w="1254" w:type="dxa"/>
            <w:vAlign w:val="center"/>
          </w:tcPr>
          <w:p>
            <w:pPr>
              <w:pStyle w:val="30"/>
              <w:ind w:firstLine="0" w:firstLineChars="0"/>
              <w:rPr>
                <w:rFonts w:hint="default"/>
                <w:sz w:val="21"/>
                <w:szCs w:val="21"/>
                <w:lang w:val="en-US" w:eastAsia="zh-CN"/>
              </w:rPr>
            </w:pPr>
            <w:r>
              <w:rPr>
                <w:rFonts w:hint="eastAsia"/>
                <w:sz w:val="21"/>
                <w:szCs w:val="21"/>
                <w:u w:val="single"/>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20"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299"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167"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512"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966"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219"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1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975"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1154"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738"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316" w:type="dxa"/>
            <w:vAlign w:val="center"/>
          </w:tcPr>
          <w:p>
            <w:pPr>
              <w:pStyle w:val="30"/>
              <w:ind w:firstLine="0" w:firstLineChars="0"/>
              <w:rPr>
                <w:rFonts w:hint="eastAsia"/>
                <w:sz w:val="21"/>
                <w:szCs w:val="21"/>
                <w:lang w:val="en-US" w:eastAsia="zh-CN"/>
              </w:rPr>
            </w:pPr>
            <w:r>
              <w:rPr>
                <w:rFonts w:hint="eastAsia"/>
                <w:sz w:val="21"/>
                <w:szCs w:val="21"/>
                <w:u w:val="single"/>
                <w:lang w:eastAsia="zh-CN"/>
              </w:rPr>
              <w:t>苯乙烯</w:t>
            </w:r>
          </w:p>
        </w:tc>
        <w:tc>
          <w:tcPr>
            <w:tcW w:w="1254" w:type="dxa"/>
            <w:vAlign w:val="center"/>
          </w:tcPr>
          <w:p>
            <w:pPr>
              <w:pStyle w:val="30"/>
              <w:ind w:firstLine="0" w:firstLineChars="0"/>
              <w:rPr>
                <w:rFonts w:hint="eastAsia"/>
                <w:sz w:val="21"/>
                <w:szCs w:val="21"/>
                <w:lang w:val="en-US" w:eastAsia="zh-CN"/>
              </w:rPr>
            </w:pPr>
            <w:r>
              <w:rPr>
                <w:rFonts w:hint="eastAsia"/>
                <w:sz w:val="21"/>
                <w:szCs w:val="21"/>
                <w:u w:val="singl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20" w:type="dxa"/>
            <w:vMerge w:val="restart"/>
            <w:vAlign w:val="center"/>
          </w:tcPr>
          <w:p>
            <w:pPr>
              <w:pStyle w:val="19"/>
              <w:widowControl/>
              <w:spacing w:beforeAutospacing="0" w:afterAutospacing="0" w:line="240" w:lineRule="auto"/>
              <w:ind w:firstLine="0" w:firstLineChars="0"/>
              <w:jc w:val="center"/>
              <w:rPr>
                <w:rFonts w:hint="default"/>
                <w:color w:val="000000"/>
                <w:sz w:val="21"/>
                <w:szCs w:val="21"/>
                <w:lang w:val="en-US" w:eastAsia="zh-CN"/>
              </w:rPr>
            </w:pPr>
            <w:r>
              <w:rPr>
                <w:rFonts w:hint="eastAsia"/>
                <w:color w:val="000000"/>
                <w:sz w:val="21"/>
                <w:szCs w:val="21"/>
                <w:lang w:val="en-US" w:eastAsia="zh-CN"/>
              </w:rPr>
              <w:t>4</w:t>
            </w:r>
          </w:p>
        </w:tc>
        <w:tc>
          <w:tcPr>
            <w:tcW w:w="1085" w:type="dxa"/>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污水处理站排气筒</w:t>
            </w:r>
          </w:p>
        </w:tc>
        <w:tc>
          <w:tcPr>
            <w:tcW w:w="1299" w:type="dxa"/>
            <w:vMerge w:val="restart"/>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113.477297</w:t>
            </w:r>
          </w:p>
        </w:tc>
        <w:tc>
          <w:tcPr>
            <w:tcW w:w="1167" w:type="dxa"/>
            <w:vMerge w:val="restart"/>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33.585103</w:t>
            </w:r>
          </w:p>
        </w:tc>
        <w:tc>
          <w:tcPr>
            <w:tcW w:w="1512" w:type="dxa"/>
            <w:vMerge w:val="restart"/>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r>
              <w:rPr>
                <w:rFonts w:hint="eastAsia"/>
                <w:color w:val="000000"/>
                <w:sz w:val="21"/>
                <w:szCs w:val="21"/>
                <w:lang w:val="en-US" w:eastAsia="zh-CN"/>
              </w:rPr>
              <w:t>82</w:t>
            </w:r>
          </w:p>
        </w:tc>
        <w:tc>
          <w:tcPr>
            <w:tcW w:w="966" w:type="dxa"/>
            <w:vMerge w:val="restart"/>
            <w:vAlign w:val="center"/>
          </w:tcPr>
          <w:p>
            <w:pPr>
              <w:pStyle w:val="19"/>
              <w:widowControl/>
              <w:spacing w:beforeAutospacing="0" w:afterAutospacing="0" w:line="240" w:lineRule="auto"/>
              <w:ind w:left="0" w:leftChars="0" w:right="0" w:rightChars="0" w:firstLine="0" w:firstLineChars="0"/>
              <w:jc w:val="center"/>
              <w:rPr>
                <w:rFonts w:hint="default"/>
                <w:color w:val="000000"/>
                <w:sz w:val="21"/>
                <w:szCs w:val="21"/>
                <w:lang w:val="en-US" w:eastAsia="zh-CN"/>
              </w:rPr>
            </w:pPr>
            <w:r>
              <w:rPr>
                <w:rFonts w:hint="eastAsia"/>
                <w:color w:val="000000"/>
                <w:sz w:val="21"/>
                <w:szCs w:val="21"/>
                <w:lang w:val="en-US" w:eastAsia="zh-CN"/>
              </w:rPr>
              <w:t>15</w:t>
            </w:r>
          </w:p>
        </w:tc>
        <w:tc>
          <w:tcPr>
            <w:tcW w:w="1219" w:type="dxa"/>
            <w:vMerge w:val="restart"/>
            <w:vAlign w:val="center"/>
          </w:tcPr>
          <w:p>
            <w:pPr>
              <w:pStyle w:val="19"/>
              <w:widowControl/>
              <w:spacing w:beforeAutospacing="0" w:afterAutospacing="0" w:line="240" w:lineRule="auto"/>
              <w:ind w:left="0" w:leftChars="0" w:right="0" w:rightChars="0" w:firstLine="0" w:firstLineChars="0"/>
              <w:jc w:val="center"/>
              <w:rPr>
                <w:rFonts w:hint="default" w:eastAsia="宋体"/>
                <w:color w:val="000000"/>
                <w:sz w:val="21"/>
                <w:szCs w:val="21"/>
                <w:lang w:val="en-US" w:eastAsia="zh-CN"/>
              </w:rPr>
            </w:pPr>
            <w:r>
              <w:rPr>
                <w:rFonts w:hint="eastAsia"/>
                <w:color w:val="000000"/>
                <w:sz w:val="21"/>
                <w:szCs w:val="21"/>
                <w:lang w:val="en-US" w:eastAsia="zh-CN"/>
              </w:rPr>
              <w:t>0.3</w:t>
            </w:r>
          </w:p>
        </w:tc>
        <w:tc>
          <w:tcPr>
            <w:tcW w:w="1115"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12.87</w:t>
            </w:r>
          </w:p>
        </w:tc>
        <w:tc>
          <w:tcPr>
            <w:tcW w:w="97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25</w:t>
            </w:r>
          </w:p>
        </w:tc>
        <w:tc>
          <w:tcPr>
            <w:tcW w:w="1154"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ascii="Times New Roman" w:hAnsi="Times New Roman"/>
                <w:color w:val="000000"/>
                <w:sz w:val="21"/>
                <w:szCs w:val="21"/>
                <w:lang w:val="en-US" w:eastAsia="zh-CN"/>
              </w:rPr>
            </w:pPr>
            <w:r>
              <w:rPr>
                <w:rFonts w:hint="eastAsia"/>
                <w:color w:val="000000"/>
                <w:sz w:val="21"/>
                <w:szCs w:val="21"/>
                <w:lang w:val="en-US" w:eastAsia="zh-CN"/>
              </w:rPr>
              <w:t>2400</w:t>
            </w:r>
          </w:p>
        </w:tc>
        <w:tc>
          <w:tcPr>
            <w:tcW w:w="738"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r>
              <w:rPr>
                <w:rFonts w:hint="eastAsia"/>
                <w:color w:val="000000"/>
                <w:sz w:val="21"/>
                <w:szCs w:val="21"/>
                <w:lang w:eastAsia="zh-CN"/>
              </w:rPr>
              <w:t>连续</w:t>
            </w:r>
          </w:p>
        </w:tc>
        <w:tc>
          <w:tcPr>
            <w:tcW w:w="1316"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氨</w:t>
            </w:r>
          </w:p>
        </w:tc>
        <w:tc>
          <w:tcPr>
            <w:tcW w:w="1254" w:type="dxa"/>
            <w:vAlign w:val="center"/>
          </w:tcPr>
          <w:p>
            <w:pPr>
              <w:pStyle w:val="30"/>
              <w:ind w:firstLine="0" w:firstLineChars="0"/>
              <w:rPr>
                <w:rFonts w:hint="eastAsia"/>
                <w:sz w:val="21"/>
                <w:szCs w:val="21"/>
                <w:lang w:val="en-US" w:eastAsia="zh-CN"/>
              </w:rPr>
            </w:pPr>
            <w:r>
              <w:rPr>
                <w:rFonts w:hint="eastAsia" w:cs="Times New Roman"/>
                <w:sz w:val="21"/>
                <w:szCs w:val="21"/>
                <w:u w:val="single"/>
                <w:lang w:val="en-US" w:eastAsia="zh-CN"/>
              </w:rPr>
              <w:t>7.21</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20"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299"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167"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512"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966"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219"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1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975"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1154"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738"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316"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硫化氢</w:t>
            </w:r>
          </w:p>
        </w:tc>
        <w:tc>
          <w:tcPr>
            <w:tcW w:w="1254" w:type="dxa"/>
            <w:vAlign w:val="center"/>
          </w:tcPr>
          <w:p>
            <w:pPr>
              <w:pStyle w:val="30"/>
              <w:ind w:firstLine="0" w:firstLineChars="0"/>
              <w:rPr>
                <w:rFonts w:hint="eastAsia"/>
                <w:sz w:val="21"/>
                <w:szCs w:val="21"/>
                <w:lang w:val="en-US" w:eastAsia="zh-CN"/>
              </w:rPr>
            </w:pPr>
            <w:r>
              <w:rPr>
                <w:rFonts w:hint="eastAsia" w:cs="Times New Roman"/>
                <w:sz w:val="21"/>
                <w:szCs w:val="21"/>
                <w:u w:val="single"/>
                <w:lang w:val="en-US" w:eastAsia="zh-CN"/>
              </w:rPr>
              <w:t>2.78</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20"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eastAsia="zh-CN"/>
              </w:rPr>
            </w:pPr>
          </w:p>
        </w:tc>
        <w:tc>
          <w:tcPr>
            <w:tcW w:w="1299"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167"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1512" w:type="dxa"/>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966"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219"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15"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975"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1154" w:type="dxa"/>
            <w:vMerge w:val="continue"/>
            <w:vAlign w:val="center"/>
          </w:tcPr>
          <w:p>
            <w:pPr>
              <w:pStyle w:val="19"/>
              <w:widowControl/>
              <w:spacing w:beforeAutospacing="0" w:afterAutospacing="0" w:line="240" w:lineRule="auto"/>
              <w:ind w:firstLine="0" w:firstLineChars="0"/>
              <w:jc w:val="center"/>
              <w:rPr>
                <w:rFonts w:hint="eastAsia" w:ascii="Times New Roman" w:hAnsi="Times New Roman"/>
                <w:color w:val="000000"/>
                <w:sz w:val="21"/>
                <w:szCs w:val="21"/>
                <w:lang w:val="en-US" w:eastAsia="zh-CN"/>
              </w:rPr>
            </w:pPr>
          </w:p>
        </w:tc>
        <w:tc>
          <w:tcPr>
            <w:tcW w:w="738"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316"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非甲烷总烃</w:t>
            </w:r>
          </w:p>
        </w:tc>
        <w:tc>
          <w:tcPr>
            <w:tcW w:w="1254" w:type="dxa"/>
            <w:vAlign w:val="center"/>
          </w:tcPr>
          <w:p>
            <w:pPr>
              <w:pStyle w:val="30"/>
              <w:ind w:firstLine="0" w:firstLineChars="0"/>
              <w:rPr>
                <w:rFonts w:hint="eastAsia"/>
                <w:sz w:val="21"/>
                <w:szCs w:val="21"/>
                <w:lang w:val="en-US" w:eastAsia="zh-CN"/>
              </w:rPr>
            </w:pPr>
            <w:r>
              <w:rPr>
                <w:rFonts w:hint="eastAsia" w:cs="Times New Roman"/>
                <w:sz w:val="21"/>
                <w:szCs w:val="21"/>
                <w:u w:val="single"/>
                <w:lang w:val="en-US" w:eastAsia="zh-CN"/>
              </w:rPr>
              <w:t>2.81</w:t>
            </w:r>
            <w:r>
              <w:rPr>
                <w:rFonts w:cs="Times New Roman"/>
                <w:sz w:val="21"/>
                <w:szCs w:val="21"/>
                <w:u w:val="single"/>
              </w:rPr>
              <w:t>×10</w:t>
            </w:r>
            <w:r>
              <w:rPr>
                <w:rFonts w:cs="Times New Roman"/>
                <w:sz w:val="21"/>
                <w:szCs w:val="21"/>
                <w:u w:val="single"/>
                <w:vertAlign w:val="superscript"/>
              </w:rPr>
              <w:t>-3</w:t>
            </w:r>
          </w:p>
        </w:tc>
      </w:tr>
    </w:tbl>
    <w:p>
      <w:pPr>
        <w:pStyle w:val="19"/>
        <w:widowControl/>
        <w:spacing w:beforeAutospacing="0" w:afterAutospacing="0"/>
        <w:ind w:firstLine="482"/>
        <w:jc w:val="center"/>
        <w:rPr>
          <w:rFonts w:cs="宋体"/>
          <w:b/>
          <w:bCs/>
          <w:color w:val="000000"/>
          <w:szCs w:val="24"/>
          <w:lang w:bidi="ar"/>
        </w:rPr>
      </w:pPr>
      <w:r>
        <w:rPr>
          <w:rFonts w:cs="宋体"/>
          <w:b/>
          <w:bCs/>
          <w:color w:val="000000"/>
          <w:szCs w:val="24"/>
          <w:lang w:bidi="ar"/>
        </w:rPr>
        <w:t>6.2-</w:t>
      </w:r>
      <w:r>
        <w:rPr>
          <w:rFonts w:hint="eastAsia" w:cs="宋体"/>
          <w:b/>
          <w:bCs/>
          <w:color w:val="000000"/>
          <w:szCs w:val="24"/>
          <w:lang w:val="en-US" w:eastAsia="zh-CN" w:bidi="ar"/>
        </w:rPr>
        <w:t>10</w:t>
      </w:r>
      <w:r>
        <w:rPr>
          <w:rFonts w:cs="宋体"/>
          <w:b/>
          <w:bCs/>
          <w:color w:val="000000"/>
          <w:szCs w:val="24"/>
          <w:lang w:bidi="ar"/>
        </w:rPr>
        <w:t xml:space="preserve"> </w:t>
      </w:r>
      <w:r>
        <w:rPr>
          <w:rFonts w:hint="eastAsia" w:cs="宋体"/>
          <w:b/>
          <w:bCs/>
          <w:color w:val="000000"/>
          <w:szCs w:val="24"/>
          <w:lang w:bidi="ar"/>
        </w:rPr>
        <w:t xml:space="preserve"> 正常工况下无组织废气污染源强参数表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084"/>
        <w:gridCol w:w="1283"/>
        <w:gridCol w:w="1203"/>
        <w:gridCol w:w="1101"/>
        <w:gridCol w:w="939"/>
        <w:gridCol w:w="922"/>
        <w:gridCol w:w="1112"/>
        <w:gridCol w:w="1291"/>
        <w:gridCol w:w="1047"/>
        <w:gridCol w:w="1101"/>
        <w:gridCol w:w="1394"/>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编号</w:t>
            </w:r>
          </w:p>
        </w:tc>
        <w:tc>
          <w:tcPr>
            <w:tcW w:w="381"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名称</w:t>
            </w:r>
          </w:p>
        </w:tc>
        <w:tc>
          <w:tcPr>
            <w:tcW w:w="874" w:type="pct"/>
            <w:gridSpan w:val="2"/>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面源起点坐标</w:t>
            </w:r>
            <w:r>
              <w:rPr>
                <w:rFonts w:cs="TimesNewRomanPS-BoldMT"/>
                <w:color w:val="000000"/>
                <w:sz w:val="21"/>
                <w:szCs w:val="21"/>
              </w:rPr>
              <w:t>/</w:t>
            </w:r>
            <w:r>
              <w:rPr>
                <w:rFonts w:hint="eastAsia" w:cs="TimesNewRomanPS-BoldMT"/>
                <w:color w:val="000000"/>
                <w:sz w:val="21"/>
                <w:szCs w:val="21"/>
              </w:rPr>
              <w:t>°</w:t>
            </w:r>
          </w:p>
        </w:tc>
        <w:tc>
          <w:tcPr>
            <w:tcW w:w="387"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面源海拔高度/m</w:t>
            </w:r>
          </w:p>
        </w:tc>
        <w:tc>
          <w:tcPr>
            <w:tcW w:w="330"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面源长度/m</w:t>
            </w:r>
          </w:p>
        </w:tc>
        <w:tc>
          <w:tcPr>
            <w:tcW w:w="324"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面源宽度/m</w:t>
            </w:r>
          </w:p>
        </w:tc>
        <w:tc>
          <w:tcPr>
            <w:tcW w:w="391"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与正北向夹角/°</w:t>
            </w:r>
          </w:p>
        </w:tc>
        <w:tc>
          <w:tcPr>
            <w:tcW w:w="454"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面源有效排放高度/m</w:t>
            </w:r>
          </w:p>
        </w:tc>
        <w:tc>
          <w:tcPr>
            <w:tcW w:w="368"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年排放小时数/h</w:t>
            </w:r>
          </w:p>
        </w:tc>
        <w:tc>
          <w:tcPr>
            <w:tcW w:w="387" w:type="pct"/>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排放工况</w:t>
            </w:r>
          </w:p>
        </w:tc>
        <w:tc>
          <w:tcPr>
            <w:tcW w:w="870" w:type="pct"/>
            <w:gridSpan w:val="2"/>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污染物排放速率/</w:t>
            </w:r>
            <w:r>
              <w:rPr>
                <w:rFonts w:cs="TimesNewRomanPS-BoldMT"/>
                <w:color w:val="000000"/>
                <w:sz w:val="21"/>
                <w:szCs w:val="21"/>
                <w:lang w:val="en-US" w:bidi="ar"/>
              </w:rPr>
              <w:t>(</w:t>
            </w:r>
            <w:r>
              <w:rPr>
                <w:rFonts w:hint="eastAsia"/>
                <w:sz w:val="21"/>
                <w:szCs w:val="21"/>
                <w:lang w:val="en-US" w:eastAsia="zh-CN"/>
              </w:rPr>
              <w:t>kg/h</w:t>
            </w:r>
            <w:r>
              <w:rPr>
                <w:rFonts w:cs="TimesNewRomanPS-BoldMT"/>
                <w:color w:val="000000"/>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81"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451" w:type="pc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X</w:t>
            </w:r>
          </w:p>
        </w:tc>
        <w:tc>
          <w:tcPr>
            <w:tcW w:w="422" w:type="pc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Y</w:t>
            </w:r>
          </w:p>
        </w:tc>
        <w:tc>
          <w:tcPr>
            <w:tcW w:w="387"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30"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24"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91"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454"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68"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87" w:type="pct"/>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870" w:type="pct"/>
            <w:gridSpan w:val="2"/>
            <w:vMerge w:val="continue"/>
            <w:vAlign w:val="center"/>
          </w:tcPr>
          <w:p>
            <w:pPr>
              <w:pStyle w:val="19"/>
              <w:widowControl/>
              <w:spacing w:beforeAutospacing="0" w:afterAutospacing="0" w:line="240" w:lineRule="auto"/>
              <w:ind w:firstLine="0" w:firstLineChars="0"/>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1</w:t>
            </w:r>
          </w:p>
        </w:tc>
        <w:tc>
          <w:tcPr>
            <w:tcW w:w="381" w:type="pct"/>
            <w:vAlign w:val="center"/>
          </w:tcPr>
          <w:p>
            <w:pPr>
              <w:adjustRightInd w:val="0"/>
              <w:snapToGrid w:val="0"/>
              <w:spacing w:line="240" w:lineRule="auto"/>
              <w:ind w:firstLine="0" w:firstLineChars="0"/>
              <w:jc w:val="center"/>
              <w:rPr>
                <w:color w:val="000000"/>
                <w:sz w:val="21"/>
                <w:szCs w:val="21"/>
              </w:rPr>
            </w:pPr>
            <w:r>
              <w:rPr>
                <w:rFonts w:hint="eastAsia" w:cs="Times New Roman"/>
                <w:snapToGrid w:val="0"/>
                <w:kern w:val="18"/>
                <w:sz w:val="21"/>
                <w:szCs w:val="21"/>
                <w:lang w:eastAsia="zh-CN"/>
              </w:rPr>
              <w:t>破碎车间</w:t>
            </w:r>
          </w:p>
        </w:tc>
        <w:tc>
          <w:tcPr>
            <w:tcW w:w="451" w:type="pct"/>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113.</w:t>
            </w:r>
            <w:r>
              <w:rPr>
                <w:rFonts w:hint="eastAsia"/>
                <w:color w:val="000000"/>
                <w:sz w:val="21"/>
                <w:szCs w:val="21"/>
                <w:lang w:val="en-US" w:eastAsia="zh-CN"/>
              </w:rPr>
              <w:t>477038</w:t>
            </w:r>
          </w:p>
        </w:tc>
        <w:tc>
          <w:tcPr>
            <w:tcW w:w="422" w:type="pct"/>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33.</w:t>
            </w:r>
            <w:r>
              <w:rPr>
                <w:rFonts w:hint="eastAsia"/>
                <w:color w:val="000000"/>
                <w:sz w:val="21"/>
                <w:szCs w:val="21"/>
                <w:lang w:val="en-US" w:eastAsia="zh-CN"/>
              </w:rPr>
              <w:t>585125</w:t>
            </w:r>
          </w:p>
        </w:tc>
        <w:tc>
          <w:tcPr>
            <w:tcW w:w="387" w:type="pct"/>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lang w:val="en-US" w:eastAsia="zh-CN"/>
              </w:rPr>
              <w:t>83</w:t>
            </w:r>
          </w:p>
        </w:tc>
        <w:tc>
          <w:tcPr>
            <w:tcW w:w="330" w:type="pct"/>
            <w:vAlign w:val="center"/>
          </w:tcPr>
          <w:p>
            <w:pPr>
              <w:widowControl/>
              <w:adjustRightInd w:val="0"/>
              <w:snapToGrid w:val="0"/>
              <w:spacing w:line="240" w:lineRule="auto"/>
              <w:ind w:firstLine="0" w:firstLineChars="0"/>
              <w:jc w:val="center"/>
              <w:rPr>
                <w:rFonts w:hint="default" w:eastAsia="宋体"/>
                <w:color w:val="000000"/>
                <w:sz w:val="21"/>
                <w:szCs w:val="21"/>
                <w:lang w:val="en-US" w:eastAsia="zh-CN"/>
              </w:rPr>
            </w:pPr>
            <w:r>
              <w:rPr>
                <w:rFonts w:hint="eastAsia" w:cs="Times New Roman"/>
                <w:kern w:val="0"/>
                <w:sz w:val="21"/>
                <w:szCs w:val="21"/>
                <w:lang w:val="en-US" w:eastAsia="zh-CN"/>
              </w:rPr>
              <w:t>90</w:t>
            </w:r>
          </w:p>
        </w:tc>
        <w:tc>
          <w:tcPr>
            <w:tcW w:w="324" w:type="pct"/>
            <w:vAlign w:val="center"/>
          </w:tcPr>
          <w:p>
            <w:pPr>
              <w:widowControl/>
              <w:adjustRightInd w:val="0"/>
              <w:snapToGrid w:val="0"/>
              <w:spacing w:line="240" w:lineRule="auto"/>
              <w:ind w:firstLine="0" w:firstLineChars="0"/>
              <w:jc w:val="center"/>
              <w:rPr>
                <w:rFonts w:hint="default" w:eastAsia="宋体"/>
                <w:color w:val="000000"/>
                <w:sz w:val="21"/>
                <w:szCs w:val="21"/>
                <w:lang w:val="en-US" w:eastAsia="zh-CN"/>
              </w:rPr>
            </w:pPr>
            <w:r>
              <w:rPr>
                <w:rFonts w:hint="eastAsia" w:cs="Times New Roman"/>
                <w:kern w:val="0"/>
                <w:sz w:val="21"/>
                <w:szCs w:val="21"/>
                <w:lang w:val="en-US" w:eastAsia="zh-CN"/>
              </w:rPr>
              <w:t>20</w:t>
            </w:r>
          </w:p>
        </w:tc>
        <w:tc>
          <w:tcPr>
            <w:tcW w:w="391" w:type="pc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0</w:t>
            </w:r>
          </w:p>
        </w:tc>
        <w:tc>
          <w:tcPr>
            <w:tcW w:w="454" w:type="pct"/>
            <w:vAlign w:val="center"/>
          </w:tcPr>
          <w:p>
            <w:pPr>
              <w:widowControl/>
              <w:adjustRightInd w:val="0"/>
              <w:snapToGrid w:val="0"/>
              <w:spacing w:line="240" w:lineRule="auto"/>
              <w:ind w:firstLine="0" w:firstLineChars="0"/>
              <w:jc w:val="center"/>
              <w:rPr>
                <w:rFonts w:hint="eastAsia" w:eastAsia="宋体"/>
                <w:color w:val="000000"/>
                <w:sz w:val="21"/>
                <w:szCs w:val="21"/>
                <w:lang w:eastAsia="zh-CN"/>
              </w:rPr>
            </w:pPr>
            <w:r>
              <w:rPr>
                <w:rFonts w:hint="eastAsia" w:cs="Times New Roman"/>
                <w:kern w:val="0"/>
                <w:sz w:val="21"/>
                <w:szCs w:val="21"/>
                <w:lang w:val="en-US" w:eastAsia="zh-CN"/>
              </w:rPr>
              <w:t>8</w:t>
            </w:r>
          </w:p>
        </w:tc>
        <w:tc>
          <w:tcPr>
            <w:tcW w:w="368" w:type="pc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2400</w:t>
            </w:r>
          </w:p>
        </w:tc>
        <w:tc>
          <w:tcPr>
            <w:tcW w:w="387" w:type="pc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连续</w:t>
            </w:r>
          </w:p>
        </w:tc>
        <w:tc>
          <w:tcPr>
            <w:tcW w:w="490" w:type="pct"/>
            <w:vAlign w:val="center"/>
          </w:tcPr>
          <w:p>
            <w:pPr>
              <w:adjustRightInd w:val="0"/>
              <w:snapToGrid w:val="0"/>
              <w:spacing w:line="240" w:lineRule="auto"/>
              <w:ind w:firstLine="0" w:firstLineChars="0"/>
              <w:jc w:val="center"/>
              <w:rPr>
                <w:color w:val="000000"/>
                <w:sz w:val="21"/>
                <w:szCs w:val="21"/>
                <w:u w:val="single"/>
              </w:rPr>
            </w:pPr>
            <w:r>
              <w:rPr>
                <w:rFonts w:cs="Times New Roman"/>
                <w:snapToGrid w:val="0"/>
                <w:kern w:val="18"/>
                <w:sz w:val="21"/>
                <w:szCs w:val="21"/>
                <w:u w:val="single"/>
              </w:rPr>
              <w:t>颗粒物</w:t>
            </w:r>
          </w:p>
        </w:tc>
        <w:tc>
          <w:tcPr>
            <w:tcW w:w="379" w:type="pct"/>
            <w:vAlign w:val="center"/>
          </w:tcPr>
          <w:p>
            <w:pPr>
              <w:widowControl/>
              <w:adjustRightInd w:val="0"/>
              <w:snapToGrid w:val="0"/>
              <w:spacing w:line="240" w:lineRule="auto"/>
              <w:ind w:firstLine="0" w:firstLineChars="0"/>
              <w:jc w:val="center"/>
              <w:rPr>
                <w:rFonts w:hint="default"/>
                <w:color w:val="000000"/>
                <w:sz w:val="21"/>
                <w:szCs w:val="21"/>
                <w:u w:val="single"/>
                <w:lang w:val="en-US"/>
              </w:rPr>
            </w:pPr>
            <w:r>
              <w:rPr>
                <w:rFonts w:hint="eastAsia" w:cs="Times New Roman"/>
                <w:sz w:val="21"/>
                <w:szCs w:val="21"/>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30" w:type="pct"/>
            <w:vMerge w:val="restart"/>
            <w:vAlign w:val="center"/>
          </w:tcPr>
          <w:p>
            <w:pPr>
              <w:pStyle w:val="19"/>
              <w:widowControl/>
              <w:spacing w:beforeAutospacing="0" w:afterAutospacing="0"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2</w:t>
            </w:r>
          </w:p>
        </w:tc>
        <w:tc>
          <w:tcPr>
            <w:tcW w:w="381" w:type="pct"/>
            <w:vMerge w:val="restart"/>
            <w:vAlign w:val="center"/>
          </w:tcPr>
          <w:p>
            <w:pPr>
              <w:adjustRightInd w:val="0"/>
              <w:snapToGrid w:val="0"/>
              <w:spacing w:line="240" w:lineRule="auto"/>
              <w:ind w:firstLine="0" w:firstLineChars="0"/>
              <w:jc w:val="center"/>
              <w:rPr>
                <w:rFonts w:hint="eastAsia"/>
                <w:color w:val="000000"/>
                <w:sz w:val="21"/>
                <w:szCs w:val="21"/>
              </w:rPr>
            </w:pPr>
            <w:r>
              <w:rPr>
                <w:rFonts w:hint="eastAsia" w:cs="Times New Roman"/>
                <w:snapToGrid w:val="0"/>
                <w:kern w:val="18"/>
                <w:sz w:val="21"/>
                <w:szCs w:val="21"/>
                <w:lang w:eastAsia="zh-CN"/>
              </w:rPr>
              <w:t>造粒车间</w:t>
            </w:r>
          </w:p>
        </w:tc>
        <w:tc>
          <w:tcPr>
            <w:tcW w:w="451"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113.477713</w:t>
            </w:r>
          </w:p>
        </w:tc>
        <w:tc>
          <w:tcPr>
            <w:tcW w:w="422"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33.585929</w:t>
            </w:r>
          </w:p>
        </w:tc>
        <w:tc>
          <w:tcPr>
            <w:tcW w:w="387"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83</w:t>
            </w:r>
          </w:p>
        </w:tc>
        <w:tc>
          <w:tcPr>
            <w:tcW w:w="330" w:type="pct"/>
            <w:vMerge w:val="restart"/>
            <w:vAlign w:val="center"/>
          </w:tcPr>
          <w:p>
            <w:pPr>
              <w:widowControl/>
              <w:adjustRightInd w:val="0"/>
              <w:snapToGrid w:val="0"/>
              <w:spacing w:line="240" w:lineRule="auto"/>
              <w:ind w:firstLine="0" w:firstLineChars="0"/>
              <w:jc w:val="center"/>
              <w:rPr>
                <w:rFonts w:hint="default" w:eastAsia="宋体"/>
                <w:color w:val="000000"/>
                <w:sz w:val="21"/>
                <w:szCs w:val="21"/>
                <w:lang w:val="en-US" w:eastAsia="zh-CN"/>
              </w:rPr>
            </w:pPr>
            <w:r>
              <w:rPr>
                <w:rFonts w:hint="eastAsia" w:cs="Times New Roman"/>
                <w:sz w:val="21"/>
                <w:szCs w:val="21"/>
                <w:lang w:val="en-US" w:eastAsia="zh-CN"/>
              </w:rPr>
              <w:t>200</w:t>
            </w:r>
          </w:p>
        </w:tc>
        <w:tc>
          <w:tcPr>
            <w:tcW w:w="324" w:type="pct"/>
            <w:vMerge w:val="restart"/>
            <w:vAlign w:val="center"/>
          </w:tcPr>
          <w:p>
            <w:pPr>
              <w:widowControl/>
              <w:adjustRightInd w:val="0"/>
              <w:snapToGrid w:val="0"/>
              <w:spacing w:line="240" w:lineRule="auto"/>
              <w:ind w:firstLine="0" w:firstLineChars="0"/>
              <w:jc w:val="center"/>
              <w:rPr>
                <w:rFonts w:hint="default" w:eastAsia="宋体"/>
                <w:color w:val="000000"/>
                <w:sz w:val="21"/>
                <w:szCs w:val="21"/>
                <w:lang w:val="en-US" w:eastAsia="zh-CN"/>
              </w:rPr>
            </w:pPr>
            <w:r>
              <w:rPr>
                <w:rFonts w:hint="eastAsia" w:cs="Times New Roman"/>
                <w:sz w:val="21"/>
                <w:szCs w:val="21"/>
                <w:lang w:val="en-US" w:eastAsia="zh-CN"/>
              </w:rPr>
              <w:t>41</w:t>
            </w:r>
          </w:p>
        </w:tc>
        <w:tc>
          <w:tcPr>
            <w:tcW w:w="391" w:type="pct"/>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rPr>
              <w:t>0</w:t>
            </w:r>
          </w:p>
        </w:tc>
        <w:tc>
          <w:tcPr>
            <w:tcW w:w="454" w:type="pct"/>
            <w:vMerge w:val="restart"/>
            <w:vAlign w:val="center"/>
          </w:tcPr>
          <w:p>
            <w:pPr>
              <w:widowControl/>
              <w:adjustRightInd w:val="0"/>
              <w:snapToGrid w:val="0"/>
              <w:spacing w:line="240" w:lineRule="auto"/>
              <w:ind w:firstLine="0" w:firstLineChars="0"/>
              <w:jc w:val="center"/>
              <w:rPr>
                <w:rFonts w:hint="eastAsia"/>
                <w:color w:val="000000"/>
                <w:sz w:val="21"/>
                <w:szCs w:val="21"/>
              </w:rPr>
            </w:pPr>
            <w:r>
              <w:rPr>
                <w:rFonts w:hint="eastAsia" w:cs="Times New Roman"/>
                <w:sz w:val="21"/>
                <w:szCs w:val="21"/>
                <w:lang w:val="en-US" w:eastAsia="zh-CN"/>
              </w:rPr>
              <w:t>8</w:t>
            </w:r>
          </w:p>
        </w:tc>
        <w:tc>
          <w:tcPr>
            <w:tcW w:w="368" w:type="pct"/>
            <w:vMerge w:val="restart"/>
            <w:vAlign w:val="center"/>
          </w:tcPr>
          <w:p>
            <w:pPr>
              <w:pStyle w:val="19"/>
              <w:widowControl/>
              <w:spacing w:beforeAutospacing="0" w:afterAutospacing="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2400</w:t>
            </w:r>
          </w:p>
        </w:tc>
        <w:tc>
          <w:tcPr>
            <w:tcW w:w="387" w:type="pct"/>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rPr>
              <w:t>连续</w:t>
            </w:r>
          </w:p>
        </w:tc>
        <w:tc>
          <w:tcPr>
            <w:tcW w:w="490" w:type="pct"/>
            <w:vAlign w:val="center"/>
          </w:tcPr>
          <w:p>
            <w:pPr>
              <w:adjustRightInd w:val="0"/>
              <w:snapToGrid w:val="0"/>
              <w:spacing w:line="240" w:lineRule="auto"/>
              <w:ind w:firstLine="0" w:firstLineChars="0"/>
              <w:jc w:val="center"/>
              <w:rPr>
                <w:rFonts w:hint="eastAsia"/>
                <w:color w:val="000000"/>
                <w:sz w:val="21"/>
                <w:szCs w:val="21"/>
                <w:u w:val="single"/>
              </w:rPr>
            </w:pPr>
            <w:r>
              <w:rPr>
                <w:rFonts w:cs="Times New Roman"/>
                <w:snapToGrid w:val="0"/>
                <w:kern w:val="18"/>
                <w:sz w:val="21"/>
                <w:szCs w:val="21"/>
                <w:u w:val="single"/>
              </w:rPr>
              <w:t>非甲烷总烃</w:t>
            </w:r>
          </w:p>
        </w:tc>
        <w:tc>
          <w:tcPr>
            <w:tcW w:w="379" w:type="pct"/>
            <w:vAlign w:val="center"/>
          </w:tcPr>
          <w:p>
            <w:pPr>
              <w:widowControl/>
              <w:adjustRightInd w:val="0"/>
              <w:snapToGrid w:val="0"/>
              <w:spacing w:line="240" w:lineRule="auto"/>
              <w:ind w:firstLine="0" w:firstLineChars="0"/>
              <w:jc w:val="center"/>
              <w:rPr>
                <w:rFonts w:hint="default"/>
                <w:color w:val="000000"/>
                <w:sz w:val="21"/>
                <w:szCs w:val="21"/>
                <w:u w:val="single"/>
                <w:lang w:val="en-US"/>
              </w:rPr>
            </w:pPr>
            <w:r>
              <w:rPr>
                <w:rFonts w:hint="eastAsia" w:cs="Times New Roman"/>
                <w:sz w:val="21"/>
                <w:szCs w:val="21"/>
                <w:lang w:val="en-US" w:eastAsia="zh-CN"/>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8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45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422"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387"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3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24"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91"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454"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368"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87"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490" w:type="pct"/>
            <w:vAlign w:val="center"/>
          </w:tcPr>
          <w:p>
            <w:pPr>
              <w:adjustRightInd w:val="0"/>
              <w:snapToGrid w:val="0"/>
              <w:spacing w:line="240" w:lineRule="auto"/>
              <w:ind w:firstLine="0" w:firstLineChars="0"/>
              <w:jc w:val="center"/>
              <w:rPr>
                <w:rFonts w:hint="eastAsia"/>
                <w:sz w:val="21"/>
                <w:szCs w:val="21"/>
                <w:u w:val="single"/>
                <w:lang w:val="en-US" w:eastAsia="zh-CN"/>
              </w:rPr>
            </w:pPr>
            <w:r>
              <w:rPr>
                <w:rFonts w:hint="eastAsia" w:cs="Times New Roman"/>
                <w:snapToGrid w:val="0"/>
                <w:kern w:val="18"/>
                <w:sz w:val="21"/>
                <w:szCs w:val="21"/>
                <w:u w:val="single"/>
                <w:lang w:eastAsia="zh-CN"/>
              </w:rPr>
              <w:t>苯乙烯</w:t>
            </w:r>
          </w:p>
        </w:tc>
        <w:tc>
          <w:tcPr>
            <w:tcW w:w="379" w:type="pct"/>
            <w:vAlign w:val="center"/>
          </w:tcPr>
          <w:p>
            <w:pPr>
              <w:widowControl/>
              <w:adjustRightInd w:val="0"/>
              <w:snapToGrid w:val="0"/>
              <w:spacing w:line="240" w:lineRule="auto"/>
              <w:ind w:firstLine="0" w:firstLineChars="0"/>
              <w:jc w:val="center"/>
              <w:rPr>
                <w:rFonts w:hint="default"/>
                <w:sz w:val="21"/>
                <w:szCs w:val="21"/>
                <w:u w:val="single"/>
                <w:lang w:val="en-US" w:eastAsia="zh-CN"/>
              </w:rPr>
            </w:pPr>
            <w:r>
              <w:rPr>
                <w:rFonts w:hint="eastAsia" w:cs="Times New Roman"/>
                <w:sz w:val="21"/>
                <w:szCs w:val="21"/>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2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8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45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422"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387"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3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24"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91"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454"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p>
        </w:tc>
        <w:tc>
          <w:tcPr>
            <w:tcW w:w="368"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lang w:val="en-US" w:eastAsia="zh-CN"/>
              </w:rPr>
            </w:pPr>
          </w:p>
        </w:tc>
        <w:tc>
          <w:tcPr>
            <w:tcW w:w="387"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490" w:type="pct"/>
            <w:vAlign w:val="center"/>
          </w:tcPr>
          <w:p>
            <w:pPr>
              <w:adjustRightInd w:val="0"/>
              <w:snapToGrid w:val="0"/>
              <w:spacing w:line="240" w:lineRule="auto"/>
              <w:ind w:firstLine="0" w:firstLineChars="0"/>
              <w:jc w:val="center"/>
              <w:rPr>
                <w:rFonts w:hint="eastAsia" w:cs="Times New Roman"/>
                <w:snapToGrid w:val="0"/>
                <w:kern w:val="18"/>
                <w:sz w:val="21"/>
                <w:szCs w:val="21"/>
                <w:u w:val="single"/>
                <w:lang w:eastAsia="zh-CN"/>
              </w:rPr>
            </w:pPr>
            <w:r>
              <w:rPr>
                <w:rFonts w:hint="eastAsia" w:cs="Times New Roman"/>
                <w:snapToGrid w:val="0"/>
                <w:kern w:val="18"/>
                <w:sz w:val="21"/>
                <w:szCs w:val="21"/>
                <w:u w:val="single"/>
                <w:lang w:eastAsia="zh-CN"/>
              </w:rPr>
              <w:t>颗粒物</w:t>
            </w:r>
          </w:p>
        </w:tc>
        <w:tc>
          <w:tcPr>
            <w:tcW w:w="379" w:type="pct"/>
            <w:vAlign w:val="center"/>
          </w:tcPr>
          <w:p>
            <w:pPr>
              <w:widowControl/>
              <w:adjustRightInd w:val="0"/>
              <w:snapToGrid w:val="0"/>
              <w:spacing w:line="240" w:lineRule="auto"/>
              <w:ind w:firstLine="0" w:firstLineChars="0"/>
              <w:jc w:val="center"/>
              <w:rPr>
                <w:rFonts w:hint="default" w:cs="Times New Roman"/>
                <w:sz w:val="21"/>
                <w:szCs w:val="21"/>
                <w:u w:val="single"/>
                <w:lang w:val="en-US" w:eastAsia="zh-CN"/>
              </w:rPr>
            </w:pPr>
            <w:r>
              <w:rPr>
                <w:rFonts w:hint="eastAsia" w:cs="Times New Roman"/>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30" w:type="pct"/>
            <w:vMerge w:val="restart"/>
            <w:vAlign w:val="center"/>
          </w:tcPr>
          <w:p>
            <w:pPr>
              <w:pStyle w:val="19"/>
              <w:widowControl/>
              <w:spacing w:beforeAutospacing="0" w:afterAutospacing="0" w:line="240" w:lineRule="auto"/>
              <w:ind w:firstLine="0" w:firstLineChars="0"/>
              <w:jc w:val="center"/>
              <w:rPr>
                <w:rFonts w:hint="default"/>
                <w:color w:val="000000"/>
                <w:sz w:val="21"/>
                <w:szCs w:val="21"/>
                <w:u w:val="single"/>
                <w:lang w:val="en-US" w:eastAsia="zh-CN"/>
              </w:rPr>
            </w:pPr>
            <w:r>
              <w:rPr>
                <w:rFonts w:hint="eastAsia"/>
                <w:color w:val="000000"/>
                <w:sz w:val="21"/>
                <w:szCs w:val="21"/>
                <w:u w:val="single"/>
                <w:lang w:val="en-US" w:eastAsia="zh-CN"/>
              </w:rPr>
              <w:t>3</w:t>
            </w:r>
          </w:p>
        </w:tc>
        <w:tc>
          <w:tcPr>
            <w:tcW w:w="381" w:type="pct"/>
            <w:vMerge w:val="restart"/>
            <w:vAlign w:val="center"/>
          </w:tcPr>
          <w:p>
            <w:pPr>
              <w:adjustRightInd w:val="0"/>
              <w:snapToGrid w:val="0"/>
              <w:spacing w:line="240" w:lineRule="auto"/>
              <w:ind w:firstLine="0" w:firstLineChars="0"/>
              <w:jc w:val="center"/>
              <w:rPr>
                <w:rFonts w:hint="eastAsia"/>
                <w:color w:val="000000"/>
                <w:sz w:val="21"/>
                <w:szCs w:val="21"/>
                <w:u w:val="single"/>
                <w:lang w:eastAsia="zh-CN"/>
              </w:rPr>
            </w:pPr>
            <w:r>
              <w:rPr>
                <w:rFonts w:cs="Times New Roman"/>
                <w:snapToGrid w:val="0"/>
                <w:kern w:val="18"/>
                <w:sz w:val="21"/>
                <w:szCs w:val="21"/>
                <w:u w:val="single"/>
              </w:rPr>
              <w:t>污水处理站</w:t>
            </w:r>
          </w:p>
        </w:tc>
        <w:tc>
          <w:tcPr>
            <w:tcW w:w="451"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r>
              <w:rPr>
                <w:rFonts w:hint="eastAsia"/>
                <w:color w:val="000000"/>
                <w:sz w:val="21"/>
                <w:szCs w:val="21"/>
                <w:u w:val="single"/>
                <w:lang w:val="en-US" w:eastAsia="zh-CN"/>
              </w:rPr>
              <w:t>113.477246</w:t>
            </w:r>
          </w:p>
        </w:tc>
        <w:tc>
          <w:tcPr>
            <w:tcW w:w="422"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r>
              <w:rPr>
                <w:rFonts w:hint="eastAsia"/>
                <w:color w:val="000000"/>
                <w:sz w:val="21"/>
                <w:szCs w:val="21"/>
                <w:u w:val="single"/>
                <w:lang w:val="en-US" w:eastAsia="zh-CN"/>
              </w:rPr>
              <w:t>33.585095</w:t>
            </w:r>
          </w:p>
        </w:tc>
        <w:tc>
          <w:tcPr>
            <w:tcW w:w="387" w:type="pct"/>
            <w:vMerge w:val="restart"/>
            <w:vAlign w:val="center"/>
          </w:tcPr>
          <w:p>
            <w:pPr>
              <w:pStyle w:val="19"/>
              <w:widowControl/>
              <w:spacing w:beforeAutospacing="0" w:afterAutospacing="0" w:line="240" w:lineRule="auto"/>
              <w:ind w:left="0" w:leftChars="0" w:right="0" w:rightChars="0" w:firstLine="0" w:firstLineChars="0"/>
              <w:jc w:val="center"/>
              <w:rPr>
                <w:rFonts w:hint="default"/>
                <w:color w:val="000000"/>
                <w:sz w:val="21"/>
                <w:szCs w:val="21"/>
                <w:u w:val="single"/>
                <w:lang w:val="en-US" w:eastAsia="zh-CN"/>
              </w:rPr>
            </w:pPr>
            <w:r>
              <w:rPr>
                <w:rFonts w:hint="eastAsia"/>
                <w:color w:val="000000"/>
                <w:sz w:val="21"/>
                <w:szCs w:val="21"/>
                <w:u w:val="single"/>
                <w:lang w:val="en-US" w:eastAsia="zh-CN"/>
              </w:rPr>
              <w:t>82</w:t>
            </w:r>
          </w:p>
        </w:tc>
        <w:tc>
          <w:tcPr>
            <w:tcW w:w="330" w:type="pct"/>
            <w:vMerge w:val="restart"/>
            <w:vAlign w:val="center"/>
          </w:tcPr>
          <w:p>
            <w:pPr>
              <w:widowControl/>
              <w:adjustRightInd w:val="0"/>
              <w:snapToGrid w:val="0"/>
              <w:spacing w:line="240" w:lineRule="auto"/>
              <w:ind w:firstLine="0" w:firstLineChars="0"/>
              <w:jc w:val="center"/>
              <w:rPr>
                <w:rFonts w:hint="eastAsia"/>
                <w:color w:val="000000"/>
                <w:sz w:val="21"/>
                <w:szCs w:val="21"/>
                <w:u w:val="single"/>
                <w:lang w:val="en-US" w:eastAsia="zh-CN"/>
              </w:rPr>
            </w:pPr>
            <w:r>
              <w:rPr>
                <w:rFonts w:hint="eastAsia" w:cs="Times New Roman"/>
                <w:sz w:val="21"/>
                <w:szCs w:val="21"/>
                <w:u w:val="single"/>
                <w:lang w:val="en-US" w:eastAsia="zh-CN"/>
              </w:rPr>
              <w:t>5</w:t>
            </w:r>
          </w:p>
        </w:tc>
        <w:tc>
          <w:tcPr>
            <w:tcW w:w="324" w:type="pct"/>
            <w:vMerge w:val="restart"/>
            <w:vAlign w:val="center"/>
          </w:tcPr>
          <w:p>
            <w:pPr>
              <w:widowControl/>
              <w:adjustRightInd w:val="0"/>
              <w:snapToGrid w:val="0"/>
              <w:spacing w:line="240" w:lineRule="auto"/>
              <w:ind w:firstLine="0" w:firstLineChars="0"/>
              <w:jc w:val="center"/>
              <w:rPr>
                <w:rFonts w:hint="eastAsia"/>
                <w:color w:val="000000"/>
                <w:sz w:val="21"/>
                <w:szCs w:val="21"/>
                <w:u w:val="single"/>
                <w:lang w:val="en-US" w:eastAsia="zh-CN"/>
              </w:rPr>
            </w:pPr>
            <w:r>
              <w:rPr>
                <w:rFonts w:hint="eastAsia" w:cs="Times New Roman"/>
                <w:sz w:val="21"/>
                <w:szCs w:val="21"/>
                <w:u w:val="single"/>
                <w:lang w:val="en-US" w:eastAsia="zh-CN"/>
              </w:rPr>
              <w:t>3</w:t>
            </w:r>
          </w:p>
        </w:tc>
        <w:tc>
          <w:tcPr>
            <w:tcW w:w="391" w:type="pct"/>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eastAsia="宋体"/>
                <w:color w:val="000000"/>
                <w:sz w:val="21"/>
                <w:szCs w:val="21"/>
                <w:u w:val="single"/>
                <w:lang w:val="en-US" w:eastAsia="zh-CN"/>
              </w:rPr>
            </w:pPr>
            <w:r>
              <w:rPr>
                <w:rFonts w:hint="eastAsia"/>
                <w:color w:val="000000"/>
                <w:sz w:val="21"/>
                <w:szCs w:val="21"/>
                <w:u w:val="single"/>
                <w:lang w:val="en-US" w:eastAsia="zh-CN"/>
              </w:rPr>
              <w:t>0</w:t>
            </w:r>
          </w:p>
        </w:tc>
        <w:tc>
          <w:tcPr>
            <w:tcW w:w="454" w:type="pct"/>
            <w:vMerge w:val="restart"/>
            <w:vAlign w:val="center"/>
          </w:tcPr>
          <w:p>
            <w:pPr>
              <w:widowControl/>
              <w:adjustRightInd w:val="0"/>
              <w:snapToGrid w:val="0"/>
              <w:spacing w:line="240" w:lineRule="auto"/>
              <w:ind w:firstLine="0" w:firstLineChars="0"/>
              <w:jc w:val="center"/>
              <w:rPr>
                <w:rFonts w:hint="eastAsia"/>
                <w:color w:val="000000"/>
                <w:sz w:val="21"/>
                <w:szCs w:val="21"/>
                <w:u w:val="single"/>
                <w:lang w:val="en-US" w:eastAsia="zh-CN"/>
              </w:rPr>
            </w:pPr>
            <w:r>
              <w:rPr>
                <w:rFonts w:hint="eastAsia" w:cs="Times New Roman"/>
                <w:sz w:val="21"/>
                <w:szCs w:val="21"/>
                <w:u w:val="single"/>
                <w:lang w:val="en-US" w:eastAsia="zh-CN"/>
              </w:rPr>
              <w:t>2.6</w:t>
            </w:r>
          </w:p>
        </w:tc>
        <w:tc>
          <w:tcPr>
            <w:tcW w:w="368" w:type="pct"/>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r>
              <w:rPr>
                <w:rFonts w:hint="eastAsia"/>
                <w:color w:val="000000"/>
                <w:sz w:val="21"/>
                <w:szCs w:val="21"/>
                <w:u w:val="single"/>
                <w:lang w:val="en-US" w:eastAsia="zh-CN"/>
              </w:rPr>
              <w:t>2400</w:t>
            </w:r>
          </w:p>
        </w:tc>
        <w:tc>
          <w:tcPr>
            <w:tcW w:w="387" w:type="pct"/>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rPr>
            </w:pPr>
            <w:r>
              <w:rPr>
                <w:rFonts w:hint="eastAsia"/>
                <w:color w:val="000000"/>
                <w:sz w:val="21"/>
                <w:szCs w:val="21"/>
                <w:u w:val="single"/>
              </w:rPr>
              <w:t>连续</w:t>
            </w:r>
          </w:p>
        </w:tc>
        <w:tc>
          <w:tcPr>
            <w:tcW w:w="490" w:type="pct"/>
            <w:vAlign w:val="center"/>
          </w:tcPr>
          <w:p>
            <w:pPr>
              <w:adjustRightInd w:val="0"/>
              <w:snapToGrid w:val="0"/>
              <w:spacing w:line="240" w:lineRule="auto"/>
              <w:ind w:firstLine="0" w:firstLineChars="0"/>
              <w:jc w:val="center"/>
              <w:rPr>
                <w:rFonts w:hint="eastAsia"/>
                <w:sz w:val="21"/>
                <w:szCs w:val="21"/>
                <w:u w:val="single"/>
                <w:lang w:val="en-US" w:eastAsia="zh-CN"/>
              </w:rPr>
            </w:pPr>
            <w:r>
              <w:rPr>
                <w:rFonts w:cs="Times New Roman"/>
                <w:snapToGrid w:val="0"/>
                <w:kern w:val="18"/>
                <w:sz w:val="21"/>
                <w:szCs w:val="21"/>
                <w:u w:val="single"/>
              </w:rPr>
              <w:t>氨</w:t>
            </w:r>
          </w:p>
        </w:tc>
        <w:tc>
          <w:tcPr>
            <w:tcW w:w="379" w:type="pct"/>
            <w:vAlign w:val="center"/>
          </w:tcPr>
          <w:p>
            <w:pPr>
              <w:widowControl/>
              <w:adjustRightInd w:val="0"/>
              <w:snapToGrid w:val="0"/>
              <w:spacing w:line="240" w:lineRule="auto"/>
              <w:ind w:firstLine="0" w:firstLineChars="0"/>
              <w:jc w:val="center"/>
              <w:rPr>
                <w:rFonts w:hint="eastAsia"/>
                <w:sz w:val="21"/>
                <w:szCs w:val="21"/>
                <w:u w:val="single"/>
                <w:lang w:val="en-US" w:eastAsia="zh-CN"/>
              </w:rPr>
            </w:pPr>
            <w:r>
              <w:rPr>
                <w:rFonts w:hint="eastAsia" w:cs="Times New Roman"/>
                <w:color w:val="auto"/>
                <w:sz w:val="21"/>
                <w:szCs w:val="21"/>
                <w:u w:val="single"/>
                <w:lang w:val="en-US" w:eastAsia="zh-CN"/>
              </w:rPr>
              <w:t>2</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8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eastAsia="zh-CN"/>
              </w:rPr>
            </w:pPr>
          </w:p>
        </w:tc>
        <w:tc>
          <w:tcPr>
            <w:tcW w:w="45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422"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387"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3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24"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91"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rPr>
            </w:pPr>
          </w:p>
        </w:tc>
        <w:tc>
          <w:tcPr>
            <w:tcW w:w="454"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lang w:val="en-US" w:eastAsia="zh-CN"/>
              </w:rPr>
            </w:pPr>
          </w:p>
        </w:tc>
        <w:tc>
          <w:tcPr>
            <w:tcW w:w="368"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87"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rPr>
            </w:pPr>
          </w:p>
        </w:tc>
        <w:tc>
          <w:tcPr>
            <w:tcW w:w="490" w:type="pct"/>
            <w:vAlign w:val="center"/>
          </w:tcPr>
          <w:p>
            <w:pPr>
              <w:adjustRightInd w:val="0"/>
              <w:snapToGrid w:val="0"/>
              <w:spacing w:line="240" w:lineRule="auto"/>
              <w:ind w:firstLine="0" w:firstLineChars="0"/>
              <w:jc w:val="center"/>
              <w:rPr>
                <w:rFonts w:hint="eastAsia"/>
                <w:sz w:val="21"/>
                <w:szCs w:val="21"/>
                <w:u w:val="single"/>
                <w:lang w:val="en-US" w:eastAsia="zh-CN"/>
              </w:rPr>
            </w:pPr>
            <w:r>
              <w:rPr>
                <w:rFonts w:cs="Times New Roman"/>
                <w:snapToGrid w:val="0"/>
                <w:kern w:val="18"/>
                <w:sz w:val="21"/>
                <w:szCs w:val="21"/>
                <w:u w:val="single"/>
              </w:rPr>
              <w:t>硫化氢</w:t>
            </w:r>
          </w:p>
        </w:tc>
        <w:tc>
          <w:tcPr>
            <w:tcW w:w="379" w:type="pct"/>
            <w:vAlign w:val="center"/>
          </w:tcPr>
          <w:p>
            <w:pPr>
              <w:widowControl/>
              <w:adjustRightInd w:val="0"/>
              <w:snapToGrid w:val="0"/>
              <w:spacing w:line="240" w:lineRule="auto"/>
              <w:ind w:firstLine="0" w:firstLineChars="0"/>
              <w:jc w:val="center"/>
              <w:rPr>
                <w:rFonts w:hint="eastAsia"/>
                <w:sz w:val="21"/>
                <w:szCs w:val="21"/>
                <w:u w:val="single"/>
                <w:lang w:val="en-US" w:eastAsia="zh-CN"/>
              </w:rPr>
            </w:pPr>
            <w:r>
              <w:rPr>
                <w:rFonts w:hint="eastAsia" w:cs="Times New Roman"/>
                <w:color w:val="auto"/>
                <w:sz w:val="21"/>
                <w:szCs w:val="21"/>
                <w:u w:val="single"/>
                <w:lang w:val="en-US" w:eastAsia="zh-CN"/>
              </w:rPr>
              <w:t>7.71</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2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8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eastAsia="zh-CN"/>
              </w:rPr>
            </w:pPr>
          </w:p>
        </w:tc>
        <w:tc>
          <w:tcPr>
            <w:tcW w:w="451"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422"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387" w:type="pct"/>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u w:val="single"/>
                <w:lang w:val="en-US" w:eastAsia="zh-CN"/>
              </w:rPr>
            </w:pPr>
          </w:p>
        </w:tc>
        <w:tc>
          <w:tcPr>
            <w:tcW w:w="330"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24"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91"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rPr>
            </w:pPr>
          </w:p>
        </w:tc>
        <w:tc>
          <w:tcPr>
            <w:tcW w:w="454"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lang w:val="en-US" w:eastAsia="zh-CN"/>
              </w:rPr>
            </w:pPr>
          </w:p>
        </w:tc>
        <w:tc>
          <w:tcPr>
            <w:tcW w:w="368" w:type="pct"/>
            <w:vMerge w:val="continue"/>
            <w:vAlign w:val="center"/>
          </w:tcPr>
          <w:p>
            <w:pPr>
              <w:pStyle w:val="19"/>
              <w:widowControl/>
              <w:spacing w:beforeAutospacing="0" w:afterAutospacing="0" w:line="240" w:lineRule="auto"/>
              <w:ind w:firstLine="0" w:firstLineChars="0"/>
              <w:jc w:val="center"/>
              <w:rPr>
                <w:rFonts w:hint="eastAsia"/>
                <w:color w:val="000000"/>
                <w:sz w:val="21"/>
                <w:szCs w:val="21"/>
                <w:u w:val="single"/>
                <w:lang w:val="en-US" w:eastAsia="zh-CN"/>
              </w:rPr>
            </w:pPr>
          </w:p>
        </w:tc>
        <w:tc>
          <w:tcPr>
            <w:tcW w:w="387" w:type="pct"/>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u w:val="single"/>
              </w:rPr>
            </w:pPr>
          </w:p>
        </w:tc>
        <w:tc>
          <w:tcPr>
            <w:tcW w:w="490" w:type="pct"/>
            <w:vAlign w:val="center"/>
          </w:tcPr>
          <w:p>
            <w:pPr>
              <w:adjustRightInd w:val="0"/>
              <w:snapToGrid w:val="0"/>
              <w:spacing w:line="240" w:lineRule="auto"/>
              <w:ind w:firstLine="0" w:firstLineChars="0"/>
              <w:jc w:val="center"/>
              <w:rPr>
                <w:rFonts w:hint="eastAsia"/>
                <w:sz w:val="21"/>
                <w:szCs w:val="21"/>
                <w:u w:val="single"/>
                <w:lang w:val="en-US" w:eastAsia="zh-CN"/>
              </w:rPr>
            </w:pPr>
            <w:r>
              <w:rPr>
                <w:rFonts w:cs="Times New Roman"/>
                <w:snapToGrid w:val="0"/>
                <w:kern w:val="18"/>
                <w:sz w:val="21"/>
                <w:szCs w:val="21"/>
                <w:u w:val="single"/>
              </w:rPr>
              <w:t>非甲烷总烃</w:t>
            </w:r>
          </w:p>
        </w:tc>
        <w:tc>
          <w:tcPr>
            <w:tcW w:w="379" w:type="pct"/>
            <w:vAlign w:val="center"/>
          </w:tcPr>
          <w:p>
            <w:pPr>
              <w:widowControl/>
              <w:adjustRightInd w:val="0"/>
              <w:snapToGrid w:val="0"/>
              <w:spacing w:line="240" w:lineRule="auto"/>
              <w:ind w:firstLine="0" w:firstLineChars="0"/>
              <w:jc w:val="center"/>
              <w:rPr>
                <w:rFonts w:hint="eastAsia"/>
                <w:sz w:val="21"/>
                <w:szCs w:val="21"/>
                <w:u w:val="single"/>
                <w:lang w:val="en-US" w:eastAsia="zh-CN"/>
              </w:rPr>
            </w:pPr>
            <w:r>
              <w:rPr>
                <w:rFonts w:hint="eastAsia" w:cs="Times New Roman"/>
                <w:color w:val="auto"/>
                <w:sz w:val="21"/>
                <w:szCs w:val="21"/>
                <w:lang w:val="en-US" w:eastAsia="zh-CN"/>
              </w:rPr>
              <w:t>0.001</w:t>
            </w:r>
          </w:p>
        </w:tc>
      </w:tr>
    </w:tbl>
    <w:p>
      <w:pPr>
        <w:pStyle w:val="19"/>
        <w:widowControl/>
        <w:spacing w:beforeAutospacing="0" w:afterAutospacing="0"/>
        <w:ind w:firstLine="482"/>
        <w:jc w:val="center"/>
        <w:rPr>
          <w:rFonts w:cs="宋体"/>
          <w:b/>
          <w:bCs/>
          <w:color w:val="000000"/>
          <w:szCs w:val="24"/>
          <w:lang w:bidi="ar"/>
        </w:rPr>
      </w:pPr>
      <w:r>
        <w:rPr>
          <w:rFonts w:hint="eastAsia" w:cs="宋体"/>
          <w:b/>
          <w:bCs/>
          <w:color w:val="000000"/>
          <w:szCs w:val="24"/>
          <w:lang w:bidi="ar"/>
        </w:rPr>
        <w:t>表</w:t>
      </w:r>
      <w:r>
        <w:rPr>
          <w:rFonts w:cs="宋体"/>
          <w:b/>
          <w:bCs/>
          <w:color w:val="000000"/>
          <w:szCs w:val="24"/>
          <w:lang w:bidi="ar"/>
        </w:rPr>
        <w:t>6.2-</w:t>
      </w:r>
      <w:r>
        <w:rPr>
          <w:rFonts w:hint="eastAsia" w:cs="宋体"/>
          <w:b/>
          <w:bCs/>
          <w:color w:val="000000"/>
          <w:szCs w:val="24"/>
          <w:lang w:val="en-US" w:eastAsia="zh-CN" w:bidi="ar"/>
        </w:rPr>
        <w:t>11</w:t>
      </w:r>
      <w:r>
        <w:rPr>
          <w:rFonts w:cs="宋体"/>
          <w:b/>
          <w:bCs/>
          <w:color w:val="000000"/>
          <w:szCs w:val="24"/>
          <w:lang w:bidi="ar"/>
        </w:rPr>
        <w:t xml:space="preserve"> </w:t>
      </w:r>
      <w:r>
        <w:rPr>
          <w:rFonts w:hint="eastAsia" w:cs="宋体"/>
          <w:b/>
          <w:bCs/>
          <w:color w:val="000000"/>
          <w:szCs w:val="24"/>
          <w:lang w:bidi="ar"/>
        </w:rPr>
        <w:t xml:space="preserve"> 非正常工况下有组织废气最大排放污染源强参数表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085"/>
        <w:gridCol w:w="1260"/>
        <w:gridCol w:w="1115"/>
        <w:gridCol w:w="1332"/>
        <w:gridCol w:w="900"/>
        <w:gridCol w:w="1105"/>
        <w:gridCol w:w="1040"/>
        <w:gridCol w:w="957"/>
        <w:gridCol w:w="1050"/>
        <w:gridCol w:w="834"/>
        <w:gridCol w:w="1378"/>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编号</w:t>
            </w:r>
          </w:p>
        </w:tc>
        <w:tc>
          <w:tcPr>
            <w:tcW w:w="1085" w:type="dxa"/>
            <w:vMerge w:val="restart"/>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名称</w:t>
            </w:r>
          </w:p>
        </w:tc>
        <w:tc>
          <w:tcPr>
            <w:tcW w:w="2375" w:type="dxa"/>
            <w:gridSpan w:val="2"/>
            <w:vAlign w:val="center"/>
          </w:tcPr>
          <w:p>
            <w:pPr>
              <w:widowControl/>
              <w:spacing w:line="240" w:lineRule="auto"/>
              <w:ind w:firstLine="0" w:firstLineChars="0"/>
              <w:jc w:val="center"/>
              <w:rPr>
                <w:sz w:val="21"/>
                <w:szCs w:val="21"/>
              </w:rPr>
            </w:pPr>
            <w:r>
              <w:rPr>
                <w:rFonts w:hint="eastAsia"/>
                <w:color w:val="000000"/>
                <w:sz w:val="21"/>
                <w:szCs w:val="21"/>
                <w:lang w:val="en-US" w:bidi="ar"/>
              </w:rPr>
              <w:t>排气筒底部中心</w:t>
            </w:r>
          </w:p>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坐标</w:t>
            </w:r>
            <w:r>
              <w:rPr>
                <w:rFonts w:cs="TimesNewRomanPS-BoldMT"/>
                <w:color w:val="000000"/>
                <w:sz w:val="21"/>
                <w:szCs w:val="21"/>
                <w:lang w:val="en-US" w:bidi="ar"/>
              </w:rPr>
              <w:t>/</w:t>
            </w:r>
            <w:r>
              <w:rPr>
                <w:rFonts w:hint="eastAsia" w:cs="TimesNewRomanPS-BoldMT"/>
                <w:color w:val="000000"/>
                <w:sz w:val="21"/>
                <w:szCs w:val="21"/>
                <w:lang w:val="en-US" w:bidi="ar"/>
              </w:rPr>
              <w:t>°</w:t>
            </w:r>
          </w:p>
        </w:tc>
        <w:tc>
          <w:tcPr>
            <w:tcW w:w="1332"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排气筒底部海拔高度</w:t>
            </w:r>
            <w:r>
              <w:rPr>
                <w:rFonts w:cs="TimesNewRomanPS-BoldMT"/>
                <w:color w:val="000000"/>
                <w:sz w:val="21"/>
                <w:szCs w:val="21"/>
                <w:lang w:val="en-US" w:bidi="ar"/>
              </w:rPr>
              <w:t>/m</w:t>
            </w:r>
          </w:p>
        </w:tc>
        <w:tc>
          <w:tcPr>
            <w:tcW w:w="900"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排气筒高度</w:t>
            </w:r>
            <w:r>
              <w:rPr>
                <w:rFonts w:cs="TimesNewRomanPS-BoldMT"/>
                <w:color w:val="000000"/>
                <w:sz w:val="21"/>
                <w:szCs w:val="21"/>
                <w:lang w:val="en-US" w:bidi="ar"/>
              </w:rPr>
              <w:t>/m</w:t>
            </w:r>
          </w:p>
        </w:tc>
        <w:tc>
          <w:tcPr>
            <w:tcW w:w="1105"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排气筒出口内径</w:t>
            </w:r>
            <w:r>
              <w:rPr>
                <w:rFonts w:cs="TimesNewRomanPS-BoldMT"/>
                <w:color w:val="000000"/>
                <w:sz w:val="21"/>
                <w:szCs w:val="21"/>
                <w:lang w:val="en-US" w:bidi="ar"/>
              </w:rPr>
              <w:t>/m</w:t>
            </w:r>
          </w:p>
        </w:tc>
        <w:tc>
          <w:tcPr>
            <w:tcW w:w="1040"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烟气流速</w:t>
            </w:r>
            <w:r>
              <w:rPr>
                <w:rFonts w:cs="TimesNewRomanPS-BoldMT"/>
                <w:color w:val="000000"/>
                <w:sz w:val="21"/>
                <w:szCs w:val="21"/>
                <w:lang w:val="en-US" w:bidi="ar"/>
              </w:rPr>
              <w:t>/</w:t>
            </w:r>
            <w:r>
              <w:rPr>
                <w:rFonts w:hint="eastAsia"/>
                <w:color w:val="000000"/>
                <w:sz w:val="21"/>
                <w:szCs w:val="21"/>
                <w:lang w:val="en-US" w:bidi="ar"/>
              </w:rPr>
              <w:t>（</w:t>
            </w:r>
            <w:r>
              <w:rPr>
                <w:rFonts w:cs="TimesNewRomanPS-BoldMT"/>
                <w:color w:val="000000"/>
                <w:sz w:val="21"/>
                <w:szCs w:val="21"/>
                <w:lang w:val="en-US" w:bidi="ar"/>
              </w:rPr>
              <w:t>m/s</w:t>
            </w:r>
            <w:r>
              <w:rPr>
                <w:rFonts w:hint="eastAsia"/>
                <w:color w:val="000000"/>
                <w:sz w:val="21"/>
                <w:szCs w:val="21"/>
                <w:lang w:val="en-US" w:bidi="ar"/>
              </w:rPr>
              <w:t>）</w:t>
            </w:r>
          </w:p>
        </w:tc>
        <w:tc>
          <w:tcPr>
            <w:tcW w:w="957"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烟气温度</w:t>
            </w:r>
            <w:r>
              <w:rPr>
                <w:rFonts w:cs="TimesNewRomanPS-BoldMT"/>
                <w:color w:val="000000"/>
                <w:sz w:val="21"/>
                <w:szCs w:val="21"/>
                <w:lang w:val="en-US" w:bidi="ar"/>
              </w:rPr>
              <w:t>/</w:t>
            </w:r>
            <w:r>
              <w:rPr>
                <w:rFonts w:hint="eastAsia"/>
                <w:color w:val="000000"/>
                <w:sz w:val="21"/>
                <w:szCs w:val="21"/>
                <w:lang w:val="en-US" w:bidi="ar"/>
              </w:rPr>
              <w:t>℃</w:t>
            </w:r>
          </w:p>
        </w:tc>
        <w:tc>
          <w:tcPr>
            <w:tcW w:w="1050"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年排放小时数</w:t>
            </w:r>
            <w:r>
              <w:rPr>
                <w:rFonts w:cs="TimesNewRomanPS-BoldMT"/>
                <w:color w:val="000000"/>
                <w:sz w:val="21"/>
                <w:szCs w:val="21"/>
                <w:lang w:val="en-US" w:bidi="ar"/>
              </w:rPr>
              <w:t>/h</w:t>
            </w:r>
          </w:p>
        </w:tc>
        <w:tc>
          <w:tcPr>
            <w:tcW w:w="834" w:type="dxa"/>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排放工况</w:t>
            </w:r>
          </w:p>
        </w:tc>
        <w:tc>
          <w:tcPr>
            <w:tcW w:w="3120" w:type="dxa"/>
            <w:gridSpan w:val="2"/>
            <w:vMerge w:val="restart"/>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污染物排放速率</w:t>
            </w:r>
            <w:r>
              <w:rPr>
                <w:rFonts w:hint="eastAsia"/>
                <w:color w:val="000000"/>
                <w:sz w:val="21"/>
                <w:szCs w:val="21"/>
              </w:rPr>
              <w:t>/</w:t>
            </w:r>
            <w:r>
              <w:rPr>
                <w:rFonts w:cs="TimesNewRomanPS-BoldMT"/>
                <w:color w:val="000000"/>
                <w:sz w:val="21"/>
                <w:szCs w:val="21"/>
                <w:lang w:val="en-US" w:bidi="ar"/>
              </w:rPr>
              <w:t>(</w:t>
            </w:r>
            <w:r>
              <w:rPr>
                <w:rFonts w:hint="eastAsia"/>
                <w:sz w:val="21"/>
                <w:szCs w:val="21"/>
                <w:lang w:val="en-US" w:eastAsia="zh-CN"/>
              </w:rPr>
              <w:t>kg/h</w:t>
            </w:r>
            <w:r>
              <w:rPr>
                <w:rFonts w:cs="TimesNewRomanPS-BoldMT"/>
                <w:color w:val="000000"/>
                <w:sz w:val="21"/>
                <w:szCs w:val="21"/>
                <w:lang w:val="en-US"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firstLine="0" w:firstLineChars="0"/>
              <w:jc w:val="center"/>
              <w:rPr>
                <w:sz w:val="21"/>
                <w:szCs w:val="21"/>
              </w:rPr>
            </w:pPr>
          </w:p>
        </w:tc>
        <w:tc>
          <w:tcPr>
            <w:tcW w:w="1085" w:type="dxa"/>
            <w:vMerge w:val="continue"/>
            <w:vAlign w:val="center"/>
          </w:tcPr>
          <w:p>
            <w:pPr>
              <w:pStyle w:val="19"/>
              <w:widowControl/>
              <w:spacing w:beforeAutospacing="0" w:afterAutospacing="0" w:line="240" w:lineRule="auto"/>
              <w:ind w:firstLine="0" w:firstLineChars="0"/>
              <w:jc w:val="center"/>
              <w:rPr>
                <w:sz w:val="21"/>
                <w:szCs w:val="21"/>
              </w:rPr>
            </w:pPr>
          </w:p>
        </w:tc>
        <w:tc>
          <w:tcPr>
            <w:tcW w:w="1260"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X</w:t>
            </w:r>
          </w:p>
        </w:tc>
        <w:tc>
          <w:tcPr>
            <w:tcW w:w="1115" w:type="dxa"/>
            <w:vAlign w:val="center"/>
          </w:tcPr>
          <w:p>
            <w:pPr>
              <w:pStyle w:val="19"/>
              <w:widowControl/>
              <w:spacing w:beforeAutospacing="0" w:afterAutospacing="0" w:line="240" w:lineRule="auto"/>
              <w:ind w:firstLine="0" w:firstLineChars="0"/>
              <w:jc w:val="center"/>
              <w:rPr>
                <w:color w:val="000000"/>
                <w:sz w:val="21"/>
                <w:szCs w:val="21"/>
              </w:rPr>
            </w:pPr>
            <w:r>
              <w:rPr>
                <w:rFonts w:hint="eastAsia"/>
                <w:color w:val="000000"/>
                <w:sz w:val="21"/>
                <w:szCs w:val="21"/>
              </w:rPr>
              <w:t>Y</w:t>
            </w:r>
          </w:p>
        </w:tc>
        <w:tc>
          <w:tcPr>
            <w:tcW w:w="1332"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900"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105"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040"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957"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1050"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834" w:type="dxa"/>
            <w:vMerge w:val="continue"/>
            <w:vAlign w:val="center"/>
          </w:tcPr>
          <w:p>
            <w:pPr>
              <w:pStyle w:val="19"/>
              <w:widowControl/>
              <w:spacing w:beforeAutospacing="0" w:afterAutospacing="0" w:line="240" w:lineRule="auto"/>
              <w:ind w:firstLine="0" w:firstLineChars="0"/>
              <w:jc w:val="center"/>
              <w:rPr>
                <w:color w:val="000000"/>
                <w:sz w:val="21"/>
                <w:szCs w:val="21"/>
              </w:rPr>
            </w:pPr>
          </w:p>
        </w:tc>
        <w:tc>
          <w:tcPr>
            <w:tcW w:w="3120" w:type="dxa"/>
            <w:gridSpan w:val="2"/>
            <w:vMerge w:val="continue"/>
            <w:vAlign w:val="center"/>
          </w:tcPr>
          <w:p>
            <w:pPr>
              <w:pStyle w:val="19"/>
              <w:widowControl/>
              <w:spacing w:beforeAutospacing="0" w:afterAutospacing="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1</w:t>
            </w:r>
          </w:p>
        </w:tc>
        <w:tc>
          <w:tcPr>
            <w:tcW w:w="1085"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lang w:eastAsia="zh-CN"/>
              </w:rPr>
              <w:t>粉碎粉尘</w:t>
            </w:r>
            <w:r>
              <w:rPr>
                <w:rFonts w:hint="eastAsia"/>
                <w:color w:val="000000"/>
                <w:sz w:val="21"/>
                <w:szCs w:val="21"/>
              </w:rPr>
              <w:t>排气筒</w:t>
            </w:r>
          </w:p>
        </w:tc>
        <w:tc>
          <w:tcPr>
            <w:tcW w:w="1260"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default" w:eastAsia="宋体"/>
                <w:color w:val="000000"/>
                <w:sz w:val="21"/>
                <w:szCs w:val="21"/>
                <w:lang w:val="en-US" w:eastAsia="zh-CN"/>
              </w:rPr>
              <w:t>113.476975</w:t>
            </w:r>
          </w:p>
        </w:tc>
        <w:tc>
          <w:tcPr>
            <w:tcW w:w="1115"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default" w:eastAsia="宋体"/>
                <w:color w:val="000000"/>
                <w:sz w:val="21"/>
                <w:szCs w:val="21"/>
                <w:lang w:val="en-US" w:eastAsia="zh-CN"/>
              </w:rPr>
              <w:t>33.585105</w:t>
            </w:r>
          </w:p>
        </w:tc>
        <w:tc>
          <w:tcPr>
            <w:tcW w:w="1332"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lang w:val="en-US" w:eastAsia="zh-CN"/>
              </w:rPr>
              <w:t>83</w:t>
            </w:r>
          </w:p>
        </w:tc>
        <w:tc>
          <w:tcPr>
            <w:tcW w:w="900"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15</w:t>
            </w:r>
          </w:p>
        </w:tc>
        <w:tc>
          <w:tcPr>
            <w:tcW w:w="1105"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0.3</w:t>
            </w:r>
          </w:p>
        </w:tc>
        <w:tc>
          <w:tcPr>
            <w:tcW w:w="1040" w:type="dxa"/>
            <w:vAlign w:val="center"/>
          </w:tcPr>
          <w:p>
            <w:pPr>
              <w:pStyle w:val="19"/>
              <w:widowControl/>
              <w:spacing w:beforeAutospacing="0" w:afterAutospacing="0" w:line="240" w:lineRule="auto"/>
              <w:ind w:left="0" w:leftChars="0" w:right="0" w:rightChars="0" w:firstLine="0" w:firstLineChars="0"/>
              <w:jc w:val="center"/>
              <w:rPr>
                <w:rFonts w:hint="default" w:eastAsia="宋体"/>
                <w:color w:val="000000"/>
                <w:sz w:val="21"/>
                <w:szCs w:val="21"/>
                <w:lang w:val="en-US" w:eastAsia="zh-CN"/>
              </w:rPr>
            </w:pPr>
            <w:r>
              <w:rPr>
                <w:rFonts w:hint="default" w:eastAsia="宋体"/>
                <w:color w:val="000000"/>
                <w:sz w:val="21"/>
                <w:szCs w:val="21"/>
                <w:lang w:val="en-US" w:eastAsia="zh-CN"/>
              </w:rPr>
              <w:t>53.68</w:t>
            </w:r>
          </w:p>
        </w:tc>
        <w:tc>
          <w:tcPr>
            <w:tcW w:w="957" w:type="dxa"/>
            <w:vAlign w:val="center"/>
          </w:tcPr>
          <w:p>
            <w:pPr>
              <w:pStyle w:val="19"/>
              <w:widowControl/>
              <w:spacing w:beforeAutospacing="0" w:afterAutospacing="0" w:line="240" w:lineRule="auto"/>
              <w:ind w:left="0" w:leftChars="0" w:right="0" w:rightChars="0" w:firstLine="0" w:firstLineChars="0"/>
              <w:jc w:val="center"/>
              <w:rPr>
                <w:color w:val="000000"/>
                <w:sz w:val="21"/>
                <w:szCs w:val="21"/>
              </w:rPr>
            </w:pPr>
            <w:r>
              <w:rPr>
                <w:rFonts w:hint="eastAsia"/>
                <w:color w:val="000000"/>
                <w:sz w:val="21"/>
                <w:szCs w:val="21"/>
              </w:rPr>
              <w:t>25</w:t>
            </w:r>
          </w:p>
        </w:tc>
        <w:tc>
          <w:tcPr>
            <w:tcW w:w="1050" w:type="dxa"/>
            <w:vAlign w:val="center"/>
          </w:tcPr>
          <w:p>
            <w:pPr>
              <w:pStyle w:val="19"/>
              <w:widowControl/>
              <w:spacing w:beforeAutospacing="0" w:afterAutospacing="0" w:line="240" w:lineRule="auto"/>
              <w:ind w:left="0" w:leftChars="0" w:right="0" w:rightChars="0" w:firstLine="0" w:firstLineChars="0"/>
              <w:jc w:val="center"/>
              <w:rPr>
                <w:rFonts w:hint="default" w:eastAsia="宋体"/>
                <w:color w:val="000000"/>
                <w:sz w:val="21"/>
                <w:szCs w:val="21"/>
                <w:lang w:val="en-US" w:eastAsia="zh-CN"/>
              </w:rPr>
            </w:pPr>
            <w:r>
              <w:rPr>
                <w:rFonts w:hint="eastAsia"/>
                <w:color w:val="000000"/>
                <w:sz w:val="21"/>
                <w:szCs w:val="21"/>
                <w:lang w:val="en-US" w:eastAsia="zh-CN"/>
              </w:rPr>
              <w:t>2400</w:t>
            </w:r>
          </w:p>
        </w:tc>
        <w:tc>
          <w:tcPr>
            <w:tcW w:w="834"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r>
              <w:rPr>
                <w:rFonts w:hint="eastAsia"/>
                <w:color w:val="000000"/>
                <w:sz w:val="21"/>
                <w:szCs w:val="21"/>
              </w:rPr>
              <w:t>连续</w:t>
            </w:r>
          </w:p>
        </w:tc>
        <w:tc>
          <w:tcPr>
            <w:tcW w:w="1378" w:type="dxa"/>
            <w:vAlign w:val="center"/>
          </w:tcPr>
          <w:p>
            <w:pPr>
              <w:pStyle w:val="30"/>
              <w:ind w:firstLine="0" w:firstLineChars="0"/>
              <w:rPr>
                <w:rFonts w:hint="default"/>
                <w:sz w:val="21"/>
                <w:szCs w:val="21"/>
                <w:lang w:val="en-US"/>
              </w:rPr>
            </w:pPr>
            <w:r>
              <w:rPr>
                <w:rFonts w:hint="eastAsia"/>
                <w:sz w:val="21"/>
                <w:szCs w:val="21"/>
                <w:lang w:eastAsia="zh-CN"/>
              </w:rPr>
              <w:t>颗粒物</w:t>
            </w:r>
          </w:p>
        </w:tc>
        <w:tc>
          <w:tcPr>
            <w:tcW w:w="1742" w:type="dxa"/>
            <w:vAlign w:val="center"/>
          </w:tcPr>
          <w:p>
            <w:pPr>
              <w:pStyle w:val="30"/>
              <w:ind w:firstLine="0" w:firstLineChars="0"/>
              <w:rPr>
                <w:rFonts w:hint="default" w:eastAsia="宋体"/>
                <w:sz w:val="21"/>
                <w:szCs w:val="21"/>
                <w:lang w:val="en-US" w:eastAsia="zh-CN"/>
              </w:rPr>
            </w:pPr>
            <w:r>
              <w:rPr>
                <w:rFonts w:hint="eastAsia"/>
                <w:sz w:val="21"/>
                <w:szCs w:val="21"/>
                <w:lang w:val="en-US" w:eastAsia="zh-CN"/>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2</w:t>
            </w:r>
          </w:p>
        </w:tc>
        <w:tc>
          <w:tcPr>
            <w:tcW w:w="108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eastAsia="zh-CN"/>
              </w:rPr>
              <w:t>造粒废气排气筒</w:t>
            </w:r>
          </w:p>
        </w:tc>
        <w:tc>
          <w:tcPr>
            <w:tcW w:w="126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113.477713</w:t>
            </w:r>
          </w:p>
        </w:tc>
        <w:tc>
          <w:tcPr>
            <w:tcW w:w="111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33.585929</w:t>
            </w:r>
          </w:p>
        </w:tc>
        <w:tc>
          <w:tcPr>
            <w:tcW w:w="1332"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83</w:t>
            </w:r>
          </w:p>
        </w:tc>
        <w:tc>
          <w:tcPr>
            <w:tcW w:w="90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15</w:t>
            </w:r>
          </w:p>
        </w:tc>
        <w:tc>
          <w:tcPr>
            <w:tcW w:w="110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rPr>
              <w:t>0.3</w:t>
            </w:r>
          </w:p>
        </w:tc>
        <w:tc>
          <w:tcPr>
            <w:tcW w:w="1040"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lang w:val="en-US" w:eastAsia="zh-CN"/>
              </w:rPr>
              <w:t>53.68</w:t>
            </w:r>
          </w:p>
        </w:tc>
        <w:tc>
          <w:tcPr>
            <w:tcW w:w="957"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ascii="Times New Roman" w:hAnsi="Times New Roman"/>
                <w:color w:val="000000"/>
                <w:sz w:val="21"/>
                <w:szCs w:val="21"/>
                <w:lang w:val="en-US" w:eastAsia="zh-CN"/>
              </w:rPr>
              <w:t>25</w:t>
            </w:r>
          </w:p>
        </w:tc>
        <w:tc>
          <w:tcPr>
            <w:tcW w:w="105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2400</w:t>
            </w:r>
          </w:p>
        </w:tc>
        <w:tc>
          <w:tcPr>
            <w:tcW w:w="834"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rPr>
              <w:t>连续</w:t>
            </w:r>
          </w:p>
        </w:tc>
        <w:tc>
          <w:tcPr>
            <w:tcW w:w="1378" w:type="dxa"/>
            <w:vAlign w:val="center"/>
          </w:tcPr>
          <w:p>
            <w:pPr>
              <w:pStyle w:val="30"/>
              <w:ind w:firstLine="0" w:firstLineChars="0"/>
              <w:rPr>
                <w:rFonts w:hint="eastAsia"/>
                <w:sz w:val="21"/>
                <w:szCs w:val="21"/>
              </w:rPr>
            </w:pPr>
            <w:r>
              <w:rPr>
                <w:rFonts w:hint="eastAsia"/>
                <w:sz w:val="21"/>
                <w:szCs w:val="21"/>
                <w:u w:val="single"/>
                <w:lang w:eastAsia="zh-CN"/>
              </w:rPr>
              <w:t>非甲烷总烃</w:t>
            </w:r>
          </w:p>
        </w:tc>
        <w:tc>
          <w:tcPr>
            <w:tcW w:w="1742" w:type="dxa"/>
            <w:vAlign w:val="center"/>
          </w:tcPr>
          <w:p>
            <w:pPr>
              <w:pStyle w:val="30"/>
              <w:ind w:firstLine="0" w:firstLineChars="0"/>
              <w:rPr>
                <w:rFonts w:hint="default" w:eastAsia="宋体"/>
                <w:sz w:val="21"/>
                <w:szCs w:val="21"/>
                <w:lang w:val="en-US" w:eastAsia="zh-CN"/>
              </w:rPr>
            </w:pPr>
            <w:r>
              <w:rPr>
                <w:rFonts w:hint="eastAsia"/>
                <w:sz w:val="21"/>
                <w:szCs w:val="21"/>
                <w:u w:val="single"/>
                <w:lang w:val="en-US" w:eastAsia="zh-CN"/>
              </w:rPr>
              <w:t>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26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11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332"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90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0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color w:val="000000"/>
                <w:sz w:val="21"/>
                <w:szCs w:val="21"/>
                <w:lang w:val="en-US" w:eastAsia="zh-CN"/>
              </w:rPr>
            </w:pPr>
          </w:p>
        </w:tc>
        <w:tc>
          <w:tcPr>
            <w:tcW w:w="957"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5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834"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1378" w:type="dxa"/>
            <w:vAlign w:val="center"/>
          </w:tcPr>
          <w:p>
            <w:pPr>
              <w:pStyle w:val="30"/>
              <w:ind w:firstLine="0" w:firstLineChars="0"/>
              <w:rPr>
                <w:rFonts w:hint="eastAsia"/>
                <w:sz w:val="21"/>
                <w:szCs w:val="21"/>
                <w:lang w:val="en-US" w:eastAsia="zh-CN"/>
              </w:rPr>
            </w:pPr>
            <w:r>
              <w:rPr>
                <w:rFonts w:hint="eastAsia"/>
                <w:sz w:val="21"/>
                <w:szCs w:val="21"/>
                <w:u w:val="single"/>
                <w:lang w:eastAsia="zh-CN"/>
              </w:rPr>
              <w:t>苯乙烯</w:t>
            </w:r>
          </w:p>
        </w:tc>
        <w:tc>
          <w:tcPr>
            <w:tcW w:w="1742" w:type="dxa"/>
            <w:vAlign w:val="center"/>
          </w:tcPr>
          <w:p>
            <w:pPr>
              <w:pStyle w:val="30"/>
              <w:ind w:firstLine="0" w:firstLineChars="0"/>
              <w:rPr>
                <w:rFonts w:hint="eastAsia"/>
                <w:sz w:val="21"/>
                <w:szCs w:val="21"/>
                <w:lang w:val="en-US" w:eastAsia="zh-CN"/>
              </w:rPr>
            </w:pPr>
            <w:r>
              <w:rPr>
                <w:rFonts w:hint="eastAsia"/>
                <w:sz w:val="21"/>
                <w:szCs w:val="21"/>
                <w:u w:val="single"/>
                <w:lang w:val="en-US" w:eastAsia="zh-CN"/>
              </w:rPr>
              <w:t>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26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11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332"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90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0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color w:val="000000"/>
                <w:sz w:val="21"/>
                <w:szCs w:val="21"/>
                <w:lang w:val="en-US" w:eastAsia="zh-CN"/>
              </w:rPr>
            </w:pPr>
          </w:p>
        </w:tc>
        <w:tc>
          <w:tcPr>
            <w:tcW w:w="957"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5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834"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1378" w:type="dxa"/>
            <w:vAlign w:val="center"/>
          </w:tcPr>
          <w:p>
            <w:pPr>
              <w:pStyle w:val="30"/>
              <w:ind w:firstLine="0" w:firstLineChars="0"/>
              <w:rPr>
                <w:rFonts w:hint="eastAsia"/>
                <w:sz w:val="21"/>
                <w:szCs w:val="21"/>
                <w:u w:val="single"/>
                <w:lang w:eastAsia="zh-CN"/>
              </w:rPr>
            </w:pPr>
            <w:r>
              <w:rPr>
                <w:rFonts w:hint="eastAsia"/>
                <w:sz w:val="21"/>
                <w:szCs w:val="21"/>
                <w:u w:val="single"/>
                <w:lang w:eastAsia="zh-CN"/>
              </w:rPr>
              <w:t>颗粒物</w:t>
            </w:r>
          </w:p>
        </w:tc>
        <w:tc>
          <w:tcPr>
            <w:tcW w:w="1742" w:type="dxa"/>
            <w:vAlign w:val="center"/>
          </w:tcPr>
          <w:p>
            <w:pPr>
              <w:pStyle w:val="30"/>
              <w:ind w:firstLine="0" w:firstLineChars="0"/>
              <w:rPr>
                <w:rFonts w:hint="eastAsia"/>
                <w:sz w:val="21"/>
                <w:szCs w:val="21"/>
                <w:u w:val="single"/>
                <w:lang w:val="en-US" w:eastAsia="zh-CN"/>
              </w:rPr>
            </w:pPr>
            <w:r>
              <w:rPr>
                <w:rFonts w:hint="eastAsia"/>
                <w:sz w:val="21"/>
                <w:szCs w:val="21"/>
                <w:u w:val="single"/>
                <w:lang w:val="en-US" w:eastAsia="zh-CN"/>
              </w:rPr>
              <w:t>0.0625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3</w:t>
            </w:r>
          </w:p>
        </w:tc>
        <w:tc>
          <w:tcPr>
            <w:tcW w:w="108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eastAsia="zh-CN"/>
              </w:rPr>
              <w:t>注塑废气排气筒</w:t>
            </w:r>
          </w:p>
        </w:tc>
        <w:tc>
          <w:tcPr>
            <w:tcW w:w="126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113.477027</w:t>
            </w:r>
          </w:p>
        </w:tc>
        <w:tc>
          <w:tcPr>
            <w:tcW w:w="111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33.585552</w:t>
            </w:r>
          </w:p>
        </w:tc>
        <w:tc>
          <w:tcPr>
            <w:tcW w:w="1332"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82</w:t>
            </w:r>
          </w:p>
        </w:tc>
        <w:tc>
          <w:tcPr>
            <w:tcW w:w="90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15</w:t>
            </w:r>
          </w:p>
        </w:tc>
        <w:tc>
          <w:tcPr>
            <w:tcW w:w="110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rPr>
              <w:t>0.</w:t>
            </w:r>
            <w:r>
              <w:rPr>
                <w:rFonts w:hint="eastAsia"/>
                <w:color w:val="000000"/>
                <w:sz w:val="21"/>
                <w:szCs w:val="21"/>
                <w:lang w:val="en-US" w:eastAsia="zh-CN"/>
              </w:rPr>
              <w:t>6</w:t>
            </w:r>
          </w:p>
        </w:tc>
        <w:tc>
          <w:tcPr>
            <w:tcW w:w="1040"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ascii="Times New Roman" w:hAnsi="Times New Roman"/>
                <w:color w:val="000000"/>
                <w:sz w:val="21"/>
                <w:szCs w:val="21"/>
                <w:lang w:val="en-US" w:eastAsia="zh-CN"/>
              </w:rPr>
              <w:t>64.34</w:t>
            </w:r>
          </w:p>
        </w:tc>
        <w:tc>
          <w:tcPr>
            <w:tcW w:w="957"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ascii="Times New Roman" w:hAnsi="Times New Roman"/>
                <w:color w:val="000000"/>
                <w:sz w:val="21"/>
                <w:szCs w:val="21"/>
                <w:lang w:val="en-US" w:eastAsia="zh-CN"/>
              </w:rPr>
              <w:t>25</w:t>
            </w:r>
          </w:p>
        </w:tc>
        <w:tc>
          <w:tcPr>
            <w:tcW w:w="105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2400</w:t>
            </w:r>
          </w:p>
        </w:tc>
        <w:tc>
          <w:tcPr>
            <w:tcW w:w="834"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rPr>
              <w:t>连续</w:t>
            </w:r>
          </w:p>
        </w:tc>
        <w:tc>
          <w:tcPr>
            <w:tcW w:w="1378" w:type="dxa"/>
            <w:vAlign w:val="center"/>
          </w:tcPr>
          <w:p>
            <w:pPr>
              <w:pStyle w:val="30"/>
              <w:ind w:firstLine="0" w:firstLineChars="0"/>
              <w:rPr>
                <w:rFonts w:hint="eastAsia"/>
                <w:sz w:val="21"/>
                <w:szCs w:val="21"/>
              </w:rPr>
            </w:pPr>
            <w:r>
              <w:rPr>
                <w:rFonts w:hint="eastAsia"/>
                <w:sz w:val="21"/>
                <w:szCs w:val="21"/>
                <w:u w:val="single"/>
                <w:lang w:eastAsia="zh-CN"/>
              </w:rPr>
              <w:t>非甲烷总烃</w:t>
            </w:r>
          </w:p>
        </w:tc>
        <w:tc>
          <w:tcPr>
            <w:tcW w:w="1742" w:type="dxa"/>
            <w:vAlign w:val="center"/>
          </w:tcPr>
          <w:p>
            <w:pPr>
              <w:pStyle w:val="30"/>
              <w:ind w:firstLine="0" w:firstLineChars="0"/>
              <w:rPr>
                <w:rFonts w:hint="default" w:eastAsia="宋体"/>
                <w:sz w:val="21"/>
                <w:szCs w:val="21"/>
                <w:lang w:val="en-US" w:eastAsia="zh-CN"/>
              </w:rPr>
            </w:pPr>
            <w:r>
              <w:rPr>
                <w:rFonts w:hint="eastAsia"/>
                <w:sz w:val="21"/>
                <w:szCs w:val="21"/>
                <w:u w:val="single"/>
                <w:lang w:val="en-US" w:eastAsia="zh-CN"/>
              </w:rPr>
              <w:t>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26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11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332"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90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0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color w:val="000000"/>
                <w:sz w:val="21"/>
                <w:szCs w:val="21"/>
                <w:lang w:val="en-US" w:eastAsia="zh-CN"/>
              </w:rPr>
            </w:pPr>
          </w:p>
        </w:tc>
        <w:tc>
          <w:tcPr>
            <w:tcW w:w="957"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5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834"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1378" w:type="dxa"/>
            <w:vAlign w:val="center"/>
          </w:tcPr>
          <w:p>
            <w:pPr>
              <w:pStyle w:val="30"/>
              <w:ind w:firstLine="0" w:firstLineChars="0"/>
              <w:rPr>
                <w:rFonts w:hint="eastAsia"/>
                <w:sz w:val="21"/>
                <w:szCs w:val="21"/>
                <w:lang w:val="en-US" w:eastAsia="zh-CN"/>
              </w:rPr>
            </w:pPr>
            <w:r>
              <w:rPr>
                <w:rFonts w:hint="eastAsia"/>
                <w:sz w:val="21"/>
                <w:szCs w:val="21"/>
                <w:u w:val="single"/>
                <w:lang w:eastAsia="zh-CN"/>
              </w:rPr>
              <w:t>苯乙烯</w:t>
            </w:r>
          </w:p>
        </w:tc>
        <w:tc>
          <w:tcPr>
            <w:tcW w:w="1742" w:type="dxa"/>
            <w:vAlign w:val="center"/>
          </w:tcPr>
          <w:p>
            <w:pPr>
              <w:pStyle w:val="30"/>
              <w:ind w:firstLine="0" w:firstLineChars="0"/>
              <w:rPr>
                <w:rFonts w:hint="eastAsia"/>
                <w:sz w:val="21"/>
                <w:szCs w:val="21"/>
                <w:lang w:val="en-US" w:eastAsia="zh-CN"/>
              </w:rPr>
            </w:pPr>
            <w:r>
              <w:rPr>
                <w:rFonts w:hint="eastAsia"/>
                <w:sz w:val="21"/>
                <w:szCs w:val="21"/>
                <w:u w:val="single"/>
                <w:lang w:val="en-US" w:eastAsia="zh-CN"/>
              </w:rPr>
              <w:t>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r>
              <w:rPr>
                <w:rFonts w:hint="eastAsia"/>
                <w:color w:val="000000"/>
                <w:sz w:val="21"/>
                <w:szCs w:val="21"/>
                <w:lang w:val="en-US" w:eastAsia="zh-CN"/>
              </w:rPr>
              <w:t>4</w:t>
            </w:r>
          </w:p>
        </w:tc>
        <w:tc>
          <w:tcPr>
            <w:tcW w:w="108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r>
              <w:rPr>
                <w:rFonts w:hint="eastAsia"/>
                <w:color w:val="000000"/>
                <w:sz w:val="21"/>
                <w:szCs w:val="21"/>
                <w:lang w:val="en-US" w:eastAsia="zh-CN"/>
              </w:rPr>
              <w:t>污水处理站排气筒</w:t>
            </w:r>
          </w:p>
        </w:tc>
        <w:tc>
          <w:tcPr>
            <w:tcW w:w="126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r>
              <w:rPr>
                <w:rFonts w:hint="eastAsia"/>
                <w:color w:val="000000"/>
                <w:sz w:val="21"/>
                <w:szCs w:val="21"/>
                <w:lang w:val="en-US" w:eastAsia="zh-CN"/>
              </w:rPr>
              <w:t>113.477297</w:t>
            </w:r>
          </w:p>
        </w:tc>
        <w:tc>
          <w:tcPr>
            <w:tcW w:w="111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r>
              <w:rPr>
                <w:rFonts w:hint="eastAsia"/>
                <w:color w:val="000000"/>
                <w:sz w:val="21"/>
                <w:szCs w:val="21"/>
                <w:lang w:val="en-US" w:eastAsia="zh-CN"/>
              </w:rPr>
              <w:t>33.585103</w:t>
            </w:r>
          </w:p>
        </w:tc>
        <w:tc>
          <w:tcPr>
            <w:tcW w:w="1332"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r>
              <w:rPr>
                <w:rFonts w:hint="eastAsia"/>
                <w:color w:val="000000"/>
                <w:sz w:val="21"/>
                <w:szCs w:val="21"/>
                <w:lang w:val="en-US" w:eastAsia="zh-CN"/>
              </w:rPr>
              <w:t>82</w:t>
            </w:r>
          </w:p>
        </w:tc>
        <w:tc>
          <w:tcPr>
            <w:tcW w:w="90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15</w:t>
            </w:r>
          </w:p>
        </w:tc>
        <w:tc>
          <w:tcPr>
            <w:tcW w:w="1105"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color w:val="000000"/>
                <w:sz w:val="21"/>
                <w:szCs w:val="21"/>
                <w:lang w:val="en-US" w:eastAsia="zh-CN"/>
              </w:rPr>
              <w:t>0.3</w:t>
            </w:r>
          </w:p>
        </w:tc>
        <w:tc>
          <w:tcPr>
            <w:tcW w:w="1040"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12.87</w:t>
            </w:r>
          </w:p>
        </w:tc>
        <w:tc>
          <w:tcPr>
            <w:tcW w:w="957"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r>
              <w:rPr>
                <w:rFonts w:hint="eastAsia" w:ascii="Times New Roman" w:hAnsi="Times New Roman"/>
                <w:color w:val="000000"/>
                <w:sz w:val="21"/>
                <w:szCs w:val="21"/>
                <w:lang w:val="en-US" w:eastAsia="zh-CN"/>
              </w:rPr>
              <w:t>25</w:t>
            </w:r>
          </w:p>
        </w:tc>
        <w:tc>
          <w:tcPr>
            <w:tcW w:w="1050" w:type="dxa"/>
            <w:vMerge w:val="restart"/>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r>
              <w:rPr>
                <w:rFonts w:hint="eastAsia"/>
                <w:color w:val="000000"/>
                <w:sz w:val="21"/>
                <w:szCs w:val="21"/>
                <w:lang w:val="en-US" w:eastAsia="zh-CN"/>
              </w:rPr>
              <w:t>2400</w:t>
            </w:r>
          </w:p>
        </w:tc>
        <w:tc>
          <w:tcPr>
            <w:tcW w:w="834"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r>
              <w:rPr>
                <w:rFonts w:hint="eastAsia"/>
                <w:color w:val="000000"/>
                <w:sz w:val="21"/>
                <w:szCs w:val="21"/>
              </w:rPr>
              <w:t>连续</w:t>
            </w:r>
          </w:p>
        </w:tc>
        <w:tc>
          <w:tcPr>
            <w:tcW w:w="1378"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氨</w:t>
            </w:r>
          </w:p>
        </w:tc>
        <w:tc>
          <w:tcPr>
            <w:tcW w:w="1742" w:type="dxa"/>
            <w:vAlign w:val="center"/>
          </w:tcPr>
          <w:p>
            <w:pPr>
              <w:pStyle w:val="30"/>
              <w:ind w:firstLine="0" w:firstLineChars="0"/>
              <w:rPr>
                <w:rFonts w:hint="eastAsia"/>
                <w:sz w:val="21"/>
                <w:szCs w:val="21"/>
                <w:lang w:val="en-US" w:eastAsia="zh-CN"/>
              </w:rPr>
            </w:pPr>
            <w:r>
              <w:rPr>
                <w:rFonts w:hint="eastAsia"/>
                <w:sz w:val="21"/>
                <w:szCs w:val="21"/>
                <w:u w:val="single"/>
                <w:lang w:val="en-US" w:eastAsia="zh-CN"/>
              </w:rPr>
              <w:t>2×10</w:t>
            </w:r>
            <w:r>
              <w:rPr>
                <w:rFonts w:hint="eastAsia"/>
                <w:sz w:val="21"/>
                <w:szCs w:val="21"/>
                <w:u w:val="single"/>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26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11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332"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90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0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color w:val="000000"/>
                <w:sz w:val="21"/>
                <w:szCs w:val="21"/>
                <w:lang w:val="en-US" w:eastAsia="zh-CN"/>
              </w:rPr>
            </w:pPr>
          </w:p>
        </w:tc>
        <w:tc>
          <w:tcPr>
            <w:tcW w:w="957"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5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834"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1378"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硫化氢</w:t>
            </w:r>
          </w:p>
        </w:tc>
        <w:tc>
          <w:tcPr>
            <w:tcW w:w="1742" w:type="dxa"/>
            <w:vAlign w:val="center"/>
          </w:tcPr>
          <w:p>
            <w:pPr>
              <w:pStyle w:val="30"/>
              <w:ind w:firstLine="0" w:firstLineChars="0"/>
              <w:rPr>
                <w:rFonts w:hint="eastAsia"/>
                <w:sz w:val="21"/>
                <w:szCs w:val="21"/>
                <w:lang w:val="en-US" w:eastAsia="zh-CN"/>
              </w:rPr>
            </w:pPr>
            <w:r>
              <w:rPr>
                <w:rFonts w:hint="eastAsia" w:cs="Times New Roman"/>
                <w:sz w:val="21"/>
                <w:szCs w:val="21"/>
                <w:u w:val="single"/>
                <w:lang w:val="en-US" w:eastAsia="zh-CN"/>
              </w:rPr>
              <w:t>7.71</w:t>
            </w:r>
            <w:r>
              <w:rPr>
                <w:rFonts w:cs="Times New Roman"/>
                <w:sz w:val="21"/>
                <w:szCs w:val="21"/>
                <w:u w:val="single"/>
              </w:rPr>
              <w:t>×10</w:t>
            </w:r>
            <w:r>
              <w:rPr>
                <w:rFonts w:cs="Times New Roman"/>
                <w:sz w:val="21"/>
                <w:szCs w:val="21"/>
                <w:u w:val="single"/>
                <w:vertAlign w:val="superscript"/>
              </w:rPr>
              <w:t>-</w:t>
            </w:r>
            <w:r>
              <w:rPr>
                <w:rFonts w:hint="eastAsia" w:cs="Times New Roman"/>
                <w:sz w:val="21"/>
                <w:szCs w:val="21"/>
                <w:u w:val="single"/>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08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eastAsia="zh-CN"/>
              </w:rPr>
            </w:pPr>
          </w:p>
        </w:tc>
        <w:tc>
          <w:tcPr>
            <w:tcW w:w="126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11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1332"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90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105"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40"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color w:val="000000"/>
                <w:sz w:val="21"/>
                <w:szCs w:val="21"/>
                <w:lang w:val="en-US" w:eastAsia="zh-CN"/>
              </w:rPr>
            </w:pPr>
          </w:p>
        </w:tc>
        <w:tc>
          <w:tcPr>
            <w:tcW w:w="957"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rPr>
            </w:pPr>
          </w:p>
        </w:tc>
        <w:tc>
          <w:tcPr>
            <w:tcW w:w="1050" w:type="dxa"/>
            <w:vMerge w:val="continue"/>
            <w:vAlign w:val="center"/>
          </w:tcPr>
          <w:p>
            <w:pPr>
              <w:pStyle w:val="19"/>
              <w:widowControl/>
              <w:spacing w:beforeAutospacing="0" w:afterAutospacing="0" w:line="240" w:lineRule="auto"/>
              <w:ind w:left="0" w:leftChars="0" w:right="0" w:rightChars="0" w:firstLine="0" w:firstLineChars="0"/>
              <w:jc w:val="center"/>
              <w:rPr>
                <w:rFonts w:hint="eastAsia"/>
                <w:color w:val="000000"/>
                <w:sz w:val="21"/>
                <w:szCs w:val="21"/>
                <w:lang w:val="en-US" w:eastAsia="zh-CN"/>
              </w:rPr>
            </w:pPr>
          </w:p>
        </w:tc>
        <w:tc>
          <w:tcPr>
            <w:tcW w:w="834"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olor w:val="000000"/>
                <w:sz w:val="21"/>
                <w:szCs w:val="21"/>
              </w:rPr>
            </w:pPr>
          </w:p>
        </w:tc>
        <w:tc>
          <w:tcPr>
            <w:tcW w:w="1378" w:type="dxa"/>
            <w:vAlign w:val="center"/>
          </w:tcPr>
          <w:p>
            <w:pPr>
              <w:adjustRightInd w:val="0"/>
              <w:snapToGrid w:val="0"/>
              <w:spacing w:line="240" w:lineRule="auto"/>
              <w:ind w:firstLine="0" w:firstLineChars="0"/>
              <w:jc w:val="center"/>
              <w:rPr>
                <w:rFonts w:hint="eastAsia"/>
                <w:sz w:val="21"/>
                <w:szCs w:val="21"/>
                <w:lang w:val="en-US" w:eastAsia="zh-CN"/>
              </w:rPr>
            </w:pPr>
            <w:r>
              <w:rPr>
                <w:rFonts w:cs="Times New Roman"/>
                <w:snapToGrid w:val="0"/>
                <w:kern w:val="18"/>
                <w:sz w:val="21"/>
                <w:szCs w:val="21"/>
              </w:rPr>
              <w:t>非甲烷总烃</w:t>
            </w:r>
          </w:p>
        </w:tc>
        <w:tc>
          <w:tcPr>
            <w:tcW w:w="1742" w:type="dxa"/>
            <w:vAlign w:val="center"/>
          </w:tcPr>
          <w:p>
            <w:pPr>
              <w:pStyle w:val="30"/>
              <w:ind w:firstLine="0" w:firstLineChars="0"/>
              <w:rPr>
                <w:rFonts w:hint="eastAsia"/>
                <w:sz w:val="21"/>
                <w:szCs w:val="21"/>
                <w:lang w:val="en-US" w:eastAsia="zh-CN"/>
              </w:rPr>
            </w:pPr>
            <w:r>
              <w:rPr>
                <w:rFonts w:hint="eastAsia"/>
                <w:sz w:val="21"/>
                <w:szCs w:val="21"/>
                <w:lang w:val="en-US" w:eastAsia="zh-CN"/>
              </w:rPr>
              <w:t>0.01</w:t>
            </w:r>
          </w:p>
        </w:tc>
      </w:tr>
    </w:tbl>
    <w:p>
      <w:pPr>
        <w:pStyle w:val="20"/>
        <w:rPr>
          <w:lang w:val="en-US"/>
        </w:rPr>
        <w:sectPr>
          <w:pgSz w:w="16840" w:h="11910" w:orient="landscape"/>
          <w:pgMar w:top="1417" w:right="1417" w:bottom="1417" w:left="1417" w:header="850" w:footer="1448" w:gutter="0"/>
          <w:pgBorders w:offsetFrom="page">
            <w:top w:val="none" w:sz="0" w:space="0"/>
            <w:left w:val="none" w:sz="0" w:space="0"/>
            <w:bottom w:val="none" w:sz="0" w:space="0"/>
            <w:right w:val="none" w:sz="0" w:space="0"/>
          </w:pgBorders>
          <w:pgNumType w:fmt="decimal"/>
          <w:cols w:space="720" w:num="1"/>
        </w:sectPr>
      </w:pP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估算模式所用参数见下表。</w:t>
      </w:r>
    </w:p>
    <w:p>
      <w:pPr>
        <w:bidi w:val="0"/>
        <w:jc w:val="center"/>
        <w:rPr>
          <w:rFonts w:hint="eastAsia"/>
          <w:b/>
          <w:bCs/>
          <w:lang w:val="en-US" w:eastAsia="zh-CN"/>
        </w:rPr>
      </w:pPr>
      <w:r>
        <w:rPr>
          <w:rFonts w:hint="eastAsia"/>
          <w:b/>
          <w:bCs/>
          <w:lang w:val="en-US" w:eastAsia="zh-CN"/>
        </w:rPr>
        <w:t>表6.2-12  估算模型参数表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87"/>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参数</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城市</w:t>
            </w:r>
            <w:r>
              <w:rPr>
                <w:rFonts w:hint="default" w:ascii="Times New Roman" w:hAnsi="Times New Roman" w:eastAsia="宋体"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农村选项</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城市</w:t>
            </w:r>
            <w:r>
              <w:rPr>
                <w:rFonts w:hint="default" w:ascii="Times New Roman" w:hAnsi="Times New Roman" w:eastAsia="宋体" w:cs="宋体"/>
                <w:b w:val="0"/>
                <w:bCs w:val="0"/>
                <w:color w:val="000000"/>
                <w:kern w:val="0"/>
                <w:sz w:val="21"/>
                <w:szCs w:val="21"/>
                <w:lang w:val="en-US" w:eastAsia="zh-CN" w:bidi="ar"/>
              </w:rPr>
              <w:t>/</w:t>
            </w:r>
            <w:r>
              <w:rPr>
                <w:rFonts w:hint="eastAsia" w:ascii="Times New Roman" w:hAnsi="Times New Roman" w:eastAsia="宋体" w:cs="宋体"/>
                <w:b w:val="0"/>
                <w:bCs w:val="0"/>
                <w:color w:val="000000"/>
                <w:kern w:val="0"/>
                <w:sz w:val="21"/>
                <w:szCs w:val="21"/>
                <w:lang w:val="en-US" w:eastAsia="zh-CN" w:bidi="ar"/>
              </w:rPr>
              <w:t>农村</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人口数（城市选项时）</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最高环境温度</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最低环境温度</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土地利用类型</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0" w:type="dxa"/>
            <w:gridSpan w:val="2"/>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区域湿度条件</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半湿润区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是否考虑地形</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考虑地形</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是</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地形数据分辨率</w:t>
            </w:r>
            <w:r>
              <w:rPr>
                <w:rFonts w:hint="default" w:ascii="Times New Roman" w:hAnsi="Times New Roman" w:eastAsia="宋体" w:cs="宋体"/>
                <w:b w:val="0"/>
                <w:bCs w:val="0"/>
                <w:color w:val="000000"/>
                <w:kern w:val="0"/>
                <w:sz w:val="21"/>
                <w:szCs w:val="21"/>
                <w:lang w:val="en-US" w:eastAsia="zh-CN" w:bidi="ar"/>
              </w:rPr>
              <w:t>/m</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cs="宋体"/>
                <w:b w:val="0"/>
                <w:bCs w:val="0"/>
                <w:color w:val="000000"/>
                <w:kern w:val="0"/>
                <w:sz w:val="21"/>
                <w:szCs w:val="21"/>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是否考虑岸线熏烟</w:t>
            </w: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考虑岸线熏烟</w:t>
            </w:r>
          </w:p>
        </w:tc>
        <w:tc>
          <w:tcPr>
            <w:tcW w:w="3356" w:type="dxa"/>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是</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岸线距离</w:t>
            </w:r>
            <w:r>
              <w:rPr>
                <w:rFonts w:hint="default" w:ascii="Times New Roman" w:hAnsi="Times New Roman" w:eastAsia="宋体" w:cs="宋体"/>
                <w:b w:val="0"/>
                <w:bCs w:val="0"/>
                <w:color w:val="000000"/>
                <w:kern w:val="0"/>
                <w:sz w:val="21"/>
                <w:szCs w:val="21"/>
                <w:lang w:val="en-US" w:eastAsia="zh-CN" w:bidi="ar"/>
              </w:rPr>
              <w:t>/km</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55"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p>
        </w:tc>
        <w:tc>
          <w:tcPr>
            <w:tcW w:w="3355"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岸线方向</w:t>
            </w:r>
            <w:r>
              <w:rPr>
                <w:rFonts w:hint="default" w:ascii="Times New Roman" w:hAnsi="Times New Roman" w:eastAsia="宋体" w:cs="宋体"/>
                <w:b w:val="0"/>
                <w:bCs w:val="0"/>
                <w:color w:val="000000"/>
                <w:kern w:val="0"/>
                <w:sz w:val="21"/>
                <w:szCs w:val="21"/>
                <w:lang w:val="en-US" w:eastAsia="zh-CN" w:bidi="ar"/>
              </w:rPr>
              <w:t>/°</w:t>
            </w:r>
          </w:p>
        </w:tc>
        <w:tc>
          <w:tcPr>
            <w:tcW w:w="335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b w:val="0"/>
                <w:bCs w:val="0"/>
                <w:color w:val="000000"/>
                <w:kern w:val="0"/>
                <w:sz w:val="21"/>
                <w:szCs w:val="21"/>
                <w:lang w:val="en-US" w:eastAsia="zh-CN" w:bidi="ar"/>
              </w:rPr>
            </w:pPr>
            <w:r>
              <w:rPr>
                <w:rFonts w:hint="eastAsia" w:ascii="Times New Roman" w:hAnsi="Times New Roman" w:eastAsia="宋体" w:cs="宋体"/>
                <w:b w:val="0"/>
                <w:bCs w:val="0"/>
                <w:color w:val="000000"/>
                <w:kern w:val="0"/>
                <w:sz w:val="21"/>
                <w:szCs w:val="21"/>
                <w:lang w:val="en-US" w:eastAsia="zh-CN" w:bidi="ar"/>
              </w:rPr>
              <w:t>/</w:t>
            </w:r>
          </w:p>
        </w:tc>
      </w:tr>
    </w:tbl>
    <w:p>
      <w:pPr>
        <w:bidi w:val="0"/>
        <w:jc w:val="center"/>
        <w:rPr>
          <w:rFonts w:hint="eastAsia"/>
          <w:b/>
          <w:bCs/>
          <w:lang w:val="en-US" w:eastAsia="zh-CN"/>
        </w:rPr>
      </w:pPr>
      <w:r>
        <w:rPr>
          <w:rFonts w:hint="eastAsia"/>
          <w:b/>
          <w:bCs/>
          <w:lang w:val="en-US" w:eastAsia="zh-CN"/>
        </w:rPr>
        <w:t>表6.2-13  估算结果表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04"/>
        <w:gridCol w:w="1800"/>
        <w:gridCol w:w="1419"/>
        <w:gridCol w:w="1119"/>
        <w:gridCol w:w="106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污染源名称</w:t>
            </w:r>
          </w:p>
        </w:tc>
        <w:tc>
          <w:tcPr>
            <w:tcW w:w="130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评价因子</w:t>
            </w:r>
          </w:p>
        </w:tc>
        <w:tc>
          <w:tcPr>
            <w:tcW w:w="1800" w:type="dxa"/>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最大地面浓度出现的下风距离</w:t>
            </w:r>
          </w:p>
        </w:tc>
        <w:tc>
          <w:tcPr>
            <w:tcW w:w="14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Cmax(</w:t>
            </w:r>
            <w:r>
              <w:rPr>
                <w:rFonts w:hint="eastAsia" w:cs="宋体"/>
                <w:b w:val="0"/>
                <w:bCs w:val="0"/>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g/m</w:t>
            </w:r>
            <w:r>
              <w:rPr>
                <w:rFonts w:hint="eastAsia" w:ascii="Times New Roman" w:hAnsi="Times New Roman" w:cs="宋体"/>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w:t>
            </w:r>
          </w:p>
        </w:tc>
        <w:tc>
          <w:tcPr>
            <w:tcW w:w="1119"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Pmax(%)</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D</w:t>
            </w:r>
            <w:r>
              <w:rPr>
                <w:rFonts w:hint="default" w:ascii="Times New Roman" w:hAnsi="Times New Roman" w:eastAsia="宋体" w:cs="宋体"/>
                <w:b w:val="0"/>
                <w:bCs w:val="0"/>
                <w:color w:val="000000" w:themeColor="text1"/>
                <w:kern w:val="0"/>
                <w:sz w:val="21"/>
                <w:szCs w:val="21"/>
                <w:vertAlign w:val="subscript"/>
                <w:lang w:val="en-US" w:eastAsia="zh-CN" w:bidi="ar"/>
                <w14:textFill>
                  <w14:solidFill>
                    <w14:schemeClr w14:val="tx1"/>
                  </w14:solidFill>
                </w14:textFill>
              </w:rPr>
              <w:t>10</w:t>
            </w:r>
            <w:r>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t>%(m)</w:t>
            </w:r>
          </w:p>
        </w:tc>
        <w:tc>
          <w:tcPr>
            <w:tcW w:w="1084" w:type="dxa"/>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DA001</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0.0008467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0.19</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DA002</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0.0004247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0.02</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2.615E-5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0.26</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u w:val="single"/>
                <w:lang w:eastAsia="zh-CN"/>
              </w:rPr>
            </w:pPr>
            <w:r>
              <w:rPr>
                <w:rFonts w:hint="eastAsia"/>
                <w:u w:val="single"/>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892</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rPr>
            </w:pPr>
            <w:r>
              <w:rPr>
                <w:rFonts w:hint="eastAsia" w:eastAsia="宋体"/>
                <w:sz w:val="21"/>
                <w:szCs w:val="21"/>
                <w:u w:val="single"/>
              </w:rPr>
              <w:t>0.001472</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rPr>
            </w:pPr>
            <w:r>
              <w:rPr>
                <w:rFonts w:hint="eastAsia" w:eastAsia="宋体"/>
                <w:sz w:val="21"/>
                <w:szCs w:val="21"/>
                <w:u w:val="single"/>
              </w:rPr>
              <w:t>0.33</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DA003</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pStyle w:val="30"/>
              <w:ind w:firstLine="0" w:firstLineChars="0"/>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1554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rPr>
              <w:t>0.0001367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1554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0.0001265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rPr>
              <w:t>1.26</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DA004</w:t>
            </w:r>
            <w:r>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t>排气筒</w:t>
            </w: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氨</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2.987E-6</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硫化氢</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7.656E-8</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2486</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rPr>
              <w:t>2.947E-9</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0.00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粉碎车间</w:t>
            </w: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color w:val="000000"/>
                <w:sz w:val="21"/>
                <w:szCs w:val="21"/>
                <w:lang w:val="en-US" w:eastAsia="zh-CN" w:bidi="ar"/>
              </w:rPr>
              <w:t>194</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0.002717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rPr>
              <w:t>0.60</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造粒车间</w:t>
            </w: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0.002157</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0.11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u w:val="single"/>
                <w:lang w:eastAsia="zh-CN"/>
              </w:rPr>
              <w:t>苯乙烯</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0.001589</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heme="minorBidi"/>
                <w:color w:val="000000"/>
                <w:kern w:val="0"/>
                <w:sz w:val="21"/>
                <w:szCs w:val="21"/>
                <w:lang w:val="en-US" w:eastAsia="zh-CN" w:bidi="ar"/>
              </w:rPr>
              <w:t>1.59</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pStyle w:val="30"/>
              <w:ind w:firstLine="0" w:firstLineChars="0"/>
              <w:rPr>
                <w:rFonts w:hint="eastAsia"/>
                <w:u w:val="single"/>
                <w:lang w:eastAsia="zh-CN"/>
              </w:rPr>
            </w:pPr>
            <w:r>
              <w:rPr>
                <w:rFonts w:hint="eastAsia"/>
                <w:u w:val="single"/>
                <w:lang w:eastAsia="zh-CN"/>
              </w:rPr>
              <w:t>颗粒物</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sz w:val="21"/>
                <w:szCs w:val="21"/>
                <w:u w:val="single"/>
                <w:lang w:val="en-US" w:eastAsia="zh-CN"/>
              </w:rPr>
            </w:pPr>
            <w:r>
              <w:rPr>
                <w:rFonts w:hint="eastAsia"/>
                <w:sz w:val="21"/>
                <w:szCs w:val="21"/>
                <w:u w:val="single"/>
                <w:lang w:val="en-US" w:eastAsia="zh-CN"/>
              </w:rPr>
              <w:t>380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u w:val="single"/>
                <w:lang w:val="en-US" w:eastAsia="zh-CN" w:bidi="ar"/>
              </w:rPr>
            </w:pPr>
            <w:r>
              <w:rPr>
                <w:rFonts w:hint="eastAsia" w:ascii="Times New Roman" w:hAnsi="Times New Roman" w:eastAsia="宋体" w:cstheme="minorBidi"/>
                <w:color w:val="000000"/>
                <w:kern w:val="0"/>
                <w:sz w:val="21"/>
                <w:szCs w:val="21"/>
                <w:u w:val="single"/>
                <w:lang w:val="en-US" w:eastAsia="zh-CN" w:bidi="ar"/>
              </w:rPr>
              <w:t>0.0003315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u w:val="single"/>
                <w:lang w:val="en-US" w:eastAsia="zh-CN" w:bidi="ar"/>
              </w:rPr>
            </w:pPr>
            <w:r>
              <w:rPr>
                <w:rFonts w:hint="eastAsia" w:ascii="Times New Roman" w:hAnsi="Times New Roman" w:eastAsia="宋体" w:cstheme="minorBidi"/>
                <w:color w:val="000000"/>
                <w:kern w:val="0"/>
                <w:sz w:val="21"/>
                <w:szCs w:val="21"/>
                <w:u w:val="single"/>
                <w:lang w:val="en-US" w:eastAsia="zh-CN" w:bidi="ar"/>
              </w:rPr>
              <w:t>0.07</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u w:val="single"/>
                <w:lang w:val="en-US" w:eastAsia="zh-CN" w:bidi="ar"/>
                <w14:textFill>
                  <w14:solidFill>
                    <w14:schemeClr w14:val="tx1"/>
                  </w14:solidFill>
                </w14:textFill>
              </w:rPr>
            </w:pPr>
            <w:r>
              <w:rPr>
                <w:rFonts w:hint="eastAsia" w:cs="宋体"/>
                <w:b w:val="0"/>
                <w:bCs w:val="0"/>
                <w:color w:val="000000" w:themeColor="text1"/>
                <w:kern w:val="0"/>
                <w:sz w:val="21"/>
                <w:szCs w:val="21"/>
                <w:u w:val="single"/>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00" w:type="dxa"/>
            <w:vMerge w:val="restar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污水处理站</w:t>
            </w: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氨</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0.07</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硫化氢</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00" w:type="dxa"/>
            <w:vMerge w:val="continue"/>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p>
        </w:tc>
        <w:tc>
          <w:tcPr>
            <w:tcW w:w="1304" w:type="dxa"/>
            <w:vAlign w:val="center"/>
          </w:tcPr>
          <w:p>
            <w:pPr>
              <w:adjustRightInd w:val="0"/>
              <w:snapToGrid w:val="0"/>
              <w:spacing w:line="240" w:lineRule="auto"/>
              <w:ind w:firstLine="0" w:firstLineChars="0"/>
              <w:jc w:val="center"/>
              <w:rPr>
                <w:rFonts w:hint="eastAsia" w:cs="宋体"/>
                <w:b w:val="0"/>
                <w:bCs w:val="0"/>
                <w:color w:val="000000" w:themeColor="text1"/>
                <w:kern w:val="0"/>
                <w:sz w:val="21"/>
                <w:szCs w:val="21"/>
                <w:lang w:val="en-US" w:eastAsia="zh-CN" w:bidi="ar"/>
                <w14:textFill>
                  <w14:solidFill>
                    <w14:schemeClr w14:val="tx1"/>
                  </w14:solidFill>
                </w14:textFill>
              </w:rPr>
            </w:pPr>
            <w:r>
              <w:rPr>
                <w:rFonts w:cs="Times New Roman"/>
                <w:snapToGrid w:val="0"/>
                <w:kern w:val="18"/>
                <w:sz w:val="21"/>
                <w:szCs w:val="21"/>
              </w:rPr>
              <w:t>非甲烷总烃</w:t>
            </w:r>
          </w:p>
        </w:tc>
        <w:tc>
          <w:tcPr>
            <w:tcW w:w="1800"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default"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100</w:t>
            </w:r>
          </w:p>
        </w:tc>
        <w:tc>
          <w:tcPr>
            <w:tcW w:w="1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1.032E-6</w:t>
            </w:r>
          </w:p>
        </w:tc>
        <w:tc>
          <w:tcPr>
            <w:tcW w:w="11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sz w:val="21"/>
                <w:szCs w:val="21"/>
              </w:rPr>
              <w:t>0.01</w:t>
            </w:r>
          </w:p>
        </w:tc>
        <w:tc>
          <w:tcPr>
            <w:tcW w:w="1062"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w:t>
            </w:r>
          </w:p>
        </w:tc>
        <w:tc>
          <w:tcPr>
            <w:tcW w:w="1084"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auto"/>
              <w:rPr>
                <w:rFonts w:hint="eastAsia" w:cs="宋体"/>
                <w:b w:val="0"/>
                <w:bCs w:val="0"/>
                <w:color w:val="000000" w:themeColor="text1"/>
                <w:kern w:val="0"/>
                <w:sz w:val="21"/>
                <w:szCs w:val="21"/>
                <w:lang w:val="en-US" w:eastAsia="zh-CN" w:bidi="ar"/>
                <w14:textFill>
                  <w14:solidFill>
                    <w14:schemeClr w14:val="tx1"/>
                  </w14:solidFill>
                </w14:textFill>
              </w:rPr>
            </w:pPr>
            <w:r>
              <w:rPr>
                <w:rFonts w:hint="eastAsia" w:cs="宋体"/>
                <w:b w:val="0"/>
                <w:bCs w:val="0"/>
                <w:color w:val="000000" w:themeColor="text1"/>
                <w:kern w:val="0"/>
                <w:sz w:val="21"/>
                <w:szCs w:val="21"/>
                <w:lang w:val="en-US" w:eastAsia="zh-CN" w:bidi="ar"/>
                <w14:textFill>
                  <w14:solidFill>
                    <w14:schemeClr w14:val="tx1"/>
                  </w14:solidFill>
                </w14:textFill>
              </w:rPr>
              <w:t>三级</w:t>
            </w:r>
          </w:p>
        </w:tc>
      </w:tr>
      <w:bookmarkEnd w:id="145"/>
    </w:tbl>
    <w:p>
      <w:pPr>
        <w:keepNext w:val="0"/>
        <w:keepLines w:val="0"/>
        <w:widowControl/>
        <w:suppressLineNumbers w:val="0"/>
        <w:jc w:val="both"/>
        <w:rPr>
          <w:sz w:val="24"/>
          <w:szCs w:val="24"/>
          <w:u w:val="single"/>
        </w:rPr>
      </w:pPr>
      <w:r>
        <w:rPr>
          <w:rFonts w:hint="eastAsia" w:ascii="宋体" w:hAnsi="宋体" w:eastAsia="宋体" w:cs="宋体"/>
          <w:color w:val="000000"/>
          <w:kern w:val="0"/>
          <w:sz w:val="24"/>
          <w:szCs w:val="24"/>
          <w:u w:val="single"/>
          <w:lang w:val="en-US" w:eastAsia="zh-CN" w:bidi="ar"/>
        </w:rPr>
        <w:t>由表</w:t>
      </w:r>
      <w:r>
        <w:rPr>
          <w:rFonts w:hint="default" w:ascii="Times New Roman" w:hAnsi="Times New Roman" w:eastAsia="宋体" w:cs="Times New Roman"/>
          <w:color w:val="000000"/>
          <w:kern w:val="0"/>
          <w:sz w:val="24"/>
          <w:szCs w:val="24"/>
          <w:u w:val="single"/>
          <w:lang w:val="en-US" w:eastAsia="zh-CN" w:bidi="ar"/>
        </w:rPr>
        <w:t>6.2-</w:t>
      </w:r>
      <w:r>
        <w:rPr>
          <w:rFonts w:hint="eastAsia" w:ascii="Times New Roman" w:hAnsi="Times New Roman" w:eastAsia="宋体" w:cs="Times New Roman"/>
          <w:color w:val="000000"/>
          <w:kern w:val="0"/>
          <w:sz w:val="24"/>
          <w:szCs w:val="24"/>
          <w:u w:val="single"/>
          <w:lang w:val="en-US" w:eastAsia="zh-CN" w:bidi="ar"/>
        </w:rPr>
        <w:t>13</w:t>
      </w:r>
      <w:r>
        <w:rPr>
          <w:rFonts w:hint="eastAsia" w:ascii="宋体" w:hAnsi="宋体" w:eastAsia="宋体" w:cs="宋体"/>
          <w:color w:val="000000"/>
          <w:kern w:val="0"/>
          <w:sz w:val="24"/>
          <w:szCs w:val="24"/>
          <w:u w:val="single"/>
          <w:lang w:val="en-US" w:eastAsia="zh-CN" w:bidi="ar"/>
        </w:rPr>
        <w:t>可知，本次工程最大占标率</w:t>
      </w:r>
      <w:r>
        <w:rPr>
          <w:rFonts w:hint="default" w:ascii="Times New Roman" w:hAnsi="Times New Roman" w:eastAsia="宋体" w:cs="Times New Roman"/>
          <w:color w:val="000000"/>
          <w:kern w:val="0"/>
          <w:sz w:val="24"/>
          <w:szCs w:val="24"/>
          <w:u w:val="single"/>
          <w:lang w:val="en-US" w:eastAsia="zh-CN" w:bidi="ar"/>
        </w:rPr>
        <w:t>Pmax=</w:t>
      </w:r>
      <w:r>
        <w:rPr>
          <w:rFonts w:hint="eastAsia" w:cs="Times New Roman"/>
          <w:color w:val="000000"/>
          <w:kern w:val="0"/>
          <w:sz w:val="24"/>
          <w:szCs w:val="24"/>
          <w:u w:val="single"/>
          <w:lang w:val="en-US" w:eastAsia="zh-CN" w:bidi="ar"/>
        </w:rPr>
        <w:t>1.59</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，大气环境影响评价等级为</w:t>
      </w:r>
      <w:r>
        <w:rPr>
          <w:rFonts w:hint="eastAsia" w:ascii="宋体" w:hAnsi="宋体" w:cs="宋体"/>
          <w:color w:val="000000"/>
          <w:kern w:val="0"/>
          <w:sz w:val="24"/>
          <w:szCs w:val="24"/>
          <w:u w:val="single"/>
          <w:lang w:val="en-US" w:eastAsia="zh-CN" w:bidi="ar"/>
        </w:rPr>
        <w:t>二</w:t>
      </w:r>
      <w:r>
        <w:rPr>
          <w:rFonts w:hint="eastAsia" w:ascii="宋体" w:hAnsi="宋体" w:eastAsia="宋体" w:cs="宋体"/>
          <w:color w:val="000000"/>
          <w:kern w:val="0"/>
          <w:sz w:val="24"/>
          <w:szCs w:val="24"/>
          <w:u w:val="single"/>
          <w:lang w:val="en-US" w:eastAsia="zh-CN" w:bidi="ar"/>
        </w:rPr>
        <w:t>级。</w:t>
      </w:r>
    </w:p>
    <w:p>
      <w:pPr>
        <w:keepNext w:val="0"/>
        <w:keepLines w:val="0"/>
        <w:widowControl/>
        <w:suppressLineNumbers w:val="0"/>
        <w:jc w:val="both"/>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根据《环境影响评价技术导则大气环境》</w:t>
      </w:r>
      <w:r>
        <w:rPr>
          <w:rFonts w:hint="default" w:ascii="Times New Roman" w:hAnsi="Times New Roman" w:eastAsia="宋体" w:cs="Times New Roman"/>
          <w:color w:val="000000"/>
          <w:kern w:val="0"/>
          <w:sz w:val="24"/>
          <w:szCs w:val="24"/>
          <w:u w:val="single"/>
          <w:lang w:val="en-US" w:eastAsia="zh-CN" w:bidi="ar"/>
        </w:rPr>
        <w:t>(HJ2.2-2018)</w:t>
      </w:r>
      <w:r>
        <w:rPr>
          <w:rFonts w:hint="eastAsia" w:ascii="宋体" w:hAnsi="宋体" w:eastAsia="宋体" w:cs="宋体"/>
          <w:color w:val="000000"/>
          <w:kern w:val="0"/>
          <w:sz w:val="24"/>
          <w:szCs w:val="24"/>
          <w:u w:val="single"/>
          <w:lang w:val="en-US" w:eastAsia="zh-CN" w:bidi="ar"/>
        </w:rPr>
        <w:t>相关要求，确定本项目的评价等级为二级评价，二级评价项目大气环境影响评价范围边长取</w:t>
      </w:r>
      <w:r>
        <w:rPr>
          <w:rFonts w:hint="default" w:ascii="Times New Roman" w:hAnsi="Times New Roman" w:eastAsia="宋体" w:cs="Times New Roman"/>
          <w:color w:val="000000"/>
          <w:kern w:val="0"/>
          <w:sz w:val="24"/>
          <w:szCs w:val="24"/>
          <w:u w:val="single"/>
          <w:lang w:val="en-US" w:eastAsia="zh-CN" w:bidi="ar"/>
        </w:rPr>
        <w:t>5km</w:t>
      </w:r>
      <w:r>
        <w:rPr>
          <w:rFonts w:hint="eastAsia" w:ascii="宋体" w:hAnsi="宋体" w:eastAsia="宋体" w:cs="宋体"/>
          <w:color w:val="000000"/>
          <w:kern w:val="0"/>
          <w:sz w:val="24"/>
          <w:szCs w:val="24"/>
          <w:u w:val="single"/>
          <w:lang w:val="en-US" w:eastAsia="zh-CN" w:bidi="ar"/>
        </w:rPr>
        <w:t>。二级评价项目不进行进一步预测和评价，只对污染物排放量进行核算。</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lang w:val="en-US"/>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lang w:val="en-US"/>
        </w:rPr>
      </w:pPr>
      <w:r>
        <w:rPr>
          <w:b/>
          <w:bCs/>
          <w:u w:val="single"/>
          <w:lang w:val="en-US"/>
        </w:rPr>
        <w:t>6.2-</w:t>
      </w:r>
      <w:r>
        <w:rPr>
          <w:rFonts w:hint="eastAsia"/>
          <w:b/>
          <w:bCs/>
          <w:u w:val="single"/>
          <w:lang w:val="en-US" w:eastAsia="zh-CN"/>
        </w:rPr>
        <w:t>1</w:t>
      </w:r>
      <w:r>
        <w:rPr>
          <w:rFonts w:hint="eastAsia"/>
          <w:b/>
          <w:bCs/>
          <w:u w:val="single"/>
          <w:lang w:val="en-US"/>
        </w:rPr>
        <w:t>4  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2849"/>
        <w:gridCol w:w="3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6366"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6"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颗粒物</w:t>
            </w: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颗粒物</w:t>
            </w: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r>
              <w:rPr>
                <w:rFonts w:hint="eastAsia"/>
                <w:color w:val="000000"/>
                <w:sz w:val="21"/>
                <w:szCs w:val="21"/>
              </w:rPr>
              <w:t>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0.0006733</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r>
              <w:rPr>
                <w:rFonts w:hint="eastAsia"/>
                <w:color w:val="000000"/>
                <w:sz w:val="21"/>
                <w:szCs w:val="21"/>
              </w:rPr>
              <w:t>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0.000771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252</w:t>
            </w:r>
          </w:p>
        </w:tc>
        <w:tc>
          <w:tcPr>
            <w:tcW w:w="285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0.0008467</w:t>
            </w:r>
          </w:p>
        </w:tc>
        <w:tc>
          <w:tcPr>
            <w:tcW w:w="351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0.0008113</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0.0007177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0.0007169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0.0006587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0.0006207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sz w:val="21"/>
                <w:szCs w:val="21"/>
              </w:rPr>
              <w:t>900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0.0006007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0.0006068</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0.0006021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0.0005733</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0.0005539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0.0005332</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0.0005119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0.0004907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0.0004499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0.0004306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0.0004123</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0.000395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0.0003787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0.0003634</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0.0003491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0.0007001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0.0008467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6366" w:type="dxa"/>
            <w:gridSpan w:val="2"/>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636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color w:val="000000"/>
                <w:sz w:val="21"/>
                <w:szCs w:val="21"/>
                <w:lang w:val="en-US" w:bidi="ar"/>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single"/>
          <w:lang w:val="en-US"/>
        </w:rPr>
      </w:pPr>
      <w:r>
        <w:rPr>
          <w:b/>
          <w:bCs/>
          <w:u w:val="single"/>
          <w:lang w:val="en-US"/>
        </w:rPr>
        <w:t>6.2-</w:t>
      </w:r>
      <w:r>
        <w:rPr>
          <w:rFonts w:hint="eastAsia"/>
          <w:b/>
          <w:bCs/>
          <w:u w:val="single"/>
          <w:lang w:val="en-US" w:eastAsia="zh-CN"/>
        </w:rPr>
        <w:t>15</w:t>
      </w:r>
      <w:r>
        <w:rPr>
          <w:rFonts w:hint="eastAsia"/>
          <w:b/>
          <w:bCs/>
          <w:u w:val="single"/>
          <w:lang w:val="en-US"/>
        </w:rPr>
        <w:t xml:space="preserve">  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230"/>
        <w:gridCol w:w="1390"/>
        <w:gridCol w:w="1240"/>
        <w:gridCol w:w="1330"/>
        <w:gridCol w:w="1250"/>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693"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DA002排气筒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9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6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57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苯乙烯</w:t>
            </w:r>
          </w:p>
        </w:tc>
        <w:tc>
          <w:tcPr>
            <w:tcW w:w="250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9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0.0002171</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3.475E-6</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0.03</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0.0007105</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0.0002747</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2.092E-5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0.21</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0.0009558</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0.0002907</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2.325E-5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0.23</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0.001012</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0.0002722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2.211E-5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0.22</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0.0009697</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0.000266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2.036E-5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0.20</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0.0009058</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0.0003462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1.921E-5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0.19</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0.001132</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0.0003954</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1.856E-5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0.19</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0.001326</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0.000419</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2.171E-5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0.22</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0.001431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color w:val="000000"/>
                <w:sz w:val="21"/>
                <w:szCs w:val="21"/>
                <w:lang w:val="en-US" w:eastAsia="zh-CN" w:bidi="ar"/>
              </w:rPr>
              <w:t>892</w:t>
            </w:r>
          </w:p>
        </w:tc>
        <w:tc>
          <w:tcPr>
            <w:tcW w:w="123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0.0004247</w:t>
            </w:r>
          </w:p>
        </w:tc>
        <w:tc>
          <w:tcPr>
            <w:tcW w:w="139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2.615E-5</w:t>
            </w:r>
          </w:p>
        </w:tc>
        <w:tc>
          <w:tcPr>
            <w:tcW w:w="133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0.26</w:t>
            </w:r>
          </w:p>
        </w:tc>
        <w:tc>
          <w:tcPr>
            <w:tcW w:w="125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0.001472</w:t>
            </w:r>
          </w:p>
        </w:tc>
        <w:tc>
          <w:tcPr>
            <w:tcW w:w="1253"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0.0004246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2.987E-5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0.30</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0.00147</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0.0004185</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3.189E-5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0.32</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0.001464</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0.0004022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3.334E-5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0.33</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0.001417</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0.0003841</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3.433E-5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0.34</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0.001361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0.0003705</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3.491E-5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0.001301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0.0003742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3.518E-5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0.001271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0.0003742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3.521E-5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0.001281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0.0003716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3.519E-5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0.00128</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0.0003669</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3.5E-5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0.001271</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0.0003608</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3.465E-5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0.001256</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0.0003536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3.419E-5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0.34</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0.001236</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0.0003456</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3.363E-5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0.34</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0.001213</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0.0003364</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3.293E-5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0.33</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0.001184</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0.0003271</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3.221E-5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0.32</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0.001155</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0.000318</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3.147E-5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0.31</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0.001125</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0.000309</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3.073E-5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0.31</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0.001096</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0.0003003</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3.062E-5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0.31</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0.001067</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0.0002362</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5.86E-6</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0.06</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0.001039</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0.0002587</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2.1E-5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0.21</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0.0007242</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0.0004247</w:t>
            </w:r>
          </w:p>
        </w:tc>
        <w:tc>
          <w:tcPr>
            <w:tcW w:w="13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0.02</w:t>
            </w:r>
          </w:p>
        </w:tc>
        <w:tc>
          <w:tcPr>
            <w:tcW w:w="124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3.521E-5</w:t>
            </w:r>
          </w:p>
        </w:tc>
        <w:tc>
          <w:tcPr>
            <w:tcW w:w="13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0.35</w:t>
            </w:r>
          </w:p>
        </w:tc>
        <w:tc>
          <w:tcPr>
            <w:tcW w:w="12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eastAsia="宋体"/>
                <w:sz w:val="21"/>
                <w:szCs w:val="21"/>
              </w:rPr>
              <w:t>0.001472</w:t>
            </w:r>
          </w:p>
        </w:tc>
        <w:tc>
          <w:tcPr>
            <w:tcW w:w="125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eastAsia="宋体"/>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6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c>
          <w:tcPr>
            <w:tcW w:w="257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c>
          <w:tcPr>
            <w:tcW w:w="250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6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57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c>
          <w:tcPr>
            <w:tcW w:w="250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rPr>
      </w:pPr>
      <w:r>
        <w:rPr>
          <w:b/>
          <w:bCs/>
          <w:u w:val="single"/>
          <w:lang w:val="en-US"/>
        </w:rPr>
        <w:t>6.2-</w:t>
      </w:r>
      <w:r>
        <w:rPr>
          <w:rFonts w:hint="eastAsia"/>
          <w:b/>
          <w:bCs/>
          <w:u w:val="single"/>
          <w:lang w:val="en-US" w:eastAsia="zh-CN"/>
        </w:rPr>
        <w:t>16</w:t>
      </w:r>
      <w:r>
        <w:rPr>
          <w:rFonts w:hint="eastAsia"/>
          <w:b/>
          <w:bCs/>
          <w:u w:val="single"/>
          <w:lang w:val="en-US"/>
        </w:rPr>
        <w:t xml:space="preserve">  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646"/>
        <w:gridCol w:w="2192"/>
        <w:gridCol w:w="189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552" w:type="dxa"/>
            <w:gridSpan w:val="4"/>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DA003排气筒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1.349E-5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w:t>
            </w:r>
            <w:r>
              <w:rPr>
                <w:rFonts w:hint="eastAsia"/>
                <w:sz w:val="21"/>
                <w:szCs w:val="21"/>
                <w:lang w:val="en-US" w:eastAsia="zh-CN"/>
              </w:rPr>
              <w:t>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6.468E-5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8.121E-5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w:t>
            </w:r>
            <w:r>
              <w:rPr>
                <w:rFonts w:hint="eastAsia"/>
                <w:sz w:val="21"/>
                <w:szCs w:val="21"/>
                <w:lang w:val="en-US" w:eastAsia="zh-CN"/>
              </w:rPr>
              <w:t>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8.183E-5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9.027E-5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w:t>
            </w:r>
            <w:r>
              <w:rPr>
                <w:rFonts w:hint="eastAsia"/>
                <w:sz w:val="21"/>
                <w:szCs w:val="21"/>
                <w:lang w:val="en-US" w:eastAsia="zh-CN"/>
              </w:rPr>
              <w:t>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8.658E-5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8.586E-5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w:t>
            </w:r>
            <w:r>
              <w:rPr>
                <w:rFonts w:hint="eastAsia"/>
                <w:sz w:val="21"/>
                <w:szCs w:val="21"/>
                <w:lang w:val="en-US" w:eastAsia="zh-CN"/>
              </w:rPr>
              <w:t>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8.109E-5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7.905E-5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7.923E-5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7.459E-5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0.0001031</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7.205E-5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0.0001178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8.428E-5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0.0001248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0.0001015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0.0001265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0.0001159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0.0001247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0.0001238</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0.0001198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0.0001295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0.0001144</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0.0001333</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0.0001104</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0.0001355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0.0001115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0.0001366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0.0001115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7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1554</w:t>
            </w:r>
          </w:p>
        </w:tc>
        <w:tc>
          <w:tcPr>
            <w:tcW w:w="164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0.0001367</w:t>
            </w:r>
          </w:p>
        </w:tc>
        <w:tc>
          <w:tcPr>
            <w:tcW w:w="219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897"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0.0001265</w:t>
            </w:r>
          </w:p>
        </w:tc>
        <w:tc>
          <w:tcPr>
            <w:tcW w:w="1817"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0.0001366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0.0001107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0.0001359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0.0001093</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0.0001345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0.0001075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0.0001327</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0.0001053</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0.0001306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0.000103</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0.0001279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0.0001002</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0.0001251</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9.744E-5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0.0001222</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9.472E-5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0.0001193</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9.205E-5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0.0001189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8.945E-5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2.275E-5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7.037E-5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8.154E-5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7.707E-5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0.0001367</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0.0001265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1554</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rPr>
      </w:pPr>
      <w:r>
        <w:rPr>
          <w:b/>
          <w:bCs/>
          <w:u w:val="single"/>
          <w:lang w:val="en-US"/>
        </w:rPr>
        <w:t>6.2-</w:t>
      </w:r>
      <w:r>
        <w:rPr>
          <w:rFonts w:hint="eastAsia"/>
          <w:b/>
          <w:bCs/>
          <w:u w:val="single"/>
          <w:lang w:val="en-US" w:eastAsia="zh-CN"/>
        </w:rPr>
        <w:t>17</w:t>
      </w:r>
      <w:r>
        <w:rPr>
          <w:rFonts w:hint="eastAsia"/>
          <w:b/>
          <w:bCs/>
          <w:u w:val="single"/>
          <w:lang w:val="en-US"/>
        </w:rPr>
        <w:t xml:space="preserve">  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84"/>
        <w:gridCol w:w="1200"/>
        <w:gridCol w:w="1362"/>
        <w:gridCol w:w="1235"/>
        <w:gridCol w:w="1396"/>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788"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DA004排气筒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氨</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6.505E-8</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1.075E-9</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6.418E-11</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1.089E-6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2.043E-9</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1.075E-9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2.07E-6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2.166E-9</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2.043E-9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2.195E-6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1.075E-9</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2.166E-9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2.021E-6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5.18E-8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1.994E-9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1.928E-6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4.941E-8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1.902E-9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1.842E-6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4.721E-8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1.817E-9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1.787E-6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4.579E-8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1.763E-9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1.689E-6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4.328E-8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1.666E-9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1.622E-6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4.158E-8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1.601E-9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1.755E-6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4.497E-8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1.731E-9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1.93E-6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4.947E-8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1.905E-9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2.099E-6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5.379E-8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2.071E-9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2.268E-6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5.812E-8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2.238E-9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2.418E-6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6.196E-8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2.385E-9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2.549E-6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6.532E-8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2.515E-9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2.661E-6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6.82E-8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2.626E-9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2.756E-6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7.064E-8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2.72E-9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2.835E-6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7.267E-8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2.798E-9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7.432E-8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2.861E-9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2.935E-6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7.521E-8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2.895E-9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2.96E-6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7.585E-8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2.92E-9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2.976E-6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7.627E-8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2.936E-9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2.985E-6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7.65E-8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2.945E-9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50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2486</w:t>
            </w:r>
          </w:p>
        </w:tc>
        <w:tc>
          <w:tcPr>
            <w:tcW w:w="1384"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2.987E-6</w:t>
            </w:r>
          </w:p>
        </w:tc>
        <w:tc>
          <w:tcPr>
            <w:tcW w:w="120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0.00</w:t>
            </w:r>
          </w:p>
        </w:tc>
        <w:tc>
          <w:tcPr>
            <w:tcW w:w="136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7.656E-8</w:t>
            </w:r>
          </w:p>
        </w:tc>
        <w:tc>
          <w:tcPr>
            <w:tcW w:w="12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2.947E-9</w:t>
            </w:r>
          </w:p>
        </w:tc>
        <w:tc>
          <w:tcPr>
            <w:tcW w:w="1211"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2.987E-6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7.656E-8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2.947E-9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1.074E-7</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2.753E-9</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1.06E-10</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2.085E-6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5.343E-8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2.057E-9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2.987E-6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7.656E-8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2.947E-9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2486</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2486</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p>
        </w:tc>
      </w:tr>
    </w:tbl>
    <w:p>
      <w:pPr>
        <w:ind w:firstLine="482"/>
        <w:jc w:val="center"/>
        <w:rPr>
          <w:b/>
          <w:bCs/>
        </w:rPr>
      </w:pPr>
      <w:r>
        <w:rPr>
          <w:b/>
          <w:bCs/>
          <w:lang w:val="en-US"/>
        </w:rPr>
        <w:t>6.2-</w:t>
      </w:r>
      <w:r>
        <w:rPr>
          <w:rFonts w:hint="eastAsia"/>
          <w:b/>
          <w:bCs/>
          <w:lang w:val="en-US" w:eastAsia="zh-CN"/>
        </w:rPr>
        <w:t>18</w:t>
      </w:r>
      <w:r>
        <w:rPr>
          <w:rFonts w:hint="eastAsia"/>
          <w:b/>
          <w:bCs/>
          <w:lang w:val="en-US"/>
        </w:rPr>
        <w:t xml:space="preserve">  正常工况下无组织废气小时浓度随距离分布情况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2742"/>
        <w:gridCol w:w="3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color w:val="000000"/>
                <w:sz w:val="21"/>
                <w:szCs w:val="21"/>
                <w:lang w:val="en-US" w:bidi="ar"/>
              </w:rPr>
              <w:t>下风向距离（</w:t>
            </w:r>
            <w:r>
              <w:rPr>
                <w:rFonts w:cs="TimesNewRomanPS-BoldMT"/>
                <w:color w:val="000000"/>
                <w:sz w:val="21"/>
                <w:szCs w:val="21"/>
                <w:lang w:val="en-US" w:bidi="ar"/>
              </w:rPr>
              <w:t>m</w:t>
            </w:r>
            <w:r>
              <w:rPr>
                <w:rFonts w:hint="eastAsia"/>
                <w:color w:val="000000"/>
                <w:sz w:val="21"/>
                <w:szCs w:val="21"/>
                <w:lang w:val="en-US" w:bidi="ar"/>
              </w:rPr>
              <w:t>）</w:t>
            </w:r>
          </w:p>
        </w:tc>
        <w:tc>
          <w:tcPr>
            <w:tcW w:w="59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eastAsia="zh-CN"/>
              </w:rPr>
              <w:t>破碎车间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lang w:val="en-US" w:eastAsia="zh-CN"/>
              </w:rPr>
              <w:t>颗粒物</w:t>
            </w: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lang w:val="en-US" w:eastAsia="zh-CN"/>
              </w:rPr>
              <w:t>颗粒物</w:t>
            </w: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sz w:val="21"/>
                <w:szCs w:val="21"/>
              </w:rPr>
              <w:t>100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0.002619</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color w:val="000000"/>
                <w:sz w:val="21"/>
                <w:szCs w:val="21"/>
                <w:lang w:val="en-US" w:eastAsia="zh-CN" w:bidi="ar"/>
              </w:rPr>
              <w:t>194</w:t>
            </w:r>
          </w:p>
        </w:tc>
        <w:tc>
          <w:tcPr>
            <w:tcW w:w="274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0.002717</w:t>
            </w:r>
          </w:p>
        </w:tc>
        <w:tc>
          <w:tcPr>
            <w:tcW w:w="3239"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0.002714</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300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0.002583</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0.002423</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0.002061</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0.001717</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0.001436</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0.001218</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0.001047</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0.0009114</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0.0008024</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0.0007134</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0.0006394</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0.0005773</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0.0005245</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0.0004788</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0.0004391</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0.0004045</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0.0003742</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0.0003475</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0.0003248</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0.0003047</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0.0002865</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0.0002701</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0.0002553</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0.002547</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0.002406</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cs="Times New Roman"/>
                <w:color w:val="000000"/>
                <w:sz w:val="21"/>
                <w:szCs w:val="21"/>
                <w:lang w:val="en-US" w:bidi="ar"/>
              </w:rPr>
              <w:t>下风向最大浓度(占标率）</w:t>
            </w:r>
          </w:p>
        </w:tc>
        <w:tc>
          <w:tcPr>
            <w:tcW w:w="274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0.002717</w:t>
            </w:r>
          </w:p>
        </w:tc>
        <w:tc>
          <w:tcPr>
            <w:tcW w:w="323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cs="Times New Roman"/>
                <w:color w:val="000000"/>
                <w:sz w:val="21"/>
                <w:szCs w:val="21"/>
                <w:lang w:val="en-US" w:bidi="ar"/>
              </w:rPr>
              <w:t>下风向最大浓度出现距离m</w:t>
            </w:r>
          </w:p>
        </w:tc>
        <w:tc>
          <w:tcPr>
            <w:tcW w:w="5981"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5981"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w:t>
            </w:r>
          </w:p>
        </w:tc>
      </w:tr>
    </w:tbl>
    <w:p>
      <w:pPr>
        <w:ind w:firstLine="482"/>
        <w:jc w:val="center"/>
        <w:rPr>
          <w:b/>
          <w:bCs/>
        </w:rPr>
      </w:pPr>
      <w:r>
        <w:rPr>
          <w:b/>
          <w:bCs/>
          <w:lang w:val="en-US"/>
        </w:rPr>
        <w:t>6.2-</w:t>
      </w:r>
      <w:r>
        <w:rPr>
          <w:rFonts w:hint="eastAsia"/>
          <w:b/>
          <w:bCs/>
          <w:lang w:val="en-US" w:eastAsia="zh-CN"/>
        </w:rPr>
        <w:t>19</w:t>
      </w:r>
      <w:r>
        <w:rPr>
          <w:rFonts w:hint="eastAsia"/>
          <w:b/>
          <w:bCs/>
          <w:lang w:val="en-US"/>
        </w:rPr>
        <w:t xml:space="preserve">  正常工况下无组织废气小时浓度随距离分布情况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460"/>
        <w:gridCol w:w="1090"/>
        <w:gridCol w:w="1350"/>
        <w:gridCol w:w="1370"/>
        <w:gridCol w:w="1220"/>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653"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造粒车间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5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7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苯乙烯</w:t>
            </w:r>
          </w:p>
        </w:tc>
        <w:tc>
          <w:tcPr>
            <w:tcW w:w="23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0.001497</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0.001103</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1.10</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0.0002301</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0.002009</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0.10</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0.00148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1.48</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0.0003088</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0.002024</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0.10</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0.001491</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1.49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0.0003111</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6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380</w:t>
            </w:r>
          </w:p>
        </w:tc>
        <w:tc>
          <w:tcPr>
            <w:tcW w:w="146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0.002157</w:t>
            </w:r>
          </w:p>
        </w:tc>
        <w:tc>
          <w:tcPr>
            <w:tcW w:w="109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0.11</w:t>
            </w:r>
          </w:p>
        </w:tc>
        <w:tc>
          <w:tcPr>
            <w:tcW w:w="135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0.001589</w:t>
            </w:r>
          </w:p>
        </w:tc>
        <w:tc>
          <w:tcPr>
            <w:tcW w:w="137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1.59</w:t>
            </w:r>
          </w:p>
        </w:tc>
        <w:tc>
          <w:tcPr>
            <w:tcW w:w="122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0.0003315</w:t>
            </w:r>
          </w:p>
        </w:tc>
        <w:tc>
          <w:tcPr>
            <w:tcW w:w="1163"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0.001976</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0.11</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0.001585</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0.81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0.0003305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0.001721</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0.10</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0.001456</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1.46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0.0003037</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0.00148</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0.09</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0.001268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1.27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0.0002645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0.001278</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0.00109</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1.09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0.0002274</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0.001112</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0.06</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0.0009416</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0.94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0.0001964</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0.0009768</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0.06</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0.0008197</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0.82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0.000171</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0.0008659</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0.05</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0.0007198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0.72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0.0001501</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0.000774</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0.04</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0.000638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0.64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0.0001331</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0.0006965</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0.04</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0.0005703</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0.57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0.000119</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0.0006304</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0.0005132</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0.51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0.000107</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0.0005742</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0.0004645</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0.46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9.688E-5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0.0005255</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0.0004231</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0.42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8.824E-5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0.0004828</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0.03</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0.0003872</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0.39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8.076E-5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0.0004455</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0.0003558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0.36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7.42E-5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0.0004127</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0.0003282</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0.33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6.846E-5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0.0003841</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0.0003041</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0.30</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6.342E-5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0.0003593</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0.000283</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0.28</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5.903E-5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0.0003374</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0.0002648</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5.522E-5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0.0003175</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0.0002486</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5.185E-5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0.0002994</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0.02</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0.0002339</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4.879E-5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0.0002831</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0.0002206</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4.602E-5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0.001976</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0.0002086</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0.21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4.351E-5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0.001621</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0.08</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0.001194</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1.19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3.546E-5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0.002146</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0.11</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0.001582</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0.001582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3.386E-5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46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0.002157</w:t>
            </w:r>
          </w:p>
        </w:tc>
        <w:tc>
          <w:tcPr>
            <w:tcW w:w="109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0.11</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0.001589</w:t>
            </w:r>
          </w:p>
        </w:tc>
        <w:tc>
          <w:tcPr>
            <w:tcW w:w="13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1.59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0.0003315</w:t>
            </w:r>
          </w:p>
        </w:tc>
        <w:tc>
          <w:tcPr>
            <w:tcW w:w="11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kern w:val="0"/>
                <w:sz w:val="21"/>
                <w:szCs w:val="21"/>
                <w:lang w:val="en-US" w:eastAsia="zh-CN" w:bidi="ar"/>
              </w:rPr>
            </w:pPr>
            <w:r>
              <w:rPr>
                <w:rFonts w:hint="eastAsia" w:ascii="Times New Roman" w:hAnsi="Times New Roman" w:eastAsia="宋体" w:cstheme="minorBidi"/>
                <w:color w:val="000000"/>
                <w:kern w:val="0"/>
                <w:sz w:val="21"/>
                <w:szCs w:val="21"/>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5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cstheme="minorBidi"/>
                <w:color w:val="000000"/>
                <w:kern w:val="0"/>
                <w:sz w:val="21"/>
                <w:szCs w:val="21"/>
                <w:lang w:val="en-US" w:eastAsia="zh-CN" w:bidi="ar"/>
              </w:rPr>
              <w:t>380</w:t>
            </w:r>
          </w:p>
        </w:tc>
        <w:tc>
          <w:tcPr>
            <w:tcW w:w="27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0"/>
                <w:sz w:val="21"/>
                <w:szCs w:val="21"/>
                <w:lang w:val="en-US" w:eastAsia="zh-CN" w:bidi="ar"/>
              </w:rPr>
            </w:pPr>
            <w:r>
              <w:rPr>
                <w:rFonts w:hint="eastAsia" w:cstheme="minorBidi"/>
                <w:color w:val="000000"/>
                <w:kern w:val="0"/>
                <w:sz w:val="21"/>
                <w:szCs w:val="21"/>
                <w:lang w:val="en-US" w:eastAsia="zh-CN" w:bidi="ar"/>
              </w:rPr>
              <w:t>380</w:t>
            </w:r>
          </w:p>
        </w:tc>
        <w:tc>
          <w:tcPr>
            <w:tcW w:w="23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heme="minorBidi"/>
                <w:color w:val="000000"/>
                <w:kern w:val="0"/>
                <w:sz w:val="21"/>
                <w:szCs w:val="21"/>
                <w:lang w:val="en-US" w:eastAsia="zh-CN" w:bidi="ar"/>
              </w:rPr>
            </w:pPr>
            <w:r>
              <w:rPr>
                <w:rFonts w:hint="eastAsia" w:cstheme="minorBidi"/>
                <w:color w:val="000000"/>
                <w:kern w:val="0"/>
                <w:sz w:val="21"/>
                <w:szCs w:val="21"/>
                <w:lang w:val="en-US" w:eastAsia="zh-CN" w:bidi="ar"/>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5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72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c>
          <w:tcPr>
            <w:tcW w:w="23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rPr>
      </w:pPr>
      <w:r>
        <w:rPr>
          <w:b/>
          <w:bCs/>
          <w:u w:val="single"/>
          <w:lang w:val="en-US"/>
        </w:rPr>
        <w:t>6.2-</w:t>
      </w:r>
      <w:r>
        <w:rPr>
          <w:rFonts w:hint="eastAsia"/>
          <w:b/>
          <w:bCs/>
          <w:u w:val="single"/>
          <w:lang w:val="en-US" w:eastAsia="zh-CN"/>
        </w:rPr>
        <w:t>20</w:t>
      </w:r>
      <w:r>
        <w:rPr>
          <w:rFonts w:hint="eastAsia"/>
          <w:b/>
          <w:bCs/>
          <w:u w:val="single"/>
          <w:lang w:val="en-US"/>
        </w:rPr>
        <w:t xml:space="preserve">  正常工况下无组织废气小时浓度预测结果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84"/>
        <w:gridCol w:w="1200"/>
        <w:gridCol w:w="1362"/>
        <w:gridCol w:w="1235"/>
        <w:gridCol w:w="1396"/>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788"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氨</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0.07</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1.032E-6</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500" w:type="dxa"/>
            <w:shd w:val="clear" w:color="auto" w:fill="FFC000"/>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100</w:t>
            </w:r>
          </w:p>
        </w:tc>
        <w:tc>
          <w:tcPr>
            <w:tcW w:w="1384"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20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0.07</w:t>
            </w:r>
          </w:p>
        </w:tc>
        <w:tc>
          <w:tcPr>
            <w:tcW w:w="136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0.001395</w:t>
            </w:r>
          </w:p>
        </w:tc>
        <w:tc>
          <w:tcPr>
            <w:tcW w:w="12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9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1.032E-6</w:t>
            </w:r>
          </w:p>
        </w:tc>
        <w:tc>
          <w:tcPr>
            <w:tcW w:w="1211"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0.0006482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0.03</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1.244E-5</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0.0003574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0.02</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6.862E-6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0.0002279</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4.377E-6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0.0001591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3.054E-6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0.0001181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2.267E-6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9.156E-5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1.758E-6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7.429E-5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1.426E-6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6.176E-5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1.186E-6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5.233E-5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1.005E-6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4.526E-5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8.689E-7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3.963E-5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7.609E-7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3.507E-5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6.734E-7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3.132E-5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6.013E-7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2.818E-5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5.411E-7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2.553E-5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4.903E-7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2.327E-5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4.468E-7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2.132E-5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4.094E-7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1.963E-5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3.769E-7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1.815E-5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3.485E-7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1.691E-5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3.247E-7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1.581E-5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3.036E-7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1.483E-5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2.848E-7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4.796E-7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1.395E-5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2.678E-7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2.645E-7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1.315E-5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2.525E-7</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1.687E-7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0.06</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2.304E-5</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8.88E-7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0.0002235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4.291E-6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1.654E-7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0.001395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0.07</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0.001395</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1.032E-6</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100</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100</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hint="eastAsia"/>
                <w:sz w:val="21"/>
                <w:szCs w:val="21"/>
                <w:lang w:val="en-US"/>
              </w:rPr>
            </w:pPr>
            <w:r>
              <w:rPr>
                <w:rFonts w:hint="eastAsia"/>
                <w:sz w:val="21"/>
                <w:szCs w:val="21"/>
                <w:lang w:val="en-US"/>
              </w:rPr>
              <w:t>/</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auto"/>
              <w:rPr>
                <w:rFonts w:hint="eastAsia"/>
                <w:sz w:val="21"/>
                <w:szCs w:val="21"/>
                <w:lang w:val="en-US"/>
              </w:rPr>
            </w:pPr>
            <w:r>
              <w:rPr>
                <w:rFonts w:hint="eastAsia"/>
                <w:sz w:val="21"/>
                <w:szCs w:val="21"/>
                <w:lang w:val="en-US"/>
              </w:rPr>
              <w:t>/</w:t>
            </w:r>
          </w:p>
        </w:tc>
      </w:tr>
    </w:tbl>
    <w:p>
      <w:pPr>
        <w:widowControl/>
        <w:ind w:firstLine="480"/>
        <w:jc w:val="left"/>
      </w:pPr>
      <w:r>
        <w:rPr>
          <w:rFonts w:hint="eastAsia" w:ascii="宋体" w:hAnsi="宋体"/>
          <w:color w:val="000000"/>
          <w:szCs w:val="24"/>
          <w:lang w:val="en-US" w:bidi="ar"/>
        </w:rPr>
        <w:t>综上，建设项目排放的大气污染物最大落地浓度均符合环境质量标准的要求，对周围环境的影响较小。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lang w:val="en-US"/>
        </w:rPr>
      </w:pPr>
      <w:r>
        <w:rPr>
          <w:b/>
          <w:bCs/>
          <w:u w:val="single"/>
          <w:lang w:val="en-US"/>
        </w:rPr>
        <w:t>6.2-</w:t>
      </w:r>
      <w:r>
        <w:rPr>
          <w:rFonts w:hint="eastAsia"/>
          <w:b/>
          <w:bCs/>
          <w:u w:val="single"/>
          <w:lang w:val="en-US" w:eastAsia="zh-CN"/>
        </w:rPr>
        <w:t>21</w:t>
      </w:r>
      <w:r>
        <w:rPr>
          <w:rFonts w:hint="eastAsia"/>
          <w:b/>
          <w:bCs/>
          <w:u w:val="single"/>
          <w:lang w:val="en-US"/>
        </w:rPr>
        <w:t xml:space="preserve">  </w:t>
      </w:r>
      <w:r>
        <w:rPr>
          <w:rFonts w:hint="eastAsia"/>
          <w:b/>
          <w:bCs/>
          <w:u w:val="single"/>
          <w:lang w:val="en-US" w:eastAsia="zh-CN"/>
        </w:rPr>
        <w:t>非</w:t>
      </w:r>
      <w:r>
        <w:rPr>
          <w:rFonts w:hint="eastAsia"/>
          <w:b/>
          <w:bCs/>
          <w:u w:val="single"/>
          <w:lang w:val="en-US"/>
        </w:rPr>
        <w:t>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2849"/>
        <w:gridCol w:w="3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6366"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6"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颗粒物</w:t>
            </w: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颗粒物</w:t>
            </w: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r>
              <w:rPr>
                <w:rFonts w:hint="eastAsia"/>
                <w:color w:val="000000"/>
                <w:sz w:val="21"/>
                <w:szCs w:val="21"/>
              </w:rPr>
              <w:t>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0.002747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color w:val="000000"/>
                <w:sz w:val="21"/>
                <w:szCs w:val="21"/>
              </w:rPr>
            </w:pPr>
            <w:r>
              <w:rPr>
                <w:rFonts w:hint="eastAsia"/>
                <w:color w:val="000000"/>
                <w:sz w:val="21"/>
                <w:szCs w:val="21"/>
              </w:rPr>
              <w:t>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0.003146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252</w:t>
            </w:r>
          </w:p>
        </w:tc>
        <w:tc>
          <w:tcPr>
            <w:tcW w:w="285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0.003454</w:t>
            </w:r>
          </w:p>
        </w:tc>
        <w:tc>
          <w:tcPr>
            <w:tcW w:w="351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0.00331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0.002928</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0.002925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0.002687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0.002532</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0.002451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sz w:val="21"/>
                <w:szCs w:val="21"/>
              </w:rPr>
              <w:t>900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0.002425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0.002476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0.002457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0.002407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0.002339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0.00226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0.002175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0.002089</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0.002002</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0.001917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0.001836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0.001757</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0.001682</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0.001611</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0.001545</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0.001483</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0.001424</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0.002856</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0.002652</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28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0.003454</w:t>
            </w:r>
          </w:p>
        </w:tc>
        <w:tc>
          <w:tcPr>
            <w:tcW w:w="35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636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636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eastAsia"/>
                <w:color w:val="000000"/>
                <w:sz w:val="21"/>
                <w:szCs w:val="21"/>
                <w:lang w:val="en-US" w:bidi="ar"/>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u w:val="single"/>
          <w:lang w:val="en-US"/>
        </w:rPr>
      </w:pPr>
      <w:r>
        <w:rPr>
          <w:b/>
          <w:bCs/>
          <w:u w:val="single"/>
          <w:lang w:val="en-US"/>
        </w:rPr>
        <w:t>6.2-</w:t>
      </w:r>
      <w:r>
        <w:rPr>
          <w:rFonts w:hint="eastAsia"/>
          <w:b/>
          <w:bCs/>
          <w:u w:val="single"/>
          <w:lang w:val="en-US" w:eastAsia="zh-CN"/>
        </w:rPr>
        <w:t>22</w:t>
      </w:r>
      <w:r>
        <w:rPr>
          <w:rFonts w:hint="eastAsia"/>
          <w:b/>
          <w:bCs/>
          <w:u w:val="single"/>
          <w:lang w:val="en-US"/>
        </w:rPr>
        <w:t xml:space="preserve">  </w:t>
      </w:r>
      <w:r>
        <w:rPr>
          <w:rFonts w:hint="eastAsia"/>
          <w:b/>
          <w:bCs/>
          <w:u w:val="single"/>
          <w:lang w:val="en-US" w:eastAsia="zh-CN"/>
        </w:rPr>
        <w:t>非</w:t>
      </w:r>
      <w:r>
        <w:rPr>
          <w:rFonts w:hint="eastAsia"/>
          <w:b/>
          <w:bCs/>
          <w:u w:val="single"/>
          <w:lang w:val="en-US"/>
        </w:rPr>
        <w:t>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1270"/>
        <w:gridCol w:w="1220"/>
        <w:gridCol w:w="1150"/>
        <w:gridCol w:w="1200"/>
        <w:gridCol w:w="1220"/>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323"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DA002排气筒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6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49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3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苯乙烯</w:t>
            </w:r>
          </w:p>
        </w:tc>
        <w:tc>
          <w:tcPr>
            <w:tcW w:w="24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96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0.004421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0.22</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3.475E-6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3.23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7.105E-5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0.005594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0.28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2.092E-5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4.09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9.558E-5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0.005919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0.30</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2.325E-5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4.33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0.0001012</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0.005543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0.28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2.211E-5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4.05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9.697E-5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0.005416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0.27</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0.003961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3.96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9.058E-5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0.007048</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0.35</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0.005155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5.15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0.0001132</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0.00805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0.40</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0.005888</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5.89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0.0001326</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0.008532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0.43</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0.006241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6.24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0.0001431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bidi="ar"/>
              </w:rPr>
            </w:pPr>
            <w:r>
              <w:rPr>
                <w:rFonts w:hint="eastAsia"/>
                <w:color w:val="000000"/>
                <w:sz w:val="21"/>
                <w:szCs w:val="21"/>
                <w:lang w:val="en-US" w:eastAsia="zh-CN" w:bidi="ar"/>
              </w:rPr>
              <w:t>892</w:t>
            </w:r>
          </w:p>
        </w:tc>
        <w:tc>
          <w:tcPr>
            <w:tcW w:w="127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0.008647</w:t>
            </w:r>
          </w:p>
        </w:tc>
        <w:tc>
          <w:tcPr>
            <w:tcW w:w="122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0.43</w:t>
            </w:r>
          </w:p>
        </w:tc>
        <w:tc>
          <w:tcPr>
            <w:tcW w:w="115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0.006325</w:t>
            </w:r>
          </w:p>
        </w:tc>
        <w:tc>
          <w:tcPr>
            <w:tcW w:w="120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6.32</w:t>
            </w:r>
          </w:p>
        </w:tc>
        <w:tc>
          <w:tcPr>
            <w:tcW w:w="122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0.0001472</w:t>
            </w:r>
          </w:p>
        </w:tc>
        <w:tc>
          <w:tcPr>
            <w:tcW w:w="1263"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0.008646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0.43</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0.006324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6.32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0.000147</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0.008522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0.43</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0.006233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6.23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0.0001464</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0.00819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0.41</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0.00599</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5.99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0.0001417</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0.007821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0.39</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0.00572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5.72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0.0001361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0.007545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0.005519</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5.52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0.0001301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0.007619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0.005573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5.57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0.0001271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0.00762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0.005574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5.57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0.0001281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0.007566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0.38</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0.005534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5.53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0.000128</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0.007471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0.37</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0.005465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5.46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0.0001271</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0.007346</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0.37</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0.005373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5.37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0.0001256</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0.007199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0.36</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0.005266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5.27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0.0001236</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0.007037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0.35</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0.005148</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5.15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0.0001213</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0.006849</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0.34</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0.00501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5.01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0.0001184</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0.006661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0.33</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0.004872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4.87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0.0001155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0.006475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0.32</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0.004736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4.74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0.0001125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0.006293</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0.31</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0.004603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4.60</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0.0001096</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0.006114</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0.31</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0.004472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4.47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0.0001067</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0.00481</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0.24</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0.003519</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3.52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8.181E-5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0.005268</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0.26</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0.003853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3.85</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7.242E-5</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eastAsia="宋体"/>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27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0.008647</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0.43</w:t>
            </w:r>
          </w:p>
        </w:tc>
        <w:tc>
          <w:tcPr>
            <w:tcW w:w="11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0.006325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6.32</w:t>
            </w:r>
          </w:p>
        </w:tc>
        <w:tc>
          <w:tcPr>
            <w:tcW w:w="122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0.0001472</w:t>
            </w:r>
          </w:p>
        </w:tc>
        <w:tc>
          <w:tcPr>
            <w:tcW w:w="126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rPr>
            </w:pPr>
            <w:r>
              <w:rPr>
                <w:rFonts w:hint="eastAsia"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49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c>
          <w:tcPr>
            <w:tcW w:w="23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c>
          <w:tcPr>
            <w:tcW w:w="24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49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350"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c>
          <w:tcPr>
            <w:tcW w:w="2483"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rPr>
      </w:pPr>
      <w:r>
        <w:rPr>
          <w:b/>
          <w:bCs/>
          <w:u w:val="single"/>
          <w:lang w:val="en-US"/>
        </w:rPr>
        <w:t>6.2-</w:t>
      </w:r>
      <w:r>
        <w:rPr>
          <w:rFonts w:hint="eastAsia"/>
          <w:b/>
          <w:bCs/>
          <w:u w:val="single"/>
          <w:lang w:val="en-US" w:eastAsia="zh-CN"/>
        </w:rPr>
        <w:t>23</w:t>
      </w:r>
      <w:r>
        <w:rPr>
          <w:rFonts w:hint="eastAsia"/>
          <w:b/>
          <w:bCs/>
          <w:u w:val="single"/>
          <w:lang w:val="en-US"/>
        </w:rPr>
        <w:t xml:space="preserve">  </w:t>
      </w:r>
      <w:r>
        <w:rPr>
          <w:rFonts w:hint="eastAsia"/>
          <w:b/>
          <w:bCs/>
          <w:u w:val="single"/>
          <w:lang w:val="en-US" w:eastAsia="zh-CN"/>
        </w:rPr>
        <w:t>非</w:t>
      </w:r>
      <w:r>
        <w:rPr>
          <w:rFonts w:hint="eastAsia"/>
          <w:b/>
          <w:bCs/>
          <w:u w:val="single"/>
          <w:lang w:val="en-US"/>
        </w:rPr>
        <w:t>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646"/>
        <w:gridCol w:w="2192"/>
        <w:gridCol w:w="189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552" w:type="dxa"/>
            <w:gridSpan w:val="4"/>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DA003排气筒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735"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0.000276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7.155E-5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0.001661</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0.08</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0.0004307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0.001846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0.09</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0.0004787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0.001756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0.09</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0.0004553</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0.001617</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0.0004192</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0.001526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0.08</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0.0003956</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0.001474</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0.07</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0.0003821</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0.001724</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0.09</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0.0004469</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0.002077</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0.10</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0.0005385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0.002372</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0.0006149</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0.002532</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0.0006565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0.002648</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0.0006865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0.002726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0.0007067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0.002772</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0.0007188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0.002794</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0.0007243</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7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1554</w:t>
            </w:r>
          </w:p>
        </w:tc>
        <w:tc>
          <w:tcPr>
            <w:tcW w:w="164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0.002796</w:t>
            </w:r>
          </w:p>
        </w:tc>
        <w:tc>
          <w:tcPr>
            <w:tcW w:w="219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0.14</w:t>
            </w:r>
          </w:p>
        </w:tc>
        <w:tc>
          <w:tcPr>
            <w:tcW w:w="1897"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0.000725</w:t>
            </w:r>
          </w:p>
        </w:tc>
        <w:tc>
          <w:tcPr>
            <w:tcW w:w="1817"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0.002795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0.0007245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0.002779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0.0007206</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0.002752</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0.0007135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0.002715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0.0007038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0.002671</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0.0006924</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0.002615</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0.000678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0.002558</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0.13</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0.0006632</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0.002499</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0.000648</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0.002441</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0.0006327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0.002431</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0.12</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0.0006304</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0.0004654</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0.02</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0.0001207</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0.001668</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0.08</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0.0004324</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64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0.002796</w:t>
            </w:r>
          </w:p>
        </w:tc>
        <w:tc>
          <w:tcPr>
            <w:tcW w:w="219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0.14</w:t>
            </w:r>
          </w:p>
        </w:tc>
        <w:tc>
          <w:tcPr>
            <w:tcW w:w="189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0.000725</w:t>
            </w:r>
          </w:p>
        </w:tc>
        <w:tc>
          <w:tcPr>
            <w:tcW w:w="18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1554</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3838"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371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u w:val="single"/>
        </w:rPr>
      </w:pPr>
      <w:r>
        <w:rPr>
          <w:b/>
          <w:bCs/>
          <w:u w:val="single"/>
          <w:lang w:val="en-US"/>
        </w:rPr>
        <w:t>6.2-</w:t>
      </w:r>
      <w:r>
        <w:rPr>
          <w:rFonts w:hint="eastAsia"/>
          <w:b/>
          <w:bCs/>
          <w:u w:val="single"/>
          <w:lang w:val="en-US" w:eastAsia="zh-CN"/>
        </w:rPr>
        <w:t>24</w:t>
      </w:r>
      <w:r>
        <w:rPr>
          <w:rFonts w:hint="eastAsia"/>
          <w:b/>
          <w:bCs/>
          <w:u w:val="single"/>
          <w:lang w:val="en-US"/>
        </w:rPr>
        <w:t xml:space="preserve">  </w:t>
      </w:r>
      <w:r>
        <w:rPr>
          <w:rFonts w:hint="eastAsia"/>
          <w:b/>
          <w:bCs/>
          <w:u w:val="single"/>
          <w:lang w:val="en-US" w:eastAsia="zh-CN"/>
        </w:rPr>
        <w:t>非</w:t>
      </w:r>
      <w:r>
        <w:rPr>
          <w:rFonts w:hint="eastAsia"/>
          <w:b/>
          <w:bCs/>
          <w:u w:val="single"/>
          <w:lang w:val="en-US"/>
        </w:rPr>
        <w:t>正常工况下废气排气筒最大落地浓度预测结果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384"/>
        <w:gridCol w:w="1200"/>
        <w:gridCol w:w="1362"/>
        <w:gridCol w:w="1235"/>
        <w:gridCol w:w="1396"/>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下风向距离（m）</w:t>
            </w:r>
          </w:p>
        </w:tc>
        <w:tc>
          <w:tcPr>
            <w:tcW w:w="7788" w:type="dxa"/>
            <w:gridSpan w:val="6"/>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DA004排气筒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eastAsia="zh-CN"/>
              </w:rPr>
              <w:t>非甲烷总烃</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氨</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00" w:type="dxa"/>
            <w:vMerge w:val="continue"/>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jc w:val="center"/>
              <w:textAlignment w:val="auto"/>
              <w:rPr>
                <w:sz w:val="21"/>
                <w:szCs w:val="21"/>
                <w:lang w:bidi="zh-CN"/>
              </w:rPr>
            </w:pP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rPr>
              <w:t>占标率(%)</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浓度</w:t>
            </w:r>
            <w:r>
              <w:rPr>
                <w:sz w:val="21"/>
                <w:szCs w:val="21"/>
                <w:lang w:val="en-US"/>
              </w:rPr>
              <w:t>(</w:t>
            </w:r>
            <w:r>
              <w:rPr>
                <w:rFonts w:hint="eastAsia"/>
                <w:sz w:val="21"/>
                <w:szCs w:val="21"/>
                <w:lang w:val="en-US"/>
              </w:rPr>
              <w:t>m</w:t>
            </w:r>
            <w:r>
              <w:rPr>
                <w:sz w:val="21"/>
                <w:szCs w:val="21"/>
                <w:lang w:val="en-US"/>
              </w:rPr>
              <w:t>g/m³)</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0.0001347</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2.586E-6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9.966E-8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500" w:type="dxa"/>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color w:val="000000"/>
                <w:sz w:val="21"/>
                <w:szCs w:val="21"/>
              </w:rPr>
            </w:pPr>
            <w:r>
              <w:rPr>
                <w:rFonts w:hint="eastAsia"/>
                <w:color w:val="000000"/>
                <w:sz w:val="21"/>
                <w:szCs w:val="21"/>
              </w:rPr>
              <w:t>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0.0001542</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2.961E-6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1.141E-7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00" w:type="dxa"/>
            <w:shd w:val="clear" w:color="auto" w:fill="FFC000"/>
            <w:vAlign w:val="center"/>
          </w:tcPr>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252</w:t>
            </w:r>
          </w:p>
        </w:tc>
        <w:tc>
          <w:tcPr>
            <w:tcW w:w="1384"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0.0001693</w:t>
            </w:r>
          </w:p>
        </w:tc>
        <w:tc>
          <w:tcPr>
            <w:tcW w:w="1200"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3.251E-6</w:t>
            </w:r>
          </w:p>
        </w:tc>
        <w:tc>
          <w:tcPr>
            <w:tcW w:w="1235"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1.253E-7</w:t>
            </w:r>
          </w:p>
        </w:tc>
        <w:tc>
          <w:tcPr>
            <w:tcW w:w="1211" w:type="dxa"/>
            <w:shd w:val="clear" w:color="auto" w:fill="FFC00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sz w:val="21"/>
                <w:szCs w:val="21"/>
              </w:rPr>
              <w:t>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0.0001623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3.116E-6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1.201E-7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0.0001435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2.756E-6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1.062E-7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0.0001434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2.753E-6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1.061E-7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0.0001317</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2.529E-6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9.748E-8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0.0001241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2.383E-6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9.186E-8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0.0001201</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2.306E-6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8.89E-8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0.0001189</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2.282E-6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8.796E-8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0.0001214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2.33E-6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8.981E-8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0.0001204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2.312E-6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8.911E-8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0.000118</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2.266E-6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8.732E-8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0.0001147</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2.201E-6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8.485E-8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0.0001108</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2.127E-6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8.198E-8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0.0001066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2.047E-6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7.891E-8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1600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0.0001024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1.966E-6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7.576E-8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1700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9.814E-5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1.884E-6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7.262E-8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1800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9.399E-5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1.805E-6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6.955E-8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1900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8.998E-5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1.728E-6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6.658E-8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2000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8.612E-5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1.654E-6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6.373E-8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2100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8.245E-5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1.583E-6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6.101E-8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2200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7.899E-5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1.517E-6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5.846E-8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2300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7.574E-5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1.454E-6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5.605E-8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2400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7.269E-5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1.396E-6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5.379E-8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hint="eastAsia"/>
                <w:sz w:val="21"/>
                <w:szCs w:val="21"/>
              </w:rPr>
              <w:t>2500</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6.981E-5</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rPr>
              <w:t>0.00</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1.34E-6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5.166E-8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120m后王庄</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0.00014</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2.688E-6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1.036E-7</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405m常宋</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0.00013</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2.496E-6</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9.62E-8</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下风向最大浓度(占标率）</w:t>
            </w:r>
          </w:p>
        </w:tc>
        <w:tc>
          <w:tcPr>
            <w:tcW w:w="138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rPr>
              <w:t>2.987E-6</w:t>
            </w:r>
          </w:p>
        </w:tc>
        <w:tc>
          <w:tcPr>
            <w:tcW w:w="12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0.01</w:t>
            </w:r>
          </w:p>
        </w:tc>
        <w:tc>
          <w:tcPr>
            <w:tcW w:w="1362"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rPr>
              <w:t>7.656E-8</w:t>
            </w:r>
          </w:p>
        </w:tc>
        <w:tc>
          <w:tcPr>
            <w:tcW w:w="123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w:t>
            </w:r>
          </w:p>
        </w:tc>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2.947E-9</w:t>
            </w:r>
          </w:p>
        </w:tc>
        <w:tc>
          <w:tcPr>
            <w:tcW w:w="121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cs="Times New Roman"/>
                <w:color w:val="000000"/>
                <w:sz w:val="21"/>
                <w:szCs w:val="21"/>
                <w:lang w:val="en-US" w:bidi="ar"/>
              </w:rPr>
            </w:pPr>
            <w:r>
              <w:rPr>
                <w:rFonts w:hint="eastAsia" w:cs="Times New Roman"/>
                <w:color w:val="000000"/>
                <w:sz w:val="21"/>
                <w:szCs w:val="21"/>
                <w:lang w:val="en-US" w:bidi="ar"/>
              </w:rPr>
              <w:t>下风向最大浓度出现距离m</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252</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252</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 w:val="21"/>
                <w:szCs w:val="21"/>
                <w:lang w:val="en-US" w:bidi="ar"/>
              </w:rPr>
            </w:pPr>
            <w:r>
              <w:rPr>
                <w:rFonts w:cs="Times New Roman"/>
                <w:color w:val="000000"/>
                <w:sz w:val="21"/>
                <w:szCs w:val="21"/>
                <w:lang w:val="en-US" w:bidi="ar"/>
              </w:rPr>
              <w:t>D</w:t>
            </w:r>
            <w:r>
              <w:rPr>
                <w:rFonts w:cs="Times New Roman"/>
                <w:color w:val="000000"/>
                <w:sz w:val="21"/>
                <w:szCs w:val="21"/>
                <w:vertAlign w:val="subscript"/>
                <w:lang w:val="en-US" w:bidi="ar"/>
              </w:rPr>
              <w:t>10</w:t>
            </w:r>
            <w:r>
              <w:rPr>
                <w:rFonts w:cs="Times New Roman"/>
                <w:color w:val="000000"/>
                <w:sz w:val="21"/>
                <w:szCs w:val="21"/>
                <w:lang w:val="en-US" w:bidi="ar"/>
              </w:rPr>
              <w:t>%</w:t>
            </w:r>
            <w:r>
              <w:rPr>
                <w:rFonts w:hint="eastAsia" w:ascii="宋体" w:hAnsi="宋体"/>
                <w:color w:val="000000"/>
                <w:sz w:val="21"/>
                <w:szCs w:val="21"/>
                <w:lang w:val="en-US" w:bidi="ar"/>
              </w:rPr>
              <w:t>最远</w:t>
            </w:r>
          </w:p>
        </w:tc>
        <w:tc>
          <w:tcPr>
            <w:tcW w:w="2584"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lang w:val="en-US"/>
              </w:rPr>
              <w:t>/</w:t>
            </w:r>
          </w:p>
        </w:tc>
        <w:tc>
          <w:tcPr>
            <w:tcW w:w="259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r>
              <w:rPr>
                <w:rFonts w:hint="eastAsia"/>
                <w:sz w:val="21"/>
                <w:szCs w:val="21"/>
                <w:lang w:val="en-US"/>
              </w:rPr>
              <w:t>/</w:t>
            </w:r>
          </w:p>
        </w:tc>
        <w:tc>
          <w:tcPr>
            <w:tcW w:w="2607"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rPr>
            </w:pPr>
          </w:p>
        </w:tc>
      </w:tr>
    </w:tbl>
    <w:p>
      <w:pPr>
        <w:pStyle w:val="19"/>
        <w:keepNext w:val="0"/>
        <w:keepLines w:val="0"/>
        <w:widowControl/>
        <w:suppressLineNumbers w:val="0"/>
        <w:spacing w:before="0" w:beforeAutospacing="0" w:after="0" w:afterAutospacing="0" w:line="360" w:lineRule="auto"/>
        <w:ind w:left="0" w:right="0" w:firstLine="0"/>
        <w:jc w:val="both"/>
        <w:rPr>
          <w:sz w:val="24"/>
          <w:szCs w:val="24"/>
        </w:rPr>
      </w:pPr>
      <w:r>
        <w:rPr>
          <w:rFonts w:hint="eastAsia"/>
          <w:sz w:val="24"/>
          <w:szCs w:val="24"/>
          <w:u w:val="single"/>
          <w:lang w:val="en-US"/>
        </w:rPr>
        <w:t>从上表可以看出，</w:t>
      </w:r>
      <w:r>
        <w:rPr>
          <w:sz w:val="24"/>
          <w:szCs w:val="24"/>
          <w:u w:val="single"/>
        </w:rPr>
        <w:t>非正常工况下，当净化装置失效，废气净化效率降为0时，生产车间排气筒有组织排放</w:t>
      </w:r>
      <w:r>
        <w:rPr>
          <w:rFonts w:hint="eastAsia"/>
          <w:sz w:val="24"/>
          <w:szCs w:val="24"/>
          <w:u w:val="single"/>
          <w:lang w:eastAsia="zh-CN"/>
        </w:rPr>
        <w:t>颗粒物</w:t>
      </w:r>
      <w:r>
        <w:rPr>
          <w:sz w:val="24"/>
          <w:szCs w:val="24"/>
          <w:u w:val="single"/>
        </w:rPr>
        <w:t>最大地面浓度、最大浓度占标百分比分别为</w:t>
      </w:r>
      <w:r>
        <w:rPr>
          <w:rFonts w:hint="eastAsia"/>
          <w:sz w:val="24"/>
          <w:szCs w:val="24"/>
          <w:u w:val="single"/>
          <w:lang w:val="en-US"/>
        </w:rPr>
        <w:t>0.003454</w:t>
      </w:r>
      <w:r>
        <w:rPr>
          <w:sz w:val="24"/>
          <w:szCs w:val="24"/>
          <w:u w:val="single"/>
        </w:rPr>
        <w:t>mg/m</w:t>
      </w:r>
      <w:r>
        <w:rPr>
          <w:rFonts w:hint="eastAsia"/>
          <w:sz w:val="24"/>
          <w:szCs w:val="24"/>
          <w:u w:val="single"/>
          <w:vertAlign w:val="superscript"/>
          <w:lang w:val="en-US" w:eastAsia="zh-CN"/>
        </w:rPr>
        <w:t>3</w:t>
      </w:r>
      <w:r>
        <w:rPr>
          <w:sz w:val="24"/>
          <w:szCs w:val="24"/>
          <w:u w:val="single"/>
        </w:rPr>
        <w:t>、</w:t>
      </w:r>
      <w:r>
        <w:rPr>
          <w:rFonts w:hint="eastAsia"/>
          <w:sz w:val="24"/>
          <w:szCs w:val="24"/>
          <w:u w:val="single"/>
          <w:lang w:val="en-US" w:eastAsia="zh-CN"/>
        </w:rPr>
        <w:t>0.77</w:t>
      </w:r>
      <w:r>
        <w:rPr>
          <w:sz w:val="24"/>
          <w:szCs w:val="24"/>
          <w:u w:val="single"/>
        </w:rPr>
        <w:t>%，出现在距源中心下风向</w:t>
      </w:r>
      <w:r>
        <w:rPr>
          <w:rFonts w:hint="eastAsia"/>
          <w:sz w:val="24"/>
          <w:szCs w:val="24"/>
          <w:u w:val="single"/>
          <w:lang w:val="en-US" w:eastAsia="zh-CN"/>
        </w:rPr>
        <w:t>252m</w:t>
      </w:r>
      <w:r>
        <w:rPr>
          <w:sz w:val="24"/>
          <w:szCs w:val="24"/>
          <w:u w:val="single"/>
        </w:rPr>
        <w:t>处</w:t>
      </w:r>
      <w:r>
        <w:rPr>
          <w:rFonts w:hint="eastAsia"/>
          <w:sz w:val="24"/>
          <w:szCs w:val="24"/>
          <w:u w:val="single"/>
          <w:lang w:eastAsia="zh-CN"/>
        </w:rPr>
        <w:t>；</w:t>
      </w:r>
      <w:r>
        <w:rPr>
          <w:sz w:val="24"/>
          <w:szCs w:val="24"/>
          <w:u w:val="single"/>
        </w:rPr>
        <w:t>非甲烷总烃最大地面浓度、最大浓度占标百分比分别为</w:t>
      </w:r>
      <w:r>
        <w:rPr>
          <w:rFonts w:hint="eastAsia"/>
          <w:sz w:val="24"/>
          <w:szCs w:val="24"/>
          <w:u w:val="single"/>
        </w:rPr>
        <w:t>0.008647</w:t>
      </w:r>
      <w:r>
        <w:rPr>
          <w:sz w:val="24"/>
          <w:szCs w:val="24"/>
          <w:u w:val="single"/>
        </w:rPr>
        <w:t>mg/m²、</w:t>
      </w:r>
      <w:r>
        <w:rPr>
          <w:rFonts w:hint="eastAsia"/>
          <w:sz w:val="24"/>
          <w:szCs w:val="24"/>
          <w:u w:val="single"/>
          <w:lang w:val="en-US" w:eastAsia="zh-CN"/>
        </w:rPr>
        <w:t>0.43</w:t>
      </w:r>
      <w:r>
        <w:rPr>
          <w:sz w:val="24"/>
          <w:szCs w:val="24"/>
          <w:u w:val="single"/>
        </w:rPr>
        <w:t>%，出现在距源中心下风向</w:t>
      </w:r>
      <w:r>
        <w:rPr>
          <w:rFonts w:hint="eastAsia"/>
          <w:sz w:val="24"/>
          <w:szCs w:val="24"/>
          <w:u w:val="single"/>
          <w:lang w:val="en-US" w:eastAsia="zh-CN"/>
        </w:rPr>
        <w:t>252m</w:t>
      </w:r>
      <w:r>
        <w:rPr>
          <w:sz w:val="24"/>
          <w:szCs w:val="24"/>
          <w:u w:val="single"/>
        </w:rPr>
        <w:t>处</w:t>
      </w:r>
      <w:r>
        <w:rPr>
          <w:rFonts w:hint="eastAsia"/>
          <w:sz w:val="24"/>
          <w:szCs w:val="24"/>
          <w:u w:val="single"/>
          <w:lang w:eastAsia="zh-CN"/>
        </w:rPr>
        <w:t>；苯乙烯</w:t>
      </w:r>
      <w:r>
        <w:rPr>
          <w:sz w:val="24"/>
          <w:szCs w:val="24"/>
          <w:u w:val="single"/>
        </w:rPr>
        <w:t>最大地面浓度、最大浓度占标百分比分别为</w:t>
      </w:r>
      <w:r>
        <w:rPr>
          <w:rFonts w:hint="eastAsia"/>
          <w:sz w:val="24"/>
          <w:szCs w:val="24"/>
          <w:u w:val="single"/>
        </w:rPr>
        <w:t>0.006325</w:t>
      </w:r>
      <w:r>
        <w:rPr>
          <w:sz w:val="24"/>
          <w:szCs w:val="24"/>
          <w:u w:val="single"/>
        </w:rPr>
        <w:t>mg/m²、</w:t>
      </w:r>
      <w:r>
        <w:rPr>
          <w:rFonts w:hint="eastAsia"/>
          <w:sz w:val="24"/>
          <w:szCs w:val="24"/>
          <w:u w:val="single"/>
          <w:lang w:val="en-US" w:eastAsia="zh-CN"/>
        </w:rPr>
        <w:t>6.32</w:t>
      </w:r>
      <w:r>
        <w:rPr>
          <w:sz w:val="24"/>
          <w:szCs w:val="24"/>
          <w:u w:val="single"/>
        </w:rPr>
        <w:t>%，出现在距源中心下风向</w:t>
      </w:r>
      <w:r>
        <w:rPr>
          <w:rFonts w:hint="eastAsia"/>
          <w:sz w:val="24"/>
          <w:szCs w:val="24"/>
          <w:u w:val="single"/>
          <w:lang w:val="en-US" w:eastAsia="zh-CN"/>
        </w:rPr>
        <w:t>892m</w:t>
      </w:r>
      <w:r>
        <w:rPr>
          <w:sz w:val="24"/>
          <w:szCs w:val="24"/>
          <w:u w:val="single"/>
        </w:rPr>
        <w:t>处</w:t>
      </w:r>
      <w:r>
        <w:rPr>
          <w:rFonts w:hint="eastAsia"/>
          <w:sz w:val="24"/>
          <w:szCs w:val="24"/>
          <w:u w:val="single"/>
          <w:lang w:eastAsia="zh-CN"/>
        </w:rPr>
        <w:t>；氨</w:t>
      </w:r>
      <w:r>
        <w:rPr>
          <w:sz w:val="24"/>
          <w:szCs w:val="24"/>
          <w:u w:val="single"/>
        </w:rPr>
        <w:t>最大地面浓度、最大浓度占标百分比分别为</w:t>
      </w:r>
      <w:r>
        <w:rPr>
          <w:rFonts w:hint="eastAsia"/>
          <w:sz w:val="24"/>
          <w:szCs w:val="24"/>
          <w:u w:val="single"/>
        </w:rPr>
        <w:t>3.251</w:t>
      </w:r>
      <w:r>
        <w:rPr>
          <w:rFonts w:hint="default"/>
          <w:sz w:val="24"/>
          <w:szCs w:val="24"/>
          <w:u w:val="single"/>
          <w:lang w:val="en-US" w:eastAsia="zh-CN"/>
        </w:rPr>
        <w:t>×</w:t>
      </w:r>
      <w:r>
        <w:rPr>
          <w:rFonts w:hint="eastAsia"/>
          <w:sz w:val="24"/>
          <w:szCs w:val="24"/>
          <w:u w:val="single"/>
          <w:lang w:val="en-US" w:eastAsia="zh-CN"/>
        </w:rPr>
        <w:t>10</w:t>
      </w:r>
      <w:r>
        <w:rPr>
          <w:rFonts w:hint="eastAsia"/>
          <w:sz w:val="24"/>
          <w:szCs w:val="24"/>
          <w:u w:val="single"/>
          <w:vertAlign w:val="superscript"/>
          <w:lang w:val="en-US" w:eastAsia="zh-CN"/>
        </w:rPr>
        <w:t>-6</w:t>
      </w:r>
      <w:r>
        <w:rPr>
          <w:sz w:val="24"/>
          <w:szCs w:val="24"/>
          <w:u w:val="single"/>
        </w:rPr>
        <w:t>mg/m²、</w:t>
      </w:r>
      <w:r>
        <w:rPr>
          <w:rFonts w:hint="eastAsia"/>
          <w:sz w:val="24"/>
          <w:szCs w:val="24"/>
          <w:u w:val="single"/>
          <w:lang w:val="en-US" w:eastAsia="zh-CN"/>
        </w:rPr>
        <w:t>0.00</w:t>
      </w:r>
      <w:r>
        <w:rPr>
          <w:sz w:val="24"/>
          <w:szCs w:val="24"/>
          <w:u w:val="single"/>
        </w:rPr>
        <w:t>%，出现在距源中心下风向</w:t>
      </w:r>
      <w:r>
        <w:rPr>
          <w:rFonts w:hint="eastAsia"/>
          <w:sz w:val="24"/>
          <w:szCs w:val="24"/>
          <w:u w:val="single"/>
          <w:lang w:val="en-US" w:eastAsia="zh-CN"/>
        </w:rPr>
        <w:t>252m</w:t>
      </w:r>
      <w:r>
        <w:rPr>
          <w:sz w:val="24"/>
          <w:szCs w:val="24"/>
          <w:u w:val="single"/>
        </w:rPr>
        <w:t>处</w:t>
      </w:r>
      <w:r>
        <w:rPr>
          <w:rFonts w:hint="eastAsia"/>
          <w:sz w:val="24"/>
          <w:szCs w:val="24"/>
          <w:u w:val="single"/>
          <w:lang w:eastAsia="zh-CN"/>
        </w:rPr>
        <w:t>；硫化氢</w:t>
      </w:r>
      <w:r>
        <w:rPr>
          <w:sz w:val="24"/>
          <w:szCs w:val="24"/>
          <w:u w:val="single"/>
        </w:rPr>
        <w:t>最大地面浓度、最大浓度占标百分比分别为</w:t>
      </w:r>
      <w:r>
        <w:rPr>
          <w:rFonts w:hint="eastAsia"/>
          <w:sz w:val="24"/>
          <w:szCs w:val="24"/>
          <w:u w:val="single"/>
        </w:rPr>
        <w:t>1.253E-7</w:t>
      </w:r>
      <w:r>
        <w:rPr>
          <w:sz w:val="24"/>
          <w:szCs w:val="24"/>
          <w:u w:val="single"/>
        </w:rPr>
        <w:t>mg/m²、</w:t>
      </w:r>
      <w:r>
        <w:rPr>
          <w:rFonts w:hint="eastAsia"/>
          <w:sz w:val="24"/>
          <w:szCs w:val="24"/>
          <w:u w:val="single"/>
          <w:lang w:val="en-US" w:eastAsia="zh-CN"/>
        </w:rPr>
        <w:t>0.00</w:t>
      </w:r>
      <w:r>
        <w:rPr>
          <w:sz w:val="24"/>
          <w:szCs w:val="24"/>
          <w:u w:val="single"/>
        </w:rPr>
        <w:t>%出现在距源中心下风向</w:t>
      </w:r>
      <w:r>
        <w:rPr>
          <w:rFonts w:hint="eastAsia"/>
          <w:sz w:val="24"/>
          <w:szCs w:val="24"/>
          <w:u w:val="single"/>
          <w:lang w:val="en-US" w:eastAsia="zh-CN"/>
        </w:rPr>
        <w:t>252m</w:t>
      </w:r>
      <w:r>
        <w:rPr>
          <w:sz w:val="24"/>
          <w:szCs w:val="24"/>
          <w:u w:val="single"/>
        </w:rPr>
        <w:t>处。</w:t>
      </w:r>
      <w:r>
        <w:rPr>
          <w:rFonts w:hint="eastAsia"/>
          <w:sz w:val="24"/>
          <w:szCs w:val="24"/>
          <w:u w:val="single"/>
          <w:lang w:eastAsia="zh-CN"/>
        </w:rPr>
        <w:t>对敏感点后王庄和常宋的预测显示</w:t>
      </w:r>
      <w:r>
        <w:rPr>
          <w:sz w:val="24"/>
          <w:szCs w:val="24"/>
          <w:u w:val="single"/>
        </w:rPr>
        <w:t>，非正常</w:t>
      </w:r>
      <w:r>
        <w:rPr>
          <w:rFonts w:hint="eastAsia"/>
          <w:sz w:val="24"/>
          <w:szCs w:val="24"/>
          <w:u w:val="single"/>
          <w:lang w:eastAsia="zh-CN"/>
        </w:rPr>
        <w:t>工况</w:t>
      </w:r>
      <w:r>
        <w:rPr>
          <w:sz w:val="24"/>
          <w:szCs w:val="24"/>
          <w:u w:val="single"/>
        </w:rPr>
        <w:t>下项目有组织排放的</w:t>
      </w:r>
      <w:r>
        <w:rPr>
          <w:rFonts w:hint="eastAsia"/>
          <w:sz w:val="24"/>
          <w:szCs w:val="24"/>
          <w:u w:val="single"/>
          <w:lang w:eastAsia="zh-CN"/>
        </w:rPr>
        <w:t>颗粒物、</w:t>
      </w:r>
      <w:r>
        <w:rPr>
          <w:sz w:val="24"/>
          <w:szCs w:val="24"/>
          <w:u w:val="single"/>
        </w:rPr>
        <w:t>非甲烷总烃</w:t>
      </w:r>
      <w:r>
        <w:rPr>
          <w:rFonts w:hint="eastAsia"/>
          <w:sz w:val="24"/>
          <w:szCs w:val="24"/>
          <w:u w:val="single"/>
          <w:lang w:eastAsia="zh-CN"/>
        </w:rPr>
        <w:t>、苯乙烯、氨和硫化氢</w:t>
      </w:r>
      <w:r>
        <w:rPr>
          <w:sz w:val="24"/>
          <w:szCs w:val="24"/>
          <w:u w:val="single"/>
        </w:rPr>
        <w:t>对周边环境的影响也</w:t>
      </w:r>
      <w:r>
        <w:rPr>
          <w:rFonts w:hint="eastAsia"/>
          <w:sz w:val="24"/>
          <w:szCs w:val="24"/>
          <w:u w:val="single"/>
          <w:lang w:eastAsia="zh-CN"/>
        </w:rPr>
        <w:t>较</w:t>
      </w:r>
      <w:r>
        <w:rPr>
          <w:sz w:val="24"/>
          <w:szCs w:val="24"/>
          <w:u w:val="single"/>
        </w:rPr>
        <w:t>小，不会对周边区域环境空气质量带来明显不利影响。</w:t>
      </w:r>
    </w:p>
    <w:p>
      <w:pPr>
        <w:pStyle w:val="4"/>
        <w:bidi w:val="0"/>
        <w:rPr>
          <w:u w:val="single"/>
        </w:rPr>
      </w:pPr>
      <w:r>
        <w:rPr>
          <w:rFonts w:hint="eastAsia"/>
          <w:u w:val="single"/>
          <w:lang w:val="en-US" w:eastAsia="zh-CN"/>
        </w:rPr>
        <w:t xml:space="preserve">6.2.5 </w:t>
      </w:r>
      <w:r>
        <w:rPr>
          <w:u w:val="single"/>
        </w:rPr>
        <w:t>大气环境防护距离</w:t>
      </w:r>
    </w:p>
    <w:p>
      <w:pPr>
        <w:pageBreakBefore w:val="0"/>
        <w:kinsoku/>
        <w:wordWrap/>
        <w:overflowPunct/>
        <w:topLinePunct w:val="0"/>
        <w:bidi w:val="0"/>
        <w:spacing w:line="360" w:lineRule="auto"/>
        <w:ind w:firstLine="422" w:firstLineChars="176"/>
        <w:outlineLvl w:val="9"/>
        <w:rPr>
          <w:rFonts w:ascii="Times New Roman" w:hAnsi="Times New Roman"/>
          <w:color w:val="auto"/>
          <w:sz w:val="24"/>
          <w:szCs w:val="32"/>
          <w:u w:val="single"/>
        </w:rPr>
      </w:pPr>
      <w:r>
        <w:rPr>
          <w:rFonts w:ascii="Times New Roman" w:hAnsi="Times New Roman"/>
          <w:color w:val="auto"/>
          <w:sz w:val="24"/>
          <w:szCs w:val="32"/>
          <w:u w:val="single"/>
        </w:rPr>
        <w:t>根据《环境影响评价技术导则—大气环境》（HJ2.2-20</w:t>
      </w:r>
      <w:r>
        <w:rPr>
          <w:rFonts w:hint="eastAsia" w:ascii="Times New Roman" w:hAnsi="Times New Roman"/>
          <w:color w:val="auto"/>
          <w:sz w:val="24"/>
          <w:szCs w:val="32"/>
          <w:u w:val="single"/>
          <w:lang w:val="en-US" w:eastAsia="zh-CN"/>
        </w:rPr>
        <w:t>18</w:t>
      </w:r>
      <w:r>
        <w:rPr>
          <w:rFonts w:ascii="Times New Roman" w:hAnsi="Times New Roman"/>
          <w:color w:val="auto"/>
          <w:sz w:val="24"/>
          <w:szCs w:val="32"/>
          <w:u w:val="single"/>
        </w:rPr>
        <w:t>）中相关大气环境防护距离计算的要求，对本项目生产过程所排废气进行核算。经过计算，在大气评价范围内未出现厂界超标点，故本项目无组织排放废气不需设置大气环境防护距离。</w:t>
      </w:r>
    </w:p>
    <w:p>
      <w:pPr>
        <w:pStyle w:val="4"/>
        <w:bidi w:val="0"/>
        <w:rPr>
          <w:lang w:val="en-US"/>
        </w:rPr>
      </w:pPr>
      <w:r>
        <w:rPr>
          <w:rFonts w:hint="eastAsia"/>
          <w:lang w:val="en-US" w:eastAsia="zh-CN"/>
        </w:rPr>
        <w:t xml:space="preserve">6.2.6 </w:t>
      </w:r>
      <w:r>
        <w:rPr>
          <w:rFonts w:hint="eastAsia"/>
          <w:lang w:val="en-US"/>
        </w:rPr>
        <w:t>大气环境影响评价自查表</w:t>
      </w:r>
    </w:p>
    <w:p>
      <w:pPr>
        <w:spacing w:line="360" w:lineRule="auto"/>
        <w:ind w:firstLine="482"/>
        <w:jc w:val="center"/>
      </w:pPr>
      <w:r>
        <w:rPr>
          <w:rFonts w:hint="eastAsia"/>
          <w:b/>
          <w:bCs/>
          <w:lang w:val="en-US"/>
        </w:rPr>
        <w:t>表</w:t>
      </w:r>
      <w:r>
        <w:rPr>
          <w:b/>
          <w:bCs/>
          <w:lang w:val="en-US"/>
        </w:rPr>
        <w:t>6.2-</w:t>
      </w:r>
      <w:r>
        <w:rPr>
          <w:rFonts w:hint="eastAsia"/>
          <w:b/>
          <w:bCs/>
          <w:lang w:val="en-US" w:eastAsia="zh-CN"/>
        </w:rPr>
        <w:t>25</w:t>
      </w:r>
      <w:r>
        <w:rPr>
          <w:b/>
          <w:bCs/>
          <w:lang w:val="en-US"/>
        </w:rPr>
        <w:t xml:space="preserve"> </w:t>
      </w:r>
      <w:r>
        <w:rPr>
          <w:rFonts w:hint="eastAsia"/>
          <w:b/>
          <w:bCs/>
          <w:lang w:val="en-US"/>
        </w:rPr>
        <w:t xml:space="preserve"> 建设项目大气环境影响评价自查表</w:t>
      </w:r>
    </w:p>
    <w:tbl>
      <w:tblPr>
        <w:tblStyle w:val="21"/>
        <w:tblW w:w="50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5"/>
        <w:gridCol w:w="981"/>
        <w:gridCol w:w="1443"/>
        <w:gridCol w:w="384"/>
        <w:gridCol w:w="473"/>
        <w:gridCol w:w="1446"/>
        <w:gridCol w:w="476"/>
        <w:gridCol w:w="925"/>
        <w:gridCol w:w="1059"/>
        <w:gridCol w:w="959"/>
        <w:gridCol w:w="530"/>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767"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工作内容</w:t>
            </w:r>
          </w:p>
        </w:tc>
        <w:tc>
          <w:tcPr>
            <w:tcW w:w="4232" w:type="pct"/>
            <w:gridSpan w:val="10"/>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评价等级与范围</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评价等级</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一级□</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二级</w:t>
            </w:r>
            <w:r>
              <w:rPr>
                <w:rFonts w:hint="eastAsia"/>
                <w:sz w:val="21"/>
                <w:szCs w:val="21"/>
              </w:rPr>
              <w:sym w:font="Wingdings" w:char="00FE"/>
            </w:r>
          </w:p>
        </w:tc>
        <w:tc>
          <w:tcPr>
            <w:tcW w:w="820" w:type="pct"/>
            <w:gridSpan w:val="3"/>
            <w:vAlign w:val="center"/>
          </w:tcPr>
          <w:p>
            <w:pPr>
              <w:pStyle w:val="31"/>
              <w:spacing w:line="240" w:lineRule="auto"/>
              <w:ind w:firstLine="0" w:firstLineChars="0"/>
              <w:rPr>
                <w:sz w:val="21"/>
                <w:szCs w:val="21"/>
              </w:rPr>
            </w:pPr>
            <w:r>
              <w:rPr>
                <w:rFonts w:ascii="Times New Roman" w:hAnsi="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评价范围</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边长=50km□</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边长=5~50km</w:t>
            </w:r>
            <w:r>
              <w:rPr>
                <w:rFonts w:hint="eastAsia"/>
                <w:sz w:val="21"/>
                <w:szCs w:val="21"/>
              </w:rPr>
              <w:sym w:font="Wingdings" w:char="00FE"/>
            </w:r>
          </w:p>
        </w:tc>
        <w:tc>
          <w:tcPr>
            <w:tcW w:w="820"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评价因子</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+NO</w:t>
            </w:r>
            <w:r>
              <w:rPr>
                <w:rFonts w:ascii="Times New Roman" w:hAnsi="Times New Roman"/>
                <w:sz w:val="21"/>
                <w:szCs w:val="21"/>
                <w:vertAlign w:val="subscript"/>
              </w:rPr>
              <w:t>x</w:t>
            </w:r>
          </w:p>
          <w:p>
            <w:pPr>
              <w:pStyle w:val="31"/>
              <w:spacing w:line="240" w:lineRule="auto"/>
              <w:ind w:firstLine="0" w:firstLineChars="0"/>
              <w:rPr>
                <w:rFonts w:ascii="Times New Roman" w:hAnsi="Times New Roman"/>
                <w:sz w:val="21"/>
                <w:szCs w:val="21"/>
              </w:rPr>
            </w:pPr>
            <w:r>
              <w:rPr>
                <w:rFonts w:ascii="Times New Roman" w:hAnsi="Times New Roman"/>
                <w:sz w:val="21"/>
                <w:szCs w:val="21"/>
              </w:rPr>
              <w:t>排放量</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≥2000t/a□</w:t>
            </w:r>
          </w:p>
        </w:tc>
        <w:tc>
          <w:tcPr>
            <w:tcW w:w="1565"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500~2000t/a□</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&lt;500t/a□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228" w:type="pct"/>
            <w:vMerge w:val="continue"/>
            <w:vAlign w:val="center"/>
          </w:tcPr>
          <w:p>
            <w:pPr>
              <w:spacing w:line="240" w:lineRule="auto"/>
              <w:ind w:firstLine="0" w:firstLineChars="0"/>
              <w:jc w:val="center"/>
              <w:rPr>
                <w:sz w:val="21"/>
                <w:szCs w:val="21"/>
              </w:rPr>
            </w:pP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评价因子</w:t>
            </w:r>
          </w:p>
        </w:tc>
        <w:tc>
          <w:tcPr>
            <w:tcW w:w="2829" w:type="pct"/>
            <w:gridSpan w:val="6"/>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基本污染物（）</w:t>
            </w:r>
          </w:p>
          <w:p>
            <w:pPr>
              <w:pStyle w:val="31"/>
              <w:spacing w:line="240" w:lineRule="auto"/>
              <w:ind w:firstLine="0" w:firstLineChars="0"/>
              <w:rPr>
                <w:rFonts w:ascii="Times New Roman" w:hAnsi="Times New Roman"/>
                <w:sz w:val="21"/>
                <w:szCs w:val="21"/>
              </w:rPr>
            </w:pPr>
            <w:r>
              <w:rPr>
                <w:rFonts w:ascii="Times New Roman" w:hAnsi="Times New Roman"/>
                <w:sz w:val="21"/>
                <w:szCs w:val="21"/>
              </w:rPr>
              <w:t>其他污染物（</w:t>
            </w:r>
            <w:r>
              <w:rPr>
                <w:rFonts w:hint="eastAsia" w:ascii="Times New Roman" w:hAnsi="Times New Roman"/>
                <w:sz w:val="21"/>
                <w:szCs w:val="21"/>
                <w:lang w:val="en-US" w:eastAsia="zh-CN"/>
              </w:rPr>
              <w:t>颗粒物</w:t>
            </w:r>
            <w:r>
              <w:rPr>
                <w:rFonts w:hint="eastAsia" w:ascii="Times New Roman" w:hAnsi="Times New Roman"/>
                <w:sz w:val="21"/>
                <w:szCs w:val="21"/>
                <w:lang w:val="en-US"/>
              </w:rPr>
              <w:t>、</w:t>
            </w:r>
            <w:r>
              <w:rPr>
                <w:rFonts w:hint="eastAsia" w:ascii="Times New Roman" w:hAnsi="Times New Roman"/>
                <w:sz w:val="21"/>
                <w:szCs w:val="21"/>
                <w:lang w:val="en-US" w:eastAsia="zh-CN"/>
              </w:rPr>
              <w:t>NMHC</w:t>
            </w:r>
            <w:r>
              <w:rPr>
                <w:rFonts w:ascii="Times New Roman" w:hAnsi="Times New Roman"/>
                <w:sz w:val="21"/>
                <w:szCs w:val="21"/>
              </w:rPr>
              <w:t>）</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包括二次PM</w:t>
            </w:r>
            <w:r>
              <w:rPr>
                <w:rFonts w:ascii="Times New Roman" w:hAnsi="Times New Roman"/>
                <w:sz w:val="21"/>
                <w:szCs w:val="21"/>
                <w:vertAlign w:val="subscript"/>
              </w:rPr>
              <w:t>2.5</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2829" w:type="pct"/>
            <w:gridSpan w:val="6"/>
            <w:vMerge w:val="continue"/>
            <w:vAlign w:val="center"/>
          </w:tcPr>
          <w:p>
            <w:pPr>
              <w:spacing w:line="240" w:lineRule="auto"/>
              <w:ind w:firstLine="0" w:firstLineChars="0"/>
              <w:jc w:val="center"/>
              <w:rPr>
                <w:sz w:val="21"/>
                <w:szCs w:val="21"/>
              </w:rPr>
            </w:pP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不包括二次PM</w:t>
            </w:r>
            <w:r>
              <w:rPr>
                <w:rFonts w:ascii="Times New Roman" w:hAnsi="Times New Roman"/>
                <w:sz w:val="21"/>
                <w:szCs w:val="21"/>
                <w:vertAlign w:val="subscript"/>
              </w:rPr>
              <w:t>2.5</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228"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评价标准</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评价标准</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国家标准</w:t>
            </w:r>
            <w:r>
              <w:rPr>
                <w:rFonts w:hint="eastAsia"/>
                <w:sz w:val="21"/>
                <w:szCs w:val="21"/>
              </w:rPr>
              <w:sym w:font="Wingdings" w:char="00FE"/>
            </w:r>
          </w:p>
        </w:tc>
        <w:tc>
          <w:tcPr>
            <w:tcW w:w="1565"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地方标准</w:t>
            </w:r>
            <w:r>
              <w:rPr>
                <w:rFonts w:hint="eastAsia"/>
                <w:sz w:val="21"/>
                <w:szCs w:val="21"/>
              </w:rPr>
              <w:sym w:font="Wingdings" w:char="00FE"/>
            </w:r>
          </w:p>
        </w:tc>
        <w:tc>
          <w:tcPr>
            <w:tcW w:w="582"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附录 D</w:t>
            </w:r>
            <w:r>
              <w:rPr>
                <w:rFonts w:hint="eastAsia"/>
                <w:sz w:val="21"/>
                <w:szCs w:val="21"/>
              </w:rPr>
              <w:sym w:font="Wingdings" w:char="00FE"/>
            </w:r>
            <w:r>
              <w:rPr>
                <w:rFonts w:ascii="Times New Roman" w:hAnsi="Times New Roman"/>
                <w:sz w:val="21"/>
                <w:szCs w:val="21"/>
              </w:rPr>
              <w:t></w:t>
            </w:r>
          </w:p>
        </w:tc>
        <w:tc>
          <w:tcPr>
            <w:tcW w:w="820"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其他标准</w:t>
            </w:r>
            <w:r>
              <w:rPr>
                <w:rFonts w:hint="eastAsia"/>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现状评价</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评价功能区</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一类区□</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二类区</w:t>
            </w:r>
            <w:r>
              <w:rPr>
                <w:rFonts w:hint="eastAsia"/>
                <w:sz w:val="21"/>
                <w:szCs w:val="21"/>
              </w:rPr>
              <w:sym w:font="Wingdings" w:char="00FE"/>
            </w:r>
            <w:r>
              <w:rPr>
                <w:rFonts w:ascii="Times New Roman" w:hAnsi="Times New Roman"/>
                <w:sz w:val="21"/>
                <w:szCs w:val="21"/>
              </w:rPr>
              <w:t></w:t>
            </w:r>
          </w:p>
        </w:tc>
        <w:tc>
          <w:tcPr>
            <w:tcW w:w="820"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评价基准年</w:t>
            </w:r>
          </w:p>
        </w:tc>
        <w:tc>
          <w:tcPr>
            <w:tcW w:w="4232" w:type="pct"/>
            <w:gridSpan w:val="10"/>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环境空气质量现状调查数据来源</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长期例行监测数据□</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主管部门发布的数据</w:t>
            </w:r>
            <w:r>
              <w:rPr>
                <w:rFonts w:hint="eastAsia"/>
                <w:sz w:val="21"/>
                <w:szCs w:val="21"/>
              </w:rPr>
              <w:sym w:font="Wingdings" w:char="00FE"/>
            </w:r>
          </w:p>
        </w:tc>
        <w:tc>
          <w:tcPr>
            <w:tcW w:w="820"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现状补充检测</w:t>
            </w:r>
            <w:r>
              <w:rPr>
                <w:rFonts w:hint="eastAsia"/>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现状评价</w:t>
            </w:r>
          </w:p>
        </w:tc>
        <w:tc>
          <w:tcPr>
            <w:tcW w:w="2829" w:type="pct"/>
            <w:gridSpan w:val="6"/>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达标区□</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不达标区</w:t>
            </w:r>
            <w:r>
              <w:rPr>
                <w:rFonts w:hint="eastAsia"/>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污染源调查</w:t>
            </w: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调查内容</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本项目正常排放源</w:t>
            </w:r>
            <w:r>
              <w:rPr>
                <w:rFonts w:hint="eastAsia"/>
                <w:sz w:val="21"/>
                <w:szCs w:val="21"/>
              </w:rPr>
              <w:sym w:font="Wingdings" w:char="00FE"/>
            </w:r>
            <w:r>
              <w:rPr>
                <w:rFonts w:ascii="Times New Roman" w:hAnsi="Times New Roman"/>
                <w:sz w:val="21"/>
                <w:szCs w:val="21"/>
              </w:rPr>
              <w:t></w:t>
            </w:r>
          </w:p>
        </w:tc>
        <w:tc>
          <w:tcPr>
            <w:tcW w:w="1565" w:type="pct"/>
            <w:gridSpan w:val="3"/>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拟替代的污染源□</w:t>
            </w:r>
          </w:p>
        </w:tc>
        <w:tc>
          <w:tcPr>
            <w:tcW w:w="582"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其他在建、拟建项目污染源</w:t>
            </w:r>
            <w:r>
              <w:rPr>
                <w:rFonts w:hint="eastAsia"/>
                <w:sz w:val="21"/>
                <w:szCs w:val="21"/>
              </w:rPr>
              <w:sym w:font="Wingdings" w:char="00FE"/>
            </w:r>
          </w:p>
        </w:tc>
        <w:tc>
          <w:tcPr>
            <w:tcW w:w="820" w:type="pct"/>
            <w:gridSpan w:val="3"/>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本项目非正常排放源</w:t>
            </w:r>
            <w:r>
              <w:rPr>
                <w:rFonts w:hint="eastAsia"/>
                <w:sz w:val="21"/>
                <w:szCs w:val="21"/>
              </w:rPr>
              <w:sym w:font="Wingdings" w:char="00FE"/>
            </w:r>
          </w:p>
        </w:tc>
        <w:tc>
          <w:tcPr>
            <w:tcW w:w="1565" w:type="pct"/>
            <w:gridSpan w:val="3"/>
            <w:vMerge w:val="continue"/>
            <w:vAlign w:val="center"/>
          </w:tcPr>
          <w:p>
            <w:pPr>
              <w:spacing w:line="240" w:lineRule="auto"/>
              <w:ind w:firstLine="0" w:firstLineChars="0"/>
              <w:jc w:val="center"/>
              <w:rPr>
                <w:sz w:val="21"/>
                <w:szCs w:val="21"/>
              </w:rPr>
            </w:pPr>
          </w:p>
        </w:tc>
        <w:tc>
          <w:tcPr>
            <w:tcW w:w="582" w:type="pct"/>
            <w:vMerge w:val="continue"/>
            <w:vAlign w:val="center"/>
          </w:tcPr>
          <w:p>
            <w:pPr>
              <w:spacing w:line="240" w:lineRule="auto"/>
              <w:ind w:firstLine="0" w:firstLineChars="0"/>
              <w:jc w:val="center"/>
              <w:rPr>
                <w:sz w:val="21"/>
                <w:szCs w:val="21"/>
              </w:rPr>
            </w:pPr>
          </w:p>
        </w:tc>
        <w:tc>
          <w:tcPr>
            <w:tcW w:w="820" w:type="pct"/>
            <w:gridSpan w:val="3"/>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现有污染源□</w:t>
            </w:r>
          </w:p>
        </w:tc>
        <w:tc>
          <w:tcPr>
            <w:tcW w:w="1565" w:type="pct"/>
            <w:gridSpan w:val="3"/>
            <w:vMerge w:val="continue"/>
            <w:vAlign w:val="center"/>
          </w:tcPr>
          <w:p>
            <w:pPr>
              <w:spacing w:line="240" w:lineRule="auto"/>
              <w:ind w:firstLine="0" w:firstLineChars="0"/>
              <w:jc w:val="center"/>
              <w:rPr>
                <w:sz w:val="21"/>
                <w:szCs w:val="21"/>
              </w:rPr>
            </w:pPr>
          </w:p>
        </w:tc>
        <w:tc>
          <w:tcPr>
            <w:tcW w:w="582" w:type="pct"/>
            <w:vMerge w:val="continue"/>
            <w:vAlign w:val="center"/>
          </w:tcPr>
          <w:p>
            <w:pPr>
              <w:spacing w:line="240" w:lineRule="auto"/>
              <w:ind w:firstLine="0" w:firstLineChars="0"/>
              <w:jc w:val="center"/>
              <w:rPr>
                <w:sz w:val="21"/>
                <w:szCs w:val="21"/>
              </w:rPr>
            </w:pPr>
          </w:p>
        </w:tc>
        <w:tc>
          <w:tcPr>
            <w:tcW w:w="820" w:type="pct"/>
            <w:gridSpan w:val="3"/>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大气环境影响预测与评价</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预测模型</w:t>
            </w:r>
          </w:p>
        </w:tc>
        <w:tc>
          <w:tcPr>
            <w:tcW w:w="793"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AERMOD□</w:t>
            </w:r>
          </w:p>
        </w:tc>
        <w:tc>
          <w:tcPr>
            <w:tcW w:w="471"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ADMS□</w:t>
            </w:r>
          </w:p>
        </w:tc>
        <w:tc>
          <w:tcPr>
            <w:tcW w:w="794"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AUSTAL2000□</w:t>
            </w:r>
          </w:p>
        </w:tc>
        <w:tc>
          <w:tcPr>
            <w:tcW w:w="770"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EDMS/AEDT□</w:t>
            </w:r>
          </w:p>
        </w:tc>
        <w:tc>
          <w:tcPr>
            <w:tcW w:w="582"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CALPUFF□</w:t>
            </w:r>
          </w:p>
        </w:tc>
        <w:tc>
          <w:tcPr>
            <w:tcW w:w="527"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网格模型□</w:t>
            </w:r>
          </w:p>
        </w:tc>
        <w:tc>
          <w:tcPr>
            <w:tcW w:w="293"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预测范围</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边长≥50km□</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边长5~50km□</w:t>
            </w:r>
          </w:p>
        </w:tc>
        <w:tc>
          <w:tcPr>
            <w:tcW w:w="820"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228" w:type="pct"/>
            <w:vMerge w:val="continue"/>
            <w:vAlign w:val="center"/>
          </w:tcPr>
          <w:p>
            <w:pPr>
              <w:spacing w:line="240" w:lineRule="auto"/>
              <w:ind w:firstLine="0" w:firstLineChars="0"/>
              <w:jc w:val="center"/>
              <w:rPr>
                <w:sz w:val="21"/>
                <w:szCs w:val="21"/>
              </w:rPr>
            </w:pP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预测因子</w:t>
            </w:r>
          </w:p>
        </w:tc>
        <w:tc>
          <w:tcPr>
            <w:tcW w:w="2829" w:type="pct"/>
            <w:gridSpan w:val="6"/>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预测因子（）</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2829" w:type="pct"/>
            <w:gridSpan w:val="6"/>
            <w:vMerge w:val="continue"/>
            <w:vAlign w:val="center"/>
          </w:tcPr>
          <w:p>
            <w:pPr>
              <w:spacing w:line="240" w:lineRule="auto"/>
              <w:ind w:firstLine="0" w:firstLineChars="0"/>
              <w:jc w:val="center"/>
              <w:rPr>
                <w:sz w:val="21"/>
                <w:szCs w:val="21"/>
              </w:rPr>
            </w:pP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不包括二次PM2.5□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正常排放</w:t>
            </w:r>
          </w:p>
          <w:p>
            <w:pPr>
              <w:pStyle w:val="31"/>
              <w:spacing w:line="240" w:lineRule="auto"/>
              <w:ind w:firstLine="0" w:firstLineChars="0"/>
              <w:rPr>
                <w:rFonts w:ascii="Times New Roman" w:hAnsi="Times New Roman"/>
                <w:sz w:val="21"/>
                <w:szCs w:val="21"/>
              </w:rPr>
            </w:pPr>
            <w:r>
              <w:rPr>
                <w:rFonts w:ascii="Times New Roman" w:hAnsi="Times New Roman"/>
                <w:spacing w:val="-4"/>
                <w:sz w:val="21"/>
                <w:szCs w:val="21"/>
              </w:rPr>
              <w:t>短期浓度</w:t>
            </w:r>
            <w:r>
              <w:rPr>
                <w:rFonts w:ascii="Times New Roman" w:hAnsi="Times New Roman"/>
                <w:sz w:val="21"/>
                <w:szCs w:val="21"/>
              </w:rPr>
              <w:t>贡献值</w:t>
            </w:r>
          </w:p>
        </w:tc>
        <w:tc>
          <w:tcPr>
            <w:tcW w:w="2829" w:type="pct"/>
            <w:gridSpan w:val="6"/>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C本项目最大占标率≤100%□</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228" w:type="pct"/>
            <w:vMerge w:val="continue"/>
            <w:vAlign w:val="center"/>
          </w:tcPr>
          <w:p>
            <w:pPr>
              <w:spacing w:line="240" w:lineRule="auto"/>
              <w:ind w:firstLine="0" w:firstLineChars="0"/>
              <w:jc w:val="center"/>
              <w:rPr>
                <w:sz w:val="21"/>
                <w:szCs w:val="21"/>
              </w:rPr>
            </w:pP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正常排放年均浓度贡献值</w:t>
            </w:r>
          </w:p>
        </w:tc>
        <w:tc>
          <w:tcPr>
            <w:tcW w:w="1004"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一类区</w:t>
            </w:r>
          </w:p>
        </w:tc>
        <w:tc>
          <w:tcPr>
            <w:tcW w:w="1825"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C本项目最大占标率≤10%□</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1004"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二类区</w:t>
            </w:r>
          </w:p>
        </w:tc>
        <w:tc>
          <w:tcPr>
            <w:tcW w:w="1825"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C本项目最大占标率≤30%□</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C本项目最大占标</w:t>
            </w:r>
          </w:p>
          <w:p>
            <w:pPr>
              <w:pStyle w:val="31"/>
              <w:spacing w:line="240" w:lineRule="auto"/>
              <w:ind w:firstLine="0" w:firstLineChars="0"/>
              <w:rPr>
                <w:rFonts w:ascii="Times New Roman" w:hAnsi="Times New Roman"/>
                <w:sz w:val="21"/>
                <w:szCs w:val="21"/>
              </w:rPr>
            </w:pPr>
            <w:r>
              <w:rPr>
                <w:rFonts w:ascii="Times New Roman" w:hAnsi="Times New Roman"/>
                <w:sz w:val="21"/>
                <w:szCs w:val="21"/>
              </w:rPr>
              <w:t>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4" w:hRule="atLeast"/>
        </w:trPr>
        <w:tc>
          <w:tcPr>
            <w:tcW w:w="228" w:type="pct"/>
            <w:vMerge w:val="continue"/>
            <w:vAlign w:val="center"/>
          </w:tcPr>
          <w:p>
            <w:pPr>
              <w:spacing w:line="240" w:lineRule="auto"/>
              <w:ind w:firstLine="0" w:firstLineChars="0"/>
              <w:jc w:val="center"/>
              <w:rPr>
                <w:sz w:val="21"/>
                <w:szCs w:val="21"/>
              </w:rPr>
            </w:pP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非正常 1h</w:t>
            </w:r>
          </w:p>
          <w:p>
            <w:pPr>
              <w:pStyle w:val="31"/>
              <w:spacing w:line="240" w:lineRule="auto"/>
              <w:ind w:firstLine="0" w:firstLineChars="0"/>
              <w:rPr>
                <w:rFonts w:ascii="Times New Roman" w:hAnsi="Times New Roman"/>
                <w:sz w:val="21"/>
                <w:szCs w:val="21"/>
              </w:rPr>
            </w:pPr>
            <w:r>
              <w:rPr>
                <w:rFonts w:ascii="Times New Roman" w:hAnsi="Times New Roman"/>
                <w:sz w:val="21"/>
                <w:szCs w:val="21"/>
              </w:rPr>
              <w:t>浓度贡献值</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非正常持续时长</w:t>
            </w:r>
          </w:p>
        </w:tc>
        <w:tc>
          <w:tcPr>
            <w:tcW w:w="2147" w:type="pct"/>
            <w:gridSpan w:val="4"/>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 非正常占标率≤100%□</w:t>
            </w:r>
          </w:p>
        </w:tc>
        <w:tc>
          <w:tcPr>
            <w:tcW w:w="820" w:type="pct"/>
            <w:gridSpan w:val="3"/>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C非正常占标率&gt;100%□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（）h</w:t>
            </w:r>
          </w:p>
        </w:tc>
        <w:tc>
          <w:tcPr>
            <w:tcW w:w="2147" w:type="pct"/>
            <w:gridSpan w:val="4"/>
            <w:vMerge w:val="continue"/>
            <w:vAlign w:val="center"/>
          </w:tcPr>
          <w:p>
            <w:pPr>
              <w:spacing w:line="240" w:lineRule="auto"/>
              <w:ind w:firstLine="0" w:firstLineChars="0"/>
              <w:jc w:val="center"/>
              <w:rPr>
                <w:sz w:val="21"/>
                <w:szCs w:val="21"/>
              </w:rPr>
            </w:pPr>
          </w:p>
        </w:tc>
        <w:tc>
          <w:tcPr>
            <w:tcW w:w="820" w:type="pct"/>
            <w:gridSpan w:val="3"/>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8"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保证率日平均浓度和年平均浓度叠加值</w:t>
            </w:r>
          </w:p>
        </w:tc>
        <w:tc>
          <w:tcPr>
            <w:tcW w:w="2829" w:type="pct"/>
            <w:gridSpan w:val="6"/>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C叠加达标□</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区域环境质量的整体变化情</w:t>
            </w:r>
          </w:p>
          <w:p>
            <w:pPr>
              <w:pStyle w:val="31"/>
              <w:spacing w:line="240" w:lineRule="auto"/>
              <w:ind w:firstLine="0" w:firstLineChars="0"/>
              <w:rPr>
                <w:rFonts w:ascii="Times New Roman" w:hAnsi="Times New Roman"/>
                <w:sz w:val="21"/>
                <w:szCs w:val="21"/>
              </w:rPr>
            </w:pPr>
            <w:r>
              <w:rPr>
                <w:rFonts w:ascii="Times New Roman" w:hAnsi="Times New Roman"/>
                <w:sz w:val="21"/>
                <w:szCs w:val="21"/>
              </w:rPr>
              <w:t>况</w:t>
            </w:r>
          </w:p>
        </w:tc>
        <w:tc>
          <w:tcPr>
            <w:tcW w:w="2829" w:type="pct"/>
            <w:gridSpan w:val="6"/>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k≤-20%□</w:t>
            </w:r>
          </w:p>
        </w:tc>
        <w:tc>
          <w:tcPr>
            <w:tcW w:w="1402"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k&gt;-20%□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332"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环境监测计划</w:t>
            </w:r>
          </w:p>
        </w:tc>
        <w:tc>
          <w:tcPr>
            <w:tcW w:w="539"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污染源监测</w:t>
            </w:r>
          </w:p>
        </w:tc>
        <w:tc>
          <w:tcPr>
            <w:tcW w:w="1264" w:type="pct"/>
            <w:gridSpan w:val="3"/>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pacing w:val="-19"/>
                <w:sz w:val="21"/>
                <w:szCs w:val="21"/>
              </w:rPr>
              <w:t>监测因子：</w:t>
            </w:r>
            <w:r>
              <w:rPr>
                <w:rFonts w:ascii="Times New Roman" w:hAnsi="Times New Roman"/>
                <w:spacing w:val="-1"/>
                <w:sz w:val="21"/>
                <w:szCs w:val="21"/>
              </w:rPr>
              <w:t>（</w:t>
            </w:r>
            <w:r>
              <w:rPr>
                <w:rFonts w:hint="eastAsia" w:ascii="Times New Roman" w:hAnsi="Times New Roman"/>
                <w:sz w:val="21"/>
                <w:szCs w:val="21"/>
                <w:lang w:val="en-US" w:eastAsia="zh-CN"/>
              </w:rPr>
              <w:t>苯乙烯、NMHC、硫化氢、氨</w:t>
            </w:r>
            <w:r>
              <w:rPr>
                <w:rFonts w:ascii="Times New Roman" w:hAnsi="Times New Roman"/>
                <w:sz w:val="21"/>
                <w:szCs w:val="21"/>
              </w:rPr>
              <w:t>）</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有组织废气监测</w:t>
            </w:r>
            <w:r>
              <w:rPr>
                <w:rFonts w:hint="eastAsia"/>
                <w:sz w:val="21"/>
                <w:szCs w:val="21"/>
              </w:rPr>
              <w:sym w:font="Wingdings" w:char="00FE"/>
            </w:r>
          </w:p>
        </w:tc>
        <w:tc>
          <w:tcPr>
            <w:tcW w:w="818" w:type="pct"/>
            <w:gridSpan w:val="2"/>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347" w:hRule="atLeast"/>
        </w:trPr>
        <w:tc>
          <w:tcPr>
            <w:tcW w:w="228" w:type="pct"/>
            <w:vMerge w:val="continue"/>
            <w:vAlign w:val="center"/>
          </w:tcPr>
          <w:p>
            <w:pPr>
              <w:spacing w:line="240" w:lineRule="auto"/>
              <w:ind w:firstLine="0" w:firstLineChars="0"/>
              <w:jc w:val="center"/>
              <w:rPr>
                <w:sz w:val="21"/>
                <w:szCs w:val="21"/>
              </w:rPr>
            </w:pPr>
          </w:p>
        </w:tc>
        <w:tc>
          <w:tcPr>
            <w:tcW w:w="539" w:type="pct"/>
            <w:vMerge w:val="continue"/>
            <w:vAlign w:val="center"/>
          </w:tcPr>
          <w:p>
            <w:pPr>
              <w:spacing w:line="240" w:lineRule="auto"/>
              <w:ind w:firstLine="0" w:firstLineChars="0"/>
              <w:jc w:val="center"/>
              <w:rPr>
                <w:sz w:val="21"/>
                <w:szCs w:val="21"/>
              </w:rPr>
            </w:pPr>
          </w:p>
        </w:tc>
        <w:tc>
          <w:tcPr>
            <w:tcW w:w="1264" w:type="pct"/>
            <w:gridSpan w:val="3"/>
            <w:vMerge w:val="continue"/>
            <w:vAlign w:val="center"/>
          </w:tcPr>
          <w:p>
            <w:pPr>
              <w:spacing w:line="240" w:lineRule="auto"/>
              <w:ind w:firstLine="0" w:firstLineChars="0"/>
              <w:jc w:val="center"/>
              <w:rPr>
                <w:sz w:val="21"/>
                <w:szCs w:val="21"/>
              </w:rPr>
            </w:pP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无组织废气监测</w:t>
            </w:r>
            <w:r>
              <w:rPr>
                <w:rFonts w:hint="eastAsia"/>
                <w:sz w:val="21"/>
                <w:szCs w:val="21"/>
              </w:rPr>
              <w:sym w:font="Wingdings" w:char="00FE"/>
            </w:r>
          </w:p>
        </w:tc>
        <w:tc>
          <w:tcPr>
            <w:tcW w:w="818" w:type="pct"/>
            <w:gridSpan w:val="2"/>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680"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环境质量监测</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pacing w:val="-19"/>
                <w:sz w:val="21"/>
                <w:szCs w:val="21"/>
              </w:rPr>
              <w:t>监测因子：</w:t>
            </w:r>
            <w:r>
              <w:rPr>
                <w:rFonts w:ascii="Times New Roman" w:hAnsi="Times New Roman"/>
                <w:spacing w:val="-1"/>
                <w:sz w:val="21"/>
                <w:szCs w:val="21"/>
              </w:rPr>
              <w:t>（</w:t>
            </w:r>
            <w:r>
              <w:rPr>
                <w:rFonts w:hint="eastAsia" w:ascii="Times New Roman" w:hAnsi="Times New Roman"/>
                <w:sz w:val="21"/>
                <w:szCs w:val="21"/>
                <w:lang w:val="en-US" w:eastAsia="zh-CN"/>
              </w:rPr>
              <w:t>苯乙烯、NMHC、硫化氢、氨</w:t>
            </w:r>
            <w:r>
              <w:rPr>
                <w:rFonts w:ascii="Times New Roman" w:hAnsi="Times New Roman"/>
                <w:sz w:val="21"/>
                <w:szCs w:val="21"/>
              </w:rPr>
              <w:t>）</w:t>
            </w:r>
          </w:p>
        </w:tc>
        <w:tc>
          <w:tcPr>
            <w:tcW w:w="2147" w:type="pct"/>
            <w:gridSpan w:val="4"/>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监测点位数（</w:t>
            </w:r>
            <w:r>
              <w:rPr>
                <w:rFonts w:hint="eastAsia" w:ascii="Times New Roman" w:hAnsi="Times New Roman"/>
                <w:sz w:val="21"/>
                <w:szCs w:val="21"/>
                <w:lang w:val="en-US" w:eastAsia="zh-CN"/>
              </w:rPr>
              <w:t>3</w:t>
            </w:r>
            <w:r>
              <w:rPr>
                <w:rFonts w:ascii="Times New Roman" w:hAnsi="Times New Roman"/>
                <w:sz w:val="21"/>
                <w:szCs w:val="21"/>
              </w:rPr>
              <w:t>）</w:t>
            </w:r>
          </w:p>
        </w:tc>
        <w:tc>
          <w:tcPr>
            <w:tcW w:w="818"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234" w:hRule="atLeast"/>
        </w:trPr>
        <w:tc>
          <w:tcPr>
            <w:tcW w:w="228" w:type="pct"/>
            <w:vMerge w:val="restar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评价结论</w:t>
            </w: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环境影响</w:t>
            </w:r>
          </w:p>
        </w:tc>
        <w:tc>
          <w:tcPr>
            <w:tcW w:w="4229" w:type="pct"/>
            <w:gridSpan w:val="9"/>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可以接受</w:t>
            </w:r>
            <w:r>
              <w:rPr>
                <w:rFonts w:hint="eastAsia"/>
                <w:sz w:val="21"/>
                <w:szCs w:val="21"/>
              </w:rPr>
              <w:sym w:font="Wingdings" w:char="00FE"/>
            </w:r>
            <w:r>
              <w:rPr>
                <w:rFonts w:ascii="Times New Roman" w:hAnsi="Times New Roman"/>
                <w:sz w:val="21"/>
                <w:szCs w:val="21"/>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464"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大气环境防护距离</w:t>
            </w:r>
          </w:p>
        </w:tc>
        <w:tc>
          <w:tcPr>
            <w:tcW w:w="4229" w:type="pct"/>
            <w:gridSpan w:val="9"/>
            <w:vAlign w:val="center"/>
          </w:tcPr>
          <w:p>
            <w:pPr>
              <w:pStyle w:val="31"/>
              <w:tabs>
                <w:tab w:val="left" w:pos="649"/>
              </w:tabs>
              <w:spacing w:line="240" w:lineRule="auto"/>
              <w:ind w:firstLine="0" w:firstLineChars="0"/>
              <w:rPr>
                <w:rFonts w:ascii="Times New Roman" w:hAnsi="Times New Roman"/>
                <w:sz w:val="21"/>
                <w:szCs w:val="21"/>
              </w:rPr>
            </w:pPr>
            <w:r>
              <w:rPr>
                <w:rFonts w:ascii="Times New Roman" w:hAnsi="Times New Roman"/>
                <w:sz w:val="21"/>
                <w:szCs w:val="21"/>
              </w:rPr>
              <w:t>距（</w:t>
            </w:r>
            <w:r>
              <w:rPr>
                <w:rFonts w:hint="eastAsia" w:ascii="Times New Roman" w:hAnsi="Times New Roman"/>
                <w:sz w:val="21"/>
                <w:szCs w:val="21"/>
              </w:rPr>
              <w:t>）</w:t>
            </w:r>
            <w:r>
              <w:rPr>
                <w:rFonts w:ascii="Times New Roman" w:hAnsi="Times New Roman"/>
                <w:sz w:val="21"/>
                <w:szCs w:val="21"/>
              </w:rPr>
              <w:t>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467" w:hRule="atLeast"/>
        </w:trPr>
        <w:tc>
          <w:tcPr>
            <w:tcW w:w="228" w:type="pct"/>
            <w:vMerge w:val="continue"/>
            <w:vAlign w:val="center"/>
          </w:tcPr>
          <w:p>
            <w:pPr>
              <w:spacing w:line="240" w:lineRule="auto"/>
              <w:ind w:firstLine="0" w:firstLineChars="0"/>
              <w:jc w:val="center"/>
              <w:rPr>
                <w:sz w:val="21"/>
                <w:szCs w:val="21"/>
              </w:rPr>
            </w:pPr>
          </w:p>
        </w:tc>
        <w:tc>
          <w:tcPr>
            <w:tcW w:w="539" w:type="pct"/>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污染源年排放量</w:t>
            </w:r>
          </w:p>
        </w:tc>
        <w:tc>
          <w:tcPr>
            <w:tcW w:w="1264" w:type="pct"/>
            <w:gridSpan w:val="3"/>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highlight w:val="none"/>
              </w:rPr>
              <w:t>SO</w:t>
            </w:r>
            <w:r>
              <w:rPr>
                <w:rFonts w:ascii="Times New Roman" w:hAnsi="Times New Roman"/>
                <w:sz w:val="21"/>
                <w:szCs w:val="21"/>
                <w:highlight w:val="none"/>
                <w:vertAlign w:val="subscript"/>
              </w:rPr>
              <w:t>2</w:t>
            </w:r>
            <w:r>
              <w:rPr>
                <w:rFonts w:ascii="Times New Roman" w:hAnsi="Times New Roman"/>
                <w:sz w:val="21"/>
                <w:szCs w:val="21"/>
                <w:highlight w:val="none"/>
              </w:rPr>
              <w:t>:(</w:t>
            </w:r>
            <w:r>
              <w:rPr>
                <w:rFonts w:hint="eastAsia" w:ascii="Times New Roman" w:hAnsi="Times New Roman"/>
                <w:sz w:val="21"/>
                <w:szCs w:val="21"/>
                <w:highlight w:val="none"/>
                <w:lang w:val="en-US" w:eastAsia="zh-CN"/>
              </w:rPr>
              <w:t>0</w:t>
            </w:r>
            <w:r>
              <w:rPr>
                <w:rFonts w:ascii="Times New Roman" w:hAnsi="Times New Roman"/>
                <w:sz w:val="21"/>
                <w:szCs w:val="21"/>
                <w:highlight w:val="none"/>
              </w:rPr>
              <w:t>)t/a</w:t>
            </w:r>
          </w:p>
        </w:tc>
        <w:tc>
          <w:tcPr>
            <w:tcW w:w="1056" w:type="pct"/>
            <w:gridSpan w:val="2"/>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NO</w:t>
            </w:r>
            <w:r>
              <w:rPr>
                <w:rFonts w:ascii="Times New Roman" w:hAnsi="Times New Roman"/>
                <w:sz w:val="21"/>
                <w:szCs w:val="21"/>
                <w:vertAlign w:val="subscript"/>
              </w:rPr>
              <w:t>x</w:t>
            </w:r>
            <w:r>
              <w:rPr>
                <w:rFonts w:ascii="Times New Roman" w:hAnsi="Times New Roman"/>
                <w:sz w:val="21"/>
                <w:szCs w:val="21"/>
              </w:rPr>
              <w:t>:(</w:t>
            </w:r>
            <w:r>
              <w:rPr>
                <w:rFonts w:hint="eastAsia" w:ascii="Times New Roman" w:hAnsi="Times New Roman"/>
                <w:sz w:val="21"/>
                <w:szCs w:val="21"/>
                <w:lang w:val="en-US"/>
              </w:rPr>
              <w:t>0</w:t>
            </w:r>
            <w:r>
              <w:rPr>
                <w:rFonts w:ascii="Times New Roman" w:hAnsi="Times New Roman"/>
                <w:sz w:val="21"/>
                <w:szCs w:val="21"/>
              </w:rPr>
              <w:t>)t/a</w:t>
            </w:r>
          </w:p>
        </w:tc>
        <w:tc>
          <w:tcPr>
            <w:tcW w:w="1090" w:type="pct"/>
            <w:gridSpan w:val="2"/>
            <w:vAlign w:val="center"/>
          </w:tcPr>
          <w:p>
            <w:pPr>
              <w:pStyle w:val="31"/>
              <w:spacing w:line="240" w:lineRule="auto"/>
              <w:ind w:firstLine="0" w:firstLineChars="0"/>
              <w:rPr>
                <w:rFonts w:ascii="Times New Roman" w:hAnsi="Times New Roman"/>
                <w:sz w:val="21"/>
                <w:szCs w:val="21"/>
                <w:u w:val="single"/>
              </w:rPr>
            </w:pPr>
            <w:r>
              <w:rPr>
                <w:rFonts w:ascii="Times New Roman" w:hAnsi="Times New Roman"/>
                <w:sz w:val="21"/>
                <w:szCs w:val="21"/>
                <w:u w:val="single"/>
              </w:rPr>
              <w:t>颗粒物:(</w:t>
            </w:r>
            <w:r>
              <w:rPr>
                <w:rFonts w:hint="eastAsia" w:ascii="Times New Roman" w:hAnsi="Times New Roman"/>
                <w:sz w:val="21"/>
                <w:szCs w:val="21"/>
                <w:u w:val="single"/>
                <w:lang w:val="en-US" w:eastAsia="zh-CN"/>
              </w:rPr>
              <w:t>0.176</w:t>
            </w:r>
            <w:r>
              <w:rPr>
                <w:rFonts w:ascii="Times New Roman" w:hAnsi="Times New Roman"/>
                <w:sz w:val="21"/>
                <w:szCs w:val="21"/>
                <w:u w:val="single"/>
              </w:rPr>
              <w:t>)t/a</w:t>
            </w:r>
          </w:p>
        </w:tc>
        <w:tc>
          <w:tcPr>
            <w:tcW w:w="818" w:type="pct"/>
            <w:gridSpan w:val="2"/>
            <w:vAlign w:val="center"/>
          </w:tcPr>
          <w:p>
            <w:pPr>
              <w:pStyle w:val="31"/>
              <w:spacing w:line="240" w:lineRule="auto"/>
              <w:ind w:firstLine="0" w:firstLineChars="0"/>
              <w:rPr>
                <w:rFonts w:ascii="Times New Roman" w:hAnsi="Times New Roman"/>
                <w:sz w:val="21"/>
                <w:szCs w:val="21"/>
                <w:u w:val="single"/>
              </w:rPr>
            </w:pPr>
            <w:r>
              <w:rPr>
                <w:rFonts w:ascii="Times New Roman" w:hAnsi="Times New Roman"/>
                <w:sz w:val="21"/>
                <w:szCs w:val="21"/>
                <w:u w:val="single"/>
              </w:rPr>
              <w:t>VOCs：（</w:t>
            </w:r>
            <w:r>
              <w:rPr>
                <w:rFonts w:hint="eastAsia" w:ascii="Times New Roman" w:hAnsi="Times New Roman"/>
                <w:sz w:val="21"/>
                <w:szCs w:val="21"/>
                <w:u w:val="single"/>
                <w:lang w:val="en-US" w:eastAsia="zh-CN"/>
              </w:rPr>
              <w:t>0.5228</w:t>
            </w:r>
            <w:r>
              <w:rPr>
                <w:rFonts w:ascii="Times New Roman" w:hAnsi="Times New Roman"/>
                <w:sz w:val="21"/>
                <w:szCs w:val="21"/>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 w:type="pct"/>
          <w:trHeight w:val="234" w:hRule="atLeast"/>
        </w:trPr>
        <w:tc>
          <w:tcPr>
            <w:tcW w:w="4997" w:type="pct"/>
            <w:gridSpan w:val="11"/>
            <w:vAlign w:val="center"/>
          </w:tcPr>
          <w:p>
            <w:pPr>
              <w:pStyle w:val="31"/>
              <w:spacing w:line="240" w:lineRule="auto"/>
              <w:ind w:firstLine="0" w:firstLineChars="0"/>
              <w:rPr>
                <w:rFonts w:ascii="Times New Roman" w:hAnsi="Times New Roman"/>
                <w:sz w:val="21"/>
                <w:szCs w:val="21"/>
              </w:rPr>
            </w:pPr>
            <w:r>
              <w:rPr>
                <w:rFonts w:ascii="Times New Roman" w:hAnsi="Times New Roman"/>
                <w:sz w:val="21"/>
                <w:szCs w:val="21"/>
              </w:rPr>
              <w:t>注：</w:t>
            </w:r>
            <w:r>
              <w:rPr>
                <w:rFonts w:hint="eastAsia" w:ascii="Times New Roman" w:hAnsi="Times New Roman"/>
                <w:sz w:val="21"/>
                <w:szCs w:val="21"/>
                <w:lang w:eastAsia="zh-CN"/>
              </w:rPr>
              <w:t>“</w:t>
            </w:r>
            <w:r>
              <w:rPr>
                <w:rFonts w:ascii="Times New Roman" w:hAnsi="Times New Roman"/>
                <w:sz w:val="21"/>
                <w:szCs w:val="21"/>
              </w:rPr>
              <w:t>□</w:t>
            </w:r>
            <w:r>
              <w:rPr>
                <w:rFonts w:hint="eastAsia" w:ascii="Times New Roman" w:hAnsi="Times New Roman"/>
                <w:sz w:val="21"/>
                <w:szCs w:val="21"/>
                <w:lang w:eastAsia="zh-CN"/>
              </w:rPr>
              <w:t>”</w:t>
            </w:r>
            <w:r>
              <w:rPr>
                <w:rFonts w:ascii="Times New Roman" w:hAnsi="Times New Roman"/>
                <w:sz w:val="21"/>
                <w:szCs w:val="21"/>
              </w:rPr>
              <w:t>，填</w:t>
            </w:r>
            <w:r>
              <w:rPr>
                <w:rFonts w:hint="eastAsia" w:ascii="Times New Roman" w:hAnsi="Times New Roman"/>
                <w:sz w:val="21"/>
                <w:szCs w:val="21"/>
                <w:lang w:eastAsia="zh-CN"/>
              </w:rPr>
              <w:t>“</w:t>
            </w:r>
            <w:r>
              <w:rPr>
                <w:rFonts w:ascii="Times New Roman" w:hAnsi="Times New Roman"/>
                <w:sz w:val="21"/>
                <w:szCs w:val="21"/>
              </w:rPr>
              <w:t>√</w:t>
            </w:r>
            <w:r>
              <w:rPr>
                <w:rFonts w:hint="eastAsia" w:ascii="Times New Roman" w:hAnsi="Times New Roman"/>
                <w:sz w:val="21"/>
                <w:szCs w:val="21"/>
                <w:lang w:eastAsia="zh-CN"/>
              </w:rPr>
              <w:t>”</w:t>
            </w:r>
            <w:r>
              <w:rPr>
                <w:rFonts w:ascii="Times New Roman" w:hAnsi="Times New Roman"/>
                <w:sz w:val="21"/>
                <w:szCs w:val="21"/>
              </w:rPr>
              <w:t>；</w:t>
            </w:r>
            <w:r>
              <w:rPr>
                <w:rFonts w:hint="eastAsia" w:ascii="Times New Roman" w:hAnsi="Times New Roman"/>
                <w:sz w:val="21"/>
                <w:szCs w:val="21"/>
                <w:lang w:eastAsia="zh-CN"/>
              </w:rPr>
              <w:t>“</w:t>
            </w:r>
            <w:r>
              <w:rPr>
                <w:rFonts w:ascii="Times New Roman" w:hAnsi="Times New Roman"/>
                <w:sz w:val="21"/>
                <w:szCs w:val="21"/>
              </w:rPr>
              <w:t>（）</w:t>
            </w:r>
            <w:r>
              <w:rPr>
                <w:rFonts w:hint="eastAsia" w:ascii="Times New Roman" w:hAnsi="Times New Roman"/>
                <w:sz w:val="21"/>
                <w:szCs w:val="21"/>
                <w:lang w:eastAsia="zh-CN"/>
              </w:rPr>
              <w:t>”</w:t>
            </w:r>
            <w:r>
              <w:rPr>
                <w:rFonts w:ascii="Times New Roman" w:hAnsi="Times New Roman"/>
                <w:sz w:val="21"/>
                <w:szCs w:val="21"/>
              </w:rPr>
              <w:t>为内容填写项</w:t>
            </w:r>
          </w:p>
        </w:tc>
      </w:tr>
    </w:tbl>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146" w:name="_Toc8188"/>
      <w:bookmarkStart w:id="147" w:name="_Toc26751"/>
      <w:bookmarkStart w:id="148" w:name="_Toc28802"/>
      <w:bookmarkStart w:id="149" w:name="_Toc20974"/>
      <w:r>
        <w:rPr>
          <w:rFonts w:hint="eastAsia"/>
          <w:lang w:val="en-US" w:eastAsia="zh-CN"/>
        </w:rPr>
        <w:t xml:space="preserve">6.3 </w:t>
      </w:r>
      <w:r>
        <w:rPr>
          <w:lang w:val="en-US"/>
        </w:rPr>
        <w:t>地表水环境影响评价</w:t>
      </w:r>
      <w:bookmarkEnd w:id="146"/>
      <w:bookmarkEnd w:id="147"/>
      <w:bookmarkEnd w:id="148"/>
      <w:bookmarkEnd w:id="149"/>
    </w:p>
    <w:p>
      <w:pPr>
        <w:ind w:firstLine="480"/>
        <w:rPr>
          <w:rFonts w:hint="eastAsia"/>
          <w:lang w:val="en-US" w:eastAsia="zh-CN"/>
        </w:rPr>
      </w:pPr>
      <w:r>
        <w:rPr>
          <w:rFonts w:hint="eastAsia"/>
          <w:lang w:val="en-US"/>
        </w:rPr>
        <w:t>本项目餐饮废水经隔油池预处理后与生活污水进入厂区</w:t>
      </w:r>
      <w:r>
        <w:rPr>
          <w:rFonts w:hint="eastAsia"/>
          <w:lang w:val="en-US" w:eastAsia="zh-CN"/>
        </w:rPr>
        <w:t>化粪池</w:t>
      </w:r>
      <w:r>
        <w:rPr>
          <w:rFonts w:hint="eastAsia"/>
          <w:lang w:val="en-US"/>
        </w:rPr>
        <w:t>进行处理，</w:t>
      </w:r>
      <w:r>
        <w:rPr>
          <w:rFonts w:hint="eastAsia"/>
          <w:lang w:val="en-US" w:eastAsia="zh-CN"/>
        </w:rPr>
        <w:t>处理后定期清掏肥田，不外排</w:t>
      </w:r>
      <w:r>
        <w:rPr>
          <w:rFonts w:hint="eastAsia"/>
          <w:lang w:val="en-US"/>
        </w:rPr>
        <w:t>。</w:t>
      </w:r>
      <w:r>
        <w:rPr>
          <w:rFonts w:hint="eastAsia"/>
          <w:lang w:val="en-US" w:eastAsia="zh-CN"/>
        </w:rPr>
        <w:t>清洗废水经污水站处理后回用于清洗，不外排。循环冷却水定期排放，用于物料清洗。</w:t>
      </w:r>
    </w:p>
    <w:p>
      <w:pPr>
        <w:ind w:firstLine="560"/>
        <w:rPr>
          <w:color w:val="000000" w:themeColor="text1"/>
          <w:u w:val="single"/>
          <w14:textFill>
            <w14:solidFill>
              <w14:schemeClr w14:val="tx1"/>
            </w14:solidFill>
          </w14:textFill>
        </w:rPr>
      </w:pPr>
      <w:r>
        <w:rPr>
          <w:rFonts w:cs="Times New Roman"/>
          <w:u w:val="single"/>
        </w:rPr>
        <w:t>根据《环境影响评价技术导则地表水环境》（HJ2.3-2018），拟建项目地表水环境影响评价等级为三级B，可不考虑评价时期，可不开展区域污染源调查，水污染型三级B评价可不进行水环境影响预测。</w:t>
      </w:r>
      <w:r>
        <w:rPr>
          <w:rFonts w:hint="eastAsia"/>
          <w:u w:val="single"/>
          <w:lang w:val="en-US" w:eastAsia="zh-CN"/>
        </w:rPr>
        <w:t>因此</w:t>
      </w:r>
      <w:r>
        <w:rPr>
          <w:rFonts w:hint="eastAsia"/>
          <w:u w:val="single"/>
          <w:lang w:val="en-US"/>
        </w:rPr>
        <w:t>本项目</w:t>
      </w:r>
      <w:r>
        <w:rPr>
          <w:rFonts w:hint="eastAsia"/>
          <w:u w:val="single"/>
          <w:lang w:val="en-US" w:eastAsia="zh-CN"/>
        </w:rPr>
        <w:t>不进行</w:t>
      </w:r>
      <w:r>
        <w:rPr>
          <w:rFonts w:hint="eastAsia"/>
          <w:u w:val="single"/>
          <w:lang w:val="en-US"/>
        </w:rPr>
        <w:t>地表水</w:t>
      </w:r>
      <w:r>
        <w:rPr>
          <w:rFonts w:hint="eastAsia"/>
          <w:u w:val="single"/>
          <w:lang w:val="en-US" w:eastAsia="zh-CN"/>
        </w:rPr>
        <w:t>环境影响评价</w:t>
      </w:r>
      <w:r>
        <w:rPr>
          <w:rFonts w:hint="eastAsia"/>
          <w:u w:val="single"/>
          <w:lang w:val="en-US"/>
        </w:rPr>
        <w:t>，仅对项目采取的水污染防治措施可行性等进行评价</w:t>
      </w:r>
      <w:r>
        <w:rPr>
          <w:rFonts w:hint="eastAsia"/>
          <w:color w:val="000000" w:themeColor="text1"/>
          <w:u w:val="single"/>
          <w:lang w:val="en-US"/>
          <w14:textFill>
            <w14:solidFill>
              <w14:schemeClr w14:val="tx1"/>
            </w14:solidFill>
          </w14:textFill>
        </w:rPr>
        <w:t>，具体见</w:t>
      </w:r>
      <w:r>
        <w:rPr>
          <w:color w:val="000000" w:themeColor="text1"/>
          <w:u w:val="single"/>
          <w:lang w:val="en-US"/>
          <w14:textFill>
            <w14:solidFill>
              <w14:schemeClr w14:val="tx1"/>
            </w14:solidFill>
          </w14:textFill>
        </w:rPr>
        <w:t>7.2.2</w:t>
      </w:r>
      <w:r>
        <w:rPr>
          <w:rFonts w:hint="eastAsia"/>
          <w:color w:val="000000" w:themeColor="text1"/>
          <w:u w:val="single"/>
          <w:lang w:val="en-US"/>
          <w14:textFill>
            <w14:solidFill>
              <w14:schemeClr w14:val="tx1"/>
            </w14:solidFill>
          </w14:textFill>
        </w:rPr>
        <w:t>节</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bookmarkStart w:id="150" w:name="_Toc27685"/>
      <w:bookmarkStart w:id="151" w:name="_Toc16164"/>
      <w:bookmarkStart w:id="152" w:name="_Toc25730"/>
      <w:bookmarkStart w:id="153" w:name="_Toc22600"/>
      <w:r>
        <w:rPr>
          <w:rFonts w:hint="eastAsia"/>
          <w:lang w:val="en-US" w:eastAsia="zh-CN"/>
        </w:rPr>
        <w:t>6.4 声环境影响评价</w:t>
      </w:r>
      <w:bookmarkEnd w:id="150"/>
      <w:bookmarkEnd w:id="151"/>
      <w:bookmarkEnd w:id="152"/>
      <w:bookmarkEnd w:id="153"/>
    </w:p>
    <w:p>
      <w:pPr>
        <w:pStyle w:val="4"/>
        <w:bidi w:val="0"/>
        <w:spacing w:line="360" w:lineRule="auto"/>
      </w:pPr>
      <w:r>
        <w:rPr>
          <w:rFonts w:hint="eastAsia"/>
          <w:lang w:val="en-US" w:eastAsia="zh-CN"/>
        </w:rPr>
        <w:t xml:space="preserve">6.4.1 </w:t>
      </w:r>
      <w:r>
        <w:rPr>
          <w:rFonts w:hint="eastAsia"/>
          <w:lang w:val="en-US"/>
        </w:rPr>
        <w:t>噪声源强</w:t>
      </w:r>
    </w:p>
    <w:p>
      <w:pPr>
        <w:pageBreakBefore w:val="0"/>
        <w:widowControl w:val="0"/>
        <w:kinsoku/>
        <w:wordWrap/>
        <w:overflowPunct/>
        <w:topLinePunct w:val="0"/>
        <w:autoSpaceDE/>
        <w:autoSpaceDN/>
        <w:bidi w:val="0"/>
        <w:adjustRightInd/>
        <w:snapToGrid/>
        <w:ind w:firstLine="480"/>
        <w:textAlignment w:val="auto"/>
      </w:pPr>
      <w:r>
        <w:rPr>
          <w:rFonts w:hint="eastAsia"/>
          <w:lang w:val="en-US"/>
        </w:rPr>
        <w:t>本项目主要噪声源有</w:t>
      </w:r>
      <w:r>
        <w:rPr>
          <w:rFonts w:hint="eastAsia"/>
          <w:lang w:val="en-US" w:eastAsia="zh-CN"/>
        </w:rPr>
        <w:t>破碎机</w:t>
      </w:r>
      <w:r>
        <w:rPr>
          <w:rFonts w:hint="eastAsia"/>
          <w:sz w:val="24"/>
          <w:szCs w:val="24"/>
          <w:lang w:val="en-US" w:eastAsia="zh-CN"/>
        </w:rPr>
        <w:t>、</w:t>
      </w:r>
      <w:r>
        <w:rPr>
          <w:rFonts w:hint="eastAsia" w:ascii="Times New Roman" w:hAnsi="Times New Roman"/>
          <w:color w:val="auto"/>
          <w:kern w:val="0"/>
          <w:sz w:val="24"/>
          <w:szCs w:val="24"/>
          <w:lang w:eastAsia="zh-CN"/>
        </w:rPr>
        <w:t>脱水机</w:t>
      </w:r>
      <w:r>
        <w:rPr>
          <w:rFonts w:hint="eastAsia"/>
          <w:lang w:val="en-US"/>
        </w:rPr>
        <w:t>、挤出造粒机</w:t>
      </w:r>
      <w:r>
        <w:rPr>
          <w:rFonts w:hint="eastAsia"/>
          <w:lang w:val="en-US" w:eastAsia="zh-CN"/>
        </w:rPr>
        <w:t>、</w:t>
      </w:r>
      <w:r>
        <w:rPr>
          <w:rFonts w:hint="eastAsia"/>
          <w:lang w:val="en-US"/>
        </w:rPr>
        <w:t>通风系统风机、配电房、</w:t>
      </w:r>
      <w:r>
        <w:rPr>
          <w:rFonts w:hint="eastAsia"/>
          <w:lang w:val="en-US" w:eastAsia="zh-CN"/>
        </w:rPr>
        <w:t>空压机</w:t>
      </w:r>
      <w:r>
        <w:rPr>
          <w:rFonts w:hint="eastAsia"/>
          <w:lang w:val="en-US"/>
        </w:rPr>
        <w:t>等</w:t>
      </w:r>
      <w:r>
        <w:rPr>
          <w:rFonts w:hint="eastAsia"/>
          <w:lang w:val="en-US" w:eastAsia="zh-CN"/>
        </w:rPr>
        <w:t>高噪设备产生的噪音</w:t>
      </w:r>
      <w:r>
        <w:rPr>
          <w:rFonts w:hint="eastAsia"/>
          <w:lang w:val="en-US"/>
        </w:rPr>
        <w:t>。项目拟采取隔声、消声、减振、距离衰减等控制措施。主要噪声设备及源强见表</w:t>
      </w:r>
      <w:r>
        <w:rPr>
          <w:lang w:val="en-US"/>
        </w:rPr>
        <w:t>6.</w:t>
      </w:r>
      <w:r>
        <w:rPr>
          <w:rFonts w:hint="eastAsia"/>
          <w:lang w:val="en-US" w:eastAsia="zh-CN"/>
        </w:rPr>
        <w:t>4</w:t>
      </w:r>
      <w:r>
        <w:rPr>
          <w:lang w:val="en-US"/>
        </w:rPr>
        <w:t>-</w:t>
      </w:r>
      <w:r>
        <w:rPr>
          <w:rFonts w:hint="eastAsia"/>
          <w:lang w:val="en-US" w:eastAsia="zh-CN"/>
        </w:rPr>
        <w:t>1</w:t>
      </w:r>
      <w:r>
        <w:rPr>
          <w:rFonts w:hint="eastAsia"/>
          <w:lang w:val="en-US"/>
        </w:rPr>
        <w:t>。</w:t>
      </w:r>
    </w:p>
    <w:p>
      <w:pPr>
        <w:ind w:firstLine="482"/>
        <w:jc w:val="center"/>
        <w:rPr>
          <w:b/>
          <w:bCs/>
          <w:lang w:val="en-US"/>
        </w:rPr>
      </w:pPr>
      <w:r>
        <w:rPr>
          <w:rFonts w:hint="eastAsia"/>
          <w:b/>
          <w:bCs/>
          <w:lang w:val="en-US"/>
        </w:rPr>
        <w:t>表6.</w:t>
      </w:r>
      <w:r>
        <w:rPr>
          <w:rFonts w:hint="eastAsia"/>
          <w:b/>
          <w:bCs/>
          <w:lang w:val="en-US" w:eastAsia="zh-CN"/>
        </w:rPr>
        <w:t>4-1</w:t>
      </w:r>
      <w:r>
        <w:rPr>
          <w:rFonts w:hint="eastAsia"/>
          <w:b/>
          <w:bCs/>
          <w:lang w:val="en-US"/>
        </w:rPr>
        <w:t xml:space="preserve">  主要噪声源与预测点位之间的距离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15"/>
        <w:gridCol w:w="1153"/>
        <w:gridCol w:w="1294"/>
        <w:gridCol w:w="1200"/>
        <w:gridCol w:w="2125"/>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序号</w:t>
            </w:r>
          </w:p>
        </w:tc>
        <w:tc>
          <w:tcPr>
            <w:tcW w:w="1315" w:type="dxa"/>
            <w:vAlign w:val="center"/>
          </w:tcPr>
          <w:p>
            <w:pPr>
              <w:pStyle w:val="30"/>
              <w:rPr>
                <w:rFonts w:hint="default"/>
              </w:rPr>
            </w:pPr>
            <w:r>
              <w:t>噪声源</w:t>
            </w:r>
          </w:p>
        </w:tc>
        <w:tc>
          <w:tcPr>
            <w:tcW w:w="1153" w:type="dxa"/>
            <w:vAlign w:val="center"/>
          </w:tcPr>
          <w:p>
            <w:pPr>
              <w:pStyle w:val="30"/>
              <w:rPr>
                <w:rFonts w:hint="eastAsia" w:eastAsia="宋体"/>
                <w:lang w:eastAsia="zh-CN"/>
              </w:rPr>
            </w:pPr>
            <w:r>
              <w:rPr>
                <w:rFonts w:hint="eastAsia"/>
                <w:lang w:eastAsia="zh-CN"/>
              </w:rPr>
              <w:t>数量台数</w:t>
            </w:r>
          </w:p>
        </w:tc>
        <w:tc>
          <w:tcPr>
            <w:tcW w:w="1294" w:type="dxa"/>
            <w:vAlign w:val="center"/>
          </w:tcPr>
          <w:p>
            <w:pPr>
              <w:pStyle w:val="30"/>
              <w:rPr>
                <w:rFonts w:hint="default"/>
              </w:rPr>
            </w:pPr>
            <w:r>
              <w:t>距厂界最近位置（m）</w:t>
            </w:r>
          </w:p>
        </w:tc>
        <w:tc>
          <w:tcPr>
            <w:tcW w:w="1200" w:type="dxa"/>
            <w:vAlign w:val="center"/>
          </w:tcPr>
          <w:p>
            <w:pPr>
              <w:pStyle w:val="30"/>
              <w:rPr>
                <w:rFonts w:hint="default"/>
              </w:rPr>
            </w:pPr>
            <w:r>
              <w:t>声级水平（dB（</w:t>
            </w:r>
            <w:r>
              <w:rPr>
                <w:rFonts w:hint="default"/>
              </w:rPr>
              <w:t>A</w:t>
            </w:r>
            <w:r>
              <w:t>））</w:t>
            </w:r>
          </w:p>
        </w:tc>
        <w:tc>
          <w:tcPr>
            <w:tcW w:w="2125" w:type="dxa"/>
            <w:vAlign w:val="center"/>
          </w:tcPr>
          <w:p>
            <w:pPr>
              <w:pStyle w:val="30"/>
              <w:rPr>
                <w:rFonts w:hint="default"/>
              </w:rPr>
            </w:pPr>
            <w:r>
              <w:t>降噪措施</w:t>
            </w:r>
          </w:p>
        </w:tc>
        <w:tc>
          <w:tcPr>
            <w:tcW w:w="1511" w:type="dxa"/>
            <w:vAlign w:val="center"/>
          </w:tcPr>
          <w:p>
            <w:pPr>
              <w:pStyle w:val="30"/>
              <w:rPr>
                <w:rFonts w:hint="default"/>
              </w:rPr>
            </w:pPr>
            <w:r>
              <w:t>治理效果</w:t>
            </w:r>
          </w:p>
          <w:p>
            <w:pPr>
              <w:pStyle w:val="30"/>
              <w:rPr>
                <w:rFonts w:hint="default"/>
              </w:rPr>
            </w:pPr>
            <w:r>
              <w:t>（dB（</w:t>
            </w:r>
            <w:r>
              <w:rPr>
                <w:rFonts w:hint="default"/>
              </w:rPr>
              <w:t>A</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1</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kern w:val="0"/>
                <w:sz w:val="21"/>
                <w:szCs w:val="21"/>
              </w:rPr>
              <w:t>破碎机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highlight w:val="cyan"/>
              </w:rPr>
            </w:pPr>
            <w:r>
              <w:rPr>
                <w:rFonts w:hint="eastAsia"/>
                <w:color w:val="auto"/>
                <w:kern w:val="0"/>
                <w:sz w:val="21"/>
                <w:szCs w:val="21"/>
                <w:u w:val="single"/>
                <w:lang w:val="en-US" w:eastAsia="zh-CN"/>
              </w:rPr>
              <w:t>5</w:t>
            </w:r>
          </w:p>
        </w:tc>
        <w:tc>
          <w:tcPr>
            <w:tcW w:w="1294" w:type="dxa"/>
            <w:vAlign w:val="center"/>
          </w:tcPr>
          <w:p>
            <w:pPr>
              <w:pStyle w:val="30"/>
              <w:rPr>
                <w:rFonts w:hint="eastAsia" w:eastAsia="宋体"/>
                <w:lang w:eastAsia="zh-CN"/>
              </w:rPr>
            </w:pPr>
            <w:r>
              <w:t>S，</w:t>
            </w:r>
            <w:r>
              <w:rPr>
                <w:rFonts w:hint="eastAsia"/>
                <w:lang w:val="en-US" w:eastAsia="zh-CN"/>
              </w:rPr>
              <w:t>5</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sz w:val="21"/>
                <w:szCs w:val="21"/>
              </w:rPr>
              <w:t>90</w:t>
            </w:r>
          </w:p>
        </w:tc>
        <w:tc>
          <w:tcPr>
            <w:tcW w:w="2125" w:type="dxa"/>
            <w:vMerge w:val="restart"/>
            <w:vAlign w:val="center"/>
          </w:tcPr>
          <w:p>
            <w:pPr>
              <w:pStyle w:val="30"/>
              <w:rPr>
                <w:rFonts w:hint="default"/>
              </w:rPr>
            </w:pPr>
            <w:r>
              <w:rPr>
                <w:rFonts w:ascii="Times New Roman" w:hAnsi="Times New Roman"/>
                <w:color w:val="auto"/>
                <w:sz w:val="21"/>
                <w:szCs w:val="21"/>
              </w:rPr>
              <w:t>基础减振、室内安装、厂房隔声</w:t>
            </w:r>
          </w:p>
        </w:tc>
        <w:tc>
          <w:tcPr>
            <w:tcW w:w="1511" w:type="dxa"/>
            <w:vMerge w:val="restart"/>
            <w:vAlign w:val="center"/>
          </w:tcPr>
          <w:p>
            <w:pPr>
              <w:pStyle w:val="30"/>
              <w:rPr>
                <w:rFonts w:hint="default"/>
              </w:rPr>
            </w:pPr>
            <w:r>
              <w:t>降噪量</w:t>
            </w:r>
            <w:r>
              <w:rPr>
                <w:rFonts w:hint="default"/>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2</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kern w:val="0"/>
                <w:sz w:val="21"/>
                <w:szCs w:val="21"/>
                <w:lang w:eastAsia="zh-CN"/>
              </w:rPr>
              <w:t>脱水机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highlight w:val="cyan"/>
              </w:rPr>
            </w:pPr>
            <w:r>
              <w:rPr>
                <w:rFonts w:hint="eastAsia"/>
                <w:color w:val="auto"/>
                <w:kern w:val="0"/>
                <w:sz w:val="21"/>
                <w:szCs w:val="21"/>
                <w:u w:val="single"/>
                <w:lang w:val="en-US" w:eastAsia="zh-CN"/>
              </w:rPr>
              <w:t>2</w:t>
            </w:r>
          </w:p>
        </w:tc>
        <w:tc>
          <w:tcPr>
            <w:tcW w:w="1294" w:type="dxa"/>
            <w:vAlign w:val="center"/>
          </w:tcPr>
          <w:p>
            <w:pPr>
              <w:pStyle w:val="30"/>
              <w:rPr>
                <w:rFonts w:hint="eastAsia" w:eastAsia="宋体"/>
                <w:lang w:eastAsia="zh-CN"/>
              </w:rPr>
            </w:pPr>
            <w:r>
              <w:t>S，</w:t>
            </w:r>
            <w:r>
              <w:rPr>
                <w:rFonts w:hint="eastAsia"/>
                <w:lang w:val="en-US" w:eastAsia="zh-CN"/>
              </w:rPr>
              <w:t>5</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sz w:val="21"/>
                <w:szCs w:val="21"/>
                <w:lang w:val="en-US" w:eastAsia="zh-CN"/>
              </w:rPr>
              <w:t>85</w:t>
            </w:r>
          </w:p>
        </w:tc>
        <w:tc>
          <w:tcPr>
            <w:tcW w:w="2125" w:type="dxa"/>
            <w:vMerge w:val="continue"/>
            <w:vAlign w:val="center"/>
          </w:tcPr>
          <w:p>
            <w:pPr>
              <w:pStyle w:val="30"/>
              <w:rPr>
                <w:rFonts w:hint="default"/>
              </w:rPr>
            </w:pPr>
          </w:p>
        </w:tc>
        <w:tc>
          <w:tcPr>
            <w:tcW w:w="1511"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3</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kern w:val="0"/>
                <w:sz w:val="21"/>
                <w:szCs w:val="21"/>
                <w:lang w:eastAsia="zh-CN"/>
              </w:rPr>
              <w:t>静电机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highlight w:val="cyan"/>
              </w:rPr>
            </w:pPr>
            <w:r>
              <w:rPr>
                <w:rFonts w:hint="eastAsia"/>
                <w:color w:val="auto"/>
                <w:kern w:val="0"/>
                <w:sz w:val="21"/>
                <w:szCs w:val="21"/>
                <w:u w:val="single"/>
                <w:lang w:val="en-US" w:eastAsia="zh-CN"/>
              </w:rPr>
              <w:t>3</w:t>
            </w:r>
          </w:p>
        </w:tc>
        <w:tc>
          <w:tcPr>
            <w:tcW w:w="1294" w:type="dxa"/>
            <w:vAlign w:val="center"/>
          </w:tcPr>
          <w:p>
            <w:pPr>
              <w:pStyle w:val="30"/>
              <w:rPr>
                <w:rFonts w:hint="eastAsia" w:eastAsia="宋体"/>
                <w:lang w:eastAsia="zh-CN"/>
              </w:rPr>
            </w:pPr>
            <w:r>
              <w:rPr>
                <w:rFonts w:hint="eastAsia"/>
                <w:lang w:val="en-US" w:eastAsia="zh-CN"/>
              </w:rPr>
              <w:t>N</w:t>
            </w:r>
            <w:r>
              <w:t>，</w:t>
            </w:r>
            <w:r>
              <w:rPr>
                <w:rFonts w:hint="eastAsia"/>
                <w:lang w:val="en-US" w:eastAsia="zh-CN"/>
              </w:rPr>
              <w:t>2</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sz w:val="21"/>
                <w:szCs w:val="21"/>
                <w:lang w:val="en-US" w:eastAsia="zh-CN"/>
              </w:rPr>
              <w:t>85</w:t>
            </w:r>
          </w:p>
        </w:tc>
        <w:tc>
          <w:tcPr>
            <w:tcW w:w="2125" w:type="dxa"/>
            <w:vMerge w:val="continue"/>
            <w:vAlign w:val="center"/>
          </w:tcPr>
          <w:p>
            <w:pPr>
              <w:pStyle w:val="30"/>
              <w:rPr>
                <w:rFonts w:hint="default"/>
              </w:rPr>
            </w:pPr>
          </w:p>
        </w:tc>
        <w:tc>
          <w:tcPr>
            <w:tcW w:w="1511"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4</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kern w:val="0"/>
                <w:sz w:val="21"/>
                <w:szCs w:val="21"/>
              </w:rPr>
              <w:t>挤出造粒机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highlight w:val="cyan"/>
              </w:rPr>
            </w:pPr>
            <w:r>
              <w:rPr>
                <w:rFonts w:hint="eastAsia"/>
                <w:color w:val="auto"/>
                <w:kern w:val="0"/>
                <w:sz w:val="21"/>
                <w:szCs w:val="21"/>
                <w:u w:val="single"/>
                <w:lang w:val="en-US" w:eastAsia="zh-CN"/>
              </w:rPr>
              <w:t>6</w:t>
            </w:r>
          </w:p>
        </w:tc>
        <w:tc>
          <w:tcPr>
            <w:tcW w:w="1294" w:type="dxa"/>
            <w:vAlign w:val="center"/>
          </w:tcPr>
          <w:p>
            <w:pPr>
              <w:pStyle w:val="30"/>
              <w:rPr>
                <w:rFonts w:hint="default"/>
              </w:rPr>
            </w:pPr>
            <w:r>
              <w:rPr>
                <w:rFonts w:hint="eastAsia"/>
                <w:lang w:val="en-US" w:eastAsia="zh-CN"/>
              </w:rPr>
              <w:t>N</w:t>
            </w:r>
            <w:r>
              <w:t>，</w:t>
            </w:r>
            <w:r>
              <w:rPr>
                <w:rFonts w:hint="eastAsia"/>
                <w:lang w:val="en-US" w:eastAsia="zh-CN"/>
              </w:rPr>
              <w:t>2</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sz w:val="21"/>
                <w:szCs w:val="21"/>
              </w:rPr>
              <w:t>80</w:t>
            </w:r>
          </w:p>
        </w:tc>
        <w:tc>
          <w:tcPr>
            <w:tcW w:w="2125" w:type="dxa"/>
            <w:vMerge w:val="continue"/>
            <w:vAlign w:val="center"/>
          </w:tcPr>
          <w:p>
            <w:pPr>
              <w:pStyle w:val="30"/>
              <w:rPr>
                <w:rFonts w:hint="default"/>
              </w:rPr>
            </w:pPr>
          </w:p>
        </w:tc>
        <w:tc>
          <w:tcPr>
            <w:tcW w:w="1511"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rPr>
            </w:pPr>
            <w:r>
              <w:t>5</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kern w:val="0"/>
                <w:sz w:val="21"/>
                <w:szCs w:val="21"/>
                <w:lang w:eastAsia="zh-CN"/>
              </w:rPr>
              <w:t>色选机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highlight w:val="cyan"/>
              </w:rPr>
            </w:pPr>
            <w:r>
              <w:rPr>
                <w:rFonts w:hint="eastAsia"/>
                <w:color w:val="auto"/>
                <w:kern w:val="0"/>
                <w:sz w:val="21"/>
                <w:szCs w:val="21"/>
                <w:u w:val="single"/>
                <w:lang w:val="en-US" w:eastAsia="zh-CN"/>
              </w:rPr>
              <w:t>5</w:t>
            </w:r>
          </w:p>
        </w:tc>
        <w:tc>
          <w:tcPr>
            <w:tcW w:w="1294" w:type="dxa"/>
            <w:vAlign w:val="center"/>
          </w:tcPr>
          <w:p>
            <w:pPr>
              <w:pStyle w:val="30"/>
              <w:rPr>
                <w:rFonts w:hint="eastAsia" w:eastAsia="宋体"/>
                <w:lang w:eastAsia="zh-CN"/>
              </w:rPr>
            </w:pPr>
            <w:r>
              <w:rPr>
                <w:rFonts w:hint="eastAsia"/>
                <w:lang w:val="en-US" w:eastAsia="zh-CN"/>
              </w:rPr>
              <w:t>W</w:t>
            </w:r>
            <w:r>
              <w:t>，</w:t>
            </w:r>
            <w:r>
              <w:rPr>
                <w:rFonts w:hint="eastAsia"/>
                <w:lang w:val="en-US" w:eastAsia="zh-CN"/>
              </w:rPr>
              <w:t>2</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sz w:val="21"/>
                <w:szCs w:val="21"/>
                <w:lang w:val="en-US" w:eastAsia="zh-CN"/>
              </w:rPr>
              <w:t>80</w:t>
            </w:r>
          </w:p>
        </w:tc>
        <w:tc>
          <w:tcPr>
            <w:tcW w:w="2125" w:type="dxa"/>
            <w:vMerge w:val="continue"/>
            <w:vAlign w:val="center"/>
          </w:tcPr>
          <w:p>
            <w:pPr>
              <w:pStyle w:val="30"/>
              <w:rPr>
                <w:rFonts w:hint="default"/>
              </w:rPr>
            </w:pPr>
          </w:p>
        </w:tc>
        <w:tc>
          <w:tcPr>
            <w:tcW w:w="1511" w:type="dxa"/>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eastAsia" w:eastAsia="宋体"/>
                <w:lang w:val="en-US" w:eastAsia="zh-CN"/>
              </w:rPr>
            </w:pPr>
            <w:r>
              <w:rPr>
                <w:rFonts w:hint="eastAsia"/>
                <w:lang w:val="en-US" w:eastAsia="zh-CN"/>
              </w:rPr>
              <w:t>6</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pPr>
            <w:r>
              <w:rPr>
                <w:rFonts w:hint="eastAsia" w:ascii="Times New Roman" w:hAnsi="Times New Roman"/>
                <w:color w:val="auto"/>
                <w:kern w:val="0"/>
                <w:sz w:val="21"/>
                <w:szCs w:val="21"/>
                <w:lang w:eastAsia="zh-CN"/>
              </w:rPr>
              <w:t>注塑机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highlight w:val="cyan"/>
              </w:rPr>
            </w:pPr>
            <w:r>
              <w:rPr>
                <w:rFonts w:hint="eastAsia" w:ascii="Times New Roman" w:hAnsi="Times New Roman"/>
                <w:color w:val="auto"/>
                <w:kern w:val="0"/>
                <w:sz w:val="21"/>
                <w:szCs w:val="21"/>
                <w:lang w:val="en-US" w:eastAsia="zh-CN"/>
              </w:rPr>
              <w:t>20</w:t>
            </w:r>
          </w:p>
        </w:tc>
        <w:tc>
          <w:tcPr>
            <w:tcW w:w="1294" w:type="dxa"/>
            <w:vAlign w:val="center"/>
          </w:tcPr>
          <w:p>
            <w:pPr>
              <w:pStyle w:val="30"/>
              <w:rPr>
                <w:rFonts w:hint="default" w:eastAsia="宋体"/>
                <w:lang w:val="en-US" w:eastAsia="zh-CN"/>
              </w:rPr>
            </w:pPr>
            <w:r>
              <w:rPr>
                <w:rFonts w:hint="eastAsia"/>
                <w:lang w:val="en-US" w:eastAsia="zh-CN"/>
              </w:rPr>
              <w:t>W，5</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hint="eastAsia" w:ascii="Times New Roman" w:hAnsi="Times New Roman"/>
                <w:color w:val="auto"/>
                <w:sz w:val="21"/>
                <w:szCs w:val="21"/>
                <w:lang w:val="en-US" w:eastAsia="zh-CN"/>
              </w:rPr>
              <w:t>85</w:t>
            </w:r>
          </w:p>
        </w:tc>
        <w:tc>
          <w:tcPr>
            <w:tcW w:w="2125" w:type="dxa"/>
            <w:vMerge w:val="continue"/>
            <w:vAlign w:val="center"/>
          </w:tcPr>
          <w:p>
            <w:pPr>
              <w:pStyle w:val="30"/>
            </w:pPr>
          </w:p>
        </w:tc>
        <w:tc>
          <w:tcPr>
            <w:tcW w:w="1511" w:type="dxa"/>
            <w:vMerge w:val="continue"/>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eastAsia" w:eastAsia="宋体"/>
                <w:lang w:val="en-US" w:eastAsia="zh-CN"/>
              </w:rPr>
            </w:pPr>
            <w:r>
              <w:rPr>
                <w:rFonts w:hint="eastAsia"/>
                <w:lang w:val="en-US" w:eastAsia="zh-CN"/>
              </w:rPr>
              <w:t>7</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pPr>
            <w:r>
              <w:rPr>
                <w:rFonts w:hint="eastAsia" w:ascii="Times New Roman" w:hAnsi="Times New Roman"/>
                <w:color w:val="auto"/>
                <w:kern w:val="0"/>
                <w:sz w:val="21"/>
                <w:szCs w:val="21"/>
                <w:lang w:eastAsia="zh-CN"/>
              </w:rPr>
              <w:t>冷却塔</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highlight w:val="cyan"/>
              </w:rPr>
            </w:pPr>
            <w:r>
              <w:rPr>
                <w:rFonts w:hint="eastAsia" w:ascii="Times New Roman" w:hAnsi="Times New Roman"/>
                <w:color w:val="auto"/>
                <w:kern w:val="0"/>
                <w:sz w:val="21"/>
                <w:szCs w:val="21"/>
                <w:lang w:val="en-US" w:eastAsia="zh-CN"/>
              </w:rPr>
              <w:t>1</w:t>
            </w:r>
          </w:p>
        </w:tc>
        <w:tc>
          <w:tcPr>
            <w:tcW w:w="1294" w:type="dxa"/>
            <w:vAlign w:val="center"/>
          </w:tcPr>
          <w:p>
            <w:pPr>
              <w:pStyle w:val="30"/>
              <w:rPr>
                <w:rFonts w:hint="default" w:eastAsia="宋体"/>
                <w:lang w:val="en-US" w:eastAsia="zh-CN"/>
              </w:rPr>
            </w:pPr>
            <w:r>
              <w:rPr>
                <w:rFonts w:hint="eastAsia"/>
                <w:lang w:val="en-US" w:eastAsia="zh-CN"/>
              </w:rPr>
              <w:t>W，10</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sz w:val="21"/>
                <w:szCs w:val="21"/>
              </w:rPr>
              <w:t>85</w:t>
            </w:r>
          </w:p>
        </w:tc>
        <w:tc>
          <w:tcPr>
            <w:tcW w:w="2125" w:type="dxa"/>
            <w:vMerge w:val="continue"/>
            <w:vAlign w:val="center"/>
          </w:tcPr>
          <w:p>
            <w:pPr>
              <w:pStyle w:val="30"/>
            </w:pPr>
          </w:p>
        </w:tc>
        <w:tc>
          <w:tcPr>
            <w:tcW w:w="1511" w:type="dxa"/>
            <w:vMerge w:val="continue"/>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0" w:type="dxa"/>
            <w:vAlign w:val="center"/>
          </w:tcPr>
          <w:p>
            <w:pPr>
              <w:pStyle w:val="30"/>
              <w:rPr>
                <w:rFonts w:hint="default"/>
                <w:lang w:val="en-US" w:eastAsia="zh-CN"/>
              </w:rPr>
            </w:pPr>
            <w:r>
              <w:rPr>
                <w:rFonts w:hint="eastAsia"/>
                <w:lang w:val="en-US" w:eastAsia="zh-CN"/>
              </w:rPr>
              <w:t>8</w:t>
            </w:r>
          </w:p>
        </w:tc>
        <w:tc>
          <w:tcPr>
            <w:tcW w:w="1315"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pPr>
            <w:r>
              <w:rPr>
                <w:rFonts w:hint="eastAsia" w:ascii="Times New Roman" w:hAnsi="Times New Roman"/>
                <w:color w:val="auto"/>
                <w:kern w:val="0"/>
                <w:sz w:val="21"/>
                <w:szCs w:val="21"/>
                <w:lang w:eastAsia="zh-CN"/>
              </w:rPr>
              <w:t>空压机</w:t>
            </w:r>
          </w:p>
        </w:tc>
        <w:tc>
          <w:tcPr>
            <w:tcW w:w="1153"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highlight w:val="cyan"/>
              </w:rPr>
            </w:pPr>
            <w:r>
              <w:rPr>
                <w:rFonts w:hint="eastAsia"/>
                <w:color w:val="auto"/>
                <w:kern w:val="0"/>
                <w:sz w:val="21"/>
                <w:szCs w:val="21"/>
                <w:lang w:val="en-US" w:eastAsia="zh-CN"/>
              </w:rPr>
              <w:t>1</w:t>
            </w:r>
          </w:p>
        </w:tc>
        <w:tc>
          <w:tcPr>
            <w:tcW w:w="1294" w:type="dxa"/>
            <w:vAlign w:val="center"/>
          </w:tcPr>
          <w:p>
            <w:pPr>
              <w:pStyle w:val="30"/>
              <w:rPr>
                <w:rFonts w:hint="default" w:eastAsia="宋体"/>
                <w:lang w:val="en-US" w:eastAsia="zh-CN"/>
              </w:rPr>
            </w:pPr>
            <w:r>
              <w:rPr>
                <w:rFonts w:hint="eastAsia"/>
                <w:lang w:val="en-US" w:eastAsia="zh-CN"/>
              </w:rPr>
              <w:t>W，5</w:t>
            </w:r>
          </w:p>
        </w:tc>
        <w:tc>
          <w:tcPr>
            <w:tcW w:w="1200" w:type="dxa"/>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rPr>
            </w:pPr>
            <w:r>
              <w:rPr>
                <w:rFonts w:ascii="Times New Roman" w:hAnsi="Times New Roman"/>
                <w:color w:val="auto"/>
                <w:sz w:val="21"/>
                <w:szCs w:val="21"/>
              </w:rPr>
              <w:t>80</w:t>
            </w:r>
          </w:p>
        </w:tc>
        <w:tc>
          <w:tcPr>
            <w:tcW w:w="2125" w:type="dxa"/>
            <w:vMerge w:val="continue"/>
            <w:vAlign w:val="center"/>
          </w:tcPr>
          <w:p>
            <w:pPr>
              <w:pStyle w:val="30"/>
            </w:pPr>
          </w:p>
        </w:tc>
        <w:tc>
          <w:tcPr>
            <w:tcW w:w="1511" w:type="dxa"/>
            <w:vMerge w:val="continue"/>
            <w:vAlign w:val="center"/>
          </w:tcPr>
          <w:p>
            <w:pPr>
              <w:pStyle w:val="30"/>
            </w:pPr>
          </w:p>
        </w:tc>
      </w:tr>
    </w:tbl>
    <w:p>
      <w:pPr>
        <w:pStyle w:val="4"/>
        <w:bidi w:val="0"/>
      </w:pPr>
      <w:r>
        <w:rPr>
          <w:rFonts w:hint="eastAsia"/>
          <w:lang w:val="en-US" w:eastAsia="zh-CN"/>
        </w:rPr>
        <w:t>6.4.2</w:t>
      </w:r>
      <w:r>
        <w:rPr>
          <w:lang w:val="en-US"/>
        </w:rPr>
        <w:t xml:space="preserve"> </w:t>
      </w:r>
      <w:r>
        <w:rPr>
          <w:rFonts w:hint="eastAsia"/>
          <w:lang w:val="en-US"/>
        </w:rPr>
        <w:t>预测模式</w:t>
      </w:r>
    </w:p>
    <w:p>
      <w:pPr>
        <w:keepNext w:val="0"/>
        <w:keepLines w:val="0"/>
        <w:pageBreakBefore w:val="0"/>
        <w:widowControl/>
        <w:kinsoku/>
        <w:wordWrap/>
        <w:overflowPunct/>
        <w:topLinePunct w:val="0"/>
        <w:autoSpaceDE/>
        <w:autoSpaceDN/>
        <w:bidi w:val="0"/>
        <w:adjustRightInd/>
        <w:snapToGrid/>
        <w:ind w:firstLine="480"/>
        <w:jc w:val="left"/>
        <w:textAlignment w:val="auto"/>
      </w:pPr>
      <w:r>
        <w:rPr>
          <w:rFonts w:hint="eastAsia" w:ascii="宋体" w:hAnsi="宋体"/>
          <w:color w:val="000000"/>
          <w:szCs w:val="24"/>
          <w:lang w:val="en-US" w:bidi="ar"/>
        </w:rPr>
        <w:t>根据《环境影响评价技术导则 声环境》（</w:t>
      </w:r>
      <w:r>
        <w:rPr>
          <w:rFonts w:cs="Times New Roman"/>
          <w:color w:val="000000"/>
          <w:szCs w:val="24"/>
          <w:lang w:val="en-US" w:bidi="ar"/>
        </w:rPr>
        <w:t>HJ2.4-2009</w:t>
      </w:r>
      <w:r>
        <w:rPr>
          <w:rFonts w:hint="eastAsia" w:ascii="宋体" w:hAnsi="宋体"/>
          <w:color w:val="000000"/>
          <w:szCs w:val="24"/>
          <w:lang w:val="en-US" w:bidi="ar"/>
        </w:rPr>
        <w:t>）中附录</w:t>
      </w:r>
      <w:r>
        <w:rPr>
          <w:rFonts w:cs="Times New Roman"/>
          <w:color w:val="000000"/>
          <w:szCs w:val="24"/>
          <w:lang w:val="en-US" w:bidi="ar"/>
        </w:rPr>
        <w:t>A</w:t>
      </w:r>
      <w:r>
        <w:rPr>
          <w:rFonts w:hint="eastAsia" w:ascii="宋体" w:hAnsi="宋体"/>
          <w:color w:val="000000"/>
          <w:szCs w:val="24"/>
          <w:lang w:val="en-US" w:bidi="ar"/>
        </w:rPr>
        <w:t>推荐的计算模式：噪声源有室外和室内两种声源，应分别计算。一般来讲，进行环境噪声预测时所使用的噪声源都可按点声源处理。</w:t>
      </w:r>
    </w:p>
    <w:p>
      <w:pPr>
        <w:widowControl/>
        <w:ind w:firstLine="482"/>
        <w:jc w:val="left"/>
      </w:pPr>
      <w:r>
        <w:rPr>
          <w:rFonts w:hint="eastAsia" w:ascii="宋体" w:hAnsi="宋体"/>
          <w:b/>
          <w:bCs/>
          <w:color w:val="000000"/>
          <w:szCs w:val="24"/>
          <w:lang w:val="en-US" w:bidi="ar"/>
        </w:rPr>
        <w:t>室外声源</w:t>
      </w:r>
    </w:p>
    <w:p>
      <w:pPr>
        <w:widowControl/>
        <w:ind w:firstLine="480"/>
        <w:jc w:val="left"/>
      </w:pPr>
      <w:r>
        <w:rPr>
          <w:rFonts w:hint="eastAsia" w:ascii="宋体" w:hAnsi="宋体"/>
          <w:color w:val="000000"/>
          <w:szCs w:val="24"/>
          <w:lang w:val="en-US" w:bidi="ar"/>
        </w:rPr>
        <w:t>①计算某个声源在预测点的倍频带声压级</w:t>
      </w:r>
    </w:p>
    <w:p>
      <w:pPr>
        <w:pStyle w:val="20"/>
        <w:ind w:left="0" w:leftChars="0"/>
        <w:rPr>
          <w:sz w:val="21"/>
        </w:rPr>
      </w:pPr>
      <w:r>
        <w:rPr>
          <w:rFonts w:hint="eastAsia"/>
          <w:sz w:val="21"/>
          <w:lang w:val="en-US" w:bidi="ar-SA"/>
        </w:rPr>
        <w:drawing>
          <wp:inline distT="0" distB="0" distL="114300" distR="114300">
            <wp:extent cx="2254250" cy="447040"/>
            <wp:effectExtent l="0" t="0" r="12700" b="10160"/>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
                    <pic:cNvPicPr>
                      <a:picLocks noChangeAspect="1"/>
                    </pic:cNvPicPr>
                  </pic:nvPicPr>
                  <pic:blipFill>
                    <a:blip r:embed="rId50"/>
                    <a:srcRect l="14781" t="11333" b="14000"/>
                    <a:stretch>
                      <a:fillRect/>
                    </a:stretch>
                  </pic:blipFill>
                  <pic:spPr>
                    <a:xfrm>
                      <a:off x="0" y="0"/>
                      <a:ext cx="2254250" cy="447040"/>
                    </a:xfrm>
                    <a:prstGeom prst="rect">
                      <a:avLst/>
                    </a:prstGeom>
                  </pic:spPr>
                </pic:pic>
              </a:graphicData>
            </a:graphic>
          </wp:inline>
        </w:drawing>
      </w:r>
    </w:p>
    <w:p>
      <w:pPr>
        <w:ind w:firstLine="480"/>
      </w:pPr>
      <w:r>
        <w:rPr>
          <w:rFonts w:hint="eastAsia"/>
          <w:lang w:val="en-US"/>
        </w:rPr>
        <w:t>式中：</w:t>
      </w:r>
    </w:p>
    <w:p>
      <w:pPr>
        <w:ind w:firstLine="480"/>
      </w:pPr>
      <w:r>
        <w:rPr>
          <w:lang w:val="en-US"/>
        </w:rPr>
        <w:t>Loct(r)--</w:t>
      </w:r>
      <w:r>
        <w:rPr>
          <w:rFonts w:hint="eastAsia"/>
          <w:lang w:val="en-US"/>
        </w:rPr>
        <w:t>点声源在预测点产生的倍频带声压级；</w:t>
      </w:r>
    </w:p>
    <w:p>
      <w:pPr>
        <w:ind w:firstLine="480"/>
      </w:pPr>
      <w:r>
        <w:rPr>
          <w:lang w:val="en-US"/>
        </w:rPr>
        <w:t>Loct(r0)--</w:t>
      </w:r>
      <w:r>
        <w:rPr>
          <w:rFonts w:hint="eastAsia"/>
          <w:lang w:val="en-US"/>
        </w:rPr>
        <w:t>参考位置</w:t>
      </w:r>
      <w:r>
        <w:rPr>
          <w:lang w:val="en-US"/>
        </w:rPr>
        <w:t>r0</w:t>
      </w:r>
      <w:r>
        <w:rPr>
          <w:rFonts w:hint="eastAsia"/>
          <w:lang w:val="en-US"/>
        </w:rPr>
        <w:t>处的倍频带声压级；</w:t>
      </w:r>
    </w:p>
    <w:p>
      <w:pPr>
        <w:ind w:firstLine="480"/>
      </w:pPr>
      <w:r>
        <w:rPr>
          <w:lang w:val="en-US"/>
        </w:rPr>
        <w:t>r--</w:t>
      </w:r>
      <w:r>
        <w:rPr>
          <w:rFonts w:hint="eastAsia"/>
          <w:lang w:val="en-US"/>
        </w:rPr>
        <w:t>预测点距声源的距离，</w:t>
      </w:r>
      <w:r>
        <w:rPr>
          <w:lang w:val="en-US"/>
        </w:rPr>
        <w:t>m</w:t>
      </w:r>
      <w:r>
        <w:rPr>
          <w:rFonts w:hint="eastAsia"/>
          <w:lang w:val="en-US"/>
        </w:rPr>
        <w:t>；</w:t>
      </w:r>
    </w:p>
    <w:p>
      <w:pPr>
        <w:ind w:firstLine="480"/>
      </w:pPr>
      <w:r>
        <w:rPr>
          <w:lang w:val="en-US"/>
        </w:rPr>
        <w:t>r0--</w:t>
      </w:r>
      <w:r>
        <w:rPr>
          <w:rFonts w:hint="eastAsia"/>
          <w:lang w:val="en-US"/>
        </w:rPr>
        <w:t>参考位置距声源的距离，</w:t>
      </w:r>
      <w:r>
        <w:rPr>
          <w:lang w:val="en-US"/>
        </w:rPr>
        <w:t>m</w:t>
      </w:r>
      <w:r>
        <w:rPr>
          <w:rFonts w:hint="eastAsia"/>
          <w:lang w:val="en-US"/>
        </w:rPr>
        <w:t>；</w:t>
      </w:r>
    </w:p>
    <w:p>
      <w:pPr>
        <w:ind w:firstLine="480"/>
      </w:pPr>
      <w:r>
        <w:rPr>
          <w:rFonts w:hint="eastAsia"/>
          <w:lang w:val="en-US"/>
        </w:rPr>
        <w:t>Δ</w:t>
      </w:r>
      <w:r>
        <w:rPr>
          <w:lang w:val="en-US"/>
        </w:rPr>
        <w:t>Loct--</w:t>
      </w:r>
      <w:r>
        <w:rPr>
          <w:rFonts w:hint="eastAsia"/>
          <w:lang w:val="en-US"/>
        </w:rPr>
        <w:t>各种因素引起的衰减量（包括声屏障、遮挡物、空气吸收、地面效应等引起的衰减量，其计算方法详见</w:t>
      </w:r>
      <w:r>
        <w:rPr>
          <w:rFonts w:hint="eastAsia"/>
          <w:lang w:val="en-US" w:eastAsia="zh-CN"/>
        </w:rPr>
        <w:t>“</w:t>
      </w:r>
      <w:r>
        <w:rPr>
          <w:rFonts w:hint="eastAsia"/>
          <w:lang w:val="en-US"/>
        </w:rPr>
        <w:t>导则</w:t>
      </w:r>
      <w:r>
        <w:rPr>
          <w:rFonts w:hint="eastAsia"/>
          <w:lang w:val="en-US" w:eastAsia="zh-CN"/>
        </w:rPr>
        <w:t>”</w:t>
      </w:r>
      <w:r>
        <w:rPr>
          <w:rFonts w:hint="eastAsia"/>
          <w:lang w:val="en-US"/>
        </w:rPr>
        <w:t>正文）。</w:t>
      </w:r>
    </w:p>
    <w:p>
      <w:pPr>
        <w:ind w:firstLine="480"/>
        <w:jc w:val="center"/>
      </w:pPr>
      <w:r>
        <w:rPr>
          <w:rFonts w:hint="eastAsia"/>
          <w:lang w:val="en-US"/>
        </w:rPr>
        <w:t xml:space="preserve">如果已知声源的倍频带声功率级 </w:t>
      </w:r>
      <w:r>
        <w:rPr>
          <w:lang w:val="en-US"/>
        </w:rPr>
        <w:t>Lw oct</w:t>
      </w:r>
      <w:r>
        <w:rPr>
          <w:rFonts w:hint="eastAsia"/>
          <w:lang w:val="en-US"/>
        </w:rPr>
        <w:t>，且声源可看作是位于地面上的，则</w:t>
      </w:r>
      <w:r>
        <w:rPr>
          <w:lang w:val="en-US" w:bidi="ar-SA"/>
        </w:rPr>
        <w:drawing>
          <wp:inline distT="0" distB="0" distL="114300" distR="114300">
            <wp:extent cx="2105660" cy="288290"/>
            <wp:effectExtent l="0" t="0" r="8890" b="1651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1"/>
                    <a:srcRect t="25778" b="16000"/>
                    <a:stretch>
                      <a:fillRect/>
                    </a:stretch>
                  </pic:blipFill>
                  <pic:spPr>
                    <a:xfrm>
                      <a:off x="0" y="0"/>
                      <a:ext cx="2105660" cy="288290"/>
                    </a:xfrm>
                    <a:prstGeom prst="rect">
                      <a:avLst/>
                    </a:prstGeom>
                    <a:noFill/>
                    <a:ln>
                      <a:noFill/>
                    </a:ln>
                  </pic:spPr>
                </pic:pic>
              </a:graphicData>
            </a:graphic>
          </wp:inline>
        </w:drawing>
      </w:r>
    </w:p>
    <w:p>
      <w:pPr>
        <w:ind w:firstLine="480"/>
        <w:rPr>
          <w:lang w:val="en-US"/>
        </w:rPr>
      </w:pPr>
      <w:r>
        <w:rPr>
          <w:rFonts w:hint="eastAsia"/>
          <w:lang w:val="en-US"/>
        </w:rPr>
        <w:t>②由各倍频带声压级合成计算出该声源产生的声级</w:t>
      </w:r>
      <w:r>
        <w:rPr>
          <w:lang w:val="en-US"/>
        </w:rPr>
        <w:t>LA</w:t>
      </w:r>
      <w:r>
        <w:rPr>
          <w:rFonts w:hint="eastAsia"/>
          <w:lang w:val="en-US"/>
        </w:rPr>
        <w:t>。</w:t>
      </w:r>
    </w:p>
    <w:p>
      <w:pPr>
        <w:widowControl/>
        <w:ind w:firstLine="482"/>
        <w:jc w:val="left"/>
      </w:pPr>
      <w:r>
        <w:rPr>
          <w:rFonts w:hint="eastAsia" w:ascii="宋体" w:hAnsi="宋体"/>
          <w:b/>
          <w:bCs/>
          <w:color w:val="000000"/>
          <w:szCs w:val="24"/>
          <w:lang w:val="en-US" w:bidi="ar"/>
        </w:rPr>
        <w:t>室内声源</w:t>
      </w:r>
    </w:p>
    <w:p>
      <w:pPr>
        <w:widowControl/>
        <w:ind w:firstLine="480"/>
        <w:jc w:val="left"/>
      </w:pPr>
      <w:r>
        <w:rPr>
          <w:rFonts w:hint="eastAsia" w:ascii="宋体" w:hAnsi="宋体"/>
          <w:color w:val="000000"/>
          <w:szCs w:val="24"/>
          <w:lang w:val="en-US" w:bidi="ar"/>
        </w:rPr>
        <w:t>①首先计算出某个室内靠近围护结构处的倍频带声压级：</w:t>
      </w:r>
    </w:p>
    <w:p>
      <w:pPr>
        <w:pStyle w:val="20"/>
        <w:ind w:left="480" w:firstLine="480"/>
        <w:jc w:val="center"/>
      </w:pPr>
      <w:r>
        <w:rPr>
          <w:lang w:val="en-US" w:bidi="ar-SA"/>
        </w:rPr>
        <w:drawing>
          <wp:inline distT="0" distB="0" distL="114300" distR="114300">
            <wp:extent cx="1849120" cy="470535"/>
            <wp:effectExtent l="0" t="0" r="17780"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52"/>
                    <a:stretch>
                      <a:fillRect/>
                    </a:stretch>
                  </pic:blipFill>
                  <pic:spPr>
                    <a:xfrm>
                      <a:off x="0" y="0"/>
                      <a:ext cx="1849120" cy="470535"/>
                    </a:xfrm>
                    <a:prstGeom prst="rect">
                      <a:avLst/>
                    </a:prstGeom>
                    <a:noFill/>
                    <a:ln>
                      <a:noFill/>
                    </a:ln>
                  </pic:spPr>
                </pic:pic>
              </a:graphicData>
            </a:graphic>
          </wp:inline>
        </w:drawing>
      </w:r>
    </w:p>
    <w:p>
      <w:pPr>
        <w:ind w:firstLine="480"/>
        <w:rPr>
          <w:lang w:val="en-US"/>
        </w:rPr>
      </w:pPr>
      <w:r>
        <w:rPr>
          <w:rFonts w:hint="eastAsia"/>
          <w:lang w:val="en-US"/>
        </w:rPr>
        <w:t>式中：</w:t>
      </w:r>
      <w:r>
        <w:rPr>
          <w:lang w:val="en-US"/>
        </w:rPr>
        <w:t>Loct,1</w:t>
      </w:r>
      <w:r>
        <w:rPr>
          <w:rFonts w:hint="eastAsia"/>
          <w:lang w:val="en-US"/>
        </w:rPr>
        <w:t>为某个室内声源在靠近围护结构处产生的倍频带声压级，</w:t>
      </w:r>
      <w:r>
        <w:rPr>
          <w:lang w:val="en-US"/>
        </w:rPr>
        <w:t>Lw oct</w:t>
      </w:r>
      <w:r>
        <w:rPr>
          <w:rFonts w:hint="eastAsia"/>
          <w:lang w:val="en-US"/>
        </w:rPr>
        <w:t>为某个声源的倍频带声功率级，r</w:t>
      </w:r>
      <w:r>
        <w:rPr>
          <w:vertAlign w:val="subscript"/>
          <w:lang w:val="en-US"/>
        </w:rPr>
        <w:t>1</w:t>
      </w:r>
      <w:r>
        <w:rPr>
          <w:rFonts w:hint="eastAsia"/>
          <w:lang w:val="en-US"/>
        </w:rPr>
        <w:t>为室内某个声源与靠近围护结构处的距离，</w:t>
      </w:r>
      <w:r>
        <w:rPr>
          <w:lang w:val="en-US"/>
        </w:rPr>
        <w:t>R</w:t>
      </w:r>
      <w:r>
        <w:rPr>
          <w:rFonts w:hint="eastAsia"/>
          <w:lang w:val="en-US"/>
        </w:rPr>
        <w:t>为房间常数，</w:t>
      </w:r>
      <w:r>
        <w:rPr>
          <w:lang w:val="en-US"/>
        </w:rPr>
        <w:t>Q</w:t>
      </w:r>
      <w:r>
        <w:rPr>
          <w:rFonts w:hint="eastAsia"/>
          <w:lang w:val="en-US"/>
        </w:rPr>
        <w:t>为方向因子。</w:t>
      </w:r>
    </w:p>
    <w:p>
      <w:pPr>
        <w:pStyle w:val="20"/>
        <w:ind w:left="480" w:firstLine="480"/>
        <w:jc w:val="center"/>
      </w:pPr>
      <w:r>
        <w:rPr>
          <w:lang w:val="en-US" w:bidi="ar-SA"/>
        </w:rPr>
        <w:drawing>
          <wp:inline distT="0" distB="0" distL="114300" distR="114300">
            <wp:extent cx="3164205" cy="1800225"/>
            <wp:effectExtent l="0" t="0" r="17145" b="952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3"/>
                    <a:srcRect l="16753" t="14981" r="14096"/>
                    <a:stretch>
                      <a:fillRect/>
                    </a:stretch>
                  </pic:blipFill>
                  <pic:spPr>
                    <a:xfrm>
                      <a:off x="0" y="0"/>
                      <a:ext cx="3164205" cy="1800225"/>
                    </a:xfrm>
                    <a:prstGeom prst="rect">
                      <a:avLst/>
                    </a:prstGeom>
                    <a:noFill/>
                    <a:ln>
                      <a:noFill/>
                    </a:ln>
                  </pic:spPr>
                </pic:pic>
              </a:graphicData>
            </a:graphic>
          </wp:inline>
        </w:drawing>
      </w:r>
    </w:p>
    <w:p>
      <w:pPr>
        <w:widowControl/>
        <w:ind w:firstLine="480"/>
        <w:rPr>
          <w:rFonts w:ascii="宋体" w:hAnsi="宋体"/>
          <w:color w:val="000000"/>
          <w:szCs w:val="24"/>
          <w:lang w:val="en-US" w:bidi="ar"/>
        </w:rPr>
      </w:pPr>
      <w:r>
        <w:rPr>
          <w:rFonts w:hint="eastAsia" w:ascii="宋体" w:hAnsi="宋体"/>
          <w:color w:val="000000"/>
          <w:szCs w:val="24"/>
          <w:lang w:val="en-US" w:bidi="ar"/>
        </w:rPr>
        <w:t>②计算出所有室内声源在靠近围护结构处产生的总倍频带声压级：</w:t>
      </w:r>
    </w:p>
    <w:p>
      <w:pPr>
        <w:widowControl/>
        <w:ind w:firstLine="480"/>
        <w:jc w:val="center"/>
      </w:pPr>
      <w:r>
        <w:rPr>
          <w:lang w:val="en-US" w:bidi="ar-SA"/>
        </w:rPr>
        <w:drawing>
          <wp:inline distT="0" distB="0" distL="114300" distR="114300">
            <wp:extent cx="2389505" cy="539750"/>
            <wp:effectExtent l="0" t="0" r="10795" b="1270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54"/>
                    <a:srcRect t="15591" b="17742"/>
                    <a:stretch>
                      <a:fillRect/>
                    </a:stretch>
                  </pic:blipFill>
                  <pic:spPr>
                    <a:xfrm>
                      <a:off x="0" y="0"/>
                      <a:ext cx="2389505" cy="539750"/>
                    </a:xfrm>
                    <a:prstGeom prst="rect">
                      <a:avLst/>
                    </a:prstGeom>
                    <a:noFill/>
                    <a:ln>
                      <a:noFill/>
                    </a:ln>
                  </pic:spPr>
                </pic:pic>
              </a:graphicData>
            </a:graphic>
          </wp:inline>
        </w:drawing>
      </w:r>
    </w:p>
    <w:p>
      <w:pPr>
        <w:widowControl/>
        <w:ind w:firstLine="480"/>
        <w:jc w:val="left"/>
      </w:pPr>
      <w:r>
        <w:rPr>
          <w:rFonts w:hint="eastAsia" w:ascii="宋体" w:hAnsi="宋体"/>
          <w:color w:val="000000"/>
          <w:szCs w:val="24"/>
          <w:lang w:val="en-US" w:bidi="ar"/>
        </w:rPr>
        <w:t>③计算出室外靠近围护结构处的声压级：</w:t>
      </w:r>
    </w:p>
    <w:p>
      <w:pPr>
        <w:widowControl/>
        <w:ind w:firstLine="480"/>
        <w:jc w:val="center"/>
      </w:pPr>
      <w:r>
        <w:rPr>
          <w:lang w:val="en-US" w:bidi="ar-SA"/>
        </w:rPr>
        <w:drawing>
          <wp:inline distT="0" distB="0" distL="114300" distR="114300">
            <wp:extent cx="2478405" cy="288290"/>
            <wp:effectExtent l="0" t="0" r="17145" b="165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5"/>
                    <a:srcRect t="25157"/>
                    <a:stretch>
                      <a:fillRect/>
                    </a:stretch>
                  </pic:blipFill>
                  <pic:spPr>
                    <a:xfrm>
                      <a:off x="0" y="0"/>
                      <a:ext cx="2478405" cy="288290"/>
                    </a:xfrm>
                    <a:prstGeom prst="rect">
                      <a:avLst/>
                    </a:prstGeom>
                    <a:noFill/>
                    <a:ln>
                      <a:noFill/>
                    </a:ln>
                  </pic:spPr>
                </pic:pic>
              </a:graphicData>
            </a:graphic>
          </wp:inline>
        </w:drawing>
      </w:r>
    </w:p>
    <w:p>
      <w:pPr>
        <w:widowControl/>
        <w:ind w:firstLine="480"/>
      </w:pPr>
      <w:r>
        <w:rPr>
          <w:rFonts w:hint="eastAsia"/>
          <w:lang w:val="en-US"/>
        </w:rPr>
        <w:t>④将室外声级</w:t>
      </w:r>
      <w:r>
        <w:rPr>
          <w:lang w:val="en-US"/>
        </w:rPr>
        <w:t>Loct,2(T)</w:t>
      </w:r>
      <w:r>
        <w:rPr>
          <w:rFonts w:hint="eastAsia"/>
          <w:lang w:val="en-US"/>
        </w:rPr>
        <w:t>和透声面积换算成等效的室外声源，计算出等效声源第</w:t>
      </w:r>
      <w:r>
        <w:rPr>
          <w:lang w:val="en-US"/>
        </w:rPr>
        <w:t>i</w:t>
      </w:r>
      <w:r>
        <w:rPr>
          <w:rFonts w:hint="eastAsia"/>
          <w:lang w:val="en-US"/>
        </w:rPr>
        <w:t>个倍频带的声功率级</w:t>
      </w:r>
      <w:r>
        <w:rPr>
          <w:lang w:val="en-US"/>
        </w:rPr>
        <w:t>Lwoct</w:t>
      </w:r>
      <w:r>
        <w:rPr>
          <w:rFonts w:hint="eastAsia"/>
          <w:lang w:val="en-US"/>
        </w:rPr>
        <w:t>：</w:t>
      </w:r>
    </w:p>
    <w:p>
      <w:pPr>
        <w:pStyle w:val="20"/>
        <w:ind w:left="480" w:firstLine="480"/>
        <w:jc w:val="center"/>
      </w:pPr>
      <w:r>
        <w:rPr>
          <w:lang w:val="en-US" w:bidi="ar-SA"/>
        </w:rPr>
        <w:drawing>
          <wp:inline distT="0" distB="0" distL="114300" distR="114300">
            <wp:extent cx="1558925" cy="288290"/>
            <wp:effectExtent l="0" t="0" r="3175" b="165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56"/>
                    <a:stretch>
                      <a:fillRect/>
                    </a:stretch>
                  </pic:blipFill>
                  <pic:spPr>
                    <a:xfrm>
                      <a:off x="0" y="0"/>
                      <a:ext cx="1558925" cy="288290"/>
                    </a:xfrm>
                    <a:prstGeom prst="rect">
                      <a:avLst/>
                    </a:prstGeom>
                    <a:noFill/>
                    <a:ln>
                      <a:noFill/>
                    </a:ln>
                  </pic:spPr>
                </pic:pic>
              </a:graphicData>
            </a:graphic>
          </wp:inline>
        </w:drawing>
      </w:r>
    </w:p>
    <w:p>
      <w:pPr>
        <w:widowControl/>
        <w:ind w:firstLine="480"/>
        <w:jc w:val="left"/>
      </w:pPr>
      <w:r>
        <w:rPr>
          <w:rFonts w:hint="eastAsia" w:ascii="宋体" w:hAnsi="宋体"/>
          <w:color w:val="000000"/>
          <w:szCs w:val="24"/>
          <w:lang w:val="en-US" w:bidi="ar"/>
        </w:rPr>
        <w:t>式中：</w:t>
      </w:r>
      <w:r>
        <w:rPr>
          <w:rFonts w:cs="Times New Roman"/>
          <w:color w:val="000000"/>
          <w:szCs w:val="24"/>
          <w:lang w:val="en-US" w:bidi="ar"/>
        </w:rPr>
        <w:t>S</w:t>
      </w:r>
      <w:r>
        <w:rPr>
          <w:rFonts w:hint="eastAsia" w:ascii="宋体" w:hAnsi="宋体"/>
          <w:color w:val="000000"/>
          <w:szCs w:val="24"/>
          <w:lang w:val="en-US" w:bidi="ar"/>
        </w:rPr>
        <w:t>为透</w:t>
      </w:r>
      <w:r>
        <w:rPr>
          <w:rFonts w:hint="eastAsia"/>
          <w:lang w:val="en-US"/>
        </w:rPr>
        <w:t>声面积，m</w:t>
      </w:r>
      <w:r>
        <w:rPr>
          <w:rFonts w:hint="eastAsia"/>
          <w:vertAlign w:val="superscript"/>
          <w:lang w:val="en-US"/>
        </w:rPr>
        <w:t>2</w:t>
      </w:r>
      <w:r>
        <w:rPr>
          <w:rFonts w:hint="eastAsia"/>
          <w:lang w:val="en-US"/>
        </w:rPr>
        <w:t>。</w:t>
      </w:r>
    </w:p>
    <w:p>
      <w:pPr>
        <w:widowControl/>
        <w:ind w:firstLine="480"/>
        <w:rPr>
          <w:lang w:val="en-US"/>
        </w:rPr>
      </w:pPr>
      <w:r>
        <w:rPr>
          <w:rFonts w:hint="eastAsia"/>
          <w:lang w:val="en-US"/>
        </w:rPr>
        <w:t>⑤等效室外声源的位置为围护结构的位置，其倍频带声功率级为L</w:t>
      </w:r>
      <w:r>
        <w:rPr>
          <w:lang w:val="en-US"/>
        </w:rPr>
        <w:t>woct</w:t>
      </w:r>
      <w:r>
        <w:rPr>
          <w:rFonts w:hint="eastAsia"/>
          <w:lang w:val="en-US"/>
        </w:rPr>
        <w:t>，由此按室外声源方法计算等效室外声源在预测点产生的声级。</w:t>
      </w:r>
    </w:p>
    <w:p>
      <w:pPr>
        <w:widowControl/>
        <w:ind w:firstLine="482"/>
        <w:jc w:val="left"/>
      </w:pPr>
      <w:r>
        <w:rPr>
          <w:rFonts w:hint="eastAsia" w:ascii="宋体" w:hAnsi="宋体"/>
          <w:b/>
          <w:bCs/>
          <w:color w:val="000000"/>
          <w:szCs w:val="24"/>
          <w:lang w:val="en-US" w:bidi="ar"/>
        </w:rPr>
        <w:t>计算总声压级</w:t>
      </w:r>
    </w:p>
    <w:p>
      <w:pPr>
        <w:widowControl/>
        <w:ind w:firstLine="480"/>
        <w:rPr>
          <w:lang w:val="en-US"/>
        </w:rPr>
      </w:pPr>
      <w:r>
        <w:rPr>
          <w:rFonts w:hint="eastAsia"/>
          <w:lang w:val="en-US"/>
        </w:rPr>
        <w:t>设第</w:t>
      </w:r>
      <w:r>
        <w:rPr>
          <w:lang w:val="en-US"/>
        </w:rPr>
        <w:t>i</w:t>
      </w:r>
      <w:r>
        <w:rPr>
          <w:rFonts w:hint="eastAsia"/>
          <w:lang w:val="en-US"/>
        </w:rPr>
        <w:t>个室外声源在预测点产生的</w:t>
      </w:r>
      <w:r>
        <w:rPr>
          <w:lang w:val="en-US"/>
        </w:rPr>
        <w:t>A</w:t>
      </w:r>
      <w:r>
        <w:rPr>
          <w:rFonts w:hint="eastAsia"/>
          <w:lang w:val="en-US"/>
        </w:rPr>
        <w:t>声级为L</w:t>
      </w:r>
      <w:r>
        <w:rPr>
          <w:vertAlign w:val="subscript"/>
          <w:lang w:val="en-US"/>
        </w:rPr>
        <w:t>Ain,i</w:t>
      </w:r>
      <w:r>
        <w:rPr>
          <w:rFonts w:hint="eastAsia"/>
          <w:lang w:val="en-US"/>
        </w:rPr>
        <w:t>，在</w:t>
      </w:r>
      <w:r>
        <w:rPr>
          <w:lang w:val="en-US"/>
        </w:rPr>
        <w:t>T</w:t>
      </w:r>
      <w:r>
        <w:rPr>
          <w:rFonts w:hint="eastAsia"/>
          <w:lang w:val="en-US"/>
        </w:rPr>
        <w:t>时间内该声源工作时间为</w:t>
      </w:r>
      <w:r>
        <w:rPr>
          <w:lang w:val="en-US"/>
        </w:rPr>
        <w:t>t</w:t>
      </w:r>
      <w:r>
        <w:rPr>
          <w:vertAlign w:val="subscript"/>
          <w:lang w:val="en-US"/>
        </w:rPr>
        <w:t>in,i</w:t>
      </w:r>
      <w:r>
        <w:rPr>
          <w:rFonts w:hint="eastAsia"/>
          <w:lang w:val="en-US"/>
        </w:rPr>
        <w:t>；第</w:t>
      </w:r>
      <w:r>
        <w:rPr>
          <w:lang w:val="en-US"/>
        </w:rPr>
        <w:t>j</w:t>
      </w:r>
      <w:r>
        <w:rPr>
          <w:rFonts w:hint="eastAsia"/>
          <w:lang w:val="en-US"/>
        </w:rPr>
        <w:t>个等效室外声源在预测点产生的</w:t>
      </w:r>
      <w:r>
        <w:rPr>
          <w:lang w:val="en-US"/>
        </w:rPr>
        <w:t>A</w:t>
      </w:r>
      <w:r>
        <w:rPr>
          <w:rFonts w:hint="eastAsia"/>
          <w:lang w:val="en-US"/>
        </w:rPr>
        <w:t>声级为</w:t>
      </w:r>
      <w:r>
        <w:rPr>
          <w:lang w:val="en-US"/>
        </w:rPr>
        <w:t>L</w:t>
      </w:r>
      <w:r>
        <w:rPr>
          <w:vertAlign w:val="subscript"/>
          <w:lang w:val="en-US"/>
        </w:rPr>
        <w:t>Aout,j</w:t>
      </w:r>
      <w:r>
        <w:rPr>
          <w:rFonts w:hint="eastAsia"/>
          <w:lang w:val="en-US"/>
        </w:rPr>
        <w:t>，在</w:t>
      </w:r>
      <w:r>
        <w:rPr>
          <w:lang w:val="en-US"/>
        </w:rPr>
        <w:t>T</w:t>
      </w:r>
      <w:r>
        <w:rPr>
          <w:rFonts w:hint="eastAsia"/>
          <w:lang w:val="en-US"/>
        </w:rPr>
        <w:t>时间内该声源工作时间为</w:t>
      </w:r>
      <w:r>
        <w:rPr>
          <w:lang w:val="en-US"/>
        </w:rPr>
        <w:t>t</w:t>
      </w:r>
      <w:r>
        <w:rPr>
          <w:vertAlign w:val="subscript"/>
          <w:lang w:val="en-US"/>
        </w:rPr>
        <w:t>out,j</w:t>
      </w:r>
      <w:r>
        <w:rPr>
          <w:rFonts w:hint="eastAsia"/>
          <w:lang w:val="en-US"/>
        </w:rPr>
        <w:t>，则预测点的总等效声级为：</w:t>
      </w:r>
    </w:p>
    <w:p>
      <w:pPr>
        <w:pStyle w:val="20"/>
        <w:ind w:left="480" w:firstLine="480"/>
        <w:jc w:val="center"/>
      </w:pPr>
      <w:r>
        <w:rPr>
          <w:lang w:val="en-US" w:bidi="ar-SA"/>
        </w:rPr>
        <w:drawing>
          <wp:inline distT="0" distB="0" distL="114300" distR="114300">
            <wp:extent cx="2256790" cy="360045"/>
            <wp:effectExtent l="0" t="0" r="10160" b="19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7"/>
                    <a:stretch>
                      <a:fillRect/>
                    </a:stretch>
                  </pic:blipFill>
                  <pic:spPr>
                    <a:xfrm>
                      <a:off x="0" y="0"/>
                      <a:ext cx="2256790" cy="360045"/>
                    </a:xfrm>
                    <a:prstGeom prst="rect">
                      <a:avLst/>
                    </a:prstGeom>
                    <a:noFill/>
                    <a:ln>
                      <a:noFill/>
                    </a:ln>
                  </pic:spPr>
                </pic:pic>
              </a:graphicData>
            </a:graphic>
          </wp:inline>
        </w:drawing>
      </w:r>
    </w:p>
    <w:p>
      <w:pPr>
        <w:widowControl/>
        <w:ind w:firstLine="480"/>
        <w:jc w:val="left"/>
      </w:pPr>
      <w:r>
        <w:rPr>
          <w:rFonts w:hint="eastAsia" w:ascii="宋体" w:hAnsi="宋体"/>
          <w:color w:val="000000"/>
          <w:szCs w:val="24"/>
          <w:lang w:val="en-US" w:bidi="ar"/>
        </w:rPr>
        <w:t>式中：</w:t>
      </w:r>
      <w:r>
        <w:rPr>
          <w:rFonts w:cs="Times New Roman"/>
          <w:color w:val="000000"/>
          <w:szCs w:val="24"/>
          <w:lang w:val="en-US" w:bidi="ar"/>
        </w:rPr>
        <w:t>T</w:t>
      </w:r>
      <w:r>
        <w:rPr>
          <w:rFonts w:hint="eastAsia" w:ascii="宋体" w:hAnsi="宋体"/>
          <w:color w:val="000000"/>
          <w:szCs w:val="24"/>
          <w:lang w:val="en-US" w:bidi="ar"/>
        </w:rPr>
        <w:t>为计算等效声级的时间，</w:t>
      </w:r>
      <w:r>
        <w:rPr>
          <w:rFonts w:cs="Times New Roman"/>
          <w:color w:val="000000"/>
          <w:szCs w:val="24"/>
          <w:lang w:val="en-US" w:bidi="ar"/>
        </w:rPr>
        <w:t>N</w:t>
      </w:r>
      <w:r>
        <w:rPr>
          <w:rFonts w:hint="eastAsia" w:ascii="宋体" w:hAnsi="宋体"/>
          <w:color w:val="000000"/>
          <w:szCs w:val="24"/>
          <w:lang w:val="en-US" w:bidi="ar"/>
        </w:rPr>
        <w:t>为室外声源个数，</w:t>
      </w:r>
      <w:r>
        <w:rPr>
          <w:rFonts w:cs="Times New Roman"/>
          <w:color w:val="000000"/>
          <w:szCs w:val="24"/>
          <w:lang w:val="en-US" w:bidi="ar"/>
        </w:rPr>
        <w:t>M</w:t>
      </w:r>
      <w:r>
        <w:rPr>
          <w:rFonts w:hint="eastAsia" w:ascii="宋体" w:hAnsi="宋体"/>
          <w:color w:val="000000"/>
          <w:szCs w:val="24"/>
          <w:lang w:val="en-US" w:bidi="ar"/>
        </w:rPr>
        <w:t>为等效室外声源个数。</w:t>
      </w:r>
    </w:p>
    <w:p>
      <w:pPr>
        <w:pStyle w:val="4"/>
        <w:bidi w:val="0"/>
      </w:pPr>
      <w:r>
        <w:rPr>
          <w:rFonts w:hint="eastAsia"/>
          <w:lang w:val="en-US" w:eastAsia="zh-CN"/>
        </w:rPr>
        <w:t>6.4.3</w:t>
      </w:r>
      <w:r>
        <w:rPr>
          <w:lang w:val="en-US"/>
        </w:rPr>
        <w:t xml:space="preserve"> </w:t>
      </w:r>
      <w:r>
        <w:rPr>
          <w:rFonts w:hint="eastAsia"/>
          <w:lang w:val="en-US"/>
        </w:rPr>
        <w:t>厂界预测结果</w:t>
      </w:r>
    </w:p>
    <w:p>
      <w:pPr>
        <w:widowControl/>
        <w:ind w:firstLine="480"/>
        <w:jc w:val="left"/>
        <w:rPr>
          <w:rFonts w:hint="eastAsia" w:ascii="宋体" w:hAnsi="宋体"/>
          <w:color w:val="000000"/>
          <w:szCs w:val="24"/>
          <w:lang w:val="en-US" w:bidi="ar"/>
        </w:rPr>
      </w:pPr>
      <w:r>
        <w:rPr>
          <w:rFonts w:hint="eastAsia" w:ascii="宋体" w:hAnsi="宋体"/>
          <w:color w:val="000000"/>
          <w:szCs w:val="24"/>
          <w:lang w:val="en-US" w:bidi="ar"/>
        </w:rPr>
        <w:t>噪声在室外空间的传播，由于受到遮挡物的隔断，各种介质的吸收与反射，以及空气介质的吸收等物理作用而逐渐减弱。为了简化计算条件并考虑到最不利因素，计算时只考虑噪声随距离的衰减，应用上述预测模式计算厂界各测点处的噪声排放声级，并与噪声现状值相叠加，预测其对厂界周围声环境的影响，噪声预测声等值线图见图</w:t>
      </w:r>
      <w:r>
        <w:rPr>
          <w:rFonts w:cs="Times New Roman"/>
          <w:color w:val="000000"/>
          <w:szCs w:val="24"/>
          <w:lang w:val="en-US" w:bidi="ar"/>
        </w:rPr>
        <w:t>6.</w:t>
      </w:r>
      <w:r>
        <w:rPr>
          <w:rFonts w:hint="eastAsia" w:cs="Times New Roman"/>
          <w:color w:val="000000"/>
          <w:szCs w:val="24"/>
          <w:lang w:val="en-US" w:eastAsia="zh-CN" w:bidi="ar"/>
        </w:rPr>
        <w:t>4</w:t>
      </w:r>
      <w:r>
        <w:rPr>
          <w:rFonts w:cs="Times New Roman"/>
          <w:color w:val="000000"/>
          <w:szCs w:val="24"/>
          <w:lang w:val="en-US" w:bidi="ar"/>
        </w:rPr>
        <w:t>-1</w:t>
      </w:r>
      <w:r>
        <w:rPr>
          <w:rFonts w:hint="eastAsia" w:ascii="宋体" w:hAnsi="宋体"/>
          <w:color w:val="000000"/>
          <w:szCs w:val="24"/>
          <w:lang w:val="en-US" w:bidi="ar"/>
        </w:rPr>
        <w:t>，预测其对厂界周围声环境的影响，厂界噪声预测结果见表</w:t>
      </w:r>
      <w:r>
        <w:rPr>
          <w:rFonts w:cs="Times New Roman"/>
          <w:color w:val="000000"/>
          <w:szCs w:val="24"/>
          <w:lang w:val="en-US" w:bidi="ar"/>
        </w:rPr>
        <w:t>6.</w:t>
      </w:r>
      <w:r>
        <w:rPr>
          <w:rFonts w:hint="eastAsia" w:cs="Times New Roman"/>
          <w:color w:val="000000"/>
          <w:szCs w:val="24"/>
          <w:lang w:val="en-US" w:eastAsia="zh-CN" w:bidi="ar"/>
        </w:rPr>
        <w:t>4</w:t>
      </w:r>
      <w:r>
        <w:rPr>
          <w:rFonts w:cs="Times New Roman"/>
          <w:color w:val="000000"/>
          <w:szCs w:val="24"/>
          <w:lang w:val="en-US" w:bidi="ar"/>
        </w:rPr>
        <w:t>-</w:t>
      </w:r>
      <w:r>
        <w:rPr>
          <w:rFonts w:hint="eastAsia" w:cs="Times New Roman"/>
          <w:color w:val="000000"/>
          <w:szCs w:val="24"/>
          <w:lang w:val="en-US" w:eastAsia="zh-CN" w:bidi="ar"/>
        </w:rPr>
        <w:t>2</w:t>
      </w:r>
      <w:r>
        <w:rPr>
          <w:rFonts w:hint="eastAsia" w:ascii="宋体" w:hAnsi="宋体"/>
          <w:color w:val="000000"/>
          <w:szCs w:val="24"/>
          <w:lang w:val="en-US" w:bidi="ar"/>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Cs w:val="24"/>
          <w:lang w:val="en-US" w:bidi="ar"/>
          <w14:textFill>
            <w14:solidFill>
              <w14:schemeClr w14:val="tx1"/>
            </w14:solidFill>
          </w14:textFill>
        </w:rPr>
      </w:pPr>
      <w:r>
        <w:drawing>
          <wp:inline distT="0" distB="0" distL="114300" distR="114300">
            <wp:extent cx="5758815" cy="4615180"/>
            <wp:effectExtent l="0" t="0" r="13335" b="13970"/>
            <wp:docPr id="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1"/>
                    </pic:cNvPicPr>
                  </pic:nvPicPr>
                  <pic:blipFill>
                    <a:blip r:embed="rId58"/>
                    <a:stretch>
                      <a:fillRect/>
                    </a:stretch>
                  </pic:blipFill>
                  <pic:spPr>
                    <a:xfrm>
                      <a:off x="0" y="0"/>
                      <a:ext cx="5758815" cy="4615180"/>
                    </a:xfrm>
                    <a:prstGeom prst="rect">
                      <a:avLst/>
                    </a:prstGeom>
                    <a:noFill/>
                    <a:ln>
                      <a:noFill/>
                    </a:ln>
                  </pic:spPr>
                </pic:pic>
              </a:graphicData>
            </a:graphic>
          </wp:inline>
        </w:drawing>
      </w:r>
    </w:p>
    <w:p>
      <w:pPr>
        <w:widowControl/>
        <w:spacing w:line="240" w:lineRule="auto"/>
        <w:ind w:firstLine="482"/>
        <w:jc w:val="center"/>
        <w:rPr>
          <w:rFonts w:hint="eastAsia"/>
          <w:b/>
          <w:bCs/>
          <w:color w:val="000000" w:themeColor="text1"/>
          <w:szCs w:val="24"/>
          <w:lang w:val="en-US" w:bidi="ar"/>
          <w14:textFill>
            <w14:solidFill>
              <w14:schemeClr w14:val="tx1"/>
            </w14:solidFill>
          </w14:textFill>
        </w:rPr>
      </w:pPr>
      <w:r>
        <w:rPr>
          <w:rFonts w:hint="eastAsia"/>
          <w:b/>
          <w:bCs/>
          <w:color w:val="000000" w:themeColor="text1"/>
          <w:szCs w:val="24"/>
          <w:lang w:val="en-US" w:bidi="ar"/>
          <w14:textFill>
            <w14:solidFill>
              <w14:schemeClr w14:val="tx1"/>
            </w14:solidFill>
          </w14:textFill>
        </w:rPr>
        <w:t>图6.</w:t>
      </w:r>
      <w:r>
        <w:rPr>
          <w:rFonts w:hint="eastAsia"/>
          <w:b/>
          <w:bCs/>
          <w:color w:val="000000" w:themeColor="text1"/>
          <w:szCs w:val="24"/>
          <w:lang w:val="en-US" w:eastAsia="zh-CN" w:bidi="ar"/>
          <w14:textFill>
            <w14:solidFill>
              <w14:schemeClr w14:val="tx1"/>
            </w14:solidFill>
          </w14:textFill>
        </w:rPr>
        <w:t>4</w:t>
      </w:r>
      <w:r>
        <w:rPr>
          <w:rFonts w:hint="eastAsia"/>
          <w:b/>
          <w:bCs/>
          <w:color w:val="000000" w:themeColor="text1"/>
          <w:szCs w:val="24"/>
          <w:lang w:val="en-US" w:bidi="ar"/>
          <w14:textFill>
            <w14:solidFill>
              <w14:schemeClr w14:val="tx1"/>
            </w14:solidFill>
          </w14:textFill>
        </w:rPr>
        <w:t>-1  项目噪声预测声等值线图</w:t>
      </w:r>
    </w:p>
    <w:p>
      <w:pPr>
        <w:keepNext w:val="0"/>
        <w:keepLines w:val="0"/>
        <w:pageBreakBefore w:val="0"/>
        <w:widowControl/>
        <w:kinsoku/>
        <w:wordWrap/>
        <w:overflowPunct/>
        <w:topLinePunct w:val="0"/>
        <w:autoSpaceDE/>
        <w:autoSpaceDN/>
        <w:bidi w:val="0"/>
        <w:adjustRightInd/>
        <w:snapToGrid/>
        <w:spacing w:line="360" w:lineRule="auto"/>
        <w:ind w:firstLine="482"/>
        <w:jc w:val="center"/>
        <w:textAlignment w:val="auto"/>
        <w:rPr>
          <w:rFonts w:hint="eastAsia"/>
          <w:b/>
          <w:bCs/>
          <w:color w:val="000000" w:themeColor="text1"/>
          <w:szCs w:val="24"/>
          <w:lang w:val="en-US"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ind w:firstLine="482"/>
        <w:jc w:val="center"/>
        <w:textAlignment w:val="auto"/>
        <w:rPr>
          <w:b/>
          <w:bCs/>
          <w:color w:val="000000" w:themeColor="text1"/>
          <w:szCs w:val="24"/>
          <w:lang w:val="en-US" w:bidi="ar"/>
          <w14:textFill>
            <w14:solidFill>
              <w14:schemeClr w14:val="tx1"/>
            </w14:solidFill>
          </w14:textFill>
        </w:rPr>
      </w:pPr>
      <w:r>
        <w:rPr>
          <w:rFonts w:hint="eastAsia"/>
          <w:b/>
          <w:bCs/>
          <w:color w:val="000000" w:themeColor="text1"/>
          <w:szCs w:val="24"/>
          <w:lang w:val="en-US" w:bidi="ar"/>
          <w14:textFill>
            <w14:solidFill>
              <w14:schemeClr w14:val="tx1"/>
            </w14:solidFill>
          </w14:textFill>
        </w:rPr>
        <w:t>表6.</w:t>
      </w:r>
      <w:r>
        <w:rPr>
          <w:rFonts w:hint="eastAsia"/>
          <w:b/>
          <w:bCs/>
          <w:color w:val="000000" w:themeColor="text1"/>
          <w:szCs w:val="24"/>
          <w:lang w:val="en-US" w:eastAsia="zh-CN" w:bidi="ar"/>
          <w14:textFill>
            <w14:solidFill>
              <w14:schemeClr w14:val="tx1"/>
            </w14:solidFill>
          </w14:textFill>
        </w:rPr>
        <w:t>4</w:t>
      </w:r>
      <w:r>
        <w:rPr>
          <w:rFonts w:hint="eastAsia"/>
          <w:b/>
          <w:bCs/>
          <w:color w:val="000000" w:themeColor="text1"/>
          <w:szCs w:val="24"/>
          <w:lang w:val="en-US" w:bidi="ar"/>
          <w14:textFill>
            <w14:solidFill>
              <w14:schemeClr w14:val="tx1"/>
            </w14:solidFill>
          </w14:textFill>
        </w:rPr>
        <w:t>-</w:t>
      </w:r>
      <w:r>
        <w:rPr>
          <w:rFonts w:hint="eastAsia"/>
          <w:b/>
          <w:bCs/>
          <w:color w:val="000000" w:themeColor="text1"/>
          <w:szCs w:val="24"/>
          <w:lang w:val="en-US" w:eastAsia="zh-CN" w:bidi="ar"/>
          <w14:textFill>
            <w14:solidFill>
              <w14:schemeClr w14:val="tx1"/>
            </w14:solidFill>
          </w14:textFill>
        </w:rPr>
        <w:t>2</w:t>
      </w:r>
      <w:r>
        <w:rPr>
          <w:rFonts w:hint="eastAsia"/>
          <w:b/>
          <w:bCs/>
          <w:color w:val="000000" w:themeColor="text1"/>
          <w:szCs w:val="24"/>
          <w:lang w:val="en-US" w:bidi="ar"/>
          <w14:textFill>
            <w14:solidFill>
              <w14:schemeClr w14:val="tx1"/>
            </w14:solidFill>
          </w14:textFill>
        </w:rPr>
        <w:t xml:space="preserve">  厂界噪声预测结果 单位：</w:t>
      </w:r>
      <w:r>
        <w:rPr>
          <w:b/>
          <w:bCs/>
          <w:color w:val="000000" w:themeColor="text1"/>
          <w:szCs w:val="24"/>
          <w:lang w:val="en-US" w:bidi="ar"/>
          <w14:textFill>
            <w14:solidFill>
              <w14:schemeClr w14:val="tx1"/>
            </w14:solidFill>
          </w14:textFill>
        </w:rPr>
        <w:t>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50"/>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666" w:type="pct"/>
            <w:gridSpan w:val="2"/>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cs="TimesNewRomanPS-BoldMT"/>
                <w:color w:val="000000" w:themeColor="text1"/>
                <w:sz w:val="21"/>
                <w:szCs w:val="21"/>
                <w:lang w:val="en-US" w:bidi="ar"/>
                <w14:textFill>
                  <w14:solidFill>
                    <w14:schemeClr w14:val="tx1"/>
                  </w14:solidFill>
                </w14:textFill>
              </w:rPr>
              <w:t>/</w:t>
            </w:r>
          </w:p>
        </w:tc>
        <w:tc>
          <w:tcPr>
            <w:tcW w:w="833"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lang w:val="en-US" w:bidi="ar"/>
                <w14:textFill>
                  <w14:solidFill>
                    <w14:schemeClr w14:val="tx1"/>
                  </w14:solidFill>
                </w14:textFill>
              </w:rPr>
              <w:t>东厂界</w:t>
            </w:r>
          </w:p>
        </w:tc>
        <w:tc>
          <w:tcPr>
            <w:tcW w:w="833"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lang w:val="en-US" w:bidi="ar"/>
                <w14:textFill>
                  <w14:solidFill>
                    <w14:schemeClr w14:val="tx1"/>
                  </w14:solidFill>
                </w14:textFill>
              </w:rPr>
              <w:t>南厂界</w:t>
            </w:r>
          </w:p>
        </w:tc>
        <w:tc>
          <w:tcPr>
            <w:tcW w:w="833"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lang w:val="en-US" w:bidi="ar"/>
                <w14:textFill>
                  <w14:solidFill>
                    <w14:schemeClr w14:val="tx1"/>
                  </w14:solidFill>
                </w14:textFill>
              </w:rPr>
              <w:t>西厂界</w:t>
            </w:r>
          </w:p>
        </w:tc>
        <w:tc>
          <w:tcPr>
            <w:tcW w:w="833"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lang w:val="en-US" w:bidi="ar"/>
                <w14:textFill>
                  <w14:solidFill>
                    <w14:schemeClr w14:val="tx1"/>
                  </w14:solidFill>
                </w14:textFill>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本项目贡献值</w:t>
            </w:r>
          </w:p>
        </w:tc>
        <w:tc>
          <w:tcPr>
            <w:tcW w:w="833" w:type="pct"/>
            <w:vAlign w:val="center"/>
          </w:tcPr>
          <w:p>
            <w:pPr>
              <w:pStyle w:val="20"/>
              <w:spacing w:after="0" w:line="240" w:lineRule="auto"/>
              <w:ind w:left="0" w:leftChars="0"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32.52</w:t>
            </w:r>
          </w:p>
        </w:tc>
        <w:tc>
          <w:tcPr>
            <w:tcW w:w="833" w:type="pct"/>
            <w:vAlign w:val="center"/>
          </w:tcPr>
          <w:p>
            <w:pPr>
              <w:pStyle w:val="20"/>
              <w:spacing w:after="0" w:line="240" w:lineRule="auto"/>
              <w:ind w:left="0" w:leftChars="0"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31.93</w:t>
            </w:r>
          </w:p>
        </w:tc>
        <w:tc>
          <w:tcPr>
            <w:tcW w:w="833" w:type="pct"/>
            <w:vAlign w:val="center"/>
          </w:tcPr>
          <w:p>
            <w:pPr>
              <w:pStyle w:val="20"/>
              <w:spacing w:after="0" w:line="240" w:lineRule="auto"/>
              <w:ind w:left="0" w:leftChars="0"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24.56</w:t>
            </w:r>
          </w:p>
        </w:tc>
        <w:tc>
          <w:tcPr>
            <w:tcW w:w="833" w:type="pct"/>
            <w:vAlign w:val="center"/>
          </w:tcPr>
          <w:p>
            <w:pPr>
              <w:pStyle w:val="20"/>
              <w:spacing w:after="0" w:line="240" w:lineRule="auto"/>
              <w:ind w:left="0" w:leftChars="0"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14:textFill>
                  <w14:solidFill>
                    <w14:schemeClr w14:val="tx1"/>
                  </w14:solidFill>
                </w14:textFill>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标准值</w:t>
            </w:r>
          </w:p>
        </w:tc>
        <w:tc>
          <w:tcPr>
            <w:tcW w:w="833"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昼</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p>
        </w:tc>
        <w:tc>
          <w:tcPr>
            <w:tcW w:w="833" w:type="pct"/>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833" w:type="pct"/>
            <w:vAlign w:val="center"/>
          </w:tcPr>
          <w:p>
            <w:pPr>
              <w:pStyle w:val="20"/>
              <w:spacing w:after="0" w:line="240" w:lineRule="auto"/>
              <w:ind w:left="0" w:leftChars="0"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833" w:type="pct"/>
            <w:vAlign w:val="center"/>
          </w:tcPr>
          <w:p>
            <w:pPr>
              <w:pStyle w:val="20"/>
              <w:spacing w:after="0" w:line="240" w:lineRule="auto"/>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bl>
    <w:p>
      <w:pPr>
        <w:widowControl/>
        <w:ind w:firstLine="480"/>
        <w:rPr>
          <w:color w:val="000000"/>
          <w:szCs w:val="24"/>
          <w:u w:val="single"/>
          <w:lang w:val="en-US" w:bidi="ar"/>
        </w:rPr>
      </w:pPr>
      <w:r>
        <w:rPr>
          <w:rFonts w:hint="eastAsia"/>
          <w:color w:val="000000"/>
          <w:szCs w:val="24"/>
          <w:u w:val="single"/>
          <w:lang w:val="en-US" w:bidi="ar"/>
        </w:rPr>
        <w:t>预测结果表明：项目西、南、北厂界昼、夜间预测值均满足《工业企业厂界环境噪声排放标准》（</w:t>
      </w:r>
      <w:r>
        <w:rPr>
          <w:color w:val="000000"/>
          <w:szCs w:val="24"/>
          <w:u w:val="single"/>
          <w:lang w:val="en-US" w:bidi="ar"/>
        </w:rPr>
        <w:t>GB12348-2008</w:t>
      </w:r>
      <w:r>
        <w:rPr>
          <w:rFonts w:hint="eastAsia"/>
          <w:color w:val="000000"/>
          <w:szCs w:val="24"/>
          <w:u w:val="single"/>
          <w:lang w:val="en-US" w:bidi="ar"/>
        </w:rPr>
        <w:t>）中</w:t>
      </w:r>
      <w:r>
        <w:rPr>
          <w:rFonts w:hint="eastAsia"/>
          <w:color w:val="000000"/>
          <w:szCs w:val="24"/>
          <w:u w:val="single"/>
          <w:lang w:val="en-US" w:eastAsia="zh-CN" w:bidi="ar"/>
        </w:rPr>
        <w:t>1</w:t>
      </w:r>
      <w:r>
        <w:rPr>
          <w:rFonts w:hint="eastAsia"/>
          <w:color w:val="000000"/>
          <w:szCs w:val="24"/>
          <w:u w:val="single"/>
          <w:lang w:val="en-US" w:bidi="ar"/>
        </w:rPr>
        <w:t>类标准（昼间≤</w:t>
      </w:r>
      <w:r>
        <w:rPr>
          <w:rFonts w:hint="eastAsia"/>
          <w:color w:val="000000"/>
          <w:szCs w:val="24"/>
          <w:u w:val="single"/>
          <w:lang w:val="en-US" w:eastAsia="zh-CN" w:bidi="ar"/>
        </w:rPr>
        <w:t>55</w:t>
      </w:r>
      <w:r>
        <w:rPr>
          <w:color w:val="000000"/>
          <w:szCs w:val="24"/>
          <w:u w:val="single"/>
          <w:lang w:val="en-US" w:bidi="ar"/>
        </w:rPr>
        <w:t>dB</w:t>
      </w:r>
      <w:r>
        <w:rPr>
          <w:rFonts w:hint="eastAsia"/>
          <w:color w:val="000000"/>
          <w:szCs w:val="24"/>
          <w:u w:val="single"/>
          <w:lang w:val="en-US" w:bidi="ar"/>
        </w:rPr>
        <w:t>（</w:t>
      </w:r>
      <w:r>
        <w:rPr>
          <w:color w:val="000000"/>
          <w:szCs w:val="24"/>
          <w:u w:val="single"/>
          <w:lang w:val="en-US" w:bidi="ar"/>
        </w:rPr>
        <w:t>A</w:t>
      </w:r>
      <w:r>
        <w:rPr>
          <w:rFonts w:hint="eastAsia"/>
          <w:color w:val="000000"/>
          <w:szCs w:val="24"/>
          <w:u w:val="single"/>
          <w:lang w:val="en-US" w:bidi="ar"/>
        </w:rPr>
        <w:t>）、夜间≤</w:t>
      </w:r>
      <w:r>
        <w:rPr>
          <w:rFonts w:hint="eastAsia"/>
          <w:color w:val="000000"/>
          <w:szCs w:val="24"/>
          <w:u w:val="single"/>
          <w:lang w:val="en-US" w:eastAsia="zh-CN" w:bidi="ar"/>
        </w:rPr>
        <w:t>45</w:t>
      </w:r>
      <w:r>
        <w:rPr>
          <w:color w:val="000000"/>
          <w:szCs w:val="24"/>
          <w:u w:val="single"/>
          <w:lang w:val="en-US" w:bidi="ar"/>
        </w:rPr>
        <w:t>dB</w:t>
      </w:r>
      <w:r>
        <w:rPr>
          <w:rFonts w:hint="eastAsia"/>
          <w:color w:val="000000"/>
          <w:szCs w:val="24"/>
          <w:u w:val="single"/>
          <w:lang w:val="en-US" w:bidi="ar"/>
        </w:rPr>
        <w:t>（</w:t>
      </w:r>
      <w:r>
        <w:rPr>
          <w:color w:val="000000"/>
          <w:szCs w:val="24"/>
          <w:u w:val="single"/>
          <w:lang w:val="en-US" w:bidi="ar"/>
        </w:rPr>
        <w:t>A</w:t>
      </w:r>
      <w:r>
        <w:rPr>
          <w:rFonts w:hint="eastAsia"/>
          <w:color w:val="000000"/>
          <w:szCs w:val="24"/>
          <w:u w:val="single"/>
          <w:lang w:val="en-US" w:bidi="ar"/>
        </w:rPr>
        <w:t>））。</w:t>
      </w:r>
    </w:p>
    <w:p>
      <w:pPr>
        <w:widowControl/>
        <w:ind w:firstLine="480"/>
        <w:jc w:val="left"/>
      </w:pPr>
      <w:r>
        <w:rPr>
          <w:rFonts w:hint="eastAsia" w:ascii="宋体" w:hAnsi="宋体"/>
          <w:color w:val="000000"/>
          <w:szCs w:val="24"/>
          <w:lang w:val="en-US" w:bidi="ar"/>
        </w:rPr>
        <w:t>根据周边敏感目标情况，并结合本项目噪声源分布，</w:t>
      </w:r>
      <w:r>
        <w:rPr>
          <w:rFonts w:hint="eastAsia" w:ascii="宋体" w:hAnsi="宋体"/>
          <w:color w:val="000000"/>
          <w:szCs w:val="24"/>
          <w:u w:val="single"/>
          <w:lang w:val="en-US" w:bidi="ar"/>
        </w:rPr>
        <w:t>本次选取项目南侧</w:t>
      </w:r>
      <w:r>
        <w:rPr>
          <w:rFonts w:hint="eastAsia" w:ascii="宋体" w:hAnsi="宋体"/>
          <w:color w:val="000000"/>
          <w:szCs w:val="24"/>
          <w:u w:val="single"/>
          <w:lang w:val="en-US" w:eastAsia="zh-CN" w:bidi="ar"/>
        </w:rPr>
        <w:t>后王庄</w:t>
      </w:r>
      <w:r>
        <w:rPr>
          <w:rFonts w:hint="eastAsia" w:ascii="宋体" w:hAnsi="宋体"/>
          <w:color w:val="000000"/>
          <w:szCs w:val="24"/>
          <w:u w:val="single"/>
          <w:lang w:val="en-US" w:bidi="ar"/>
        </w:rPr>
        <w:t>进行噪声垂向预测</w:t>
      </w:r>
      <w:r>
        <w:rPr>
          <w:rFonts w:hint="eastAsia" w:ascii="宋体" w:hAnsi="宋体"/>
          <w:color w:val="000000"/>
          <w:szCs w:val="24"/>
          <w:lang w:val="en-US" w:bidi="ar"/>
        </w:rPr>
        <w:t>，具体见表</w:t>
      </w:r>
      <w:r>
        <w:rPr>
          <w:rFonts w:cs="Times New Roman"/>
          <w:color w:val="000000"/>
          <w:szCs w:val="24"/>
          <w:lang w:val="en-US" w:bidi="ar"/>
        </w:rPr>
        <w:t>6.</w:t>
      </w:r>
      <w:r>
        <w:rPr>
          <w:rFonts w:hint="eastAsia" w:cs="Times New Roman"/>
          <w:color w:val="000000"/>
          <w:szCs w:val="24"/>
          <w:lang w:val="en-US" w:eastAsia="zh-CN" w:bidi="ar"/>
        </w:rPr>
        <w:t>4</w:t>
      </w:r>
      <w:r>
        <w:rPr>
          <w:rFonts w:cs="Times New Roman"/>
          <w:color w:val="000000"/>
          <w:szCs w:val="24"/>
          <w:lang w:val="en-US" w:bidi="ar"/>
        </w:rPr>
        <w:t>-</w:t>
      </w:r>
      <w:r>
        <w:rPr>
          <w:rFonts w:hint="eastAsia" w:cs="Times New Roman"/>
          <w:color w:val="000000"/>
          <w:szCs w:val="24"/>
          <w:lang w:val="en-US" w:eastAsia="zh-CN" w:bidi="ar"/>
        </w:rPr>
        <w:t>3</w:t>
      </w:r>
      <w:r>
        <w:rPr>
          <w:rFonts w:hint="eastAsia" w:ascii="宋体" w:hAnsi="宋体"/>
          <w:color w:val="000000"/>
          <w:szCs w:val="24"/>
          <w:lang w:val="en-US" w:bidi="ar"/>
        </w:rPr>
        <w:t>。</w:t>
      </w:r>
    </w:p>
    <w:p>
      <w:pPr>
        <w:keepNext w:val="0"/>
        <w:keepLines w:val="0"/>
        <w:pageBreakBefore w:val="0"/>
        <w:widowControl/>
        <w:kinsoku/>
        <w:wordWrap/>
        <w:overflowPunct/>
        <w:topLinePunct w:val="0"/>
        <w:autoSpaceDE/>
        <w:autoSpaceDN/>
        <w:bidi w:val="0"/>
        <w:adjustRightInd/>
        <w:snapToGrid/>
        <w:spacing w:line="360" w:lineRule="auto"/>
        <w:ind w:firstLine="482"/>
        <w:jc w:val="center"/>
        <w:textAlignment w:val="auto"/>
        <w:rPr>
          <w:rFonts w:hint="eastAsia"/>
          <w:b/>
          <w:bCs/>
          <w:color w:val="000000" w:themeColor="text1"/>
          <w:szCs w:val="24"/>
          <w:lang w:val="en-US" w:bidi="ar"/>
          <w14:textFill>
            <w14:solidFill>
              <w14:schemeClr w14:val="tx1"/>
            </w14:solidFill>
          </w14:textFill>
        </w:rPr>
      </w:pPr>
      <w:r>
        <w:rPr>
          <w:rFonts w:hint="eastAsia"/>
          <w:b/>
          <w:bCs/>
          <w:color w:val="000000" w:themeColor="text1"/>
          <w:szCs w:val="24"/>
          <w:lang w:val="en-US" w:bidi="ar"/>
          <w14:textFill>
            <w14:solidFill>
              <w14:schemeClr w14:val="tx1"/>
            </w14:solidFill>
          </w14:textFill>
        </w:rPr>
        <w:t>表6.</w:t>
      </w:r>
      <w:r>
        <w:rPr>
          <w:rFonts w:hint="eastAsia"/>
          <w:b/>
          <w:bCs/>
          <w:color w:val="000000" w:themeColor="text1"/>
          <w:szCs w:val="24"/>
          <w:lang w:val="en-US" w:eastAsia="zh-CN" w:bidi="ar"/>
          <w14:textFill>
            <w14:solidFill>
              <w14:schemeClr w14:val="tx1"/>
            </w14:solidFill>
          </w14:textFill>
        </w:rPr>
        <w:t>4</w:t>
      </w:r>
      <w:r>
        <w:rPr>
          <w:rFonts w:hint="eastAsia"/>
          <w:b/>
          <w:bCs/>
          <w:color w:val="000000" w:themeColor="text1"/>
          <w:szCs w:val="24"/>
          <w:lang w:val="en-US" w:bidi="ar"/>
          <w14:textFill>
            <w14:solidFill>
              <w14:schemeClr w14:val="tx1"/>
            </w14:solidFill>
          </w14:textFill>
        </w:rPr>
        <w:t>-</w:t>
      </w:r>
      <w:r>
        <w:rPr>
          <w:rFonts w:hint="eastAsia"/>
          <w:b/>
          <w:bCs/>
          <w:color w:val="000000" w:themeColor="text1"/>
          <w:szCs w:val="24"/>
          <w:lang w:val="en-US" w:eastAsia="zh-CN" w:bidi="ar"/>
          <w14:textFill>
            <w14:solidFill>
              <w14:schemeClr w14:val="tx1"/>
            </w14:solidFill>
          </w14:textFill>
        </w:rPr>
        <w:t>3</w:t>
      </w:r>
      <w:r>
        <w:rPr>
          <w:rFonts w:hint="eastAsia"/>
          <w:b/>
          <w:bCs/>
          <w:color w:val="000000" w:themeColor="text1"/>
          <w:szCs w:val="24"/>
          <w:lang w:val="en-US" w:bidi="ar"/>
          <w14:textFill>
            <w14:solidFill>
              <w14:schemeClr w14:val="tx1"/>
            </w14:solidFill>
          </w14:textFill>
        </w:rPr>
        <w:t xml:space="preserve">  敏感目标处噪声值垂向影响预测结果表（单位：dB（A））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2400"/>
        <w:gridCol w:w="4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608" w:type="pct"/>
            <w:gridSpan w:val="2"/>
            <w:vAlign w:val="center"/>
          </w:tcPr>
          <w:p>
            <w:pPr>
              <w:widowControl/>
              <w:spacing w:line="240" w:lineRule="auto"/>
              <w:ind w:firstLine="0" w:firstLineChars="0"/>
              <w:jc w:val="right"/>
              <w:rPr>
                <w:color w:val="000000" w:themeColor="text1"/>
                <w:sz w:val="2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-71120</wp:posOffset>
                      </wp:positionH>
                      <wp:positionV relativeFrom="paragraph">
                        <wp:posOffset>8890</wp:posOffset>
                      </wp:positionV>
                      <wp:extent cx="3088005" cy="394970"/>
                      <wp:effectExtent l="635" t="4445" r="16510" b="19685"/>
                      <wp:wrapNone/>
                      <wp:docPr id="9" name="直接连接符 9"/>
                      <wp:cNvGraphicFramePr/>
                      <a:graphic xmlns:a="http://schemas.openxmlformats.org/drawingml/2006/main">
                        <a:graphicData uri="http://schemas.microsoft.com/office/word/2010/wordprocessingShape">
                          <wps:wsp>
                            <wps:cNvCnPr/>
                            <wps:spPr>
                              <a:xfrm>
                                <a:off x="0" y="0"/>
                                <a:ext cx="3088005" cy="3949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pt;margin-top:0.7pt;height:31.1pt;width:243.15pt;z-index:251664384;mso-width-relative:page;mso-height-relative:page;" filled="f" stroked="t" coordsize="21600,21600" o:gfxdata="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3+kUPXAAAACAEAAA8AAAAAAAAAAQAgAAAAIgAAAGRycy9kb3ducmV2Lnht&#10;bFBLAQIUABQAAAAIAIdO4kDTaJ1P+gEAAOkDAAAOAAAAAAAAAAEAIAAAACYBAABkcnMvZTJvRG9j&#10;LnhtbFBLBQYAAAAABgAGAFkBAACSBQAAAAA=&#10;">
                      <v:fill on="f" focussize="0,0"/>
                      <v:stroke color="#000000" joinstyle="round"/>
                      <v:imagedata o:title=""/>
                      <o:lock v:ext="edit" aspectratio="f"/>
                    </v:line>
                  </w:pict>
                </mc:Fallback>
              </mc:AlternateContent>
            </w:r>
            <w:r>
              <w:rPr>
                <w:rFonts w:hint="eastAsia"/>
                <w:color w:val="000000" w:themeColor="text1"/>
                <w:sz w:val="21"/>
                <w:szCs w:val="21"/>
                <w14:textFill>
                  <w14:solidFill>
                    <w14:schemeClr w14:val="tx1"/>
                  </w14:solidFill>
                </w14:textFill>
              </w:rPr>
              <w:t>敏感目标</w:t>
            </w:r>
          </w:p>
          <w:p>
            <w:pPr>
              <w:widowControl/>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噪声值</w:t>
            </w:r>
          </w:p>
        </w:tc>
        <w:tc>
          <w:tcPr>
            <w:tcW w:w="2391" w:type="pct"/>
            <w:vAlign w:val="center"/>
          </w:tcPr>
          <w:p>
            <w:pPr>
              <w:widowControl/>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后王庄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2608" w:type="pct"/>
            <w:gridSpan w:val="2"/>
            <w:vAlign w:val="center"/>
          </w:tcPr>
          <w:p>
            <w:pPr>
              <w:widowControl/>
              <w:spacing w:line="240" w:lineRule="auto"/>
              <w:ind w:firstLine="0" w:firstLineChars="0"/>
              <w:jc w:val="center"/>
              <w:rPr>
                <w:rFonts w:cs="TimesNewRomanPS-BoldMT"/>
                <w:color w:val="000000" w:themeColor="text1"/>
                <w:sz w:val="21"/>
                <w:szCs w:val="21"/>
                <w:lang w:val="en-US" w:bidi="ar"/>
                <w14:textFill>
                  <w14:solidFill>
                    <w14:schemeClr w14:val="tx1"/>
                  </w14:solidFill>
                </w14:textFill>
              </w:rPr>
            </w:pPr>
            <w:r>
              <w:rPr>
                <w:rFonts w:hint="eastAsia" w:cs="TimesNewRomanPS-BoldMT"/>
                <w:color w:val="000000" w:themeColor="text1"/>
                <w:sz w:val="21"/>
                <w:szCs w:val="21"/>
                <w:lang w:val="en-US" w:bidi="ar"/>
                <w14:textFill>
                  <w14:solidFill>
                    <w14:schemeClr w14:val="tx1"/>
                  </w14:solidFill>
                </w14:textFill>
              </w:rPr>
              <w:t>距离本项目距离（m）</w:t>
            </w:r>
          </w:p>
        </w:tc>
        <w:tc>
          <w:tcPr>
            <w:tcW w:w="2391" w:type="pct"/>
            <w:vAlign w:val="center"/>
          </w:tcPr>
          <w:p>
            <w:pPr>
              <w:widowControl/>
              <w:spacing w:line="240" w:lineRule="auto"/>
              <w:ind w:firstLine="0" w:firstLineChars="0"/>
              <w:jc w:val="center"/>
              <w:rPr>
                <w:rFonts w:hint="default" w:eastAsia="宋体"/>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pct"/>
            <w:gridSpan w:val="2"/>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本项目贡献值</w:t>
            </w:r>
          </w:p>
        </w:tc>
        <w:tc>
          <w:tcPr>
            <w:tcW w:w="2391" w:type="pct"/>
            <w:vAlign w:val="center"/>
          </w:tcPr>
          <w:p>
            <w:pPr>
              <w:pStyle w:val="30"/>
              <w:rPr>
                <w:rFonts w:hint="default"/>
                <w:color w:val="000000" w:themeColor="text1"/>
                <w:u w:val="single"/>
                <w14:textFill>
                  <w14:solidFill>
                    <w14:schemeClr w14:val="tx1"/>
                  </w14:solidFill>
                </w14:textFill>
              </w:rPr>
            </w:pPr>
            <w:r>
              <w:rPr>
                <w:color w:val="000000" w:themeColor="text1"/>
                <w:u w:val="single"/>
                <w14:textFill>
                  <w14:solidFill>
                    <w14:schemeClr w14:val="tx1"/>
                  </w14:solidFill>
                </w14:textFill>
              </w:rPr>
              <w:t>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Merge w:val="restar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背景值</w:t>
            </w:r>
          </w:p>
        </w:tc>
        <w:tc>
          <w:tcPr>
            <w:tcW w:w="1292"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昼</w:t>
            </w:r>
          </w:p>
        </w:tc>
        <w:tc>
          <w:tcPr>
            <w:tcW w:w="2391" w:type="pct"/>
            <w:vAlign w:val="center"/>
          </w:tcPr>
          <w:p>
            <w:pPr>
              <w:pStyle w:val="30"/>
              <w:rPr>
                <w:rFonts w:hint="default"/>
                <w:color w:val="000000" w:themeColor="text1"/>
                <w:u w:val="single"/>
                <w14:textFill>
                  <w14:solidFill>
                    <w14:schemeClr w14:val="tx1"/>
                  </w14:solidFill>
                </w14:textFill>
              </w:rPr>
            </w:pPr>
            <w:r>
              <w:rPr>
                <w:color w:val="000000" w:themeColor="text1"/>
                <w:u w:val="single"/>
                <w14:textFill>
                  <w14:solidFill>
                    <w14:schemeClr w14:val="tx1"/>
                  </w14:solidFill>
                </w14:textFill>
              </w:rPr>
              <w:t>5</w:t>
            </w:r>
            <w:r>
              <w:rPr>
                <w:rFonts w:hint="eastAsia"/>
                <w:color w:val="000000" w:themeColor="text1"/>
                <w:u w:val="single"/>
                <w:lang w:val="en-US" w:eastAsia="zh-CN"/>
                <w14:textFill>
                  <w14:solidFill>
                    <w14:schemeClr w14:val="tx1"/>
                  </w14:solidFill>
                </w14:textFill>
              </w:rPr>
              <w:t>0</w:t>
            </w:r>
            <w:r>
              <w:rPr>
                <w:color w:val="000000" w:themeColor="text1"/>
                <w:u w:val="single"/>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Merge w:val="continue"/>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p>
        </w:tc>
        <w:tc>
          <w:tcPr>
            <w:tcW w:w="1292" w:type="pct"/>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p>
        </w:tc>
        <w:tc>
          <w:tcPr>
            <w:tcW w:w="2391" w:type="pct"/>
            <w:vAlign w:val="center"/>
          </w:tcPr>
          <w:p>
            <w:pPr>
              <w:pStyle w:val="30"/>
              <w:rPr>
                <w:rFonts w:hint="default"/>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39</w:t>
            </w:r>
            <w:r>
              <w:rPr>
                <w:color w:val="000000" w:themeColor="text1"/>
                <w:u w:val="singl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pct"/>
            <w:vMerge w:val="restar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叠加值</w:t>
            </w:r>
          </w:p>
        </w:tc>
        <w:tc>
          <w:tcPr>
            <w:tcW w:w="1292"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昼</w:t>
            </w:r>
          </w:p>
        </w:tc>
        <w:tc>
          <w:tcPr>
            <w:tcW w:w="2391" w:type="pct"/>
            <w:vAlign w:val="center"/>
          </w:tcPr>
          <w:p>
            <w:pPr>
              <w:pStyle w:val="20"/>
              <w:spacing w:after="0" w:line="240" w:lineRule="auto"/>
              <w:ind w:left="0" w:leftChars="0" w:firstLine="0" w:firstLineChars="0"/>
              <w:jc w:val="center"/>
              <w:rPr>
                <w:rFonts w:hint="default" w:eastAsia="宋体"/>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pct"/>
            <w:vMerge w:val="continue"/>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p>
        </w:tc>
        <w:tc>
          <w:tcPr>
            <w:tcW w:w="1292" w:type="pct"/>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p>
        </w:tc>
        <w:tc>
          <w:tcPr>
            <w:tcW w:w="2391" w:type="pct"/>
            <w:vAlign w:val="center"/>
          </w:tcPr>
          <w:p>
            <w:pPr>
              <w:pStyle w:val="20"/>
              <w:spacing w:after="0" w:line="240" w:lineRule="auto"/>
              <w:ind w:left="0" w:leftChars="0" w:firstLine="0" w:firstLineChars="0"/>
              <w:jc w:val="center"/>
              <w:rPr>
                <w:rFonts w:hint="default" w:eastAsia="宋体"/>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39.53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Merge w:val="restar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标准值</w:t>
            </w:r>
          </w:p>
        </w:tc>
        <w:tc>
          <w:tcPr>
            <w:tcW w:w="1292" w:type="pct"/>
            <w:vAlign w:val="center"/>
          </w:tcPr>
          <w:p>
            <w:pPr>
              <w:widowControl/>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bidi="ar"/>
                <w14:textFill>
                  <w14:solidFill>
                    <w14:schemeClr w14:val="tx1"/>
                  </w14:solidFill>
                </w14:textFill>
              </w:rPr>
              <w:t>昼</w:t>
            </w:r>
          </w:p>
        </w:tc>
        <w:tc>
          <w:tcPr>
            <w:tcW w:w="2391" w:type="pct"/>
            <w:vAlign w:val="center"/>
          </w:tcPr>
          <w:p>
            <w:pPr>
              <w:pStyle w:val="20"/>
              <w:spacing w:after="0" w:line="240" w:lineRule="auto"/>
              <w:ind w:left="0" w:leftChars="0" w:firstLine="0" w:firstLineChars="0"/>
              <w:jc w:val="center"/>
              <w:rPr>
                <w:rFonts w:hint="default" w:eastAsia="宋体"/>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vMerge w:val="continue"/>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p>
        </w:tc>
        <w:tc>
          <w:tcPr>
            <w:tcW w:w="1292" w:type="pct"/>
            <w:vAlign w:val="center"/>
          </w:tcPr>
          <w:p>
            <w:pPr>
              <w:pStyle w:val="20"/>
              <w:spacing w:after="0" w:line="240" w:lineRule="auto"/>
              <w:ind w:left="0" w:leftChars="0"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p>
        </w:tc>
        <w:tc>
          <w:tcPr>
            <w:tcW w:w="2391" w:type="pct"/>
            <w:vAlign w:val="center"/>
          </w:tcPr>
          <w:p>
            <w:pPr>
              <w:pStyle w:val="20"/>
              <w:spacing w:after="0" w:line="240" w:lineRule="auto"/>
              <w:ind w:left="0" w:leftChars="0" w:firstLine="0" w:firstLineChars="0"/>
              <w:jc w:val="center"/>
              <w:rPr>
                <w:rFonts w:hint="default" w:eastAsia="宋体"/>
                <w:color w:val="000000" w:themeColor="text1"/>
                <w:sz w:val="21"/>
                <w:szCs w:val="21"/>
                <w:u w:val="single"/>
                <w:lang w:val="en-US" w:eastAsia="zh-CN"/>
                <w14:textFill>
                  <w14:solidFill>
                    <w14:schemeClr w14:val="tx1"/>
                  </w14:solidFill>
                </w14:textFill>
              </w:rPr>
            </w:pPr>
            <w:r>
              <w:rPr>
                <w:rFonts w:hint="eastAsia"/>
                <w:color w:val="000000" w:themeColor="text1"/>
                <w:sz w:val="21"/>
                <w:szCs w:val="21"/>
                <w:u w:val="single"/>
                <w:lang w:val="en-US" w:eastAsia="zh-CN"/>
                <w14:textFill>
                  <w14:solidFill>
                    <w14:schemeClr w14:val="tx1"/>
                  </w14:solidFill>
                </w14:textFill>
              </w:rPr>
              <w:t>45</w:t>
            </w:r>
          </w:p>
        </w:tc>
      </w:tr>
    </w:tbl>
    <w:p>
      <w:pPr>
        <w:widowControl/>
        <w:ind w:firstLine="480"/>
        <w:rPr>
          <w:color w:val="000000"/>
          <w:szCs w:val="24"/>
          <w:lang w:val="en-US" w:bidi="ar"/>
        </w:rPr>
      </w:pPr>
      <w:r>
        <w:rPr>
          <w:rFonts w:hint="eastAsia"/>
          <w:color w:val="000000"/>
          <w:szCs w:val="24"/>
          <w:lang w:val="en-US" w:bidi="ar"/>
        </w:rPr>
        <w:t>从上表可以看出，</w:t>
      </w:r>
      <w:r>
        <w:rPr>
          <w:rFonts w:hint="eastAsia"/>
          <w:color w:val="000000"/>
          <w:szCs w:val="24"/>
          <w:lang w:val="en-US" w:eastAsia="zh-CN" w:bidi="ar"/>
        </w:rPr>
        <w:t>后王庄</w:t>
      </w:r>
      <w:r>
        <w:rPr>
          <w:rFonts w:hint="eastAsia"/>
          <w:color w:val="000000"/>
          <w:szCs w:val="24"/>
          <w:lang w:val="en-US" w:bidi="ar"/>
        </w:rPr>
        <w:t>垂向昼夜昼、夜间预测值均满足《声环境质量标准》（</w:t>
      </w:r>
      <w:r>
        <w:rPr>
          <w:color w:val="000000"/>
          <w:szCs w:val="24"/>
          <w:lang w:val="en-US" w:bidi="ar"/>
        </w:rPr>
        <w:t>GB3096-2008</w:t>
      </w:r>
      <w:r>
        <w:rPr>
          <w:rFonts w:hint="eastAsia"/>
          <w:color w:val="000000"/>
          <w:szCs w:val="24"/>
          <w:lang w:val="en-US" w:bidi="ar"/>
        </w:rPr>
        <w:t>）中</w:t>
      </w:r>
      <w:r>
        <w:rPr>
          <w:rFonts w:hint="eastAsia"/>
          <w:color w:val="000000"/>
          <w:szCs w:val="24"/>
          <w:lang w:val="en-US" w:eastAsia="zh-CN" w:bidi="ar"/>
        </w:rPr>
        <w:t>1</w:t>
      </w:r>
      <w:r>
        <w:rPr>
          <w:rFonts w:hint="eastAsia"/>
          <w:color w:val="000000"/>
          <w:szCs w:val="24"/>
          <w:lang w:val="en-US" w:bidi="ar"/>
        </w:rPr>
        <w:t>类标准要求</w:t>
      </w:r>
      <w:r>
        <w:rPr>
          <w:rFonts w:hint="eastAsia"/>
          <w:color w:val="000000"/>
          <w:szCs w:val="24"/>
          <w:u w:val="single"/>
          <w:lang w:val="en-US" w:bidi="ar"/>
        </w:rPr>
        <w:t>（昼间≤</w:t>
      </w:r>
      <w:r>
        <w:rPr>
          <w:rFonts w:hint="eastAsia"/>
          <w:color w:val="000000"/>
          <w:szCs w:val="24"/>
          <w:u w:val="single"/>
          <w:lang w:val="en-US" w:eastAsia="zh-CN" w:bidi="ar"/>
        </w:rPr>
        <w:t>55</w:t>
      </w:r>
      <w:r>
        <w:rPr>
          <w:color w:val="000000"/>
          <w:szCs w:val="24"/>
          <w:u w:val="single"/>
          <w:lang w:val="en-US" w:bidi="ar"/>
        </w:rPr>
        <w:t>dB</w:t>
      </w:r>
      <w:r>
        <w:rPr>
          <w:rFonts w:hint="eastAsia"/>
          <w:color w:val="000000"/>
          <w:szCs w:val="24"/>
          <w:u w:val="single"/>
          <w:lang w:val="en-US" w:bidi="ar"/>
        </w:rPr>
        <w:t>（</w:t>
      </w:r>
      <w:r>
        <w:rPr>
          <w:color w:val="000000"/>
          <w:szCs w:val="24"/>
          <w:u w:val="single"/>
          <w:lang w:val="en-US" w:bidi="ar"/>
        </w:rPr>
        <w:t>A</w:t>
      </w:r>
      <w:r>
        <w:rPr>
          <w:rFonts w:hint="eastAsia"/>
          <w:color w:val="000000"/>
          <w:szCs w:val="24"/>
          <w:u w:val="single"/>
          <w:lang w:val="en-US" w:bidi="ar"/>
        </w:rPr>
        <w:t>）、夜间≤</w:t>
      </w:r>
      <w:r>
        <w:rPr>
          <w:rFonts w:hint="eastAsia"/>
          <w:color w:val="000000"/>
          <w:szCs w:val="24"/>
          <w:u w:val="single"/>
          <w:lang w:val="en-US" w:eastAsia="zh-CN" w:bidi="ar"/>
        </w:rPr>
        <w:t>45</w:t>
      </w:r>
      <w:r>
        <w:rPr>
          <w:color w:val="000000"/>
          <w:szCs w:val="24"/>
          <w:u w:val="single"/>
          <w:lang w:val="en-US" w:bidi="ar"/>
        </w:rPr>
        <w:t>dB</w:t>
      </w:r>
      <w:r>
        <w:rPr>
          <w:rFonts w:hint="eastAsia"/>
          <w:color w:val="000000"/>
          <w:szCs w:val="24"/>
          <w:u w:val="single"/>
          <w:lang w:val="en-US" w:bidi="ar"/>
        </w:rPr>
        <w:t>（</w:t>
      </w:r>
      <w:r>
        <w:rPr>
          <w:color w:val="000000"/>
          <w:szCs w:val="24"/>
          <w:u w:val="single"/>
          <w:lang w:val="en-US" w:bidi="ar"/>
        </w:rPr>
        <w:t>A</w:t>
      </w:r>
      <w:r>
        <w:rPr>
          <w:rFonts w:hint="eastAsia"/>
          <w:color w:val="000000"/>
          <w:szCs w:val="24"/>
          <w:u w:val="single"/>
          <w:lang w:val="en-US" w:bidi="ar"/>
        </w:rPr>
        <w:t>））</w:t>
      </w:r>
      <w:r>
        <w:rPr>
          <w:rFonts w:hint="eastAsia"/>
          <w:color w:val="000000"/>
          <w:szCs w:val="24"/>
          <w:lang w:val="en-US" w:bidi="ar"/>
        </w:rPr>
        <w:t>。</w:t>
      </w:r>
    </w:p>
    <w:p>
      <w:pPr>
        <w:widowControl/>
        <w:ind w:firstLine="480"/>
        <w:rPr>
          <w:color w:val="000000"/>
          <w:szCs w:val="24"/>
          <w:lang w:val="en-US" w:bidi="ar"/>
        </w:rPr>
      </w:pPr>
      <w:r>
        <w:rPr>
          <w:rFonts w:hint="eastAsia"/>
          <w:color w:val="000000"/>
          <w:szCs w:val="24"/>
          <w:lang w:val="en-US" w:bidi="ar"/>
        </w:rPr>
        <w:t>综上，本项目噪声对周围声环境影响较小。</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154" w:name="_Toc2502"/>
      <w:bookmarkStart w:id="155" w:name="_Toc29096"/>
      <w:bookmarkStart w:id="156" w:name="_Toc17545"/>
      <w:r>
        <w:rPr>
          <w:rFonts w:hint="default"/>
          <w:lang w:val="en-US" w:eastAsia="zh-CN"/>
        </w:rPr>
        <w:t>6.</w:t>
      </w:r>
      <w:r>
        <w:rPr>
          <w:rFonts w:hint="eastAsia"/>
          <w:lang w:val="en-US" w:eastAsia="zh-CN"/>
        </w:rPr>
        <w:t>5</w:t>
      </w:r>
      <w:r>
        <w:rPr>
          <w:rFonts w:hint="default"/>
          <w:lang w:val="en-US" w:eastAsia="zh-CN"/>
        </w:rPr>
        <w:t xml:space="preserve"> </w:t>
      </w:r>
      <w:r>
        <w:rPr>
          <w:lang w:val="en-US" w:eastAsia="zh-CN"/>
        </w:rPr>
        <w:t>营运期地下水影响分析</w:t>
      </w:r>
      <w:bookmarkEnd w:id="154"/>
      <w:bookmarkEnd w:id="155"/>
      <w:bookmarkEnd w:id="156"/>
    </w:p>
    <w:p>
      <w:pPr>
        <w:pStyle w:val="4"/>
        <w:bidi w:val="0"/>
        <w:rPr>
          <w:lang w:val="en-US" w:eastAsia="zh-CN"/>
        </w:rPr>
      </w:pPr>
      <w:r>
        <w:rPr>
          <w:rFonts w:hint="default"/>
          <w:lang w:val="en-US" w:eastAsia="zh-CN"/>
        </w:rPr>
        <w:t>6.</w:t>
      </w:r>
      <w:r>
        <w:rPr>
          <w:rFonts w:hint="eastAsia"/>
          <w:lang w:val="en-US" w:eastAsia="zh-CN"/>
        </w:rPr>
        <w:t>5</w:t>
      </w:r>
      <w:r>
        <w:rPr>
          <w:rFonts w:hint="default"/>
          <w:lang w:val="en-US" w:eastAsia="zh-CN"/>
        </w:rPr>
        <w:t xml:space="preserve">.1 </w:t>
      </w:r>
      <w:r>
        <w:rPr>
          <w:lang w:val="en-US" w:eastAsia="zh-CN"/>
        </w:rPr>
        <w:t>地下水预测评价工作等级</w:t>
      </w:r>
    </w:p>
    <w:p>
      <w:pPr>
        <w:keepNext w:val="0"/>
        <w:keepLines w:val="0"/>
        <w:widowControl/>
        <w:suppressLineNumbers w:val="0"/>
        <w:jc w:val="left"/>
        <w:rPr>
          <w:b/>
          <w:bCs/>
        </w:rPr>
      </w:pPr>
      <w:r>
        <w:rPr>
          <w:rFonts w:hint="default" w:ascii="Times New Roman" w:hAnsi="Times New Roman" w:eastAsia="宋体" w:cs="Times New Roman"/>
          <w:b/>
          <w:bCs/>
          <w:color w:val="000000"/>
          <w:kern w:val="0"/>
          <w:sz w:val="24"/>
          <w:szCs w:val="24"/>
          <w:lang w:val="en-US" w:eastAsia="zh-CN" w:bidi="ar"/>
        </w:rPr>
        <w:t>6.</w:t>
      </w:r>
      <w:r>
        <w:rPr>
          <w:rFonts w:hint="eastAsia" w:ascii="Times New Roman" w:hAnsi="Times New Roman" w:eastAsia="宋体" w:cs="Times New Roman"/>
          <w:b/>
          <w:bCs/>
          <w:color w:val="000000"/>
          <w:kern w:val="0"/>
          <w:sz w:val="24"/>
          <w:szCs w:val="24"/>
          <w:lang w:val="en-US" w:eastAsia="zh-CN" w:bidi="ar"/>
        </w:rPr>
        <w:t>5</w:t>
      </w:r>
      <w:r>
        <w:rPr>
          <w:rFonts w:hint="default" w:ascii="Times New Roman" w:hAnsi="Times New Roman" w:eastAsia="宋体" w:cs="Times New Roman"/>
          <w:b/>
          <w:bCs/>
          <w:color w:val="000000"/>
          <w:kern w:val="0"/>
          <w:sz w:val="24"/>
          <w:szCs w:val="24"/>
          <w:lang w:val="en-US" w:eastAsia="zh-CN" w:bidi="ar"/>
        </w:rPr>
        <w:t xml:space="preserve">.1.1 </w:t>
      </w:r>
      <w:r>
        <w:rPr>
          <w:rFonts w:hint="eastAsia" w:ascii="宋体" w:hAnsi="宋体" w:eastAsia="宋体" w:cs="宋体"/>
          <w:b/>
          <w:bCs/>
          <w:color w:val="000000"/>
          <w:kern w:val="0"/>
          <w:sz w:val="24"/>
          <w:szCs w:val="24"/>
          <w:lang w:val="en-US" w:eastAsia="zh-CN" w:bidi="ar"/>
        </w:rPr>
        <w:t>建设项目行业分类</w:t>
      </w:r>
    </w:p>
    <w:p>
      <w:pPr>
        <w:keepNext w:val="0"/>
        <w:keepLines w:val="0"/>
        <w:widowControl/>
        <w:suppressLineNumbers w:val="0"/>
        <w:jc w:val="both"/>
      </w:pPr>
      <w:r>
        <w:rPr>
          <w:rFonts w:hint="eastAsia"/>
          <w:lang w:val="en-US" w:eastAsia="zh-CN"/>
        </w:rPr>
        <w:t>根据《环境影响评价技术导则 地下水环境》（</w:t>
      </w:r>
      <w:r>
        <w:rPr>
          <w:rFonts w:hint="default"/>
          <w:lang w:val="en-US" w:eastAsia="zh-CN"/>
        </w:rPr>
        <w:t>HJ610-2016</w:t>
      </w:r>
      <w:r>
        <w:rPr>
          <w:rFonts w:hint="eastAsia"/>
          <w:lang w:val="en-US" w:eastAsia="zh-CN"/>
        </w:rPr>
        <w:t>），评价工作等级的划分应依据建设项目行业分类和地下水环境敏感程度分级进行判定。</w:t>
      </w:r>
      <w:r>
        <w:t>本项日属于U城镇基础设施及房地产类别中第155项中废塑料再生利用项目，地下水环境影响评价项目类别为</w:t>
      </w:r>
      <w:r>
        <w:rPr>
          <w:rFonts w:hint="eastAsia"/>
        </w:rPr>
        <w:t>Ⅲ</w:t>
      </w:r>
      <w:r>
        <w:t>类</w:t>
      </w:r>
      <w:r>
        <w:rPr>
          <w:rFonts w:hint="eastAsia"/>
          <w:lang w:eastAsia="zh-CN"/>
        </w:rPr>
        <w:t>。</w:t>
      </w:r>
      <w:r>
        <w:rPr>
          <w:rFonts w:hint="eastAsia"/>
          <w:lang w:val="en-US" w:eastAsia="zh-CN"/>
        </w:rPr>
        <w:t>见表6.5</w:t>
      </w:r>
      <w:r>
        <w:rPr>
          <w:rFonts w:hint="default"/>
          <w:lang w:val="en-US" w:eastAsia="zh-CN"/>
        </w:rPr>
        <w:t>-1</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表</w:t>
      </w:r>
      <w:r>
        <w:rPr>
          <w:b/>
          <w:bCs/>
          <w:lang w:val="en-US" w:eastAsia="zh-CN"/>
        </w:rPr>
        <w:t>6.</w:t>
      </w:r>
      <w:r>
        <w:rPr>
          <w:rFonts w:hint="eastAsia"/>
          <w:b/>
          <w:bCs/>
          <w:lang w:val="en-US" w:eastAsia="zh-CN"/>
        </w:rPr>
        <w:t>5</w:t>
      </w:r>
      <w:r>
        <w:rPr>
          <w:b/>
          <w:bCs/>
          <w:lang w:val="en-US" w:eastAsia="zh-CN"/>
        </w:rPr>
        <w:t>-1</w:t>
      </w:r>
      <w:r>
        <w:rPr>
          <w:rFonts w:hint="eastAsia"/>
          <w:b/>
          <w:bCs/>
          <w:lang w:val="en-US" w:eastAsia="zh-CN"/>
        </w:rPr>
        <w:t xml:space="preserve"> </w:t>
      </w:r>
      <w:r>
        <w:rPr>
          <w:b/>
          <w:bCs/>
          <w:lang w:val="en-US" w:eastAsia="zh-CN"/>
        </w:rPr>
        <w:t xml:space="preserve"> </w:t>
      </w:r>
      <w:r>
        <w:rPr>
          <w:rFonts w:hint="eastAsia"/>
          <w:b/>
          <w:bCs/>
          <w:lang w:val="en-US" w:eastAsia="zh-CN"/>
        </w:rPr>
        <w:t>地下水环境影响评价行业分类表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3515"/>
        <w:gridCol w:w="881"/>
        <w:gridCol w:w="1594"/>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315" w:type="dxa"/>
            <w:vMerge w:val="restart"/>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行业类别</w:t>
            </w:r>
          </w:p>
        </w:tc>
        <w:tc>
          <w:tcPr>
            <w:tcW w:w="3515" w:type="dxa"/>
            <w:vMerge w:val="restart"/>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报告书</w:t>
            </w:r>
          </w:p>
        </w:tc>
        <w:tc>
          <w:tcPr>
            <w:tcW w:w="881" w:type="dxa"/>
            <w:vMerge w:val="restart"/>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报告表</w:t>
            </w:r>
          </w:p>
        </w:tc>
        <w:tc>
          <w:tcPr>
            <w:tcW w:w="2577" w:type="dxa"/>
            <w:gridSpan w:val="2"/>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地下水环境影响评价类别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315" w:type="dxa"/>
            <w:vMerge w:val="continue"/>
            <w:vAlign w:val="center"/>
          </w:tcPr>
          <w:p>
            <w:pPr>
              <w:pStyle w:val="30"/>
              <w:keepNext w:val="0"/>
              <w:keepLines w:val="0"/>
              <w:pageBreakBefore w:val="0"/>
              <w:widowControl/>
              <w:kinsoku/>
              <w:wordWrap/>
              <w:overflowPunct/>
              <w:topLinePunct w:val="0"/>
              <w:autoSpaceDE/>
              <w:autoSpaceDN/>
              <w:bidi w:val="0"/>
              <w:adjustRightInd/>
              <w:snapToGrid/>
              <w:jc w:val="center"/>
              <w:textAlignment w:val="auto"/>
            </w:pPr>
          </w:p>
        </w:tc>
        <w:tc>
          <w:tcPr>
            <w:tcW w:w="3515" w:type="dxa"/>
            <w:vMerge w:val="continue"/>
            <w:vAlign w:val="center"/>
          </w:tcPr>
          <w:p>
            <w:pPr>
              <w:pStyle w:val="30"/>
              <w:keepNext w:val="0"/>
              <w:keepLines w:val="0"/>
              <w:pageBreakBefore w:val="0"/>
              <w:widowControl/>
              <w:kinsoku/>
              <w:wordWrap/>
              <w:overflowPunct/>
              <w:topLinePunct w:val="0"/>
              <w:autoSpaceDE/>
              <w:autoSpaceDN/>
              <w:bidi w:val="0"/>
              <w:adjustRightInd/>
              <w:snapToGrid/>
              <w:jc w:val="center"/>
              <w:textAlignment w:val="auto"/>
            </w:pPr>
          </w:p>
        </w:tc>
        <w:tc>
          <w:tcPr>
            <w:tcW w:w="881" w:type="dxa"/>
            <w:vMerge w:val="continue"/>
            <w:vAlign w:val="center"/>
          </w:tcPr>
          <w:p>
            <w:pPr>
              <w:pStyle w:val="30"/>
              <w:keepNext w:val="0"/>
              <w:keepLines w:val="0"/>
              <w:pageBreakBefore w:val="0"/>
              <w:widowControl/>
              <w:kinsoku/>
              <w:wordWrap/>
              <w:overflowPunct/>
              <w:topLinePunct w:val="0"/>
              <w:autoSpaceDE/>
              <w:autoSpaceDN/>
              <w:bidi w:val="0"/>
              <w:adjustRightInd/>
              <w:snapToGrid/>
              <w:jc w:val="center"/>
              <w:textAlignment w:val="auto"/>
            </w:pPr>
          </w:p>
        </w:tc>
        <w:tc>
          <w:tcPr>
            <w:tcW w:w="1594"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报告书</w:t>
            </w:r>
          </w:p>
        </w:tc>
        <w:tc>
          <w:tcPr>
            <w:tcW w:w="983"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8" w:type="dxa"/>
            <w:gridSpan w:val="5"/>
            <w:vAlign w:val="center"/>
          </w:tcPr>
          <w:p>
            <w:pPr>
              <w:pStyle w:val="30"/>
              <w:keepNext w:val="0"/>
              <w:keepLines w:val="0"/>
              <w:pageBreakBefore w:val="0"/>
              <w:widowControl/>
              <w:kinsoku/>
              <w:wordWrap/>
              <w:overflowPunct/>
              <w:topLinePunct w:val="0"/>
              <w:autoSpaceDE/>
              <w:autoSpaceDN/>
              <w:bidi w:val="0"/>
              <w:adjustRightInd/>
              <w:snapToGrid/>
              <w:jc w:val="left"/>
              <w:textAlignment w:val="auto"/>
              <w:rPr>
                <w:rFonts w:hint="eastAsia"/>
                <w:lang w:eastAsia="zh-CN"/>
              </w:rPr>
            </w:pPr>
            <w:r>
              <w:rPr>
                <w:rFonts w:hint="eastAsia"/>
                <w:lang w:val="en-US" w:eastAsia="zh-CN"/>
              </w:rPr>
              <w:t>U城镇基础设施及房地产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5"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eastAsia"/>
                <w:lang w:eastAsia="zh-CN"/>
              </w:rPr>
            </w:pPr>
            <w:r>
              <w:rPr>
                <w:rFonts w:hint="eastAsia"/>
                <w:lang w:val="en-US" w:eastAsia="zh-CN"/>
              </w:rPr>
              <w:t>155、废旧资源（含生物质）加工、再生利用</w:t>
            </w:r>
          </w:p>
        </w:tc>
        <w:tc>
          <w:tcPr>
            <w:tcW w:w="3515" w:type="dxa"/>
            <w:vAlign w:val="center"/>
          </w:tcPr>
          <w:p>
            <w:pPr>
              <w:pStyle w:val="30"/>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pPr>
            <w:r>
              <w:rPr>
                <w:rFonts w:hint="eastAsia"/>
                <w:lang w:val="en-US" w:eastAsia="zh-CN"/>
              </w:rPr>
              <w:t>废电子电器产品、废电池、废汽车、废电机、废五金、废塑料、废油、废船、废轮胎等加工、再生利用</w:t>
            </w:r>
          </w:p>
        </w:tc>
        <w:tc>
          <w:tcPr>
            <w:tcW w:w="881" w:type="dxa"/>
            <w:vAlign w:val="center"/>
          </w:tcPr>
          <w:p>
            <w:pPr>
              <w:pStyle w:val="30"/>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pPr>
            <w:r>
              <w:rPr>
                <w:rFonts w:hint="eastAsia"/>
                <w:lang w:val="en-US" w:eastAsia="zh-CN"/>
              </w:rPr>
              <w:t>其他</w:t>
            </w:r>
          </w:p>
        </w:tc>
        <w:tc>
          <w:tcPr>
            <w:tcW w:w="1594" w:type="dxa"/>
            <w:vAlign w:val="center"/>
          </w:tcPr>
          <w:p>
            <w:pPr>
              <w:pStyle w:val="30"/>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pPr>
            <w:r>
              <w:rPr>
                <w:rFonts w:hint="eastAsia"/>
                <w:lang w:val="en-US" w:eastAsia="zh-CN"/>
              </w:rPr>
              <w:t>危废I类，其余Ⅲ类</w:t>
            </w:r>
          </w:p>
        </w:tc>
        <w:tc>
          <w:tcPr>
            <w:tcW w:w="983" w:type="dxa"/>
            <w:vAlign w:val="center"/>
          </w:tcPr>
          <w:p>
            <w:pPr>
              <w:pStyle w:val="30"/>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pPr>
            <w:r>
              <w:rPr>
                <w:rFonts w:hint="eastAsia"/>
                <w:lang w:val="en-US" w:eastAsia="zh-CN"/>
              </w:rPr>
              <w:t>Ⅳ类</w:t>
            </w:r>
          </w:p>
        </w:tc>
      </w:tr>
    </w:tbl>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.1.2 </w:t>
      </w:r>
      <w:r>
        <w:rPr>
          <w:rFonts w:hint="eastAsia" w:ascii="宋体" w:hAnsi="宋体" w:eastAsia="宋体" w:cs="宋体"/>
          <w:color w:val="000000"/>
          <w:kern w:val="0"/>
          <w:sz w:val="24"/>
          <w:szCs w:val="24"/>
          <w:lang w:val="en-US" w:eastAsia="zh-CN" w:bidi="ar"/>
        </w:rPr>
        <w:t>建设项目场地的地下水环境敏感程度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现场调查资料，评价范围（项目场地所在水文地质单元）内无集中式饮用水源地，浅层地下水多作为灌溉用水、分散式居民备用水井等用水。评价区内的地下水流场连续，地下水顺地势缓慢流动，形成较为统一完整的地下水流系统，无集中式饮用水水源，分散式供水井较多。</w:t>
      </w:r>
    </w:p>
    <w:p>
      <w:pPr>
        <w:bidi w:val="0"/>
        <w:rPr>
          <w:rFonts w:hint="eastAsia"/>
          <w:lang w:val="en-US" w:eastAsia="zh-CN"/>
        </w:rPr>
      </w:pPr>
      <w:r>
        <w:rPr>
          <w:rFonts w:hint="eastAsia"/>
          <w:lang w:val="en-US" w:eastAsia="zh-CN"/>
        </w:rPr>
        <w:t>依据《环境影响评价技术导则地下水环境》（</w:t>
      </w:r>
      <w:r>
        <w:rPr>
          <w:rFonts w:hint="default"/>
          <w:lang w:val="en-US" w:eastAsia="zh-CN"/>
        </w:rPr>
        <w:t>HJ 610-2016</w:t>
      </w:r>
      <w:r>
        <w:rPr>
          <w:rFonts w:hint="eastAsia"/>
          <w:lang w:val="en-US" w:eastAsia="zh-CN"/>
        </w:rPr>
        <w:t>）第</w:t>
      </w:r>
      <w:r>
        <w:rPr>
          <w:rFonts w:hint="default"/>
          <w:lang w:val="en-US" w:eastAsia="zh-CN"/>
        </w:rPr>
        <w:t>6.2.1.2</w:t>
      </w:r>
      <w:r>
        <w:rPr>
          <w:rFonts w:hint="eastAsia"/>
          <w:lang w:val="en-US" w:eastAsia="zh-CN"/>
        </w:rPr>
        <w:t>条表</w:t>
      </w:r>
      <w:r>
        <w:rPr>
          <w:rFonts w:hint="default"/>
          <w:lang w:val="en-US" w:eastAsia="zh-CN"/>
        </w:rPr>
        <w:t>1</w:t>
      </w:r>
      <w:r>
        <w:rPr>
          <w:rFonts w:hint="eastAsia"/>
          <w:lang w:val="en-US" w:eastAsia="zh-CN"/>
        </w:rPr>
        <w:t>，综合判断项目场地地下水环境敏感程度为“较敏感”。详见表6.5</w:t>
      </w:r>
      <w:r>
        <w:rPr>
          <w:rFonts w:hint="default"/>
          <w:lang w:val="en-US" w:eastAsia="zh-CN"/>
        </w:rPr>
        <w:t>-2</w:t>
      </w:r>
      <w:r>
        <w:rPr>
          <w:rFonts w:hint="eastAsia"/>
          <w:lang w:val="en-US" w:eastAsia="zh-CN"/>
        </w:rPr>
        <w:t>。</w:t>
      </w:r>
    </w:p>
    <w:p>
      <w:pPr>
        <w:pStyle w:val="19"/>
        <w:keepNext w:val="0"/>
        <w:keepLines w:val="0"/>
        <w:widowControl/>
        <w:suppressLineNumbers w:val="0"/>
        <w:spacing w:before="0" w:beforeAutospacing="0" w:after="0" w:afterAutospacing="0"/>
        <w:ind w:left="0" w:right="0" w:firstLine="0"/>
        <w:jc w:val="center"/>
        <w:rPr>
          <w:b/>
          <w:bCs/>
        </w:rPr>
      </w:pPr>
      <w:r>
        <w:rPr>
          <w:b/>
          <w:bCs/>
        </w:rPr>
        <w:t>表</w:t>
      </w:r>
      <w:r>
        <w:rPr>
          <w:rFonts w:hint="eastAsia"/>
          <w:b/>
          <w:bCs/>
          <w:lang w:val="en-US" w:eastAsia="zh-CN"/>
        </w:rPr>
        <w:t xml:space="preserve">6.5-2 </w:t>
      </w:r>
      <w:r>
        <w:rPr>
          <w:b/>
          <w:bCs/>
        </w:rPr>
        <w:t xml:space="preserve"> 地下水环境敏感程度分级表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8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敏感程度</w:t>
            </w:r>
          </w:p>
        </w:tc>
        <w:tc>
          <w:tcPr>
            <w:tcW w:w="8150" w:type="dxa"/>
            <w:vAlign w:val="center"/>
          </w:tcPr>
          <w:p>
            <w:pPr>
              <w:pStyle w:val="30"/>
              <w:bidi w:val="0"/>
              <w:jc w:val="center"/>
              <w:rPr>
                <w:rFonts w:hint="eastAsia"/>
                <w:sz w:val="21"/>
                <w:szCs w:val="21"/>
                <w:lang w:val="en-US" w:eastAsia="zh-CN"/>
              </w:rPr>
            </w:pPr>
            <w:r>
              <w:rPr>
                <w:rFonts w:hint="eastAsia"/>
                <w:sz w:val="21"/>
                <w:szCs w:val="21"/>
                <w:lang w:val="en-US" w:eastAsia="zh-CN"/>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敏感</w:t>
            </w:r>
          </w:p>
        </w:tc>
        <w:tc>
          <w:tcPr>
            <w:tcW w:w="8150" w:type="dxa"/>
            <w:vAlign w:val="center"/>
          </w:tcPr>
          <w:p>
            <w:pPr>
              <w:pStyle w:val="30"/>
              <w:bidi w:val="0"/>
              <w:jc w:val="center"/>
              <w:rPr>
                <w:rFonts w:hint="eastAsia"/>
                <w:sz w:val="21"/>
                <w:szCs w:val="21"/>
                <w:lang w:val="en-US" w:eastAsia="zh-CN"/>
              </w:rPr>
            </w:pPr>
            <w:r>
              <w:rPr>
                <w:rFonts w:hint="eastAsia"/>
                <w:sz w:val="21"/>
                <w:szCs w:val="21"/>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较敏感</w:t>
            </w:r>
          </w:p>
        </w:tc>
        <w:tc>
          <w:tcPr>
            <w:tcW w:w="8150" w:type="dxa"/>
            <w:vAlign w:val="center"/>
          </w:tcPr>
          <w:p>
            <w:pPr>
              <w:pStyle w:val="30"/>
              <w:bidi w:val="0"/>
              <w:jc w:val="center"/>
              <w:rPr>
                <w:rFonts w:hint="eastAsia"/>
                <w:sz w:val="21"/>
                <w:szCs w:val="21"/>
                <w:lang w:val="en-US" w:eastAsia="zh-CN"/>
              </w:rPr>
            </w:pPr>
            <w:r>
              <w:rPr>
                <w:rFonts w:hint="eastAsia"/>
                <w:sz w:val="21"/>
                <w:szCs w:val="21"/>
                <w:lang w:val="en-US"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eastAsia"/>
                <w:sz w:val="21"/>
                <w:szCs w:val="21"/>
                <w:vertAlign w:val="superscript"/>
                <w:lang w:val="en-US" w:eastAsia="zh-CN"/>
              </w:rPr>
              <w:t>a</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8" w:type="dxa"/>
            <w:vAlign w:val="center"/>
          </w:tcPr>
          <w:p>
            <w:pPr>
              <w:pStyle w:val="30"/>
              <w:bidi w:val="0"/>
              <w:jc w:val="center"/>
              <w:rPr>
                <w:rFonts w:hint="eastAsia"/>
                <w:sz w:val="21"/>
                <w:szCs w:val="21"/>
                <w:lang w:val="en-US" w:eastAsia="zh-CN"/>
              </w:rPr>
            </w:pPr>
            <w:r>
              <w:rPr>
                <w:rFonts w:hint="eastAsia"/>
                <w:sz w:val="21"/>
                <w:szCs w:val="21"/>
                <w:lang w:val="en-US" w:eastAsia="zh-CN"/>
              </w:rPr>
              <w:t>不敏感</w:t>
            </w:r>
          </w:p>
        </w:tc>
        <w:tc>
          <w:tcPr>
            <w:tcW w:w="8150" w:type="dxa"/>
            <w:vAlign w:val="center"/>
          </w:tcPr>
          <w:p>
            <w:pPr>
              <w:pStyle w:val="30"/>
              <w:bidi w:val="0"/>
              <w:jc w:val="center"/>
              <w:rPr>
                <w:rFonts w:hint="eastAsia"/>
                <w:sz w:val="21"/>
                <w:szCs w:val="21"/>
                <w:lang w:val="en-US" w:eastAsia="zh-CN"/>
              </w:rPr>
            </w:pPr>
            <w:r>
              <w:rPr>
                <w:rFonts w:hint="eastAsia"/>
                <w:sz w:val="21"/>
                <w:szCs w:val="21"/>
                <w:lang w:val="en-US" w:eastAsia="zh-CN"/>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vAlign w:val="center"/>
          </w:tcPr>
          <w:p>
            <w:pPr>
              <w:pStyle w:val="30"/>
              <w:bidi w:val="0"/>
              <w:jc w:val="both"/>
              <w:rPr>
                <w:rFonts w:hint="eastAsia"/>
                <w:sz w:val="21"/>
                <w:szCs w:val="21"/>
                <w:lang w:val="en-US" w:eastAsia="zh-CN"/>
              </w:rPr>
            </w:pPr>
            <w:r>
              <w:rPr>
                <w:rFonts w:hint="eastAsia"/>
                <w:sz w:val="21"/>
                <w:szCs w:val="21"/>
                <w:lang w:val="en-US" w:eastAsia="zh-CN"/>
              </w:rPr>
              <w:t>注：a“环境敏感区”是指《建设项目环境影响评价分类管理名录》中所界定的涉及地下水的环境敏感区。</w:t>
            </w:r>
          </w:p>
        </w:tc>
      </w:tr>
    </w:tbl>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5.1.3</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评价工作等级</w:t>
      </w:r>
    </w:p>
    <w:p>
      <w:pPr>
        <w:keepNext w:val="0"/>
        <w:keepLines w:val="0"/>
        <w:widowControl/>
        <w:suppressLineNumbers w:val="0"/>
        <w:jc w:val="left"/>
        <w:rPr>
          <w:rFonts w:hint="default"/>
          <w:lang w:val="en-US"/>
        </w:rPr>
      </w:pPr>
      <w:r>
        <w:rPr>
          <w:rFonts w:hint="eastAsia" w:ascii="宋体" w:hAnsi="宋体" w:eastAsia="宋体" w:cs="宋体"/>
          <w:color w:val="000000"/>
          <w:kern w:val="0"/>
          <w:sz w:val="24"/>
          <w:szCs w:val="24"/>
          <w:lang w:val="en-US" w:eastAsia="zh-CN" w:bidi="ar"/>
        </w:rPr>
        <w:t>本项目类别属于</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Ⅲ类项目</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，环境敏感程度属于</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较敏感</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。依据《环境影响评价技术导则地下水环境》（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6.2.2.1</w:t>
      </w:r>
      <w:r>
        <w:rPr>
          <w:rFonts w:hint="eastAsia" w:ascii="宋体" w:hAnsi="宋体" w:eastAsia="宋体" w:cs="宋体"/>
          <w:color w:val="000000"/>
          <w:kern w:val="0"/>
          <w:sz w:val="24"/>
          <w:szCs w:val="24"/>
          <w:lang w:val="en-US" w:eastAsia="zh-CN" w:bidi="ar"/>
        </w:rPr>
        <w:t>条表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，判定拟建项目场地地下水环境影响评价工作等级为三级，见表</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w:t>
      </w:r>
    </w:p>
    <w:p>
      <w:pPr>
        <w:bidi w:val="0"/>
        <w:jc w:val="center"/>
        <w:rPr>
          <w:b/>
          <w:bCs/>
        </w:rPr>
      </w:pPr>
      <w:r>
        <w:rPr>
          <w:b/>
          <w:bCs/>
          <w:lang w:val="en-US" w:eastAsia="zh-CN"/>
        </w:rPr>
        <w:t>表</w:t>
      </w:r>
      <w:r>
        <w:rPr>
          <w:rFonts w:hint="eastAsia"/>
          <w:b/>
          <w:bCs/>
          <w:lang w:val="en-US" w:eastAsia="zh-CN"/>
        </w:rPr>
        <w:t xml:space="preserve">6.5-3  </w:t>
      </w:r>
      <w:r>
        <w:rPr>
          <w:b/>
          <w:bCs/>
          <w:lang w:val="en-US" w:eastAsia="zh-CN"/>
        </w:rPr>
        <w:t>评价工作等级分级表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2629"/>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环境敏感程度</w:t>
            </w:r>
          </w:p>
        </w:tc>
        <w:tc>
          <w:tcPr>
            <w:tcW w:w="2629"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Ⅰ类项目</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Ⅱ类项目</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敏感</w:t>
            </w:r>
          </w:p>
        </w:tc>
        <w:tc>
          <w:tcPr>
            <w:tcW w:w="2629"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不敏感</w:t>
            </w:r>
          </w:p>
        </w:tc>
        <w:tc>
          <w:tcPr>
            <w:tcW w:w="2629"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一</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shd w:val="clear" w:color="auto" w:fill="auto"/>
                <w:lang w:val="en-US"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较敏感</w:t>
            </w:r>
          </w:p>
        </w:tc>
        <w:tc>
          <w:tcPr>
            <w:tcW w:w="2629"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二</w:t>
            </w:r>
          </w:p>
        </w:tc>
        <w:tc>
          <w:tcPr>
            <w:tcW w:w="2322" w:type="dxa"/>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三</w:t>
            </w:r>
          </w:p>
        </w:tc>
        <w:tc>
          <w:tcPr>
            <w:tcW w:w="2322" w:type="dxa"/>
            <w:shd w:val="clear" w:color="auto" w:fill="00B050"/>
          </w:tcPr>
          <w:p>
            <w:pPr>
              <w:pStyle w:val="30"/>
              <w:bidi w:val="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三</w:t>
            </w:r>
          </w:p>
        </w:tc>
      </w:tr>
    </w:tbl>
    <w:p>
      <w:pPr>
        <w:pStyle w:val="4"/>
        <w:bidi w:val="0"/>
      </w:pPr>
      <w:r>
        <w:rPr>
          <w:rFonts w:hint="default"/>
          <w:lang w:val="en-US" w:eastAsia="zh-CN"/>
        </w:rPr>
        <w:t>6.</w:t>
      </w:r>
      <w:r>
        <w:rPr>
          <w:rFonts w:hint="eastAsia"/>
          <w:lang w:val="en-US" w:eastAsia="zh-CN"/>
        </w:rPr>
        <w:t>5</w:t>
      </w:r>
      <w:r>
        <w:rPr>
          <w:rFonts w:hint="default"/>
          <w:lang w:val="en-US" w:eastAsia="zh-CN"/>
        </w:rPr>
        <w:t xml:space="preserve">.2 </w:t>
      </w:r>
      <w:r>
        <w:rPr>
          <w:lang w:val="en-US" w:eastAsia="zh-CN"/>
        </w:rPr>
        <w:t>评价范围及保护目标</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.2.1 </w:t>
      </w:r>
      <w:r>
        <w:rPr>
          <w:rFonts w:hint="eastAsia" w:ascii="宋体" w:hAnsi="宋体" w:eastAsia="宋体" w:cs="宋体"/>
          <w:color w:val="000000"/>
          <w:kern w:val="0"/>
          <w:sz w:val="24"/>
          <w:szCs w:val="24"/>
          <w:lang w:val="en-US" w:eastAsia="zh-CN" w:bidi="ar"/>
        </w:rPr>
        <w:t>评价范围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评价区地处淮河冲积平原区，地下水类型为松散岩类孔隙水，分布连续稳定，水文地质条件相对简单。根据《环境影响评价技术导则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8.2.2.1</w:t>
      </w:r>
      <w:r>
        <w:rPr>
          <w:rFonts w:hint="eastAsia" w:ascii="宋体" w:hAnsi="宋体" w:eastAsia="宋体" w:cs="宋体"/>
          <w:color w:val="000000"/>
          <w:kern w:val="0"/>
          <w:sz w:val="24"/>
          <w:szCs w:val="24"/>
          <w:lang w:val="en-US" w:eastAsia="zh-CN" w:bidi="ar"/>
        </w:rPr>
        <w:t>要求，评价范围的确定可以依据公式法计算确定，也可以使用查表法确定，当计算或查表范围超出所处水文地质单元边界时，应以所处水文地质单元边界为宜。</w:t>
      </w:r>
    </w:p>
    <w:p>
      <w:pPr>
        <w:keepNext w:val="0"/>
        <w:keepLines w:val="0"/>
        <w:widowControl/>
        <w:suppressLineNumbers w:val="0"/>
        <w:jc w:val="both"/>
        <w:rPr>
          <w:rFonts w:hint="default" w:ascii="Times New Roman" w:hAnsi="Times New Roman" w:eastAsia="宋体" w:cs="Times New Roman"/>
          <w:color w:val="000000"/>
          <w:kern w:val="0"/>
          <w:sz w:val="24"/>
          <w:szCs w:val="24"/>
          <w:u w:val="single"/>
          <w:lang w:val="en-US" w:eastAsia="zh-CN" w:bidi="ar"/>
        </w:rPr>
      </w:pPr>
      <w:r>
        <w:rPr>
          <w:rFonts w:hint="default" w:ascii="Times New Roman" w:hAnsi="Times New Roman" w:eastAsia="宋体" w:cs="Times New Roman"/>
          <w:color w:val="000000"/>
          <w:kern w:val="0"/>
          <w:sz w:val="24"/>
          <w:szCs w:val="24"/>
          <w:u w:val="single"/>
          <w:lang w:val="en-US" w:eastAsia="zh-CN" w:bidi="ar"/>
        </w:rPr>
        <w:t>本项目所在地区具有统一、连续的地下水流场，地下水顺地势总体向自</w:t>
      </w:r>
      <w:r>
        <w:rPr>
          <w:rFonts w:hint="default" w:ascii="Times New Roman" w:hAnsi="Times New Roman" w:cs="Times New Roman"/>
          <w:color w:val="000000"/>
          <w:kern w:val="0"/>
          <w:sz w:val="24"/>
          <w:szCs w:val="24"/>
          <w:u w:val="single"/>
          <w:lang w:val="en-US" w:eastAsia="zh-CN" w:bidi="ar"/>
        </w:rPr>
        <w:t>东</w:t>
      </w:r>
      <w:r>
        <w:rPr>
          <w:rFonts w:hint="default" w:ascii="Times New Roman" w:hAnsi="Times New Roman" w:eastAsia="宋体" w:cs="Times New Roman"/>
          <w:color w:val="000000"/>
          <w:kern w:val="0"/>
          <w:sz w:val="24"/>
          <w:szCs w:val="24"/>
          <w:u w:val="single"/>
          <w:lang w:val="en-US" w:eastAsia="zh-CN" w:bidi="ar"/>
        </w:rPr>
        <w:t>南向</w:t>
      </w:r>
      <w:r>
        <w:rPr>
          <w:rFonts w:hint="default" w:ascii="Times New Roman" w:hAnsi="Times New Roman" w:cs="Times New Roman"/>
          <w:color w:val="000000"/>
          <w:kern w:val="0"/>
          <w:sz w:val="24"/>
          <w:szCs w:val="24"/>
          <w:u w:val="single"/>
          <w:lang w:val="en-US" w:eastAsia="zh-CN" w:bidi="ar"/>
        </w:rPr>
        <w:t>西</w:t>
      </w:r>
      <w:r>
        <w:rPr>
          <w:rFonts w:hint="default" w:ascii="Times New Roman" w:hAnsi="Times New Roman" w:eastAsia="宋体" w:cs="Times New Roman"/>
          <w:color w:val="000000"/>
          <w:kern w:val="0"/>
          <w:sz w:val="24"/>
          <w:szCs w:val="24"/>
          <w:u w:val="single"/>
          <w:lang w:val="en-US" w:eastAsia="zh-CN" w:bidi="ar"/>
        </w:rPr>
        <w:t>北缓慢流动、水力坡度较小，形成较为完整统一的地下水流系统。根据本次调查情况，拟建项目所在区域由于地下水补给地表水沙河，故地下水总体流向自东南向西北。</w:t>
      </w:r>
    </w:p>
    <w:p>
      <w:pPr>
        <w:keepNext w:val="0"/>
        <w:keepLines w:val="0"/>
        <w:widowControl/>
        <w:suppressLineNumbers w:val="0"/>
        <w:jc w:val="both"/>
        <w:rPr>
          <w:rFonts w:hint="default" w:ascii="Times New Roman" w:hAnsi="Times New Roman" w:cs="Times New Roman"/>
          <w:u w:val="single"/>
        </w:rPr>
      </w:pPr>
      <w:r>
        <w:rPr>
          <w:rFonts w:hint="default" w:ascii="Times New Roman" w:hAnsi="Times New Roman" w:eastAsia="宋体" w:cs="Times New Roman"/>
          <w:color w:val="000000"/>
          <w:kern w:val="0"/>
          <w:sz w:val="24"/>
          <w:szCs w:val="24"/>
          <w:u w:val="single"/>
          <w:lang w:val="en-US" w:eastAsia="zh-CN" w:bidi="ar"/>
        </w:rPr>
        <w:t>结合项目区的地形地貌特征进行划定。同时本次调查所搜集评价区范围内以往水文地质资料成果，取变化系数α为1.2、渗透系数K为10m/d、水力坡度为2‰、有效孔隙度ne为0.</w:t>
      </w:r>
      <w:r>
        <w:rPr>
          <w:rFonts w:hint="eastAsia" w:ascii="Times New Roman" w:hAnsi="Times New Roman" w:cs="Times New Roman"/>
          <w:color w:val="000000"/>
          <w:kern w:val="0"/>
          <w:sz w:val="24"/>
          <w:szCs w:val="24"/>
          <w:u w:val="single"/>
          <w:lang w:val="en-US" w:eastAsia="zh-CN" w:bidi="ar"/>
        </w:rPr>
        <w:t>18</w:t>
      </w:r>
      <w:r>
        <w:rPr>
          <w:rFonts w:hint="default" w:ascii="Times New Roman" w:hAnsi="Times New Roman" w:eastAsia="宋体" w:cs="Times New Roman"/>
          <w:color w:val="000000"/>
          <w:kern w:val="0"/>
          <w:sz w:val="24"/>
          <w:szCs w:val="24"/>
          <w:u w:val="single"/>
          <w:lang w:val="en-US" w:eastAsia="zh-CN" w:bidi="ar"/>
        </w:rPr>
        <w:t>、质点迁移天数为7300d，根据公式L=α×K×I×T/ne，求得L=</w:t>
      </w:r>
      <w:r>
        <w:rPr>
          <w:rFonts w:hint="eastAsia" w:ascii="Times New Roman" w:hAnsi="Times New Roman" w:cs="Times New Roman"/>
          <w:color w:val="000000"/>
          <w:kern w:val="0"/>
          <w:sz w:val="24"/>
          <w:szCs w:val="24"/>
          <w:u w:val="single"/>
          <w:lang w:val="en-US" w:eastAsia="zh-CN" w:bidi="ar"/>
        </w:rPr>
        <w:t>973.3</w:t>
      </w:r>
      <w:r>
        <w:rPr>
          <w:rFonts w:hint="default" w:ascii="Times New Roman" w:hAnsi="Times New Roman" w:eastAsia="宋体" w:cs="Times New Roman"/>
          <w:color w:val="000000"/>
          <w:kern w:val="0"/>
          <w:sz w:val="24"/>
          <w:szCs w:val="24"/>
          <w:u w:val="single"/>
          <w:lang w:val="en-US" w:eastAsia="zh-CN" w:bidi="ar"/>
        </w:rPr>
        <w:t>m。</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本次调查所搜集评价区范围内以往水文地质资料成果，同时依据项目区周边地下水赋存特征及其地形地貌特征，本次评价工作范围按照《环境影响评价技术导则地下水环境》查表法，以涵盖地下水环境保护目标为原则，以水文地质边界为依据，结合项目区的地形地貌特征进行划定。</w:t>
      </w:r>
    </w:p>
    <w:p>
      <w:pPr>
        <w:bidi w:val="0"/>
        <w:jc w:val="center"/>
        <w:rPr>
          <w:b/>
          <w:bCs/>
          <w:lang w:val="en-US" w:eastAsia="zh-CN"/>
        </w:rPr>
      </w:pPr>
      <w:r>
        <w:rPr>
          <w:b/>
          <w:bCs/>
          <w:lang w:val="en-US" w:eastAsia="zh-CN"/>
        </w:rPr>
        <w:t>表</w:t>
      </w:r>
      <w:r>
        <w:rPr>
          <w:rFonts w:hint="eastAsia"/>
          <w:b/>
          <w:bCs/>
          <w:lang w:val="en-US" w:eastAsia="zh-CN"/>
        </w:rPr>
        <w:t xml:space="preserve">6.5-4 </w:t>
      </w:r>
      <w:r>
        <w:rPr>
          <w:b/>
          <w:bCs/>
          <w:lang w:val="en-US" w:eastAsia="zh-CN"/>
        </w:rPr>
        <w:t xml:space="preserve"> 地下水环境现状调查评价范围参照表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评价等级</w:t>
            </w:r>
          </w:p>
        </w:tc>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调查评价面积（</w:t>
            </w:r>
            <w:r>
              <w:rPr>
                <w:rFonts w:hint="default" w:ascii="Times New Roman" w:hAnsi="Times New Roman" w:eastAsia="宋体" w:cs="Times New Roman"/>
                <w:color w:val="000000"/>
                <w:kern w:val="0"/>
                <w:sz w:val="21"/>
                <w:szCs w:val="21"/>
                <w:lang w:val="en-US" w:eastAsia="zh-CN" w:bidi="ar"/>
              </w:rPr>
              <w:t>km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p>
        </w:tc>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一级</w:t>
            </w:r>
          </w:p>
        </w:tc>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20</w:t>
            </w:r>
          </w:p>
        </w:tc>
        <w:tc>
          <w:tcPr>
            <w:tcW w:w="30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应包括重要的地下水环境保护目标，必要时适当扩大范围。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二级</w:t>
            </w:r>
          </w:p>
        </w:tc>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6-20</w:t>
            </w:r>
          </w:p>
        </w:tc>
        <w:tc>
          <w:tcPr>
            <w:tcW w:w="30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三级</w:t>
            </w:r>
          </w:p>
        </w:tc>
        <w:tc>
          <w:tcPr>
            <w:tcW w:w="309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6</w:t>
            </w:r>
          </w:p>
        </w:tc>
        <w:tc>
          <w:tcPr>
            <w:tcW w:w="30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vertAlign w:val="baseline"/>
                <w:lang w:val="en-US" w:eastAsia="zh-CN" w:bidi="ar"/>
              </w:rPr>
            </w:pPr>
          </w:p>
        </w:tc>
      </w:tr>
    </w:tbl>
    <w:p>
      <w:pPr>
        <w:bidi w:val="0"/>
        <w:spacing w:line="360" w:lineRule="auto"/>
        <w:rPr>
          <w:rFonts w:hint="default" w:ascii="sans-serif" w:hAnsi="sans-serif" w:eastAsia="sans-serif" w:cs="sans-serif"/>
          <w:sz w:val="24"/>
          <w:szCs w:val="24"/>
          <w:lang w:val="en-US"/>
        </w:rPr>
      </w:pPr>
      <w:r>
        <w:rPr>
          <w:rFonts w:hint="eastAsia"/>
          <w:sz w:val="24"/>
          <w:szCs w:val="24"/>
          <w:lang w:val="en-US" w:eastAsia="zh-CN"/>
        </w:rPr>
        <w:t>本项目为三级评价，调查评价面积应为6.493km</w:t>
      </w:r>
      <w:r>
        <w:rPr>
          <w:rFonts w:hint="eastAsia"/>
          <w:sz w:val="24"/>
          <w:szCs w:val="24"/>
          <w:vertAlign w:val="superscript"/>
          <w:lang w:val="en-US" w:eastAsia="zh-CN"/>
        </w:rPr>
        <w:t>2</w:t>
      </w:r>
      <w:r>
        <w:rPr>
          <w:rFonts w:hint="eastAsia"/>
          <w:sz w:val="24"/>
          <w:szCs w:val="24"/>
          <w:lang w:val="en-US" w:eastAsia="zh-CN"/>
        </w:rPr>
        <w:t>。东至南余庄村，西至老龚庄村，南至南齐庄村，</w:t>
      </w:r>
      <w:r>
        <w:rPr>
          <w:rFonts w:hint="eastAsia" w:ascii="Times New Roman" w:hAnsi="Times New Roman" w:eastAsia="宋体" w:cs="Times New Roman"/>
          <w:color w:val="000000"/>
          <w:kern w:val="0"/>
          <w:sz w:val="24"/>
          <w:szCs w:val="24"/>
          <w:u w:val="single"/>
          <w:lang w:val="en-US" w:eastAsia="zh-CN" w:bidi="ar"/>
        </w:rPr>
        <w:t>北至袁庄村北侧</w:t>
      </w:r>
      <w:r>
        <w:rPr>
          <w:rFonts w:hint="default" w:ascii="Times New Roman" w:hAnsi="Times New Roman" w:eastAsia="宋体" w:cs="Times New Roman"/>
          <w:color w:val="000000"/>
          <w:kern w:val="0"/>
          <w:sz w:val="24"/>
          <w:szCs w:val="24"/>
          <w:u w:val="single"/>
          <w:lang w:val="en-US" w:eastAsia="zh-CN" w:bidi="ar"/>
        </w:rPr>
        <w:t>。具体位置参见图</w:t>
      </w:r>
      <w:r>
        <w:rPr>
          <w:rFonts w:hint="eastAsia" w:ascii="Times New Roman" w:hAnsi="Times New Roman" w:eastAsia="宋体" w:cs="Times New Roman"/>
          <w:color w:val="000000"/>
          <w:kern w:val="0"/>
          <w:sz w:val="24"/>
          <w:szCs w:val="24"/>
          <w:u w:val="single"/>
          <w:lang w:val="en-US" w:eastAsia="zh-CN" w:bidi="ar"/>
        </w:rPr>
        <w:t>6.5-1</w:t>
      </w:r>
      <w:r>
        <w:rPr>
          <w:rFonts w:hint="eastAsia" w:cs="Times New Roman"/>
          <w:color w:val="000000"/>
          <w:kern w:val="0"/>
          <w:sz w:val="24"/>
          <w:szCs w:val="24"/>
          <w:u w:val="singl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sans-serif" w:hAnsi="sans-serif" w:eastAsia="sans-serif" w:cs="sans-serif"/>
          <w:sz w:val="24"/>
          <w:szCs w:val="24"/>
        </w:rPr>
      </w:pPr>
      <w:r>
        <w:rPr>
          <w:sz w:val="24"/>
        </w:rPr>
        <mc:AlternateContent>
          <mc:Choice Requires="wps">
            <w:drawing>
              <wp:anchor distT="0" distB="0" distL="114300" distR="114300" simplePos="0" relativeHeight="251718656" behindDoc="0" locked="0" layoutInCell="1" allowOverlap="1">
                <wp:simplePos x="0" y="0"/>
                <wp:positionH relativeFrom="column">
                  <wp:posOffset>4867275</wp:posOffset>
                </wp:positionH>
                <wp:positionV relativeFrom="paragraph">
                  <wp:posOffset>5337810</wp:posOffset>
                </wp:positionV>
                <wp:extent cx="878205" cy="28257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87820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25pt;margin-top:420.3pt;height:22.25pt;width:69.15pt;z-index:251718656;mso-width-relative:page;mso-height-relative:page;" filled="f" stroked="f" coordsize="21600,21600" o:gfxdata="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&#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Z1VpdwAAAALAQAADwAAAAAAAAABACAAAAAiAAAA&#10;ZHJzL2Rvd25yZXYueG1sUEsBAhQAFAAAAAgAh07iQAzNKi48AgAAZw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地下水流向</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3498215</wp:posOffset>
                </wp:positionH>
                <wp:positionV relativeFrom="paragraph">
                  <wp:posOffset>5332095</wp:posOffset>
                </wp:positionV>
                <wp:extent cx="754380" cy="28257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543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5pt;margin-top:419.85pt;height:22.25pt;width:59.4pt;z-index:251717632;mso-width-relative:page;mso-height-relative:page;" filled="f" stroked="f" coordsize="21600,21600" o:gfxdata="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&#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H+ft2wAAAAsBAAAPAAAAAAAAAAEAIAAAACIAAABk&#10;cnMvZG93bnJldi54bWxQSwECFAAUAAAACACHTuJAtB6vYjwCAABn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评价范围</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1997710</wp:posOffset>
                </wp:positionH>
                <wp:positionV relativeFrom="paragraph">
                  <wp:posOffset>5327015</wp:posOffset>
                </wp:positionV>
                <wp:extent cx="754380" cy="282575"/>
                <wp:effectExtent l="0" t="0" r="7620" b="3175"/>
                <wp:wrapNone/>
                <wp:docPr id="88" name="文本框 88"/>
                <wp:cNvGraphicFramePr/>
                <a:graphic xmlns:a="http://schemas.openxmlformats.org/drawingml/2006/main">
                  <a:graphicData uri="http://schemas.microsoft.com/office/word/2010/wordprocessingShape">
                    <wps:wsp>
                      <wps:cNvSpPr txBox="1"/>
                      <wps:spPr>
                        <a:xfrm>
                          <a:off x="3051810" y="6235065"/>
                          <a:ext cx="7543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项目区域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3pt;margin-top:419.45pt;height:22.25pt;width:59.4pt;z-index:251716608;mso-width-relative:page;mso-height-relative:page;" filled="f" stroked="f" coordsize="21600,21600" o:gfxdata="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MHE/2wAAAAsBAAAPAAAAAAAA&#10;AAEAIAAAACIAAABkcnMvZG93bnJldi54bWxQSwECFAAUAAAACACHTuJAlPHtxUgCAABz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FF0000"/>
                          <w:sz w:val="21"/>
                          <w:szCs w:val="21"/>
                          <w:highlight w:val="yellow"/>
                          <w:lang w:eastAsia="zh-CN"/>
                        </w:rPr>
                      </w:pPr>
                      <w:r>
                        <w:rPr>
                          <w:rFonts w:hint="eastAsia"/>
                          <w:color w:val="FF0000"/>
                          <w:sz w:val="21"/>
                          <w:szCs w:val="21"/>
                          <w:highlight w:val="yellow"/>
                          <w:lang w:eastAsia="zh-CN"/>
                        </w:rPr>
                        <w:t>项目区域</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4416425</wp:posOffset>
                </wp:positionH>
                <wp:positionV relativeFrom="paragraph">
                  <wp:posOffset>5410200</wp:posOffset>
                </wp:positionV>
                <wp:extent cx="461645" cy="139065"/>
                <wp:effectExtent l="15240" t="15240" r="18415" b="17145"/>
                <wp:wrapNone/>
                <wp:docPr id="66" name="燕尾形箭头 66"/>
                <wp:cNvGraphicFramePr/>
                <a:graphic xmlns:a="http://schemas.openxmlformats.org/drawingml/2006/main">
                  <a:graphicData uri="http://schemas.microsoft.com/office/word/2010/wordprocessingShape">
                    <wps:wsp>
                      <wps:cNvSpPr/>
                      <wps:spPr>
                        <a:xfrm>
                          <a:off x="0" y="0"/>
                          <a:ext cx="461645" cy="139065"/>
                        </a:xfrm>
                        <a:prstGeom prst="notchedRightArrow">
                          <a:avLst/>
                        </a:prstGeom>
                        <a:pattFill prst="pct5">
                          <a:fgClr>
                            <a:schemeClr val="accent6"/>
                          </a:fgClr>
                          <a:bgClr>
                            <a:srgbClr val="92D050"/>
                          </a:bgClr>
                        </a:patt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4" type="#_x0000_t94" style="position:absolute;left:0pt;margin-left:347.75pt;margin-top:426pt;height:10.95pt;width:36.35pt;z-index:251715584;v-text-anchor:middle;mso-width-relative:page;mso-height-relative:page;" fillcolor="#70AD47 [3209]" filled="t" stroked="t" coordsize="21600,21600" o:gfxdata="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YThcj2wAAAAsBAAAPAAAAAAAAAAEAIAAA&#10;ACIAAABkcnMvZG93bnJldi54bWxQSwECFAAUAAAACACHTuJAhcfmvbQCAABfBQAADgAAAAAAAAAB&#10;ACAAAAAqAQAAZHJzL2Uyb0RvYy54bWxQSwUGAAAAAAYABgBZAQAAUAYAAAAA&#10;" adj="18347,5400">
                <v:fill type="pattern" on="t" color2="#92D050" o:title="5%" focussize="0,0" r:id="rId59"/>
                <v:stroke weight="1pt" color="#92D050 [3204]"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3074035</wp:posOffset>
                </wp:positionH>
                <wp:positionV relativeFrom="paragraph">
                  <wp:posOffset>5361940</wp:posOffset>
                </wp:positionV>
                <wp:extent cx="476250" cy="219710"/>
                <wp:effectExtent l="6350" t="6350" r="12700" b="21590"/>
                <wp:wrapNone/>
                <wp:docPr id="61" name="矩形 61"/>
                <wp:cNvGraphicFramePr/>
                <a:graphic xmlns:a="http://schemas.openxmlformats.org/drawingml/2006/main">
                  <a:graphicData uri="http://schemas.microsoft.com/office/word/2010/wordprocessingShape">
                    <wps:wsp>
                      <wps:cNvSpPr/>
                      <wps:spPr>
                        <a:xfrm>
                          <a:off x="0" y="0"/>
                          <a:ext cx="476250" cy="219710"/>
                        </a:xfrm>
                        <a:prstGeom prst="rect">
                          <a:avLst/>
                        </a:prstGeom>
                        <a:noFill/>
                        <a:ln>
                          <a:solidFill>
                            <a:srgbClr val="0D13F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05pt;margin-top:422.2pt;height:17.3pt;width:37.5pt;z-index:251714560;v-text-anchor:middle;mso-width-relative:page;mso-height-relative:page;" filled="f" stroked="t" coordsize="21600,21600" o:gfxdata="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tJSxNkAAAALAQAADwAAAAAAAAABACAAAAAiAAAAZHJzL2Rvd25yZXYu&#10;eG1sUEsBAhQAFAAAAAgAh07iQGPkkEJsAgAAzAQAAA4AAAAAAAAAAQAgAAAAKAEAAGRycy9lMm9E&#10;b2MueG1sUEsFBgAAAAAGAAYAWQEAAAYGAAAAAA==&#10;">
                <v:fill on="f" focussize="0,0"/>
                <v:stroke weight="1pt" color="#0D13FB [3204]" miterlimit="8" joinstyle="miter"/>
                <v:imagedata o:title=""/>
                <o:lock v:ext="edit" aspectratio="f"/>
              </v:rect>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1573530</wp:posOffset>
                </wp:positionH>
                <wp:positionV relativeFrom="paragraph">
                  <wp:posOffset>5356225</wp:posOffset>
                </wp:positionV>
                <wp:extent cx="476250" cy="219710"/>
                <wp:effectExtent l="6350" t="6350" r="12700" b="21590"/>
                <wp:wrapNone/>
                <wp:docPr id="50" name="矩形 50"/>
                <wp:cNvGraphicFramePr/>
                <a:graphic xmlns:a="http://schemas.openxmlformats.org/drawingml/2006/main">
                  <a:graphicData uri="http://schemas.microsoft.com/office/word/2010/wordprocessingShape">
                    <wps:wsp>
                      <wps:cNvSpPr/>
                      <wps:spPr>
                        <a:xfrm>
                          <a:off x="2517140" y="6175375"/>
                          <a:ext cx="476250" cy="219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9pt;margin-top:421.75pt;height:17.3pt;width:37.5pt;z-index:251713536;v-text-anchor:middle;mso-width-relative:page;mso-height-relative:page;" filled="f" stroked="t" coordsize="21600,21600" o:gfxdata="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v8uITYAAAACwEAAA8AAAAAAAAAAQAgAAAAIgAAAGRy&#10;cy9kb3ducmV2LnhtbFBLAQIUABQAAAAIAIdO4kDHJ0ytdwIAANgEAAAOAAAAAAAAAAEAIAAAACcB&#10;AABkcnMvZTJvRG9jLnhtbFBLBQYAAAAABgAGAFkBAAAQBgAAAAA=&#10;">
                <v:fill on="f" focussize="0,0"/>
                <v:stroke weight="1pt" color="#FF0000 [3204]" miterlimit="8" joinstyle="miter"/>
                <v:imagedata o:title=""/>
                <o:lock v:ext="edit" aspectratio="f"/>
              </v:rect>
            </w:pict>
          </mc:Fallback>
        </mc:AlternateContent>
      </w:r>
      <w:r>
        <w:drawing>
          <wp:anchor distT="0" distB="0" distL="114300" distR="114300" simplePos="0" relativeHeight="251712512" behindDoc="0" locked="0" layoutInCell="1" allowOverlap="1">
            <wp:simplePos x="0" y="0"/>
            <wp:positionH relativeFrom="column">
              <wp:posOffset>6350</wp:posOffset>
            </wp:positionH>
            <wp:positionV relativeFrom="paragraph">
              <wp:posOffset>5342255</wp:posOffset>
            </wp:positionV>
            <wp:extent cx="1133475" cy="360045"/>
            <wp:effectExtent l="0" t="0" r="9525" b="1905"/>
            <wp:wrapNone/>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60"/>
                    <a:stretch>
                      <a:fillRect/>
                    </a:stretch>
                  </pic:blipFill>
                  <pic:spPr>
                    <a:xfrm>
                      <a:off x="0" y="0"/>
                      <a:ext cx="1133475" cy="360045"/>
                    </a:xfrm>
                    <a:prstGeom prst="rect">
                      <a:avLst/>
                    </a:prstGeom>
                    <a:noFill/>
                    <a:ln>
                      <a:noFill/>
                    </a:ln>
                  </pic:spPr>
                </pic:pic>
              </a:graphicData>
            </a:graphic>
          </wp:anchor>
        </w:drawing>
      </w:r>
      <w:r>
        <w:rPr>
          <w:sz w:val="24"/>
        </w:rPr>
        <mc:AlternateContent>
          <mc:Choice Requires="wps">
            <w:drawing>
              <wp:anchor distT="0" distB="0" distL="114300" distR="114300" simplePos="0" relativeHeight="251711488" behindDoc="0" locked="0" layoutInCell="1" allowOverlap="1">
                <wp:simplePos x="0" y="0"/>
                <wp:positionH relativeFrom="column">
                  <wp:posOffset>3245485</wp:posOffset>
                </wp:positionH>
                <wp:positionV relativeFrom="paragraph">
                  <wp:posOffset>2942590</wp:posOffset>
                </wp:positionV>
                <wp:extent cx="461645" cy="139065"/>
                <wp:effectExtent l="0" t="74930" r="10795" b="90805"/>
                <wp:wrapNone/>
                <wp:docPr id="35" name="燕尾形箭头 35"/>
                <wp:cNvGraphicFramePr/>
                <a:graphic xmlns:a="http://schemas.openxmlformats.org/drawingml/2006/main">
                  <a:graphicData uri="http://schemas.microsoft.com/office/word/2010/wordprocessingShape">
                    <wps:wsp>
                      <wps:cNvSpPr/>
                      <wps:spPr>
                        <a:xfrm rot="12360000">
                          <a:off x="0" y="0"/>
                          <a:ext cx="461645" cy="139065"/>
                        </a:xfrm>
                        <a:prstGeom prst="notchedRightArrow">
                          <a:avLst/>
                        </a:prstGeom>
                        <a:pattFill prst="pct5">
                          <a:fgClr>
                            <a:schemeClr val="accent6"/>
                          </a:fgClr>
                          <a:bgClr>
                            <a:srgbClr val="92D050"/>
                          </a:bgClr>
                        </a:patt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4" type="#_x0000_t94" style="position:absolute;left:0pt;margin-left:255.55pt;margin-top:231.7pt;height:10.95pt;width:36.35pt;rotation:-10092544f;z-index:251711488;v-text-anchor:middle;mso-width-relative:page;mso-height-relative:page;" fillcolor="#70AD47 [3209]" filled="t" stroked="t" coordsize="21600,21600" o:gfxdata="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mFMqGdsAAAALAQAADwAA&#10;AAAAAAABACAAAAAiAAAAZHJzL2Rvd25yZXYueG1sUEsBAhQAFAAAAAgAh07iQCQ9xqC+AgAAbgUA&#10;AA4AAAAAAAAAAQAgAAAAKgEAAGRycy9lMm9Eb2MueG1sUEsFBgAAAAAGAAYAWQEAAFoGAAAAAA==&#10;" adj="18347,5400">
                <v:fill type="pattern" on="t" color2="#92D050" o:title="5%" focussize="0,0" r:id="rId59"/>
                <v:stroke weight="1pt" color="#92D050 [3204]"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1232535</wp:posOffset>
                </wp:positionH>
                <wp:positionV relativeFrom="paragraph">
                  <wp:posOffset>2021205</wp:posOffset>
                </wp:positionV>
                <wp:extent cx="461645" cy="139065"/>
                <wp:effectExtent l="0" t="74930" r="10795" b="90805"/>
                <wp:wrapNone/>
                <wp:docPr id="31" name="燕尾形箭头 31"/>
                <wp:cNvGraphicFramePr/>
                <a:graphic xmlns:a="http://schemas.openxmlformats.org/drawingml/2006/main">
                  <a:graphicData uri="http://schemas.microsoft.com/office/word/2010/wordprocessingShape">
                    <wps:wsp>
                      <wps:cNvSpPr/>
                      <wps:spPr>
                        <a:xfrm rot="12360000">
                          <a:off x="3996690" y="3743960"/>
                          <a:ext cx="461645" cy="139065"/>
                        </a:xfrm>
                        <a:prstGeom prst="notchedRightArrow">
                          <a:avLst/>
                        </a:prstGeom>
                        <a:pattFill prst="pct5">
                          <a:fgClr>
                            <a:schemeClr val="accent6"/>
                          </a:fgClr>
                          <a:bgClr>
                            <a:srgbClr val="92D050"/>
                          </a:bgClr>
                        </a:patt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4" type="#_x0000_t94" style="position:absolute;left:0pt;margin-left:97.05pt;margin-top:159.15pt;height:10.95pt;width:36.35pt;rotation:-10092544f;z-index:251710464;v-text-anchor:middle;mso-width-relative:page;mso-height-relative:page;" fillcolor="#70AD47 [3209]" filled="t" stroked="t" coordsize="21600,21600" o:gfxdata="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WOfT&#10;bdsAAAALAQAADwAAAAAAAAABACAAAAAiAAAAZHJzL2Rvd25yZXYueG1sUEsBAhQAFAAAAAgAh07i&#10;QM0gi/DKAgAAegUAAA4AAAAAAAAAAQAgAAAAKgEAAGRycy9lMm9Eb2MueG1sUEsFBgAAAAAGAAYA&#10;WQEAAGYGAAAAAA==&#10;" adj="18347,5400">
                <v:fill type="pattern" on="t" color2="#92D050" o:title="5%" focussize="0,0" r:id="rId59"/>
                <v:stroke weight="1pt" color="#92D050 [3204]" miterlimit="8" joinstyle="miter"/>
                <v:imagedata o:title=""/>
                <o:lock v:ext="edit" aspectratio="f"/>
                <v:textbox>
                  <w:txbxContent>
                    <w:p>
                      <w:pPr>
                        <w:jc w:val="center"/>
                      </w:pPr>
                    </w:p>
                  </w:txbxContent>
                </v:textbox>
              </v:shape>
            </w:pict>
          </mc:Fallback>
        </mc:AlternateContent>
      </w:r>
      <w:r>
        <w:drawing>
          <wp:inline distT="0" distB="0" distL="114300" distR="114300">
            <wp:extent cx="5757545" cy="5679440"/>
            <wp:effectExtent l="0" t="0" r="14605" b="165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61"/>
                    <a:stretch>
                      <a:fillRect/>
                    </a:stretch>
                  </pic:blipFill>
                  <pic:spPr>
                    <a:xfrm>
                      <a:off x="0" y="0"/>
                      <a:ext cx="5757545" cy="5679440"/>
                    </a:xfrm>
                    <a:prstGeom prst="rect">
                      <a:avLst/>
                    </a:prstGeom>
                    <a:noFill/>
                    <a:ln>
                      <a:noFill/>
                    </a:ln>
                  </pic:spPr>
                </pic:pic>
              </a:graphicData>
            </a:graphic>
          </wp:inline>
        </w:drawing>
      </w:r>
    </w:p>
    <w:p>
      <w:pPr>
        <w:bidi w:val="0"/>
        <w:jc w:val="center"/>
        <w:rPr>
          <w:rFonts w:hint="default"/>
          <w:b/>
          <w:bCs/>
          <w:lang w:val="en-US"/>
        </w:rPr>
      </w:pPr>
      <w:bookmarkStart w:id="157" w:name="_Toc28658"/>
      <w:bookmarkStart w:id="158" w:name="_Toc8224"/>
      <w:bookmarkStart w:id="159" w:name="_Toc28462"/>
      <w:r>
        <w:rPr>
          <w:rFonts w:hint="default"/>
          <w:b/>
          <w:bCs/>
          <w:lang w:val="en-US" w:eastAsia="zh-CN"/>
        </w:rPr>
        <w:t>6.5-1  项目地下水评价范围图</w:t>
      </w:r>
      <w:bookmarkEnd w:id="157"/>
      <w:bookmarkEnd w:id="158"/>
      <w:bookmarkEnd w:id="159"/>
    </w:p>
    <w:p>
      <w:pPr>
        <w:keepNext w:val="0"/>
        <w:keepLines w:val="0"/>
        <w:widowControl/>
        <w:suppressLineNumbers w:val="0"/>
        <w:jc w:val="left"/>
        <w:rPr>
          <w:b/>
          <w:bCs/>
        </w:rPr>
      </w:pPr>
      <w:r>
        <w:rPr>
          <w:rFonts w:hint="eastAsia" w:ascii="Times New Roman" w:hAnsi="Times New Roman" w:eastAsia="宋体" w:cs="Times New Roman"/>
          <w:b/>
          <w:bCs/>
          <w:color w:val="000000"/>
          <w:kern w:val="0"/>
          <w:sz w:val="24"/>
          <w:szCs w:val="24"/>
          <w:lang w:val="en-US" w:eastAsia="zh-CN" w:bidi="ar"/>
        </w:rPr>
        <w:t>6.5.2.2</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保护目标</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根据豫政办〔</w:t>
      </w:r>
      <w:r>
        <w:rPr>
          <w:rFonts w:hint="default" w:ascii="Times New Roman" w:hAnsi="Times New Roman" w:eastAsia="宋体" w:cs="Times New Roman"/>
          <w:color w:val="000000"/>
          <w:kern w:val="0"/>
          <w:sz w:val="24"/>
          <w:szCs w:val="24"/>
          <w:lang w:val="en-US" w:eastAsia="zh-CN" w:bidi="ar"/>
        </w:rPr>
        <w:t>2013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107</w:t>
      </w:r>
      <w:r>
        <w:rPr>
          <w:rFonts w:hint="eastAsia" w:ascii="宋体" w:hAnsi="宋体" w:eastAsia="宋体" w:cs="宋体"/>
          <w:color w:val="000000"/>
          <w:kern w:val="0"/>
          <w:sz w:val="24"/>
          <w:szCs w:val="24"/>
          <w:lang w:val="en-US" w:eastAsia="zh-CN" w:bidi="ar"/>
        </w:rPr>
        <w:t>号，叶县集中式饮用水水源保护区主要包括：</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）叶县盐都水务地下水井群（昆鲁大道以北、昆阳大道以西，共</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眼井），一级保护区范围：取水井外围</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米的区域；二级保护区范围：一级保护区外，</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号取水井外围</w:t>
      </w:r>
      <w:r>
        <w:rPr>
          <w:rFonts w:hint="default" w:ascii="Times New Roman" w:hAnsi="Times New Roman" w:eastAsia="宋体" w:cs="Times New Roman"/>
          <w:color w:val="000000"/>
          <w:kern w:val="0"/>
          <w:sz w:val="24"/>
          <w:szCs w:val="24"/>
          <w:lang w:val="en-US" w:eastAsia="zh-CN" w:bidi="ar"/>
        </w:rPr>
        <w:t>330</w:t>
      </w:r>
      <w:r>
        <w:rPr>
          <w:rFonts w:hint="eastAsia" w:ascii="宋体" w:hAnsi="宋体" w:eastAsia="宋体" w:cs="宋体"/>
          <w:color w:val="000000"/>
          <w:kern w:val="0"/>
          <w:sz w:val="24"/>
          <w:szCs w:val="24"/>
          <w:lang w:val="en-US" w:eastAsia="zh-CN" w:bidi="ar"/>
        </w:rPr>
        <w:t>米外公切线所包含的区域；准保护区范围：二级保护区外，东至新建街、西至北关大街、南至文化路、北至昆鲁大道的区域。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）叶县自由路地下水井群（共</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眼井），一级保护区范围：取水井外围</w:t>
      </w:r>
      <w:r>
        <w:rPr>
          <w:rFonts w:hint="default" w:ascii="Times New Roman" w:hAnsi="Times New Roman" w:eastAsia="宋体" w:cs="Times New Roman"/>
          <w:color w:val="000000"/>
          <w:kern w:val="0"/>
          <w:sz w:val="24"/>
          <w:szCs w:val="24"/>
          <w:lang w:val="en-US" w:eastAsia="zh-CN" w:bidi="ar"/>
        </w:rPr>
        <w:t>200</w:t>
      </w:r>
      <w:r>
        <w:rPr>
          <w:rFonts w:hint="eastAsia" w:ascii="宋体" w:hAnsi="宋体" w:eastAsia="宋体" w:cs="宋体"/>
          <w:color w:val="000000"/>
          <w:kern w:val="0"/>
          <w:sz w:val="24"/>
          <w:szCs w:val="24"/>
          <w:lang w:val="en-US" w:eastAsia="zh-CN" w:bidi="ar"/>
        </w:rPr>
        <w:t>米外公切线所包含的区域。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）叶县东升洁地下水井群（昆鲁大道以南、昆阳大道以东、中心路以北，共</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眼井），一级保护区范围：取水井外围</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米的区域。由上可知，叶县集中式饮用水水源保护区主要分布在叶县城区，叶县县城距项目厂区直线距离约</w:t>
      </w:r>
      <w:r>
        <w:rPr>
          <w:rFonts w:hint="default" w:ascii="Times New Roman" w:hAnsi="Times New Roman" w:eastAsia="宋体" w:cs="Times New Roman"/>
          <w:color w:val="000000"/>
          <w:kern w:val="0"/>
          <w:sz w:val="24"/>
          <w:szCs w:val="24"/>
          <w:lang w:val="en-US" w:eastAsia="zh-CN" w:bidi="ar"/>
        </w:rPr>
        <w:t>6km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根据豫政办〔</w:t>
      </w:r>
      <w:r>
        <w:rPr>
          <w:rFonts w:hint="default" w:ascii="Times New Roman" w:hAnsi="Times New Roman" w:eastAsia="宋体" w:cs="Times New Roman"/>
          <w:color w:val="000000"/>
          <w:kern w:val="0"/>
          <w:sz w:val="24"/>
          <w:szCs w:val="24"/>
          <w:lang w:val="en-US" w:eastAsia="zh-CN" w:bidi="ar"/>
        </w:rPr>
        <w:t>2016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23</w:t>
      </w:r>
      <w:r>
        <w:rPr>
          <w:rFonts w:hint="eastAsia" w:ascii="宋体" w:hAnsi="宋体" w:eastAsia="宋体" w:cs="宋体"/>
          <w:color w:val="000000"/>
          <w:kern w:val="0"/>
          <w:sz w:val="24"/>
          <w:szCs w:val="24"/>
          <w:lang w:val="en-US" w:eastAsia="zh-CN" w:bidi="ar"/>
        </w:rPr>
        <w:t>号，叶县乡镇级集中式饮用水水源保护区主要包括：</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）叶县任店镇水厂地下水井（共</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眼井），一级保护区范围：水厂厂区及外围东</w:t>
      </w:r>
      <w:r>
        <w:rPr>
          <w:rFonts w:hint="default" w:ascii="Times New Roman" w:hAnsi="Times New Roman" w:eastAsia="宋体" w:cs="Times New Roman"/>
          <w:color w:val="000000"/>
          <w:kern w:val="0"/>
          <w:sz w:val="24"/>
          <w:szCs w:val="24"/>
          <w:lang w:val="en-US" w:eastAsia="zh-CN" w:bidi="ar"/>
        </w:rPr>
        <w:t>25</w:t>
      </w:r>
      <w:r>
        <w:rPr>
          <w:rFonts w:hint="eastAsia" w:ascii="宋体" w:hAnsi="宋体" w:eastAsia="宋体" w:cs="宋体"/>
          <w:color w:val="000000"/>
          <w:kern w:val="0"/>
          <w:sz w:val="24"/>
          <w:szCs w:val="24"/>
          <w:lang w:val="en-US" w:eastAsia="zh-CN" w:bidi="ar"/>
        </w:rPr>
        <w:t>米、南</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米、北</w:t>
      </w:r>
      <w:r>
        <w:rPr>
          <w:rFonts w:hint="default" w:ascii="Times New Roman" w:hAnsi="Times New Roman" w:eastAsia="宋体" w:cs="Times New Roman"/>
          <w:color w:val="000000"/>
          <w:kern w:val="0"/>
          <w:sz w:val="24"/>
          <w:szCs w:val="24"/>
          <w:lang w:val="en-US" w:eastAsia="zh-CN" w:bidi="ar"/>
        </w:rPr>
        <w:t>29</w:t>
      </w:r>
      <w:r>
        <w:rPr>
          <w:rFonts w:hint="eastAsia" w:ascii="宋体" w:hAnsi="宋体" w:eastAsia="宋体" w:cs="宋体"/>
          <w:color w:val="000000"/>
          <w:kern w:val="0"/>
          <w:sz w:val="24"/>
          <w:szCs w:val="24"/>
          <w:lang w:val="en-US" w:eastAsia="zh-CN" w:bidi="ar"/>
        </w:rPr>
        <w:t>米的区域。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）叶县廉村镇水厂地下水井（共</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眼井），一级保护区范围：水厂厂区及外围东</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米、西</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米、南</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米、北</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米的区域。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）叶县水寨乡蒋李水厂地下水井（共</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眼井），一级保护区范围：水厂厂区及外围东</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米、西</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米、南</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米、北</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米的区域。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）叶县保安镇水厂地下水井（共</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眼井），一级保护区范围：水厂厂区及外围东</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米、西</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米、南</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米、北</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米的区域；二级保护区范围：一级保护区外围</w:t>
      </w:r>
      <w:r>
        <w:rPr>
          <w:rFonts w:hint="default" w:ascii="Times New Roman" w:hAnsi="Times New Roman" w:eastAsia="宋体" w:cs="Times New Roman"/>
          <w:color w:val="000000"/>
          <w:kern w:val="0"/>
          <w:sz w:val="24"/>
          <w:szCs w:val="24"/>
          <w:lang w:val="en-US" w:eastAsia="zh-CN" w:bidi="ar"/>
        </w:rPr>
        <w:t>300</w:t>
      </w:r>
      <w:r>
        <w:rPr>
          <w:rFonts w:hint="eastAsia" w:ascii="宋体" w:hAnsi="宋体" w:eastAsia="宋体" w:cs="宋体"/>
          <w:color w:val="000000"/>
          <w:kern w:val="0"/>
          <w:sz w:val="24"/>
          <w:szCs w:val="24"/>
          <w:lang w:val="en-US" w:eastAsia="zh-CN" w:bidi="ar"/>
        </w:rPr>
        <w:t>米的区域。</w:t>
      </w:r>
    </w:p>
    <w:p>
      <w:pPr>
        <w:keepNext w:val="0"/>
        <w:keepLines w:val="0"/>
        <w:widowControl/>
        <w:suppressLineNumbers w:val="0"/>
        <w:jc w:val="both"/>
        <w:rPr>
          <w:u w:val="single"/>
        </w:rPr>
      </w:pPr>
      <w:r>
        <w:rPr>
          <w:rFonts w:hint="eastAsia" w:ascii="宋体" w:hAnsi="宋体" w:eastAsia="宋体" w:cs="宋体"/>
          <w:color w:val="000000"/>
          <w:kern w:val="0"/>
          <w:sz w:val="24"/>
          <w:szCs w:val="24"/>
          <w:u w:val="single"/>
          <w:lang w:val="en-US" w:eastAsia="zh-CN" w:bidi="ar"/>
        </w:rPr>
        <w:t>由上可知，距项目区最近的乡镇级集中式饮用水水源保护区为廉村镇水厂，</w:t>
      </w:r>
      <w:r>
        <w:rPr>
          <w:rFonts w:hint="eastAsia" w:ascii="宋体" w:hAnsi="宋体" w:cs="宋体"/>
          <w:color w:val="000000"/>
          <w:kern w:val="0"/>
          <w:sz w:val="24"/>
          <w:szCs w:val="24"/>
          <w:u w:val="single"/>
          <w:lang w:val="en-US" w:eastAsia="zh-CN" w:bidi="ar"/>
        </w:rPr>
        <w:t>距离项目区西北方向</w:t>
      </w:r>
      <w:r>
        <w:rPr>
          <w:rFonts w:hint="eastAsia" w:ascii="宋体" w:hAnsi="宋体" w:eastAsia="宋体" w:cs="宋体"/>
          <w:color w:val="000000"/>
          <w:kern w:val="0"/>
          <w:sz w:val="24"/>
          <w:szCs w:val="24"/>
          <w:u w:val="single"/>
          <w:lang w:val="en-US" w:eastAsia="zh-CN" w:bidi="ar"/>
        </w:rPr>
        <w:t>距离约</w:t>
      </w:r>
      <w:r>
        <w:rPr>
          <w:rFonts w:hint="eastAsia" w:ascii="Times New Roman" w:hAnsi="Times New Roman" w:eastAsia="宋体" w:cs="Times New Roman"/>
          <w:color w:val="000000"/>
          <w:kern w:val="0"/>
          <w:sz w:val="24"/>
          <w:szCs w:val="24"/>
          <w:u w:val="single"/>
          <w:lang w:val="en-US" w:eastAsia="zh-CN" w:bidi="ar"/>
        </w:rPr>
        <w:t>2.6</w:t>
      </w:r>
      <w:r>
        <w:rPr>
          <w:rFonts w:hint="default" w:ascii="Times New Roman" w:hAnsi="Times New Roman" w:eastAsia="宋体" w:cs="Times New Roman"/>
          <w:color w:val="000000"/>
          <w:kern w:val="0"/>
          <w:sz w:val="24"/>
          <w:szCs w:val="24"/>
          <w:u w:val="single"/>
          <w:lang w:val="en-US" w:eastAsia="zh-CN" w:bidi="ar"/>
        </w:rPr>
        <w:t>km</w:t>
      </w:r>
      <w:r>
        <w:rPr>
          <w:rFonts w:hint="eastAsia" w:ascii="宋体" w:hAnsi="宋体" w:eastAsia="宋体" w:cs="宋体"/>
          <w:color w:val="000000"/>
          <w:kern w:val="0"/>
          <w:sz w:val="24"/>
          <w:szCs w:val="24"/>
          <w:u w:val="single"/>
          <w:lang w:val="en-US" w:eastAsia="zh-CN" w:bidi="ar"/>
        </w:rPr>
        <w:t>，</w:t>
      </w:r>
      <w:r>
        <w:rPr>
          <w:rFonts w:hint="eastAsia" w:ascii="宋体" w:hAnsi="宋体" w:cs="宋体"/>
          <w:color w:val="000000"/>
          <w:kern w:val="0"/>
          <w:sz w:val="24"/>
          <w:szCs w:val="24"/>
          <w:u w:val="single"/>
          <w:lang w:val="en-US" w:eastAsia="zh-CN" w:bidi="ar"/>
        </w:rPr>
        <w:t>距离地下水</w:t>
      </w:r>
      <w:r>
        <w:rPr>
          <w:rFonts w:hint="default" w:ascii="Times New Roman" w:hAnsi="Times New Roman" w:cs="Times New Roman"/>
          <w:color w:val="000000"/>
          <w:kern w:val="0"/>
          <w:sz w:val="24"/>
          <w:szCs w:val="24"/>
          <w:u w:val="single"/>
          <w:lang w:val="en-US" w:eastAsia="zh-CN" w:bidi="ar"/>
        </w:rPr>
        <w:t>评价范围边界最近为1.37km，</w:t>
      </w:r>
      <w:r>
        <w:rPr>
          <w:rFonts w:hint="eastAsia" w:ascii="宋体" w:hAnsi="宋体" w:eastAsia="宋体" w:cs="宋体"/>
          <w:color w:val="000000"/>
          <w:kern w:val="0"/>
          <w:sz w:val="24"/>
          <w:szCs w:val="24"/>
          <w:u w:val="single"/>
          <w:lang w:val="en-US" w:eastAsia="zh-CN" w:bidi="ar"/>
        </w:rPr>
        <w:t>不在本次调查范围内，本次项目建设对该水源地影响基本可以忽略。</w:t>
      </w:r>
    </w:p>
    <w:p>
      <w:pPr>
        <w:pStyle w:val="4"/>
        <w:bidi w:val="0"/>
      </w:pPr>
      <w:r>
        <w:rPr>
          <w:rFonts w:hint="eastAsia"/>
          <w:lang w:val="en-US" w:eastAsia="zh-CN"/>
        </w:rPr>
        <w:t xml:space="preserve">6.5.3 </w:t>
      </w:r>
      <w:r>
        <w:rPr>
          <w:lang w:val="en-US" w:eastAsia="zh-CN"/>
        </w:rPr>
        <w:t>区域水文地质特征</w:t>
      </w:r>
    </w:p>
    <w:p>
      <w:pPr>
        <w:bidi w:val="0"/>
        <w:rPr>
          <w:b/>
          <w:bCs/>
        </w:rPr>
      </w:pPr>
      <w:r>
        <w:rPr>
          <w:rFonts w:hint="eastAsia"/>
          <w:b/>
          <w:bCs/>
          <w:lang w:val="en-US" w:eastAsia="zh-CN"/>
        </w:rPr>
        <w:t>6.5.3.1地形地貌</w:t>
      </w:r>
    </w:p>
    <w:p>
      <w:pPr>
        <w:bidi w:val="0"/>
        <w:rPr>
          <w:rFonts w:hint="default" w:ascii="Times New Roman" w:hAnsi="Times New Roman" w:cs="Times New Roman"/>
          <w:u w:val="single"/>
        </w:rPr>
      </w:pPr>
      <w:r>
        <w:rPr>
          <w:rFonts w:hint="default" w:ascii="Times New Roman" w:hAnsi="Times New Roman" w:cs="Times New Roman"/>
          <w:u w:val="single"/>
          <w:lang w:val="en-US" w:eastAsia="zh-CN"/>
        </w:rPr>
        <w:t>县境内地貌西南高东北低，由第二地貌台阶边坡向第三地貌台阶过渡，呈阶梯状降低，依次分为浅山、丘陵、平原及洼地地貌区，分别占总面积的21％、25．3％和53．7％。两端相对高差580.4米。伏牛山沿县境西南边境横亘。桐柏山余脉自东南向西延伸在保安镇与伏牛山余脉对峙，形成有名的“南襄夹道”。南及西南部浅山区的海拔在200米—350米之间，最高峰为位于常村镇西部叶、方边界的老青山(即西唐山)，海拔650.2米；北、中、东部为平原，海拔一般在80米左右，最低点为水寨乡的黄庄村，海拔69.8米，平均海拔85米。详见图6.5-1。现将主要地貌形态分布情况分述如下：</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drawing>
          <wp:inline distT="0" distB="0" distL="114300" distR="114300">
            <wp:extent cx="5753735" cy="5565775"/>
            <wp:effectExtent l="0" t="0" r="18415" b="1587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62"/>
                    <a:stretch>
                      <a:fillRect/>
                    </a:stretch>
                  </pic:blipFill>
                  <pic:spPr>
                    <a:xfrm>
                      <a:off x="0" y="0"/>
                      <a:ext cx="5753735" cy="5565775"/>
                    </a:xfrm>
                    <a:prstGeom prst="rect">
                      <a:avLst/>
                    </a:prstGeom>
                    <a:noFill/>
                    <a:ln>
                      <a:noFill/>
                    </a:ln>
                  </pic:spPr>
                </pic:pic>
              </a:graphicData>
            </a:graphic>
          </wp:inline>
        </w:drawing>
      </w:r>
    </w:p>
    <w:p>
      <w:pPr>
        <w:bidi w:val="0"/>
        <w:jc w:val="center"/>
        <w:rPr>
          <w:b/>
          <w:bCs/>
        </w:rPr>
      </w:pPr>
      <w:r>
        <w:rPr>
          <w:rFonts w:hint="eastAsia"/>
          <w:b/>
          <w:bCs/>
          <w:lang w:val="en-US" w:eastAsia="zh-CN"/>
        </w:rPr>
        <w:t>图6.5</w:t>
      </w:r>
      <w:r>
        <w:rPr>
          <w:b/>
          <w:bCs/>
          <w:lang w:val="en-US" w:eastAsia="zh-CN"/>
        </w:rPr>
        <w:t>-</w:t>
      </w:r>
      <w:r>
        <w:rPr>
          <w:rFonts w:hint="eastAsia"/>
          <w:b/>
          <w:bCs/>
          <w:lang w:val="en-US" w:eastAsia="zh-CN"/>
        </w:rPr>
        <w:t>2  区域地貌图</w:t>
      </w:r>
    </w:p>
    <w:p>
      <w:pPr>
        <w:bidi w:val="0"/>
      </w:pPr>
      <w:r>
        <w:rPr>
          <w:rFonts w:hint="eastAsia"/>
          <w:lang w:val="en-US" w:eastAsia="zh-CN"/>
        </w:rPr>
        <w:t>（</w:t>
      </w:r>
      <w:r>
        <w:rPr>
          <w:rFonts w:hint="default"/>
          <w:lang w:val="en-US" w:eastAsia="zh-CN"/>
        </w:rPr>
        <w:t>1</w:t>
      </w:r>
      <w:r>
        <w:rPr>
          <w:rFonts w:hint="eastAsia"/>
          <w:lang w:val="en-US" w:eastAsia="zh-CN"/>
        </w:rPr>
        <w:t>）山地（</w:t>
      </w:r>
      <w:r>
        <w:rPr>
          <w:rFonts w:hint="default"/>
          <w:lang w:val="en-US" w:eastAsia="zh-CN"/>
        </w:rPr>
        <w:t>Ⅰ</w:t>
      </w:r>
      <w:r>
        <w:rPr>
          <w:rFonts w:hint="eastAsia"/>
          <w:lang w:val="en-US" w:eastAsia="zh-CN"/>
        </w:rPr>
        <w:t>）</w:t>
      </w:r>
    </w:p>
    <w:p>
      <w:pPr>
        <w:bidi w:val="0"/>
      </w:pPr>
      <w:r>
        <w:rPr>
          <w:rFonts w:hint="eastAsia"/>
          <w:lang w:val="en-US" w:eastAsia="zh-CN"/>
        </w:rPr>
        <w:t>①侵蚀剥蚀中山（</w:t>
      </w:r>
      <w:r>
        <w:rPr>
          <w:rFonts w:hint="default"/>
          <w:lang w:val="en-US" w:eastAsia="zh-CN"/>
        </w:rPr>
        <w:t>Ⅰ</w:t>
      </w:r>
      <w:r>
        <w:rPr>
          <w:rFonts w:hint="eastAsia"/>
          <w:vertAlign w:val="subscript"/>
          <w:lang w:val="en-US" w:eastAsia="zh-CN"/>
        </w:rPr>
        <w:t>1</w:t>
      </w:r>
      <w:r>
        <w:rPr>
          <w:rFonts w:hint="eastAsia"/>
          <w:lang w:val="en-US" w:eastAsia="zh-CN"/>
        </w:rPr>
        <w:t>）</w:t>
      </w:r>
    </w:p>
    <w:p>
      <w:pPr>
        <w:bidi w:val="0"/>
      </w:pPr>
      <w:r>
        <w:rPr>
          <w:rFonts w:hint="eastAsia"/>
          <w:lang w:val="en-US" w:eastAsia="zh-CN"/>
        </w:rPr>
        <w:t>主要分布在鲁山县西南部紧邻市界一带，面积约</w:t>
      </w:r>
      <w:r>
        <w:rPr>
          <w:rFonts w:hint="default"/>
          <w:lang w:val="en-US" w:eastAsia="zh-CN"/>
        </w:rPr>
        <w:t>208km</w:t>
      </w:r>
      <w:r>
        <w:rPr>
          <w:rFonts w:hint="eastAsia"/>
          <w:vertAlign w:val="superscript"/>
          <w:lang w:val="en-US" w:eastAsia="zh-CN"/>
        </w:rPr>
        <w:t>2</w:t>
      </w:r>
      <w:r>
        <w:rPr>
          <w:rFonts w:hint="eastAsia"/>
          <w:lang w:val="en-US" w:eastAsia="zh-CN"/>
        </w:rPr>
        <w:t>，占全市总面积的</w:t>
      </w:r>
      <w:r>
        <w:rPr>
          <w:rFonts w:hint="default"/>
          <w:lang w:val="en-US" w:eastAsia="zh-CN"/>
        </w:rPr>
        <w:t>2.64%</w:t>
      </w:r>
      <w:r>
        <w:rPr>
          <w:rFonts w:hint="eastAsia"/>
          <w:lang w:val="en-US" w:eastAsia="zh-CN"/>
        </w:rPr>
        <w:t>。最高峰尧山海拔高度为</w:t>
      </w:r>
      <w:r>
        <w:rPr>
          <w:rFonts w:hint="default"/>
          <w:lang w:val="en-US" w:eastAsia="zh-CN"/>
        </w:rPr>
        <w:t>2153.10m</w:t>
      </w:r>
      <w:r>
        <w:rPr>
          <w:rFonts w:hint="eastAsia"/>
          <w:lang w:val="en-US" w:eastAsia="zh-CN"/>
        </w:rPr>
        <w:t>，组成岩性主要为花岗岩。</w:t>
      </w:r>
    </w:p>
    <w:p>
      <w:pPr>
        <w:bidi w:val="0"/>
      </w:pPr>
      <w:r>
        <w:rPr>
          <w:rFonts w:hint="eastAsia"/>
          <w:lang w:val="en-US" w:eastAsia="zh-CN"/>
        </w:rPr>
        <w:t>②侵蚀剥蚀低山（</w:t>
      </w:r>
      <w:r>
        <w:rPr>
          <w:rFonts w:hint="default"/>
          <w:lang w:val="en-US" w:eastAsia="zh-CN"/>
        </w:rPr>
        <w:t>Ⅰ</w:t>
      </w:r>
      <w:r>
        <w:rPr>
          <w:rFonts w:hint="default"/>
          <w:vertAlign w:val="subscript"/>
          <w:lang w:val="en-US" w:eastAsia="zh-CN"/>
        </w:rPr>
        <w:t>2</w:t>
      </w:r>
      <w:r>
        <w:rPr>
          <w:rFonts w:hint="eastAsia"/>
          <w:lang w:val="en-US" w:eastAsia="zh-CN"/>
        </w:rPr>
        <w:t>）</w:t>
      </w:r>
    </w:p>
    <w:p>
      <w:pPr>
        <w:bidi w:val="0"/>
      </w:pPr>
      <w:r>
        <w:rPr>
          <w:rFonts w:hint="eastAsia"/>
          <w:lang w:val="en-US" w:eastAsia="zh-CN"/>
        </w:rPr>
        <w:t>主要分布在汝州市北部、宝丰县西北部，石龙区中部，鲁山县西部，舞钢市南部紧邻市界一带，面积约</w:t>
      </w:r>
      <w:r>
        <w:rPr>
          <w:rFonts w:hint="default"/>
          <w:lang w:val="en-US" w:eastAsia="zh-CN"/>
        </w:rPr>
        <w:t>1414km</w:t>
      </w:r>
      <w:r>
        <w:rPr>
          <w:rFonts w:hint="eastAsia"/>
          <w:vertAlign w:val="superscript"/>
          <w:lang w:val="en-US" w:eastAsia="zh-CN"/>
        </w:rPr>
        <w:t>2</w:t>
      </w:r>
      <w:r>
        <w:rPr>
          <w:rFonts w:hint="eastAsia"/>
          <w:lang w:val="en-US" w:eastAsia="zh-CN"/>
        </w:rPr>
        <w:t>，占全市总面积的</w:t>
      </w:r>
      <w:r>
        <w:rPr>
          <w:rFonts w:hint="default"/>
          <w:lang w:val="en-US" w:eastAsia="zh-CN"/>
        </w:rPr>
        <w:t>17.94%</w:t>
      </w:r>
      <w:r>
        <w:rPr>
          <w:rFonts w:hint="eastAsia"/>
          <w:lang w:val="en-US" w:eastAsia="zh-CN"/>
        </w:rPr>
        <w:t>。山地坡度较陡，一般在</w:t>
      </w:r>
      <w:r>
        <w:rPr>
          <w:rFonts w:hint="default"/>
          <w:lang w:val="en-US" w:eastAsia="zh-CN"/>
        </w:rPr>
        <w:t>30º</w:t>
      </w:r>
      <w:r>
        <w:rPr>
          <w:rFonts w:hint="eastAsia"/>
          <w:lang w:val="en-US" w:eastAsia="zh-CN"/>
        </w:rPr>
        <w:t>～</w:t>
      </w:r>
      <w:r>
        <w:rPr>
          <w:rFonts w:hint="default"/>
          <w:lang w:val="en-US" w:eastAsia="zh-CN"/>
        </w:rPr>
        <w:t>70°</w:t>
      </w:r>
      <w:r>
        <w:rPr>
          <w:rFonts w:hint="eastAsia"/>
          <w:lang w:val="en-US" w:eastAsia="zh-CN"/>
        </w:rPr>
        <w:t>之间，冲沟发育、水土流失较严重。组成岩性为花岗岩、变质岩、喷出岩、灰岩、石英砂岩等。</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）侵蚀剥蚀岗地（</w:t>
      </w:r>
      <w:r>
        <w:rPr>
          <w:rFonts w:hint="default" w:ascii="Times New Roman" w:hAnsi="Times New Roman" w:eastAsia="宋体" w:cs="Times New Roman"/>
          <w:color w:val="000000"/>
          <w:kern w:val="0"/>
          <w:sz w:val="24"/>
          <w:szCs w:val="24"/>
          <w:lang w:val="en-US" w:eastAsia="zh-CN" w:bidi="ar"/>
        </w:rPr>
        <w:t>Ⅱ</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主要分布在宝丰县中西部，石龙区，鲁山县北部和东南部，叶县东南部，舞钢市西北部和东南部，在市区和郏县零星分布，面积约</w:t>
      </w:r>
      <w:r>
        <w:rPr>
          <w:rFonts w:hint="default" w:ascii="Times New Roman" w:hAnsi="Times New Roman" w:eastAsia="宋体" w:cs="Times New Roman"/>
          <w:color w:val="000000"/>
          <w:kern w:val="0"/>
          <w:sz w:val="24"/>
          <w:szCs w:val="24"/>
          <w:lang w:val="en-US" w:eastAsia="zh-CN" w:bidi="ar"/>
        </w:rPr>
        <w:t>1643km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，占全市总面积的</w:t>
      </w:r>
      <w:r>
        <w:rPr>
          <w:rFonts w:hint="default" w:ascii="Times New Roman" w:hAnsi="Times New Roman" w:eastAsia="宋体" w:cs="Times New Roman"/>
          <w:color w:val="000000"/>
          <w:kern w:val="0"/>
          <w:sz w:val="24"/>
          <w:szCs w:val="24"/>
          <w:lang w:val="en-US" w:eastAsia="zh-CN" w:bidi="ar"/>
        </w:rPr>
        <w:t>20.85%</w:t>
      </w:r>
      <w:r>
        <w:rPr>
          <w:rFonts w:hint="eastAsia" w:ascii="宋体" w:hAnsi="宋体" w:eastAsia="宋体" w:cs="宋体"/>
          <w:color w:val="000000"/>
          <w:kern w:val="0"/>
          <w:sz w:val="24"/>
          <w:szCs w:val="24"/>
          <w:lang w:val="en-US" w:eastAsia="zh-CN" w:bidi="ar"/>
        </w:rPr>
        <w:t>。山坡坡度较小，一般小于</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；冲沟发育，切割深度一般在</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20m</w:t>
      </w:r>
      <w:r>
        <w:rPr>
          <w:rFonts w:hint="eastAsia" w:ascii="宋体" w:hAnsi="宋体" w:eastAsia="宋体" w:cs="宋体"/>
          <w:color w:val="000000"/>
          <w:kern w:val="0"/>
          <w:sz w:val="24"/>
          <w:szCs w:val="24"/>
          <w:lang w:val="en-US" w:eastAsia="zh-CN" w:bidi="ar"/>
        </w:rPr>
        <w:t>，局部达</w:t>
      </w:r>
      <w:r>
        <w:rPr>
          <w:rFonts w:hint="default" w:ascii="Times New Roman" w:hAnsi="Times New Roman" w:eastAsia="宋体" w:cs="Times New Roman"/>
          <w:color w:val="000000"/>
          <w:kern w:val="0"/>
          <w:sz w:val="24"/>
          <w:szCs w:val="24"/>
          <w:lang w:val="en-US" w:eastAsia="zh-CN" w:bidi="ar"/>
        </w:rPr>
        <w:t>30m</w:t>
      </w:r>
      <w:r>
        <w:rPr>
          <w:rFonts w:hint="eastAsia" w:ascii="宋体" w:hAnsi="宋体" w:eastAsia="宋体" w:cs="宋体"/>
          <w:color w:val="000000"/>
          <w:kern w:val="0"/>
          <w:sz w:val="24"/>
          <w:szCs w:val="24"/>
          <w:lang w:val="en-US" w:eastAsia="zh-CN" w:bidi="ar"/>
        </w:rPr>
        <w:t>。组成岩性为变质岩、灰岩、少数喷出岩，以及砾石、亚粘土、亚砂土。</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）平原（</w:t>
      </w:r>
      <w:r>
        <w:rPr>
          <w:rFonts w:hint="default" w:ascii="Times New Roman" w:hAnsi="Times New Roman" w:eastAsia="宋体" w:cs="Times New Roman"/>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①冲洪积倾斜平原（</w:t>
      </w:r>
      <w:r>
        <w:rPr>
          <w:rFonts w:hint="default" w:ascii="Times New Roman" w:hAnsi="Times New Roman" w:eastAsia="宋体" w:cs="Times New Roman"/>
          <w:color w:val="000000"/>
          <w:kern w:val="0"/>
          <w:sz w:val="24"/>
          <w:szCs w:val="24"/>
          <w:lang w:val="en-US" w:eastAsia="zh-CN" w:bidi="ar"/>
        </w:rPr>
        <w:t>Ⅲ1</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主要分布在汝州市中部、郏县西北部、宝丰县中部、鲁山县东南部、叶县南部、舞钢市中部的山前地带，面积约</w:t>
      </w:r>
      <w:r>
        <w:rPr>
          <w:rFonts w:hint="default" w:ascii="Times New Roman" w:hAnsi="Times New Roman" w:eastAsia="宋体" w:cs="Times New Roman"/>
          <w:color w:val="000000"/>
          <w:kern w:val="0"/>
          <w:sz w:val="24"/>
          <w:szCs w:val="24"/>
          <w:lang w:val="en-US" w:eastAsia="zh-CN" w:bidi="ar"/>
        </w:rPr>
        <w:t>1545km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，占全市总面积的</w:t>
      </w:r>
      <w:r>
        <w:rPr>
          <w:rFonts w:hint="default" w:ascii="Times New Roman" w:hAnsi="Times New Roman" w:eastAsia="宋体" w:cs="Times New Roman"/>
          <w:color w:val="000000"/>
          <w:kern w:val="0"/>
          <w:sz w:val="24"/>
          <w:szCs w:val="24"/>
          <w:lang w:val="en-US" w:eastAsia="zh-CN" w:bidi="ar"/>
        </w:rPr>
        <w:t>19.60%</w:t>
      </w:r>
      <w:r>
        <w:rPr>
          <w:rFonts w:hint="eastAsia" w:ascii="宋体" w:hAnsi="宋体" w:eastAsia="宋体" w:cs="宋体"/>
          <w:color w:val="000000"/>
          <w:kern w:val="0"/>
          <w:sz w:val="24"/>
          <w:szCs w:val="24"/>
          <w:lang w:val="en-US" w:eastAsia="zh-CN" w:bidi="ar"/>
        </w:rPr>
        <w:t>。以向南、向东倾斜为主，地势略有起伏，地面高程</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。组成岩性主要为棕红色、杂色粘土及泥砾，局部有冲洪积粘土和黄土覆盖。</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②冲积平缓平原和谷地（</w:t>
      </w:r>
      <w:r>
        <w:rPr>
          <w:rFonts w:hint="default" w:ascii="Times New Roman" w:hAnsi="Times New Roman" w:eastAsia="宋体" w:cs="Times New Roman"/>
          <w:color w:val="000000"/>
          <w:kern w:val="0"/>
          <w:sz w:val="24"/>
          <w:szCs w:val="24"/>
          <w:lang w:val="en-US" w:eastAsia="zh-CN" w:bidi="ar"/>
        </w:rPr>
        <w:t>Ⅲ2</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主要由北部的汝河冲积平原和南部的沙河、澧河冲积平原 组成，分布在汝州市中部、郏县南部，宝丰县东部、鲁山县东部、市区、叶县中东部、舞钢市东北部，面积约</w:t>
      </w:r>
      <w:r>
        <w:rPr>
          <w:rFonts w:hint="default" w:ascii="Times New Roman" w:hAnsi="Times New Roman" w:eastAsia="宋体" w:cs="Times New Roman"/>
          <w:color w:val="000000"/>
          <w:kern w:val="0"/>
          <w:sz w:val="24"/>
          <w:szCs w:val="24"/>
          <w:lang w:val="en-US" w:eastAsia="zh-CN" w:bidi="ar"/>
        </w:rPr>
        <w:t>2837km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，占全市总面积的</w:t>
      </w:r>
      <w:r>
        <w:rPr>
          <w:rFonts w:hint="default" w:ascii="Times New Roman" w:hAnsi="Times New Roman" w:eastAsia="宋体" w:cs="Times New Roman"/>
          <w:color w:val="000000"/>
          <w:kern w:val="0"/>
          <w:sz w:val="24"/>
          <w:szCs w:val="24"/>
          <w:lang w:val="en-US" w:eastAsia="zh-CN" w:bidi="ar"/>
        </w:rPr>
        <w:t>35.99%</w:t>
      </w:r>
      <w:r>
        <w:rPr>
          <w:rFonts w:hint="eastAsia" w:ascii="宋体" w:hAnsi="宋体" w:eastAsia="宋体" w:cs="宋体"/>
          <w:color w:val="000000"/>
          <w:kern w:val="0"/>
          <w:sz w:val="24"/>
          <w:szCs w:val="24"/>
          <w:lang w:val="en-US" w:eastAsia="zh-CN" w:bidi="ar"/>
        </w:rPr>
        <w:t>。地势较为平坦，微向东南倾斜，地面高程</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120m</w:t>
      </w:r>
      <w:r>
        <w:rPr>
          <w:rFonts w:hint="eastAsia" w:ascii="宋体" w:hAnsi="宋体" w:eastAsia="宋体" w:cs="宋体"/>
          <w:color w:val="000000"/>
          <w:kern w:val="0"/>
          <w:sz w:val="24"/>
          <w:szCs w:val="24"/>
          <w:lang w:val="en-US" w:eastAsia="zh-CN" w:bidi="ar"/>
        </w:rPr>
        <w:t>。组成岩性主要为棕黄色黄土状粉土、粉质粘土和砂、砂砾石等。</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③冲湖积低平缓平原（</w:t>
      </w:r>
      <w:r>
        <w:rPr>
          <w:rFonts w:hint="default" w:ascii="Times New Roman" w:hAnsi="Times New Roman" w:eastAsia="宋体" w:cs="Times New Roman"/>
          <w:color w:val="000000"/>
          <w:kern w:val="0"/>
          <w:sz w:val="24"/>
          <w:szCs w:val="24"/>
          <w:lang w:val="en-US" w:eastAsia="zh-CN" w:bidi="ar"/>
        </w:rPr>
        <w:t>Ⅲ</w:t>
      </w:r>
      <w:r>
        <w:rPr>
          <w:rFonts w:hint="default" w:ascii="Times New Roman" w:hAnsi="Times New Roman" w:eastAsia="宋体" w:cs="Times New Roman"/>
          <w:color w:val="000000"/>
          <w:kern w:val="0"/>
          <w:sz w:val="16"/>
          <w:szCs w:val="16"/>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零星分布于宝丰县中部和叶县东北部，面积约</w:t>
      </w:r>
      <w:r>
        <w:rPr>
          <w:rFonts w:hint="default" w:ascii="Times New Roman" w:hAnsi="Times New Roman" w:eastAsia="宋体" w:cs="Times New Roman"/>
          <w:color w:val="000000"/>
          <w:kern w:val="0"/>
          <w:sz w:val="24"/>
          <w:szCs w:val="24"/>
          <w:lang w:val="en-US" w:eastAsia="zh-CN" w:bidi="ar"/>
        </w:rPr>
        <w:t>235km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，占全市总面积的</w:t>
      </w:r>
      <w:r>
        <w:rPr>
          <w:rFonts w:hint="default" w:ascii="Times New Roman" w:hAnsi="Times New Roman" w:eastAsia="宋体" w:cs="Times New Roman"/>
          <w:color w:val="000000"/>
          <w:kern w:val="0"/>
          <w:sz w:val="24"/>
          <w:szCs w:val="24"/>
          <w:lang w:val="en-US" w:eastAsia="zh-CN" w:bidi="ar"/>
        </w:rPr>
        <w:t>2.98%</w:t>
      </w:r>
      <w:r>
        <w:rPr>
          <w:rFonts w:hint="eastAsia" w:ascii="宋体" w:hAnsi="宋体" w:eastAsia="宋体" w:cs="宋体"/>
          <w:color w:val="000000"/>
          <w:kern w:val="0"/>
          <w:sz w:val="24"/>
          <w:szCs w:val="24"/>
          <w:lang w:val="en-US" w:eastAsia="zh-CN" w:bidi="ar"/>
        </w:rPr>
        <w:t>。地势略有起伏，地面高程</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70m</w:t>
      </w:r>
      <w:r>
        <w:rPr>
          <w:rFonts w:hint="eastAsia" w:ascii="宋体" w:hAnsi="宋体" w:eastAsia="宋体" w:cs="宋体"/>
          <w:color w:val="000000"/>
          <w:kern w:val="0"/>
          <w:sz w:val="24"/>
          <w:szCs w:val="24"/>
          <w:lang w:val="en-US" w:eastAsia="zh-CN" w:bidi="ar"/>
        </w:rPr>
        <w:t>。组成岩性主要为黄褐</w:t>
      </w:r>
      <w:r>
        <w:rPr>
          <w:rFonts w:hint="eastAsia" w:ascii="宋体" w:hAnsi="宋体" w:cs="宋体"/>
          <w:color w:val="000000"/>
          <w:kern w:val="0"/>
          <w:sz w:val="24"/>
          <w:szCs w:val="24"/>
          <w:lang w:val="en-US" w:eastAsia="zh-CN" w:bidi="ar"/>
        </w:rPr>
        <w:t>色母粒</w:t>
      </w:r>
      <w:r>
        <w:rPr>
          <w:rFonts w:hint="eastAsia" w:ascii="宋体" w:hAnsi="宋体" w:eastAsia="宋体" w:cs="宋体"/>
          <w:color w:val="000000"/>
          <w:kern w:val="0"/>
          <w:sz w:val="24"/>
          <w:szCs w:val="24"/>
          <w:lang w:val="en-US" w:eastAsia="zh-CN" w:bidi="ar"/>
        </w:rPr>
        <w:t>土、粉质粘土和砂、砂砾石等。</w:t>
      </w:r>
    </w:p>
    <w:p>
      <w:pPr>
        <w:keepNext w:val="0"/>
        <w:keepLines w:val="0"/>
        <w:widowControl/>
        <w:suppressLineNumbers w:val="0"/>
        <w:jc w:val="left"/>
        <w:rPr>
          <w:b/>
          <w:bCs/>
        </w:rPr>
      </w:pPr>
      <w:r>
        <w:rPr>
          <w:rFonts w:hint="default" w:ascii="Times New Roman" w:hAnsi="Times New Roman" w:eastAsia="宋体" w:cs="Times New Roman"/>
          <w:b/>
          <w:bCs/>
          <w:color w:val="000000"/>
          <w:kern w:val="0"/>
          <w:sz w:val="24"/>
          <w:szCs w:val="24"/>
          <w:lang w:val="en-US" w:eastAsia="zh-CN" w:bidi="ar"/>
        </w:rPr>
        <w:t>6.</w:t>
      </w:r>
      <w:r>
        <w:rPr>
          <w:rFonts w:hint="eastAsia" w:cs="Times New Roman"/>
          <w:b/>
          <w:bCs/>
          <w:color w:val="000000"/>
          <w:kern w:val="0"/>
          <w:sz w:val="24"/>
          <w:szCs w:val="24"/>
          <w:lang w:val="en-US" w:eastAsia="zh-CN" w:bidi="ar"/>
        </w:rPr>
        <w:t>5.3.2</w:t>
      </w:r>
      <w:r>
        <w:rPr>
          <w:rFonts w:hint="eastAsia" w:ascii="宋体" w:hAnsi="宋体" w:eastAsia="宋体" w:cs="宋体"/>
          <w:b/>
          <w:bCs/>
          <w:color w:val="000000"/>
          <w:kern w:val="0"/>
          <w:sz w:val="24"/>
          <w:szCs w:val="24"/>
          <w:lang w:val="en-US" w:eastAsia="zh-CN" w:bidi="ar"/>
        </w:rPr>
        <w:t>层岩性与构造</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（一）地层岩性</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在河南省地层区划中，评价区属华北地层区豫西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豫东南分区。评价区内的主要地层由老到新分述如下：</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）上元古界震旦系（</w:t>
      </w:r>
      <w:r>
        <w:rPr>
          <w:rFonts w:hint="default" w:ascii="Times New Roman" w:hAnsi="Times New Roman" w:eastAsia="宋体" w:cs="Times New Roman"/>
          <w:color w:val="000000"/>
          <w:kern w:val="0"/>
          <w:sz w:val="24"/>
          <w:szCs w:val="24"/>
          <w:lang w:val="en-US" w:eastAsia="zh-CN" w:bidi="ar"/>
        </w:rPr>
        <w:t>Z</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分布于汝州市蟒川镇南部，宝丰县西部和南部，鲁山县瓦屋乡岳村北部、梁洼镇西部和下汤镇北部，平顶山矿区西南部，郏县北部地区，叶县常村，舞钢市柏庄寨、上曹和尹集一带。自下而上分为罗圈组、东坡组、黄连垛组和董家组。与下伏洛峪群崔庄组呈平行不整合接触。</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①罗圈组（</w:t>
      </w:r>
      <w:r>
        <w:rPr>
          <w:rFonts w:hint="default" w:ascii="Times New Roman" w:hAnsi="Times New Roman" w:eastAsia="宋体" w:cs="Times New Roman"/>
          <w:color w:val="000000"/>
          <w:kern w:val="0"/>
          <w:sz w:val="24"/>
          <w:szCs w:val="24"/>
          <w:lang w:val="en-US" w:eastAsia="zh-CN" w:bidi="ar"/>
        </w:rPr>
        <w:t>Zl</w:t>
      </w:r>
      <w:r>
        <w:rPr>
          <w:rFonts w:hint="eastAsia" w:ascii="宋体" w:hAnsi="宋体" w:eastAsia="宋体" w:cs="宋体"/>
          <w:color w:val="000000"/>
          <w:kern w:val="0"/>
          <w:sz w:val="24"/>
          <w:szCs w:val="24"/>
          <w:lang w:val="en-US" w:eastAsia="zh-CN" w:bidi="ar"/>
        </w:rPr>
        <w:t>）：岩性为砖红</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灰绿色含砾砂泥岩、紫红色块状钙质泥砾岩等。属冰川成因。厚</w:t>
      </w:r>
      <w:r>
        <w:rPr>
          <w:rFonts w:hint="default" w:ascii="Times New Roman" w:hAnsi="Times New Roman" w:eastAsia="宋体" w:cs="Times New Roman"/>
          <w:color w:val="000000"/>
          <w:kern w:val="0"/>
          <w:sz w:val="24"/>
          <w:szCs w:val="24"/>
          <w:lang w:val="en-US" w:eastAsia="zh-CN" w:bidi="ar"/>
        </w:rPr>
        <w:t>91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②东坡组（</w:t>
      </w:r>
      <w:r>
        <w:rPr>
          <w:rFonts w:hint="default" w:ascii="Times New Roman" w:hAnsi="Times New Roman" w:eastAsia="宋体" w:cs="Times New Roman"/>
          <w:color w:val="000000"/>
          <w:kern w:val="0"/>
          <w:sz w:val="24"/>
          <w:szCs w:val="24"/>
          <w:lang w:val="en-US" w:eastAsia="zh-CN" w:bidi="ar"/>
        </w:rPr>
        <w:t>Zd</w:t>
      </w:r>
      <w:r>
        <w:rPr>
          <w:rFonts w:hint="eastAsia" w:ascii="宋体" w:hAnsi="宋体" w:eastAsia="宋体" w:cs="宋体"/>
          <w:color w:val="000000"/>
          <w:kern w:val="0"/>
          <w:sz w:val="24"/>
          <w:szCs w:val="24"/>
          <w:lang w:val="en-US" w:eastAsia="zh-CN" w:bidi="ar"/>
        </w:rPr>
        <w:t>）：岩性主要为红褐粉砂质页岩、灰绿色页岩，上部夹海绿石粉砂岩。属浅海沉积。厚约</w:t>
      </w:r>
      <w:r>
        <w:rPr>
          <w:rFonts w:hint="default" w:ascii="Times New Roman" w:hAnsi="Times New Roman" w:eastAsia="宋体" w:cs="Times New Roman"/>
          <w:color w:val="000000"/>
          <w:kern w:val="0"/>
          <w:sz w:val="24"/>
          <w:szCs w:val="24"/>
          <w:lang w:val="en-US" w:eastAsia="zh-CN" w:bidi="ar"/>
        </w:rPr>
        <w:t>94m</w:t>
      </w:r>
      <w:r>
        <w:rPr>
          <w:rFonts w:hint="eastAsia" w:ascii="宋体" w:hAnsi="宋体" w:eastAsia="宋体" w:cs="宋体"/>
          <w:color w:val="000000"/>
          <w:kern w:val="0"/>
          <w:sz w:val="24"/>
          <w:szCs w:val="24"/>
          <w:lang w:val="en-US" w:eastAsia="zh-CN" w:bidi="ar"/>
        </w:rPr>
        <w:t>。该组是伊利石矿的含矿层位。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③黄连垛组（</w:t>
      </w:r>
      <w:r>
        <w:rPr>
          <w:rFonts w:hint="default" w:ascii="Times New Roman" w:hAnsi="Times New Roman" w:eastAsia="宋体" w:cs="Times New Roman"/>
          <w:color w:val="000000"/>
          <w:kern w:val="0"/>
          <w:sz w:val="24"/>
          <w:szCs w:val="24"/>
          <w:lang w:val="en-US" w:eastAsia="zh-CN" w:bidi="ar"/>
        </w:rPr>
        <w:t>Zh</w:t>
      </w:r>
      <w:r>
        <w:rPr>
          <w:rFonts w:hint="eastAsia" w:ascii="宋体" w:hAnsi="宋体" w:eastAsia="宋体" w:cs="宋体"/>
          <w:color w:val="000000"/>
          <w:kern w:val="0"/>
          <w:sz w:val="24"/>
          <w:szCs w:val="24"/>
          <w:lang w:val="en-US" w:eastAsia="zh-CN" w:bidi="ar"/>
        </w:rPr>
        <w:t>）：岩性主要为硅质条带白云岩、白云岩，夹砂砾岩及石英砂岩，底为砾岩，顶为燧石岩。厚</w:t>
      </w:r>
      <w:r>
        <w:rPr>
          <w:rFonts w:hint="default" w:ascii="Times New Roman" w:hAnsi="Times New Roman" w:eastAsia="宋体" w:cs="Times New Roman"/>
          <w:color w:val="000000"/>
          <w:kern w:val="0"/>
          <w:sz w:val="24"/>
          <w:szCs w:val="24"/>
          <w:lang w:val="en-US" w:eastAsia="zh-CN" w:bidi="ar"/>
        </w:rPr>
        <w:t>133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445m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④董家组（</w:t>
      </w:r>
      <w:r>
        <w:rPr>
          <w:rFonts w:hint="default" w:ascii="Times New Roman" w:hAnsi="Times New Roman" w:eastAsia="宋体" w:cs="Times New Roman"/>
          <w:color w:val="000000"/>
          <w:kern w:val="0"/>
          <w:sz w:val="24"/>
          <w:szCs w:val="24"/>
          <w:lang w:val="en-US" w:eastAsia="zh-CN" w:bidi="ar"/>
        </w:rPr>
        <w:t>Zdj</w:t>
      </w:r>
      <w:r>
        <w:rPr>
          <w:rFonts w:hint="eastAsia" w:ascii="宋体" w:hAnsi="宋体" w:eastAsia="宋体" w:cs="宋体"/>
          <w:color w:val="000000"/>
          <w:kern w:val="0"/>
          <w:sz w:val="24"/>
          <w:szCs w:val="24"/>
          <w:lang w:val="en-US" w:eastAsia="zh-CN" w:bidi="ar"/>
        </w:rPr>
        <w:t>）：以灰白色厚层</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中厚层砂砾岩与下伏黄连垛组呈假整合接触。上部以黄色、淡红色厚层状泥质白云质灰岩与上覆罗圈组假整合接触。岩性主要由砂砾岩、碎屑岩、泥质碳酸盐岩组成。厚</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260m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）下古生界寒武系（∈）</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广泛出露于汝州市北部和西南部，宝丰县南部，鲁山县梁洼镇段店、瓦屋乡岳村北部、下汤镇北部，郏县北部，石龙区，叶县保安东部一带。舞钢市柏庄寨、尹集有零星出露。平行不整合于震旦系东坡组之上。自下而上分为下统辛集组、朱砂硐组、馒头组，中统毛庄组、徐庄组和张夏组，上统崮山组和长山组，各组之间为整合接触。</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①辛集组（∈</w:t>
      </w:r>
      <w:r>
        <w:rPr>
          <w:rFonts w:hint="default" w:ascii="Times New Roman" w:hAnsi="Times New Roman" w:eastAsia="宋体" w:cs="Times New Roman"/>
          <w:color w:val="000000"/>
          <w:kern w:val="0"/>
          <w:sz w:val="24"/>
          <w:szCs w:val="24"/>
          <w:lang w:val="en-US" w:eastAsia="zh-CN" w:bidi="ar"/>
        </w:rPr>
        <w:t>1x</w:t>
      </w:r>
      <w:r>
        <w:rPr>
          <w:rFonts w:hint="eastAsia" w:ascii="宋体" w:hAnsi="宋体" w:eastAsia="宋体" w:cs="宋体"/>
          <w:color w:val="000000"/>
          <w:kern w:val="0"/>
          <w:sz w:val="24"/>
          <w:szCs w:val="24"/>
          <w:lang w:val="en-US" w:eastAsia="zh-CN" w:bidi="ar"/>
        </w:rPr>
        <w:t>）：下部为含磷砂砾岩夹含海绿石砂岩，中部为生物碎屑灰岩夹含海绿石砂岩，上部为含鲕粒粉晶灰岩。厚</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86m</w:t>
      </w:r>
      <w:r>
        <w:rPr>
          <w:rFonts w:hint="eastAsia" w:ascii="宋体" w:hAnsi="宋体" w:eastAsia="宋体" w:cs="宋体"/>
          <w:color w:val="000000"/>
          <w:kern w:val="0"/>
          <w:sz w:val="24"/>
          <w:szCs w:val="24"/>
          <w:lang w:val="en-US" w:eastAsia="zh-CN" w:bidi="ar"/>
        </w:rPr>
        <w:t>。该组是重要含磷层位。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②朱砂硐组（∈</w:t>
      </w:r>
      <w:r>
        <w:rPr>
          <w:rFonts w:hint="default" w:ascii="Times New Roman" w:hAnsi="Times New Roman" w:eastAsia="宋体" w:cs="Times New Roman"/>
          <w:color w:val="000000"/>
          <w:kern w:val="0"/>
          <w:sz w:val="24"/>
          <w:szCs w:val="24"/>
          <w:lang w:val="en-US" w:eastAsia="zh-CN" w:bidi="ar"/>
        </w:rPr>
        <w:t>1z</w:t>
      </w:r>
      <w:r>
        <w:rPr>
          <w:rFonts w:hint="eastAsia" w:ascii="宋体" w:hAnsi="宋体" w:eastAsia="宋体" w:cs="宋体"/>
          <w:color w:val="000000"/>
          <w:kern w:val="0"/>
          <w:sz w:val="24"/>
          <w:szCs w:val="24"/>
          <w:lang w:val="en-US" w:eastAsia="zh-CN" w:bidi="ar"/>
        </w:rPr>
        <w:t>）：主要为灰色厚层状白云质灰岩、含燧石白云质灰岩、豹皮状灰岩等。厚</w:t>
      </w:r>
      <w:r>
        <w:rPr>
          <w:rFonts w:hint="default" w:ascii="Times New Roman" w:hAnsi="Times New Roman" w:eastAsia="宋体" w:cs="Times New Roman"/>
          <w:color w:val="000000"/>
          <w:kern w:val="0"/>
          <w:sz w:val="24"/>
          <w:szCs w:val="24"/>
          <w:lang w:val="en-US" w:eastAsia="zh-CN" w:bidi="ar"/>
        </w:rPr>
        <w:t>42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101m</w:t>
      </w:r>
      <w:r>
        <w:rPr>
          <w:rFonts w:hint="eastAsia" w:ascii="宋体" w:hAnsi="宋体" w:eastAsia="宋体" w:cs="宋体"/>
          <w:color w:val="000000"/>
          <w:kern w:val="0"/>
          <w:sz w:val="24"/>
          <w:szCs w:val="24"/>
          <w:lang w:val="en-US" w:eastAsia="zh-CN" w:bidi="ar"/>
        </w:rPr>
        <w:t>。区域上该组是重要的含石膏层位。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③馒头组（∈</w:t>
      </w:r>
      <w:r>
        <w:rPr>
          <w:rFonts w:hint="default" w:ascii="Times New Roman" w:hAnsi="Times New Roman" w:eastAsia="宋体" w:cs="Times New Roman"/>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）：下部为细砂屑石灰岩、含粉晶白云岩、白云质灰岩；中部为泥晶</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细粉晶灰岩、白云岩，上部为泥质粉砂岩夹页岩等。厚</w:t>
      </w:r>
      <w:r>
        <w:rPr>
          <w:rFonts w:hint="default" w:ascii="Times New Roman" w:hAnsi="Times New Roman" w:eastAsia="宋体" w:cs="Times New Roman"/>
          <w:color w:val="000000"/>
          <w:kern w:val="0"/>
          <w:sz w:val="24"/>
          <w:szCs w:val="24"/>
          <w:lang w:val="en-US" w:eastAsia="zh-CN" w:bidi="ar"/>
        </w:rPr>
        <w:t>84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180m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④毛庄组（∈</w:t>
      </w:r>
      <w:r>
        <w:rPr>
          <w:rFonts w:hint="default" w:ascii="Times New Roman" w:hAnsi="Times New Roman" w:eastAsia="宋体" w:cs="Times New Roman"/>
          <w:color w:val="000000"/>
          <w:kern w:val="0"/>
          <w:sz w:val="24"/>
          <w:szCs w:val="24"/>
          <w:lang w:val="en-US" w:eastAsia="zh-CN" w:bidi="ar"/>
        </w:rPr>
        <w:t>2mz</w:t>
      </w:r>
      <w:r>
        <w:rPr>
          <w:rFonts w:hint="eastAsia" w:ascii="宋体" w:hAnsi="宋体" w:eastAsia="宋体" w:cs="宋体"/>
          <w:color w:val="000000"/>
          <w:kern w:val="0"/>
          <w:sz w:val="24"/>
          <w:szCs w:val="24"/>
          <w:lang w:val="en-US" w:eastAsia="zh-CN" w:bidi="ar"/>
        </w:rPr>
        <w:t>）：主要为暗紫红色泥质粉砂岩、粉砂岩夹紫红色泥岩，藻屑灰岩、鲕粒灰岩和泥晶灰岩等。厚</w:t>
      </w:r>
      <w:r>
        <w:rPr>
          <w:rFonts w:hint="default" w:ascii="Times New Roman" w:hAnsi="Times New Roman" w:eastAsia="宋体" w:cs="Times New Roman"/>
          <w:color w:val="000000"/>
          <w:kern w:val="0"/>
          <w:sz w:val="24"/>
          <w:szCs w:val="24"/>
          <w:lang w:val="en-US" w:eastAsia="zh-CN" w:bidi="ar"/>
        </w:rPr>
        <w:t>65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138m</w:t>
      </w:r>
      <w:r>
        <w:rPr>
          <w:rFonts w:hint="eastAsia" w:ascii="宋体" w:hAnsi="宋体" w:eastAsia="宋体" w:cs="宋体"/>
          <w:color w:val="000000"/>
          <w:kern w:val="0"/>
          <w:sz w:val="24"/>
          <w:szCs w:val="24"/>
          <w:lang w:val="en-US" w:eastAsia="zh-CN" w:bidi="ar"/>
        </w:rPr>
        <w:t>。该组是紫砂陶陶瓷土含矿层</w:t>
      </w:r>
      <w:r>
        <w:rPr>
          <w:rFonts w:hint="eastAsia" w:ascii="宋体" w:hAnsi="宋体" w:cs="宋体"/>
          <w:color w:val="000000"/>
          <w:kern w:val="0"/>
          <w:sz w:val="24"/>
          <w:szCs w:val="24"/>
          <w:lang w:val="en-US" w:eastAsia="zh-CN" w:bidi="ar"/>
        </w:rPr>
        <w:t>位置</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⑤徐庄组（∈</w:t>
      </w:r>
      <w:r>
        <w:rPr>
          <w:rFonts w:hint="default" w:ascii="Times New Roman" w:hAnsi="Times New Roman" w:eastAsia="宋体" w:cs="Times New Roman"/>
          <w:color w:val="000000"/>
          <w:kern w:val="0"/>
          <w:sz w:val="24"/>
          <w:szCs w:val="24"/>
          <w:lang w:val="en-US" w:eastAsia="zh-CN" w:bidi="ar"/>
        </w:rPr>
        <w:t>2x</w:t>
      </w:r>
      <w:r>
        <w:rPr>
          <w:rFonts w:hint="eastAsia" w:ascii="宋体" w:hAnsi="宋体" w:eastAsia="宋体" w:cs="宋体"/>
          <w:color w:val="000000"/>
          <w:kern w:val="0"/>
          <w:sz w:val="24"/>
          <w:szCs w:val="24"/>
          <w:lang w:val="en-US" w:eastAsia="zh-CN" w:bidi="ar"/>
        </w:rPr>
        <w:t>）：下部为泥质粉砂岩、粉砂质页岩夹薄层藻屑灰岩、泥晶灰岩。上部为中薄层鲕粒灰岩、砾屑灰岩、生物碎屑灰岩夹细砂岩、粉砂岩。厚</w:t>
      </w:r>
      <w:r>
        <w:rPr>
          <w:rFonts w:hint="default" w:ascii="Times New Roman" w:hAnsi="Times New Roman" w:eastAsia="宋体" w:cs="Times New Roman"/>
          <w:color w:val="000000"/>
          <w:kern w:val="0"/>
          <w:sz w:val="24"/>
          <w:szCs w:val="24"/>
          <w:lang w:val="en-US" w:eastAsia="zh-CN" w:bidi="ar"/>
        </w:rPr>
        <w:t>42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343m</w:t>
      </w:r>
      <w:r>
        <w:rPr>
          <w:rFonts w:hint="eastAsia" w:ascii="宋体" w:hAnsi="宋体" w:eastAsia="宋体" w:cs="宋体"/>
          <w:color w:val="000000"/>
          <w:kern w:val="0"/>
          <w:sz w:val="24"/>
          <w:szCs w:val="24"/>
          <w:lang w:val="en-US" w:eastAsia="zh-CN" w:bidi="ar"/>
        </w:rPr>
        <w:t>。该组是水泥灰岩重要含矿层位。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⑥张夏组（∈</w:t>
      </w:r>
      <w:r>
        <w:rPr>
          <w:rFonts w:hint="default" w:ascii="Times New Roman" w:hAnsi="Times New Roman" w:eastAsia="宋体" w:cs="Times New Roman"/>
          <w:color w:val="000000"/>
          <w:kern w:val="0"/>
          <w:sz w:val="24"/>
          <w:szCs w:val="24"/>
          <w:lang w:val="en-US" w:eastAsia="zh-CN" w:bidi="ar"/>
        </w:rPr>
        <w:t>2zh</w:t>
      </w:r>
      <w:r>
        <w:rPr>
          <w:rFonts w:hint="eastAsia" w:ascii="宋体" w:hAnsi="宋体" w:eastAsia="宋体" w:cs="宋体"/>
          <w:color w:val="000000"/>
          <w:kern w:val="0"/>
          <w:sz w:val="24"/>
          <w:szCs w:val="24"/>
          <w:lang w:val="en-US" w:eastAsia="zh-CN" w:bidi="ar"/>
        </w:rPr>
        <w:t>）：下部以鲕粒灰岩为主，夹生物碎屑灰岩、泥晶灰岩等。上部为细晶白云岩、泥砂质白云岩及白云质灰岩等。厚</w:t>
      </w:r>
      <w:r>
        <w:rPr>
          <w:rFonts w:hint="default" w:ascii="Times New Roman" w:hAnsi="Times New Roman" w:eastAsia="宋体" w:cs="Times New Roman"/>
          <w:color w:val="000000"/>
          <w:kern w:val="0"/>
          <w:sz w:val="24"/>
          <w:szCs w:val="24"/>
          <w:lang w:val="en-US" w:eastAsia="zh-CN" w:bidi="ar"/>
        </w:rPr>
        <w:t>58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141m</w:t>
      </w:r>
      <w:r>
        <w:rPr>
          <w:rFonts w:hint="eastAsia" w:ascii="宋体" w:hAnsi="宋体" w:eastAsia="宋体" w:cs="宋体"/>
          <w:color w:val="000000"/>
          <w:kern w:val="0"/>
          <w:sz w:val="24"/>
          <w:szCs w:val="24"/>
          <w:lang w:val="en-US" w:eastAsia="zh-CN" w:bidi="ar"/>
        </w:rPr>
        <w:t>。该组是水泥灰岩、白云岩的重要含矿层位。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⑦崮山组（∈</w:t>
      </w:r>
      <w:r>
        <w:rPr>
          <w:rFonts w:hint="default" w:ascii="Times New Roman" w:hAnsi="Times New Roman" w:eastAsia="宋体" w:cs="Times New Roman"/>
          <w:color w:val="000000"/>
          <w:kern w:val="0"/>
          <w:sz w:val="24"/>
          <w:szCs w:val="24"/>
          <w:lang w:val="en-US" w:eastAsia="zh-CN" w:bidi="ar"/>
        </w:rPr>
        <w:t>3g</w:t>
      </w:r>
      <w:r>
        <w:rPr>
          <w:rFonts w:hint="eastAsia" w:ascii="宋体" w:hAnsi="宋体" w:eastAsia="宋体" w:cs="宋体"/>
          <w:color w:val="000000"/>
          <w:kern w:val="0"/>
          <w:sz w:val="24"/>
          <w:szCs w:val="24"/>
          <w:lang w:val="en-US" w:eastAsia="zh-CN" w:bidi="ar"/>
        </w:rPr>
        <w:t>）：上部为黄色薄板状含泥质条带白云质灰岩，下部为深灰色、灰色厚层鲕状白云质灰岩。厚</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189m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⑧长山组（∈</w:t>
      </w:r>
      <w:r>
        <w:rPr>
          <w:rFonts w:hint="default" w:ascii="Times New Roman" w:hAnsi="Times New Roman" w:eastAsia="宋体" w:cs="Times New Roman"/>
          <w:color w:val="000000"/>
          <w:kern w:val="0"/>
          <w:sz w:val="24"/>
          <w:szCs w:val="24"/>
          <w:lang w:val="en-US" w:eastAsia="zh-CN" w:bidi="ar"/>
        </w:rPr>
        <w:t>3c</w:t>
      </w:r>
      <w:r>
        <w:rPr>
          <w:rFonts w:hint="eastAsia" w:ascii="宋体" w:hAnsi="宋体" w:eastAsia="宋体" w:cs="宋体"/>
          <w:color w:val="000000"/>
          <w:kern w:val="0"/>
          <w:sz w:val="24"/>
          <w:szCs w:val="24"/>
          <w:lang w:val="en-US" w:eastAsia="zh-CN" w:bidi="ar"/>
        </w:rPr>
        <w:t>）：上部为淡黄色泥质白云质灰岩，下部为灰色厚层状白云质灰岩。厚</w:t>
      </w:r>
      <w:r>
        <w:rPr>
          <w:rFonts w:hint="default" w:ascii="Times New Roman" w:hAnsi="Times New Roman" w:eastAsia="宋体" w:cs="Times New Roman"/>
          <w:color w:val="000000"/>
          <w:kern w:val="0"/>
          <w:sz w:val="24"/>
          <w:szCs w:val="24"/>
          <w:lang w:val="en-US" w:eastAsia="zh-CN" w:bidi="ar"/>
        </w:rPr>
        <w:t>52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120m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）上古生界</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）石炭系（</w:t>
      </w:r>
      <w:r>
        <w:rPr>
          <w:rFonts w:hint="default" w:ascii="Times New Roman" w:hAnsi="Times New Roman" w:eastAsia="宋体" w:cs="Times New Roman"/>
          <w:color w:val="000000"/>
          <w:kern w:val="0"/>
          <w:sz w:val="24"/>
          <w:szCs w:val="24"/>
          <w:lang w:val="en-US" w:eastAsia="zh-CN" w:bidi="ar"/>
        </w:rPr>
        <w:t>C</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分布于汝州市寄料镇和蟒川镇，宝丰县，郏县北部，市区仅零星出露。自下而上分为本溪组和太原组。</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①本溪组（</w:t>
      </w:r>
      <w:r>
        <w:rPr>
          <w:rFonts w:hint="default" w:ascii="Times New Roman" w:hAnsi="Times New Roman" w:eastAsia="宋体" w:cs="Times New Roman"/>
          <w:color w:val="000000"/>
          <w:kern w:val="0"/>
          <w:sz w:val="24"/>
          <w:szCs w:val="24"/>
          <w:lang w:val="en-US" w:eastAsia="zh-CN" w:bidi="ar"/>
        </w:rPr>
        <w:t>C2b</w:t>
      </w:r>
      <w:r>
        <w:rPr>
          <w:rFonts w:hint="eastAsia" w:ascii="宋体" w:hAnsi="宋体" w:eastAsia="宋体" w:cs="宋体"/>
          <w:color w:val="000000"/>
          <w:kern w:val="0"/>
          <w:sz w:val="24"/>
          <w:szCs w:val="24"/>
          <w:lang w:val="en-US" w:eastAsia="zh-CN" w:bidi="ar"/>
        </w:rPr>
        <w:t>）：主要由铝土矿、铝土质页岩、赤铁矿、铁铝质粘土岩组成。厚</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16m</w:t>
      </w:r>
      <w:r>
        <w:rPr>
          <w:rFonts w:hint="eastAsia" w:ascii="宋体" w:hAnsi="宋体" w:eastAsia="宋体" w:cs="宋体"/>
          <w:color w:val="000000"/>
          <w:kern w:val="0"/>
          <w:sz w:val="24"/>
          <w:szCs w:val="24"/>
          <w:lang w:val="en-US" w:eastAsia="zh-CN" w:bidi="ar"/>
        </w:rPr>
        <w:t>。该组是铁矿、铝土矿、耐火粘土矿及陶瓷粘土的重要含矿层位。</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②太原组（</w:t>
      </w:r>
      <w:r>
        <w:rPr>
          <w:rFonts w:hint="default" w:ascii="Times New Roman" w:hAnsi="Times New Roman" w:eastAsia="宋体" w:cs="Times New Roman"/>
          <w:color w:val="000000"/>
          <w:kern w:val="0"/>
          <w:sz w:val="24"/>
          <w:szCs w:val="24"/>
          <w:lang w:val="en-US" w:eastAsia="zh-CN" w:bidi="ar"/>
        </w:rPr>
        <w:t>C3t</w:t>
      </w:r>
      <w:r>
        <w:rPr>
          <w:rFonts w:hint="eastAsia" w:ascii="宋体" w:hAnsi="宋体" w:eastAsia="宋体" w:cs="宋体"/>
          <w:color w:val="000000"/>
          <w:kern w:val="0"/>
          <w:sz w:val="24"/>
          <w:szCs w:val="24"/>
          <w:lang w:val="en-US" w:eastAsia="zh-CN" w:bidi="ar"/>
        </w:rPr>
        <w:t>）：下部为灰岩夹薄层煤（线），中部为泥岩夹薄层粉砂岩，上部为燧石团块灰岩、灰岩夹灰色砂岩。厚</w:t>
      </w:r>
      <w:r>
        <w:rPr>
          <w:rFonts w:hint="default" w:ascii="Times New Roman" w:hAnsi="Times New Roman" w:eastAsia="宋体" w:cs="Times New Roman"/>
          <w:color w:val="000000"/>
          <w:kern w:val="0"/>
          <w:sz w:val="24"/>
          <w:szCs w:val="24"/>
          <w:lang w:val="en-US" w:eastAsia="zh-CN" w:bidi="ar"/>
        </w:rPr>
        <w:t>7.5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105m</w:t>
      </w:r>
      <w:r>
        <w:rPr>
          <w:rFonts w:hint="eastAsia" w:ascii="宋体" w:hAnsi="宋体" w:eastAsia="宋体" w:cs="宋体"/>
          <w:color w:val="000000"/>
          <w:kern w:val="0"/>
          <w:sz w:val="24"/>
          <w:szCs w:val="24"/>
          <w:lang w:val="en-US" w:eastAsia="zh-CN" w:bidi="ar"/>
        </w:rPr>
        <w:t>。是煤、熔剂灰岩的重要含矿层。</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）二叠系（</w:t>
      </w:r>
      <w:r>
        <w:rPr>
          <w:rFonts w:hint="default" w:ascii="Times New Roman" w:hAnsi="Times New Roman" w:eastAsia="宋体" w:cs="Times New Roman"/>
          <w:color w:val="000000"/>
          <w:kern w:val="0"/>
          <w:sz w:val="24"/>
          <w:szCs w:val="24"/>
          <w:lang w:val="en-US" w:eastAsia="zh-CN" w:bidi="ar"/>
        </w:rPr>
        <w:t>P</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分布于汝州市小屯乡的朝川、临汝镇北部的暴雨山、寄料镇、焦古山周围，宝丰县，鲁山县梁洼镇，市区平顶山和韩梁矿区，郏县北部和东南部，是主要的含煤岩系。整合于石炭系太原组之上。自下而上分为山西组、石盒子组（</w:t>
      </w:r>
      <w:r>
        <w:rPr>
          <w:rFonts w:hint="default" w:ascii="Times New Roman" w:hAnsi="Times New Roman" w:eastAsia="宋体" w:cs="Times New Roman"/>
          <w:color w:val="000000"/>
          <w:kern w:val="0"/>
          <w:sz w:val="24"/>
          <w:szCs w:val="24"/>
          <w:lang w:val="en-US" w:eastAsia="zh-CN" w:bidi="ar"/>
        </w:rPr>
        <w:t>P1-2s</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left="0" w:leftChars="0" w:firstLine="480" w:firstLineChars="200"/>
        <w:jc w:val="both"/>
      </w:pPr>
      <w:r>
        <w:rPr>
          <w:rFonts w:hint="eastAsia" w:ascii="宋体" w:hAnsi="宋体" w:eastAsia="宋体" w:cs="宋体"/>
          <w:color w:val="000000"/>
          <w:kern w:val="0"/>
          <w:sz w:val="24"/>
          <w:szCs w:val="24"/>
          <w:lang w:val="en-US" w:eastAsia="zh-CN" w:bidi="ar"/>
        </w:rPr>
        <w:t>①山西组（</w:t>
      </w:r>
      <w:r>
        <w:rPr>
          <w:rFonts w:hint="default" w:ascii="Times New Roman" w:hAnsi="Times New Roman" w:eastAsia="宋体" w:cs="Times New Roman"/>
          <w:color w:val="000000"/>
          <w:kern w:val="0"/>
          <w:sz w:val="24"/>
          <w:szCs w:val="24"/>
          <w:lang w:val="en-US" w:eastAsia="zh-CN" w:bidi="ar"/>
        </w:rPr>
        <w:t>P1s</w:t>
      </w:r>
      <w:r>
        <w:rPr>
          <w:rFonts w:hint="eastAsia" w:ascii="宋体" w:hAnsi="宋体" w:eastAsia="宋体" w:cs="宋体"/>
          <w:color w:val="000000"/>
          <w:kern w:val="0"/>
          <w:sz w:val="24"/>
          <w:szCs w:val="24"/>
          <w:lang w:val="en-US" w:eastAsia="zh-CN" w:bidi="ar"/>
        </w:rPr>
        <w:t>）：岩性主要为灰白色中细粒长石石英砂岩、泥岩、深灰色细粒长石石英砂岩，夹二</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煤，上部为灰色杂斑含铝土泥岩。厚约</w:t>
      </w:r>
      <w:r>
        <w:rPr>
          <w:rFonts w:hint="default" w:ascii="Times New Roman" w:hAnsi="Times New Roman" w:eastAsia="宋体" w:cs="Times New Roman"/>
          <w:color w:val="000000"/>
          <w:kern w:val="0"/>
          <w:sz w:val="24"/>
          <w:szCs w:val="24"/>
          <w:lang w:val="en-US" w:eastAsia="zh-CN" w:bidi="ar"/>
        </w:rPr>
        <w:t>87.5m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②石盒子组（</w:t>
      </w:r>
      <w:r>
        <w:rPr>
          <w:rFonts w:hint="default" w:ascii="Times New Roman" w:hAnsi="Times New Roman" w:eastAsia="宋体" w:cs="Times New Roman"/>
          <w:color w:val="000000"/>
          <w:kern w:val="0"/>
          <w:sz w:val="24"/>
          <w:szCs w:val="24"/>
          <w:lang w:val="en-US" w:eastAsia="zh-CN" w:bidi="ar"/>
        </w:rPr>
        <w:t>P2s</w:t>
      </w:r>
      <w:r>
        <w:rPr>
          <w:rFonts w:hint="eastAsia" w:ascii="宋体" w:hAnsi="宋体" w:eastAsia="宋体" w:cs="宋体"/>
          <w:color w:val="000000"/>
          <w:kern w:val="0"/>
          <w:sz w:val="24"/>
          <w:szCs w:val="24"/>
          <w:lang w:val="en-US" w:eastAsia="zh-CN" w:bidi="ar"/>
        </w:rPr>
        <w:t>）：为一套黄绿、灰紫红色页岩、泥岩、粉砂岩、长石石英砂岩等组成的河湖相沉积组成，局部夹薄煤层。</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）二叠系</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三叠系下统石千峰群（</w:t>
      </w:r>
      <w:r>
        <w:rPr>
          <w:rFonts w:hint="default" w:ascii="Times New Roman" w:hAnsi="Times New Roman" w:eastAsia="宋体" w:cs="Times New Roman"/>
          <w:color w:val="000000"/>
          <w:kern w:val="0"/>
          <w:sz w:val="24"/>
          <w:szCs w:val="24"/>
          <w:lang w:val="en-US" w:eastAsia="zh-CN" w:bidi="ar"/>
        </w:rPr>
        <w:t>P2sh</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分布于宝丰县，鲁山县梁洼镇，郏县北部、市区平顶山和韩梁矿区。自下而上划分为孙家沟组、刘家沟组、和尚沟组。</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①孙家沟组：由一套砖红、紫红色粘土岩夹紫红、灰绿色长石砂岩、长石石英砂岩及灰绿、灰白色页岩和泥灰岩透镜体等湖相沉积组成。局部含石膏。</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②刘家沟组：主要岩性为灰紫、紫红色细砂岩、长石砂岩、石英砂岩、钙质粉砂岩，夹砂质粘土岩。</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③和尚沟组：主要岩性为鲜红、暗紫红色钙质、砂质粘土岩、粉砂岩，夹暗紫、灰白色长石石英砂岩、含钙质结核。</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）中生界白垩系（</w:t>
      </w:r>
      <w:r>
        <w:rPr>
          <w:rFonts w:hint="default" w:ascii="Times New Roman" w:hAnsi="Times New Roman" w:eastAsia="宋体" w:cs="Times New Roman"/>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分布于宝丰县大营镇、鲁山县梁洼镇一带。为一套河湖相火山喷发岩系，与下伏二叠系石千峰群呈角度不整合接触。下部为紫红、灰绿、深灰色泥质粉砂岩、粘土岩夹砾岩、泥灰岩；中、上部为玄武岩、安山玢岩、火山角砾岩夹紫红</w:t>
      </w:r>
      <w:r>
        <w:rPr>
          <w:rFonts w:hint="eastAsia" w:ascii="宋体" w:hAnsi="宋体" w:cs="宋体"/>
          <w:color w:val="000000"/>
          <w:kern w:val="0"/>
          <w:sz w:val="24"/>
          <w:szCs w:val="24"/>
          <w:lang w:val="en-US" w:eastAsia="zh-CN" w:bidi="ar"/>
        </w:rPr>
        <w:t>色母粒</w:t>
      </w:r>
      <w:r>
        <w:rPr>
          <w:rFonts w:hint="eastAsia" w:ascii="宋体" w:hAnsi="宋体" w:eastAsia="宋体" w:cs="宋体"/>
          <w:color w:val="000000"/>
          <w:kern w:val="0"/>
          <w:sz w:val="24"/>
          <w:szCs w:val="24"/>
          <w:lang w:val="en-US" w:eastAsia="zh-CN" w:bidi="ar"/>
        </w:rPr>
        <w:t>砂质粘土岩。厚</w:t>
      </w:r>
      <w:r>
        <w:rPr>
          <w:rFonts w:hint="default" w:ascii="Times New Roman" w:hAnsi="Times New Roman" w:eastAsia="宋体" w:cs="Times New Roman"/>
          <w:color w:val="000000"/>
          <w:kern w:val="0"/>
          <w:sz w:val="24"/>
          <w:szCs w:val="24"/>
          <w:lang w:val="en-US" w:eastAsia="zh-CN" w:bidi="ar"/>
        </w:rPr>
        <w:t>64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163m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）新生界</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）古近系（</w:t>
      </w:r>
      <w:r>
        <w:rPr>
          <w:rFonts w:hint="default" w:ascii="Times New Roman" w:hAnsi="Times New Roman" w:eastAsia="宋体" w:cs="Times New Roman"/>
          <w:color w:val="000000"/>
          <w:kern w:val="0"/>
          <w:sz w:val="24"/>
          <w:szCs w:val="24"/>
          <w:lang w:val="en-US" w:eastAsia="zh-CN" w:bidi="ar"/>
        </w:rPr>
        <w:t>E</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汝州市寄料镇东北部出露陈宅沟组，岩性为紫红色钙质、铁质、泥质砂砾岩夹沙质泥岩。厚约</w:t>
      </w:r>
      <w:r>
        <w:rPr>
          <w:rFonts w:hint="default" w:ascii="Times New Roman" w:hAnsi="Times New Roman" w:eastAsia="宋体" w:cs="Times New Roman"/>
          <w:color w:val="000000"/>
          <w:kern w:val="0"/>
          <w:sz w:val="24"/>
          <w:szCs w:val="24"/>
          <w:lang w:val="en-US" w:eastAsia="zh-CN" w:bidi="ar"/>
        </w:rPr>
        <w:t>410m</w:t>
      </w:r>
      <w:r>
        <w:rPr>
          <w:rFonts w:hint="eastAsia" w:ascii="宋体" w:hAnsi="宋体" w:eastAsia="宋体" w:cs="宋体"/>
          <w:color w:val="000000"/>
          <w:kern w:val="0"/>
          <w:sz w:val="24"/>
          <w:szCs w:val="24"/>
          <w:lang w:val="en-US" w:eastAsia="zh-CN" w:bidi="ar"/>
        </w:rPr>
        <w:t xml:space="preserve">。汝州市寄料镇西北和蟒川镇、宝丰县和市区内仅零星出露始新统蟒川组，主要由红色砾岩、砂砾岩、含砾钙质砂岩夹泥质粉砂岩、泥灰岩等组成。厚 </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640m</w:t>
      </w:r>
      <w:r>
        <w:rPr>
          <w:rFonts w:hint="eastAsia" w:ascii="宋体" w:hAnsi="宋体" w:eastAsia="宋体" w:cs="宋体"/>
          <w:color w:val="000000"/>
          <w:kern w:val="0"/>
          <w:sz w:val="24"/>
          <w:szCs w:val="24"/>
          <w:lang w:val="en-US" w:eastAsia="zh-CN" w:bidi="ar"/>
        </w:rPr>
        <w:t>。汝州市杨楼乡南部的石台和寄料北部的高沟一带出露石台街组，岩性为红色砂质页岩与砂质泥岩互层夹红色钙质、铁质胶结物的砾岩。厚约</w:t>
      </w:r>
      <w:r>
        <w:rPr>
          <w:rFonts w:hint="default" w:ascii="Times New Roman" w:hAnsi="Times New Roman" w:eastAsia="宋体" w:cs="Times New Roman"/>
          <w:color w:val="000000"/>
          <w:kern w:val="0"/>
          <w:sz w:val="24"/>
          <w:szCs w:val="24"/>
          <w:lang w:val="en-US" w:eastAsia="zh-CN" w:bidi="ar"/>
        </w:rPr>
        <w:t>834m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）新近系（</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 xml:space="preserve">汝州市临汝镇西部、庙下乡东部及寄料镇北部，宝丰县，鲁山县董周、张飞沟一带，市区、郏县北部北竹园沟出露中新统洛阳组（ </w:t>
      </w:r>
      <w:r>
        <w:rPr>
          <w:rFonts w:hint="default" w:ascii="Times New Roman" w:hAnsi="Times New Roman" w:eastAsia="宋体" w:cs="Times New Roman"/>
          <w:color w:val="000000"/>
          <w:kern w:val="0"/>
          <w:sz w:val="24"/>
          <w:szCs w:val="24"/>
          <w:lang w:val="en-US" w:eastAsia="zh-CN" w:bidi="ar"/>
        </w:rPr>
        <w:t>N1ly</w:t>
      </w:r>
      <w:r>
        <w:rPr>
          <w:rFonts w:hint="eastAsia" w:ascii="宋体" w:hAnsi="宋体" w:eastAsia="宋体" w:cs="宋体"/>
          <w:color w:val="000000"/>
          <w:kern w:val="0"/>
          <w:sz w:val="24"/>
          <w:szCs w:val="24"/>
          <w:lang w:val="en-US" w:eastAsia="zh-CN" w:bidi="ar"/>
        </w:rPr>
        <w:t>）、大安组（</w:t>
      </w:r>
      <w:r>
        <w:rPr>
          <w:rFonts w:hint="default" w:ascii="Times New Roman" w:hAnsi="Times New Roman" w:eastAsia="宋体" w:cs="Times New Roman"/>
          <w:color w:val="000000"/>
          <w:kern w:val="0"/>
          <w:sz w:val="24"/>
          <w:szCs w:val="24"/>
          <w:lang w:val="en-US" w:eastAsia="zh-CN" w:bidi="ar"/>
        </w:rPr>
        <w:t>N1da</w:t>
      </w:r>
      <w:r>
        <w:rPr>
          <w:rFonts w:hint="eastAsia" w:ascii="宋体" w:hAnsi="宋体" w:eastAsia="宋体" w:cs="宋体"/>
          <w:color w:val="000000"/>
          <w:kern w:val="0"/>
          <w:sz w:val="24"/>
          <w:szCs w:val="24"/>
          <w:lang w:val="en-US" w:eastAsia="zh-CN" w:bidi="ar"/>
        </w:rPr>
        <w:t>）和上新统潞王坟组（</w:t>
      </w:r>
      <w:r>
        <w:rPr>
          <w:rFonts w:hint="default" w:ascii="Times New Roman" w:hAnsi="Times New Roman" w:eastAsia="宋体" w:cs="Times New Roman"/>
          <w:color w:val="000000"/>
          <w:kern w:val="0"/>
          <w:sz w:val="24"/>
          <w:szCs w:val="24"/>
          <w:lang w:val="en-US" w:eastAsia="zh-CN" w:bidi="ar"/>
        </w:rPr>
        <w:t>N2lw</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①洛阳组（</w:t>
      </w:r>
      <w:r>
        <w:rPr>
          <w:rFonts w:hint="default" w:ascii="Times New Roman" w:hAnsi="Times New Roman" w:eastAsia="宋体" w:cs="Times New Roman"/>
          <w:color w:val="000000"/>
          <w:kern w:val="0"/>
          <w:sz w:val="24"/>
          <w:szCs w:val="24"/>
          <w:lang w:val="en-US" w:eastAsia="zh-CN" w:bidi="ar"/>
        </w:rPr>
        <w:t>N1ly</w:t>
      </w:r>
      <w:r>
        <w:rPr>
          <w:rFonts w:hint="eastAsia" w:ascii="宋体" w:hAnsi="宋体" w:eastAsia="宋体" w:cs="宋体"/>
          <w:color w:val="000000"/>
          <w:kern w:val="0"/>
          <w:sz w:val="24"/>
          <w:szCs w:val="24"/>
          <w:lang w:val="en-US" w:eastAsia="zh-CN" w:bidi="ar"/>
        </w:rPr>
        <w:t>）：岩性变化较大，下部主要为杂色钙质或泥砂质胶结砾岩；中部为褐黄、褐红色砂质泥岩与砂、粉砂质泥岩互层；上部褐黄色、灰白色砂质泥灰岩与砂质泥灰岩互层夹砂砾岩。厚</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42m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②大安组（</w:t>
      </w:r>
      <w:r>
        <w:rPr>
          <w:rFonts w:hint="default" w:ascii="Times New Roman" w:hAnsi="Times New Roman" w:eastAsia="宋体" w:cs="Times New Roman"/>
          <w:color w:val="000000"/>
          <w:kern w:val="0"/>
          <w:sz w:val="24"/>
          <w:szCs w:val="24"/>
          <w:lang w:val="en-US" w:eastAsia="zh-CN" w:bidi="ar"/>
        </w:rPr>
        <w:t>N1da</w:t>
      </w:r>
      <w:r>
        <w:rPr>
          <w:rFonts w:hint="eastAsia" w:ascii="宋体" w:hAnsi="宋体" w:eastAsia="宋体" w:cs="宋体"/>
          <w:color w:val="000000"/>
          <w:kern w:val="0"/>
          <w:sz w:val="24"/>
          <w:szCs w:val="24"/>
          <w:lang w:val="en-US" w:eastAsia="zh-CN" w:bidi="ar"/>
        </w:rPr>
        <w:t>）：岩性主要为橄榄玄武岩、辉石橄榄玄武岩、橄榄玻璃玄武岩。厚</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118m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③潞王坟组（</w:t>
      </w:r>
      <w:r>
        <w:rPr>
          <w:rFonts w:hint="default" w:ascii="Times New Roman" w:hAnsi="Times New Roman" w:eastAsia="宋体" w:cs="Times New Roman"/>
          <w:color w:val="000000"/>
          <w:kern w:val="0"/>
          <w:sz w:val="24"/>
          <w:szCs w:val="24"/>
          <w:lang w:val="en-US" w:eastAsia="zh-CN" w:bidi="ar"/>
        </w:rPr>
        <w:t>N2lw</w:t>
      </w:r>
      <w:r>
        <w:rPr>
          <w:rFonts w:hint="eastAsia" w:ascii="宋体" w:hAnsi="宋体" w:eastAsia="宋体" w:cs="宋体"/>
          <w:color w:val="000000"/>
          <w:kern w:val="0"/>
          <w:sz w:val="24"/>
          <w:szCs w:val="24"/>
          <w:lang w:val="en-US" w:eastAsia="zh-CN" w:bidi="ar"/>
        </w:rPr>
        <w:t>）：岩性主要为灰白色泥晶灰岩、粘土岩等。厚约</w:t>
      </w:r>
      <w:r>
        <w:rPr>
          <w:rFonts w:hint="default" w:ascii="Times New Roman" w:hAnsi="Times New Roman" w:eastAsia="宋体" w:cs="Times New Roman"/>
          <w:color w:val="000000"/>
          <w:kern w:val="0"/>
          <w:sz w:val="24"/>
          <w:szCs w:val="24"/>
          <w:lang w:val="en-US" w:eastAsia="zh-CN" w:bidi="ar"/>
        </w:rPr>
        <w:t>35m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）第四系（</w:t>
      </w:r>
      <w:r>
        <w:rPr>
          <w:rFonts w:hint="default" w:ascii="Times New Roman" w:hAnsi="Times New Roman" w:eastAsia="宋体" w:cs="Times New Roman"/>
          <w:color w:val="000000"/>
          <w:kern w:val="0"/>
          <w:sz w:val="24"/>
          <w:szCs w:val="24"/>
          <w:lang w:val="en-US" w:eastAsia="zh-CN" w:bidi="ar"/>
        </w:rPr>
        <w:t>Q</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工作区内第四系十分发育，广泛分布于平原、山间盆地和山前岗丘地带，成因类型复杂，出露厚度</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20m</w:t>
      </w:r>
      <w:r>
        <w:rPr>
          <w:rFonts w:hint="eastAsia" w:ascii="宋体" w:hAnsi="宋体" w:eastAsia="宋体" w:cs="宋体"/>
          <w:color w:val="000000"/>
          <w:kern w:val="0"/>
          <w:sz w:val="24"/>
          <w:szCs w:val="24"/>
          <w:lang w:val="en-US" w:eastAsia="zh-CN" w:bidi="ar"/>
        </w:rPr>
        <w:t>，钻孔揭露厚度多在</w:t>
      </w:r>
      <w:r>
        <w:rPr>
          <w:rFonts w:hint="default" w:ascii="Times New Roman" w:hAnsi="Times New Roman" w:eastAsia="宋体" w:cs="Times New Roman"/>
          <w:color w:val="000000"/>
          <w:kern w:val="0"/>
          <w:sz w:val="24"/>
          <w:szCs w:val="24"/>
          <w:lang w:val="en-US" w:eastAsia="zh-CN" w:bidi="ar"/>
        </w:rPr>
        <w:t>100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200m</w:t>
      </w:r>
      <w:r>
        <w:rPr>
          <w:rFonts w:hint="eastAsia" w:ascii="宋体" w:hAnsi="宋体" w:eastAsia="宋体" w:cs="宋体"/>
          <w:color w:val="000000"/>
          <w:kern w:val="0"/>
          <w:sz w:val="24"/>
          <w:szCs w:val="24"/>
          <w:lang w:val="en-US" w:eastAsia="zh-CN" w:bidi="ar"/>
        </w:rPr>
        <w:t>之间，与下伏新近系及其以前的老地层皆为角度不整合接触。根据岩性特征、古生物资料、接触关系、同位素年龄等，将区内第四系按其相对时代及成因类型自下而上划分为下更新统、中更新统、上更新统和全新统。</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①下更新统（</w:t>
      </w:r>
      <w:r>
        <w:rPr>
          <w:rFonts w:hint="default" w:ascii="Times New Roman" w:hAnsi="Times New Roman" w:eastAsia="宋体" w:cs="Times New Roman"/>
          <w:color w:val="000000"/>
          <w:kern w:val="0"/>
          <w:sz w:val="24"/>
          <w:szCs w:val="24"/>
          <w:lang w:val="en-US" w:eastAsia="zh-CN" w:bidi="ar"/>
        </w:rPr>
        <w:t>Qp1</w:t>
      </w:r>
      <w:r>
        <w:rPr>
          <w:rFonts w:hint="eastAsia" w:ascii="宋体" w:hAnsi="宋体" w:eastAsia="宋体" w:cs="宋体"/>
          <w:color w:val="000000"/>
          <w:kern w:val="0"/>
          <w:sz w:val="24"/>
          <w:szCs w:val="24"/>
          <w:lang w:val="en-US" w:eastAsia="zh-CN" w:bidi="ar"/>
        </w:rPr>
        <w:t>）：主要分布于鲁山县昭平台水库两侧及宝丰县、郏县、市区、叶县、舞钢等地的山前岗坡地带，与新近系及其以前的老地层呈角度不整合接触，其上被中更新统和上更新统地层覆盖，主体岩性为岗地砾石层夹黏土层，出露厚度大于</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，地貌上构成</w:t>
      </w:r>
      <w:r>
        <w:rPr>
          <w:rFonts w:hint="default" w:ascii="Times New Roman" w:hAnsi="Times New Roman" w:eastAsia="宋体" w:cs="Times New Roman"/>
          <w:color w:val="000000"/>
          <w:kern w:val="0"/>
          <w:sz w:val="24"/>
          <w:szCs w:val="24"/>
          <w:lang w:val="en-US" w:eastAsia="zh-CN" w:bidi="ar"/>
        </w:rPr>
        <w:t>Ⅳ</w:t>
      </w:r>
      <w:r>
        <w:rPr>
          <w:rFonts w:hint="eastAsia" w:ascii="宋体" w:hAnsi="宋体" w:eastAsia="宋体" w:cs="宋体"/>
          <w:color w:val="000000"/>
          <w:kern w:val="0"/>
          <w:sz w:val="24"/>
          <w:szCs w:val="24"/>
          <w:lang w:val="en-US" w:eastAsia="zh-CN" w:bidi="ar"/>
        </w:rPr>
        <w:t>级阶地。</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②中更新统（</w:t>
      </w:r>
      <w:r>
        <w:rPr>
          <w:rFonts w:hint="default" w:ascii="Times New Roman" w:hAnsi="Times New Roman" w:eastAsia="宋体" w:cs="Times New Roman"/>
          <w:color w:val="000000"/>
          <w:kern w:val="0"/>
          <w:sz w:val="24"/>
          <w:szCs w:val="24"/>
          <w:lang w:val="en-US" w:eastAsia="zh-CN" w:bidi="ar"/>
        </w:rPr>
        <w:t>Qp2</w:t>
      </w:r>
      <w:r>
        <w:rPr>
          <w:rFonts w:hint="eastAsia" w:ascii="宋体" w:hAnsi="宋体" w:eastAsia="宋体" w:cs="宋体"/>
          <w:color w:val="000000"/>
          <w:kern w:val="0"/>
          <w:sz w:val="24"/>
          <w:szCs w:val="24"/>
          <w:lang w:val="en-US" w:eastAsia="zh-CN" w:bidi="ar"/>
        </w:rPr>
        <w:t>）：多分布于汝州、宝丰、郏县等山前冲洪积倾斜平原地带，成因类型为冲洪积复合型。岩性下部为红色含砾石粘土层、砂砾石、亚砂土，夹有粘土及亚粘土层；中部为红、灰绿色粘土、砂质粘土层；上部为红褐色粘土夹灰绿色粘土</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含大量棱角状岩屑及砂粒，偶见钙质结核，直径可达</w:t>
      </w:r>
      <w:r>
        <w:rPr>
          <w:rFonts w:hint="default" w:ascii="Times New Roman" w:hAnsi="Times New Roman" w:eastAsia="宋体" w:cs="Times New Roman"/>
          <w:color w:val="000000"/>
          <w:kern w:val="0"/>
          <w:sz w:val="24"/>
          <w:szCs w:val="24"/>
          <w:lang w:val="en-US" w:eastAsia="zh-CN" w:bidi="ar"/>
        </w:rPr>
        <w:t>30cm</w:t>
      </w:r>
      <w:r>
        <w:rPr>
          <w:rFonts w:hint="eastAsia" w:ascii="宋体" w:hAnsi="宋体" w:eastAsia="宋体" w:cs="宋体"/>
          <w:color w:val="000000"/>
          <w:kern w:val="0"/>
          <w:sz w:val="24"/>
          <w:szCs w:val="24"/>
          <w:lang w:val="en-US" w:eastAsia="zh-CN" w:bidi="ar"/>
        </w:rPr>
        <w:t>，并含不成形的铁锰结核；顶部为黄褐色含砾砂质粘土。厚</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35m</w:t>
      </w:r>
      <w:r>
        <w:rPr>
          <w:rFonts w:hint="eastAsia" w:ascii="宋体" w:hAnsi="宋体" w:eastAsia="宋体" w:cs="宋体"/>
          <w:color w:val="000000"/>
          <w:kern w:val="0"/>
          <w:sz w:val="24"/>
          <w:szCs w:val="24"/>
          <w:lang w:val="en-US" w:eastAsia="zh-CN" w:bidi="ar"/>
        </w:rPr>
        <w:t>。地貌上多呈舒缓起伏状，构成</w:t>
      </w:r>
      <w:r>
        <w:rPr>
          <w:rFonts w:hint="default" w:ascii="Times New Roman" w:hAnsi="Times New Roman" w:eastAsia="宋体" w:cs="Times New Roman"/>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级阶地。</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③上更新统（</w:t>
      </w:r>
      <w:r>
        <w:rPr>
          <w:rFonts w:hint="default" w:ascii="Times New Roman" w:hAnsi="Times New Roman" w:eastAsia="宋体" w:cs="Times New Roman"/>
          <w:color w:val="000000"/>
          <w:kern w:val="0"/>
          <w:sz w:val="24"/>
          <w:szCs w:val="24"/>
          <w:lang w:val="en-US" w:eastAsia="zh-CN" w:bidi="ar"/>
        </w:rPr>
        <w:t>Qp3</w:t>
      </w:r>
      <w:r>
        <w:rPr>
          <w:rFonts w:hint="eastAsia" w:ascii="宋体" w:hAnsi="宋体" w:eastAsia="宋体" w:cs="宋体"/>
          <w:color w:val="000000"/>
          <w:kern w:val="0"/>
          <w:sz w:val="24"/>
          <w:szCs w:val="24"/>
          <w:lang w:val="en-US" w:eastAsia="zh-CN" w:bidi="ar"/>
        </w:rPr>
        <w:t>）：分布于山前倾斜平原及汝河、沙河等河流的两岸，地貌上构成</w:t>
      </w:r>
      <w:r>
        <w:rPr>
          <w:rFonts w:hint="default" w:ascii="Times New Roman" w:hAnsi="Times New Roman" w:eastAsia="宋体" w:cs="Times New Roman"/>
          <w:color w:val="000000"/>
          <w:kern w:val="0"/>
          <w:sz w:val="24"/>
          <w:szCs w:val="24"/>
          <w:lang w:val="en-US" w:eastAsia="zh-CN" w:bidi="ar"/>
        </w:rPr>
        <w:t>Ⅱ</w:t>
      </w:r>
      <w:r>
        <w:rPr>
          <w:rFonts w:hint="eastAsia" w:ascii="宋体" w:hAnsi="宋体" w:eastAsia="宋体" w:cs="宋体"/>
          <w:color w:val="000000"/>
          <w:kern w:val="0"/>
          <w:sz w:val="24"/>
          <w:szCs w:val="24"/>
          <w:lang w:val="en-US" w:eastAsia="zh-CN" w:bidi="ar"/>
        </w:rPr>
        <w:t>级阶地，与</w:t>
      </w:r>
      <w:r>
        <w:rPr>
          <w:rFonts w:hint="default" w:ascii="Times New Roman" w:hAnsi="Times New Roman" w:eastAsia="宋体" w:cs="Times New Roman"/>
          <w:color w:val="000000"/>
          <w:kern w:val="0"/>
          <w:sz w:val="24"/>
          <w:szCs w:val="24"/>
          <w:lang w:val="en-US" w:eastAsia="zh-CN" w:bidi="ar"/>
        </w:rPr>
        <w:t>Ⅰ</w:t>
      </w:r>
      <w:r>
        <w:rPr>
          <w:rFonts w:hint="eastAsia" w:ascii="宋体" w:hAnsi="宋体" w:eastAsia="宋体" w:cs="宋体"/>
          <w:color w:val="000000"/>
          <w:kern w:val="0"/>
          <w:sz w:val="24"/>
          <w:szCs w:val="24"/>
          <w:lang w:val="en-US" w:eastAsia="zh-CN" w:bidi="ar"/>
        </w:rPr>
        <w:t>级和</w:t>
      </w:r>
      <w:r>
        <w:rPr>
          <w:rFonts w:hint="default" w:ascii="Times New Roman" w:hAnsi="Times New Roman" w:eastAsia="宋体" w:cs="Times New Roman"/>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级阶地呈截切关系，岩性主要为泥质中（细）砂、粉土、褐黄</w:t>
      </w:r>
      <w:r>
        <w:rPr>
          <w:rFonts w:hint="eastAsia" w:ascii="宋体" w:hAnsi="宋体" w:cs="宋体"/>
          <w:color w:val="000000"/>
          <w:kern w:val="0"/>
          <w:sz w:val="24"/>
          <w:szCs w:val="24"/>
          <w:lang w:val="en-US" w:eastAsia="zh-CN" w:bidi="ar"/>
        </w:rPr>
        <w:t>色母粒</w:t>
      </w:r>
      <w:r>
        <w:rPr>
          <w:rFonts w:hint="eastAsia" w:ascii="宋体" w:hAnsi="宋体" w:eastAsia="宋体" w:cs="宋体"/>
          <w:color w:val="000000"/>
          <w:kern w:val="0"/>
          <w:sz w:val="24"/>
          <w:szCs w:val="24"/>
          <w:lang w:val="en-US" w:eastAsia="zh-CN" w:bidi="ar"/>
        </w:rPr>
        <w:t>质粘土、粘土，含有砂砾。垂直节理发育，含有不规则状结核。厚</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④全新统（</w:t>
      </w:r>
      <w:r>
        <w:rPr>
          <w:rFonts w:hint="default" w:ascii="Times New Roman" w:hAnsi="Times New Roman" w:eastAsia="宋体" w:cs="Times New Roman"/>
          <w:color w:val="000000"/>
          <w:kern w:val="0"/>
          <w:sz w:val="24"/>
          <w:szCs w:val="24"/>
          <w:lang w:val="en-US" w:eastAsia="zh-CN" w:bidi="ar"/>
        </w:rPr>
        <w:t>Qh</w:t>
      </w:r>
      <w:r>
        <w:rPr>
          <w:rFonts w:hint="eastAsia" w:ascii="宋体" w:hAnsi="宋体" w:eastAsia="宋体" w:cs="宋体"/>
          <w:color w:val="000000"/>
          <w:kern w:val="0"/>
          <w:sz w:val="24"/>
          <w:szCs w:val="24"/>
          <w:lang w:val="en-US" w:eastAsia="zh-CN" w:bidi="ar"/>
        </w:rPr>
        <w:t>）：主要分布于区内大小河流两岸及河谷中，按岩性、地貌特征分为下部冲积层和上部冲积层。下部冲积层主要分布于区内各大河流及其支流两岸，形成河流</w:t>
      </w:r>
      <w:r>
        <w:rPr>
          <w:rFonts w:hint="default" w:ascii="Times New Roman" w:hAnsi="Times New Roman" w:eastAsia="宋体" w:cs="Times New Roman"/>
          <w:color w:val="000000"/>
          <w:kern w:val="0"/>
          <w:sz w:val="24"/>
          <w:szCs w:val="24"/>
          <w:lang w:val="en-US" w:eastAsia="zh-CN" w:bidi="ar"/>
        </w:rPr>
        <w:t>Ⅰ</w:t>
      </w:r>
      <w:r>
        <w:rPr>
          <w:rFonts w:hint="eastAsia" w:ascii="宋体" w:hAnsi="宋体" w:eastAsia="宋体" w:cs="宋体"/>
          <w:color w:val="000000"/>
          <w:kern w:val="0"/>
          <w:sz w:val="24"/>
          <w:szCs w:val="24"/>
          <w:lang w:val="en-US" w:eastAsia="zh-CN" w:bidi="ar"/>
        </w:rPr>
        <w:t>级阶地，由粉质粘土、砂土及砾石层组成，厚</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9m</w:t>
      </w:r>
      <w:r>
        <w:rPr>
          <w:rFonts w:hint="eastAsia" w:ascii="宋体" w:hAnsi="宋体" w:eastAsia="宋体" w:cs="宋体"/>
          <w:color w:val="000000"/>
          <w:kern w:val="0"/>
          <w:sz w:val="24"/>
          <w:szCs w:val="24"/>
          <w:lang w:val="en-US" w:eastAsia="zh-CN" w:bidi="ar"/>
        </w:rPr>
        <w:t>，与</w:t>
      </w:r>
      <w:r>
        <w:rPr>
          <w:rFonts w:hint="default" w:ascii="Times New Roman" w:hAnsi="Times New Roman" w:eastAsia="宋体" w:cs="Times New Roman"/>
          <w:color w:val="000000"/>
          <w:kern w:val="0"/>
          <w:sz w:val="24"/>
          <w:szCs w:val="24"/>
          <w:lang w:val="en-US" w:eastAsia="zh-CN" w:bidi="ar"/>
        </w:rPr>
        <w:t>Ⅱ</w:t>
      </w:r>
      <w:r>
        <w:rPr>
          <w:rFonts w:hint="eastAsia" w:ascii="宋体" w:hAnsi="宋体" w:eastAsia="宋体" w:cs="宋体"/>
          <w:color w:val="000000"/>
          <w:kern w:val="0"/>
          <w:sz w:val="24"/>
          <w:szCs w:val="24"/>
          <w:lang w:val="en-US" w:eastAsia="zh-CN" w:bidi="ar"/>
        </w:rPr>
        <w:t>级阶地及上部冲积层呈斜截关系。上部冲积层主要分布在区内大小河流的河床、河漫滩上，为河流冲积、洪积堆积物，岩性随地而异，在沙河、汝河等河流上游山区为砾石层夹粗砂层，中下游平原区多为砂层、粉土、粉质粘土，其间局部夹淤泥层和砂砾石层，粗大砾石极少，分选性良好，厚</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（二）区域构造</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评价区大地构造位置处于华北陆块南缘，渑池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确山陷褶断束中段。境内地质构造较为复杂，以压扭性断裂为主，褶皱构造次之，新构造运动活跃。主要表现为差异性升降。评价区附近主要断层特征简述如下：</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①鲁山</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漯河大断层：经鲁山、叶县南部穿过。为隐伏正断层，走向西段</w:t>
      </w:r>
      <w:r>
        <w:rPr>
          <w:rFonts w:hint="default" w:ascii="Times New Roman" w:hAnsi="Times New Roman" w:eastAsia="宋体" w:cs="Times New Roman"/>
          <w:color w:val="000000"/>
          <w:kern w:val="0"/>
          <w:sz w:val="24"/>
          <w:szCs w:val="24"/>
          <w:lang w:val="en-US" w:eastAsia="zh-CN" w:bidi="ar"/>
        </w:rPr>
        <w:t>290°</w:t>
      </w:r>
      <w:r>
        <w:rPr>
          <w:rFonts w:hint="eastAsia" w:ascii="宋体" w:hAnsi="宋体" w:eastAsia="宋体" w:cs="宋体"/>
          <w:color w:val="000000"/>
          <w:kern w:val="0"/>
          <w:sz w:val="24"/>
          <w:szCs w:val="24"/>
          <w:lang w:val="en-US" w:eastAsia="zh-CN" w:bidi="ar"/>
        </w:rPr>
        <w:t>、东段近东西，倾向南，倾角约</w:t>
      </w:r>
      <w:r>
        <w:rPr>
          <w:rFonts w:hint="default" w:ascii="Times New Roman" w:hAnsi="Times New Roman" w:eastAsia="宋体" w:cs="Times New Roman"/>
          <w:color w:val="000000"/>
          <w:kern w:val="0"/>
          <w:sz w:val="24"/>
          <w:szCs w:val="24"/>
          <w:lang w:val="en-US" w:eastAsia="zh-CN" w:bidi="ar"/>
        </w:rPr>
        <w:t>60°</w:t>
      </w:r>
      <w:r>
        <w:rPr>
          <w:rFonts w:hint="eastAsia" w:ascii="宋体" w:hAnsi="宋体" w:eastAsia="宋体" w:cs="宋体"/>
          <w:color w:val="000000"/>
          <w:kern w:val="0"/>
          <w:sz w:val="24"/>
          <w:szCs w:val="24"/>
          <w:lang w:val="en-US" w:eastAsia="zh-CN" w:bidi="ar"/>
        </w:rPr>
        <w:t>。断距</w:t>
      </w:r>
      <w:r>
        <w:rPr>
          <w:rFonts w:hint="default" w:ascii="Times New Roman" w:hAnsi="Times New Roman" w:eastAsia="宋体" w:cs="Times New Roman"/>
          <w:color w:val="000000"/>
          <w:kern w:val="0"/>
          <w:sz w:val="24"/>
          <w:szCs w:val="24"/>
          <w:lang w:val="en-US" w:eastAsia="zh-CN" w:bidi="ar"/>
        </w:rPr>
        <w:t>1000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2000m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②枣庄</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龙泉断层：展布于龙泉至枣庄一线。以水平位移为主，走向</w:t>
      </w:r>
      <w:r>
        <w:rPr>
          <w:rFonts w:hint="default" w:ascii="Times New Roman" w:hAnsi="Times New Roman" w:eastAsia="宋体" w:cs="Times New Roman"/>
          <w:color w:val="000000"/>
          <w:kern w:val="0"/>
          <w:sz w:val="24"/>
          <w:szCs w:val="24"/>
          <w:lang w:val="en-US" w:eastAsia="zh-CN" w:bidi="ar"/>
        </w:rPr>
        <w:t>37°</w:t>
      </w:r>
      <w:r>
        <w:rPr>
          <w:rFonts w:hint="eastAsia" w:ascii="宋体" w:hAnsi="宋体" w:eastAsia="宋体" w:cs="宋体"/>
          <w:color w:val="000000"/>
          <w:kern w:val="0"/>
          <w:sz w:val="24"/>
          <w:szCs w:val="24"/>
          <w:lang w:val="en-US" w:eastAsia="zh-CN" w:bidi="ar"/>
        </w:rPr>
        <w:t>，倾向北西，水平位移约</w:t>
      </w:r>
      <w:r>
        <w:rPr>
          <w:rFonts w:hint="default" w:ascii="Times New Roman" w:hAnsi="Times New Roman" w:eastAsia="宋体" w:cs="Times New Roman"/>
          <w:color w:val="000000"/>
          <w:kern w:val="0"/>
          <w:sz w:val="24"/>
          <w:szCs w:val="24"/>
          <w:lang w:val="en-US" w:eastAsia="zh-CN" w:bidi="ar"/>
        </w:rPr>
        <w:t>3000m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rPr>
          <w:b/>
          <w:bCs/>
        </w:rPr>
      </w:pPr>
      <w:r>
        <w:rPr>
          <w:rFonts w:hint="default" w:ascii="Times New Roman" w:hAnsi="Times New Roman" w:eastAsia="宋体" w:cs="Times New Roman"/>
          <w:b/>
          <w:bCs/>
          <w:color w:val="000000"/>
          <w:kern w:val="0"/>
          <w:sz w:val="24"/>
          <w:szCs w:val="24"/>
          <w:lang w:val="en-US" w:eastAsia="zh-CN" w:bidi="ar"/>
        </w:rPr>
        <w:t>6.</w:t>
      </w:r>
      <w:r>
        <w:rPr>
          <w:rFonts w:hint="eastAsia" w:cs="Times New Roman"/>
          <w:b/>
          <w:bCs/>
          <w:color w:val="000000"/>
          <w:kern w:val="0"/>
          <w:sz w:val="24"/>
          <w:szCs w:val="24"/>
          <w:lang w:val="en-US" w:eastAsia="zh-CN" w:bidi="ar"/>
        </w:rPr>
        <w:t>5.3.3</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区域水文地质条件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）含水层及其富水性</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区域含水层为浅层</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中深层松散岩类孔隙含水层，叶县城区以南浅层及中深层含水层单位涌水量皆为</w:t>
      </w:r>
      <w:r>
        <w:rPr>
          <w:rFonts w:hint="default" w:ascii="Times New Roman" w:hAnsi="Times New Roman" w:eastAsia="宋体" w:cs="Times New Roman"/>
          <w:color w:val="000000"/>
          <w:kern w:val="0"/>
          <w:sz w:val="24"/>
          <w:szCs w:val="24"/>
          <w:lang w:val="en-US" w:eastAsia="zh-CN" w:bidi="ar"/>
        </w:rPr>
        <w:t>500-1000m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，叶县城区以北浅层含水层单位涌水量</w:t>
      </w:r>
      <w:r>
        <w:rPr>
          <w:rFonts w:hint="default" w:ascii="Times New Roman" w:hAnsi="Times New Roman" w:eastAsia="宋体" w:cs="Times New Roman"/>
          <w:color w:val="000000"/>
          <w:kern w:val="0"/>
          <w:sz w:val="24"/>
          <w:szCs w:val="24"/>
          <w:lang w:val="en-US" w:eastAsia="zh-CN" w:bidi="ar"/>
        </w:rPr>
        <w:t>1000-5000m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，中深层含水层单位涌水量</w:t>
      </w:r>
      <w:r>
        <w:rPr>
          <w:rFonts w:hint="default" w:ascii="Times New Roman" w:hAnsi="Times New Roman" w:eastAsia="宋体" w:cs="Times New Roman"/>
          <w:color w:val="000000"/>
          <w:kern w:val="0"/>
          <w:sz w:val="24"/>
          <w:szCs w:val="24"/>
          <w:lang w:val="en-US" w:eastAsia="zh-CN" w:bidi="ar"/>
        </w:rPr>
        <w:t>1000-3000m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。区域水文地质图见图</w:t>
      </w:r>
      <w:r>
        <w:rPr>
          <w:rFonts w:hint="eastAsia" w:ascii="Times New Roman" w:hAnsi="Times New Roman" w:eastAsia="宋体" w:cs="Times New Roman"/>
          <w:color w:val="000000"/>
          <w:kern w:val="0"/>
          <w:sz w:val="24"/>
          <w:szCs w:val="24"/>
          <w:lang w:val="en-US" w:eastAsia="zh-CN" w:bidi="ar"/>
        </w:rPr>
        <w:t>6.</w:t>
      </w:r>
      <w:r>
        <w:rPr>
          <w:rFonts w:hint="eastAsia"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pPr>
      <w:r>
        <w:drawing>
          <wp:inline distT="0" distB="0" distL="114300" distR="114300">
            <wp:extent cx="5755640" cy="6746240"/>
            <wp:effectExtent l="0" t="0" r="16510" b="1651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63"/>
                    <a:stretch>
                      <a:fillRect/>
                    </a:stretch>
                  </pic:blipFill>
                  <pic:spPr>
                    <a:xfrm>
                      <a:off x="0" y="0"/>
                      <a:ext cx="5755640" cy="6746240"/>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6.</w:t>
      </w:r>
      <w:r>
        <w:rPr>
          <w:rFonts w:hint="eastAsia"/>
          <w:b/>
          <w:bCs/>
          <w:lang w:val="en-US" w:eastAsia="zh-CN"/>
        </w:rPr>
        <w:t>5</w:t>
      </w:r>
      <w:r>
        <w:rPr>
          <w:b/>
          <w:bCs/>
          <w:lang w:val="en-US" w:eastAsia="zh-CN"/>
        </w:rPr>
        <w:t>-</w:t>
      </w:r>
      <w:r>
        <w:rPr>
          <w:rFonts w:hint="eastAsia"/>
          <w:b/>
          <w:bCs/>
          <w:lang w:val="en-US" w:eastAsia="zh-CN"/>
        </w:rPr>
        <w:t>3</w:t>
      </w:r>
      <w:r>
        <w:rPr>
          <w:b/>
          <w:bCs/>
          <w:lang w:val="en-US" w:eastAsia="zh-CN"/>
        </w:rPr>
        <w:t xml:space="preserve"> </w:t>
      </w:r>
      <w:r>
        <w:rPr>
          <w:rFonts w:hint="eastAsia"/>
          <w:b/>
          <w:bCs/>
          <w:lang w:val="en-US" w:eastAsia="zh-CN"/>
        </w:rPr>
        <w:t xml:space="preserve"> 区域水文地质图</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）地下水补给、径流和排泄</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）浅层地下水的补给、径流、排泄条件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①补给条件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浅层地下水的补给，主要以大气降水入渗补给为主，其次为灌溉回渗补给、河渠侧渗补给和侧向径流补给，水位变化幅度受季节变化影响较大。</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②径流条件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浅层地下水的径流随地形和岩性结构的不同而有差异，在河谷平原、山前冲洪积倾斜平原，地形坡降大，组成岩性颗粒粗，结构松散，导水性良好，径流条件好，径流总是向河床及其下游方向运移；而在平原区地形平坦，水力坡度在</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浅层含水层颗粒细，导水性能较差，径流条件亦较差，径流缓慢。在天然条件下，沙河南岸平原区浅层地下水总的径流方向从东南向西北运移。在山前岗地区，由于地势较高，其水位高于周边平原区水位，浅层地下水由岗地向周边径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③排泄条件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浅层地下水的排泄，主要以开采排泄为主，其次为蒸发排泄、地下径流排泄、越流排泄、河流排泄。</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）中深层地下水的补给、径流与排泄条件 </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①补给条件中深层地下水在平原区不能直接得到大气降水的入渗补给，其补给来源主要为上游地下水的径流补给和浅层地下水的越流补给；在山前地带可以间接得到大气降水的入渗补给。</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②径流条件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天然条件下，中深层地下水自西向东径流，与地形坡降一致，水力坡度</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。山前含水层颗粒较粗，地下水径流条件较好，平原区含水层颗粒较细，地下水径流条件相对较差。</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③排泄条件</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人工开采和侧向径流是中深层地下水的主要排泄方式。</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）地下水动态特征</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）浅层地下水的动态特征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区域上内浅层地下水水位多年变幅整体处于稳定状态。叶县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平顶山水位持续下降区中心水位埋深</w:t>
      </w:r>
      <w:r>
        <w:rPr>
          <w:rFonts w:hint="default" w:ascii="Times New Roman" w:hAnsi="Times New Roman" w:eastAsia="宋体" w:cs="Times New Roman"/>
          <w:color w:val="000000"/>
          <w:kern w:val="0"/>
          <w:sz w:val="24"/>
          <w:szCs w:val="24"/>
          <w:lang w:val="en-US" w:eastAsia="zh-CN" w:bidi="ar"/>
        </w:rPr>
        <w:t>9.93m</w:t>
      </w:r>
      <w:r>
        <w:rPr>
          <w:rFonts w:hint="eastAsia" w:ascii="宋体" w:hAnsi="宋体" w:eastAsia="宋体" w:cs="宋体"/>
          <w:color w:val="000000"/>
          <w:kern w:val="0"/>
          <w:sz w:val="24"/>
          <w:szCs w:val="24"/>
          <w:lang w:val="en-US" w:eastAsia="zh-CN" w:bidi="ar"/>
        </w:rPr>
        <w:t>。与上世纪九十年代的浅层地下水水位动态情况进行对比，水位持续下降区面积的扩展速率为</w:t>
      </w:r>
      <w:r>
        <w:rPr>
          <w:rFonts w:hint="default" w:ascii="Times New Roman" w:hAnsi="Times New Roman" w:eastAsia="宋体" w:cs="Times New Roman"/>
          <w:color w:val="000000"/>
          <w:kern w:val="0"/>
          <w:sz w:val="24"/>
          <w:szCs w:val="24"/>
          <w:lang w:val="en-US" w:eastAsia="zh-CN" w:bidi="ar"/>
        </w:rPr>
        <w:t>6.72km</w:t>
      </w:r>
      <w:r>
        <w:rPr>
          <w:rFonts w:hint="eastAsia"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，水位下降速率为</w:t>
      </w:r>
      <w:r>
        <w:rPr>
          <w:rFonts w:hint="default" w:ascii="Times New Roman" w:hAnsi="Times New Roman" w:eastAsia="宋体" w:cs="Times New Roman"/>
          <w:color w:val="000000"/>
          <w:kern w:val="0"/>
          <w:sz w:val="24"/>
          <w:szCs w:val="24"/>
          <w:lang w:val="en-US" w:eastAsia="zh-CN" w:bidi="ar"/>
        </w:rPr>
        <w:t>0.26m/a</w:t>
      </w:r>
      <w:r>
        <w:rPr>
          <w:rFonts w:hint="eastAsia" w:ascii="宋体" w:hAnsi="宋体" w:eastAsia="宋体" w:cs="宋体"/>
          <w:color w:val="000000"/>
          <w:kern w:val="0"/>
          <w:sz w:val="24"/>
          <w:szCs w:val="24"/>
          <w:lang w:val="en-US" w:eastAsia="zh-CN" w:bidi="ar"/>
        </w:rPr>
        <w:t>。根据本次调查成果，汝河河谷浅层地下水位年变幅维持在</w:t>
      </w:r>
      <w:r>
        <w:rPr>
          <w:rFonts w:hint="default" w:ascii="Times New Roman" w:hAnsi="Times New Roman" w:eastAsia="宋体" w:cs="Times New Roman"/>
          <w:color w:val="000000"/>
          <w:kern w:val="0"/>
          <w:sz w:val="24"/>
          <w:szCs w:val="24"/>
          <w:lang w:val="en-US" w:eastAsia="zh-CN" w:bidi="ar"/>
        </w:rPr>
        <w:t>±0.28m/a</w:t>
      </w:r>
      <w:r>
        <w:rPr>
          <w:rFonts w:hint="eastAsia" w:ascii="宋体" w:hAnsi="宋体" w:eastAsia="宋体" w:cs="宋体"/>
          <w:color w:val="000000"/>
          <w:kern w:val="0"/>
          <w:sz w:val="24"/>
          <w:szCs w:val="24"/>
          <w:lang w:val="en-US" w:eastAsia="zh-CN" w:bidi="ar"/>
        </w:rPr>
        <w:t>，整体处于稳定状态；沙澧河冲积平原浅层地下水年变幅维持在</w:t>
      </w:r>
      <w:r>
        <w:rPr>
          <w:rFonts w:hint="default" w:ascii="Times New Roman" w:hAnsi="Times New Roman" w:eastAsia="宋体" w:cs="Times New Roman"/>
          <w:color w:val="000000"/>
          <w:kern w:val="0"/>
          <w:sz w:val="24"/>
          <w:szCs w:val="24"/>
          <w:lang w:val="en-US" w:eastAsia="zh-CN" w:bidi="ar"/>
        </w:rPr>
        <w:t>±0.36m/a</w:t>
      </w:r>
      <w:r>
        <w:rPr>
          <w:rFonts w:hint="eastAsia" w:ascii="宋体" w:hAnsi="宋体" w:eastAsia="宋体" w:cs="宋体"/>
          <w:color w:val="000000"/>
          <w:kern w:val="0"/>
          <w:sz w:val="24"/>
          <w:szCs w:val="24"/>
          <w:lang w:val="en-US" w:eastAsia="zh-CN" w:bidi="ar"/>
        </w:rPr>
        <w:t>，整体来看区内浅层地下水多年动态基本稳定。</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）中深层地下水的动态特征</w:t>
      </w:r>
    </w:p>
    <w:p>
      <w:pPr>
        <w:keepNext w:val="0"/>
        <w:keepLines w:val="0"/>
        <w:widowControl/>
        <w:suppressLineNumbers w:val="0"/>
        <w:jc w:val="both"/>
        <w:rPr>
          <w:rFonts w:hint="default" w:eastAsia="宋体"/>
          <w:lang w:val="en-US" w:eastAsia="zh-CN"/>
        </w:rPr>
      </w:pPr>
      <w:r>
        <w:rPr>
          <w:rFonts w:hint="eastAsia" w:ascii="宋体" w:hAnsi="宋体" w:eastAsia="宋体" w:cs="宋体"/>
          <w:color w:val="000000"/>
          <w:kern w:val="0"/>
          <w:sz w:val="24"/>
          <w:szCs w:val="24"/>
          <w:lang w:val="en-US" w:eastAsia="zh-CN" w:bidi="ar"/>
        </w:rPr>
        <w:t>由于经济社会的持续发展，全市对中深层地下水开采的强度逐步增大，区内的两个自流区已不存在。现状年，区内中深层地下水水位整体上呈下降趋势，根据本次调查成果，结合以往研究资料，综合分析区内中深层地下水水位年变幅为</w:t>
      </w:r>
      <w:r>
        <w:rPr>
          <w:rFonts w:hint="default" w:ascii="Times New Roman" w:hAnsi="Times New Roman" w:eastAsia="宋体" w:cs="Times New Roman"/>
          <w:color w:val="000000"/>
          <w:kern w:val="0"/>
          <w:sz w:val="24"/>
          <w:szCs w:val="24"/>
          <w:lang w:val="en-US" w:eastAsia="zh-CN" w:bidi="ar"/>
        </w:rPr>
        <w:t>±0.63m/a</w:t>
      </w:r>
      <w:r>
        <w:rPr>
          <w:rFonts w:hint="eastAsia" w:ascii="宋体" w:hAnsi="宋体" w:eastAsia="宋体" w:cs="宋体"/>
          <w:color w:val="000000"/>
          <w:kern w:val="0"/>
          <w:sz w:val="24"/>
          <w:szCs w:val="24"/>
          <w:lang w:val="en-US" w:eastAsia="zh-CN" w:bidi="ar"/>
        </w:rPr>
        <w:t>，整体处于稳定状态。</w:t>
      </w:r>
    </w:p>
    <w:p>
      <w:pPr>
        <w:bidi w:val="0"/>
        <w:rPr>
          <w:b/>
          <w:bCs/>
        </w:rPr>
      </w:pPr>
      <w:r>
        <w:rPr>
          <w:rFonts w:hint="eastAsia"/>
          <w:b/>
          <w:bCs/>
          <w:lang w:val="en-US" w:eastAsia="zh-CN"/>
        </w:rPr>
        <w:t>6.5.3.4</w:t>
      </w:r>
      <w:r>
        <w:rPr>
          <w:rFonts w:hint="default"/>
          <w:b/>
          <w:bCs/>
          <w:lang w:val="en-US" w:eastAsia="zh-CN"/>
        </w:rPr>
        <w:t xml:space="preserve"> </w:t>
      </w:r>
      <w:r>
        <w:rPr>
          <w:b/>
          <w:bCs/>
          <w:lang w:val="en-US" w:eastAsia="zh-CN"/>
        </w:rPr>
        <w:t>调查评价区水文地质特征</w:t>
      </w:r>
    </w:p>
    <w:p>
      <w:pPr>
        <w:keepNext w:val="0"/>
        <w:keepLines w:val="0"/>
        <w:widowControl/>
        <w:suppressLineNumbers w:val="0"/>
        <w:jc w:val="both"/>
      </w:pP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评价区包气带土层岩性分析</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评价区包气带岩性横向变化不大，以粉质粘土夹薄层粉土为主。</w:t>
      </w:r>
    </w:p>
    <w:p>
      <w:pPr>
        <w:keepNext w:val="0"/>
        <w:keepLines w:val="0"/>
        <w:widowControl/>
        <w:suppressLineNumbers w:val="0"/>
        <w:jc w:val="both"/>
      </w:pP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评价区浅层含水层地下水水文地质特征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）评价区浅层含水层岩性特征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评价区内由静止水位至含水层底板埋深</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25</w:t>
      </w:r>
      <w:r>
        <w:rPr>
          <w:rFonts w:hint="eastAsia" w:ascii="宋体" w:hAnsi="宋体" w:eastAsia="宋体" w:cs="宋体"/>
          <w:color w:val="000000"/>
          <w:kern w:val="0"/>
          <w:sz w:val="24"/>
          <w:szCs w:val="24"/>
          <w:lang w:val="en-US" w:eastAsia="zh-CN" w:bidi="ar"/>
        </w:rPr>
        <w:t>米之间的亚砂土、亚粘土、黄土类土均系潜水含水层组。</w:t>
      </w:r>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根据评价区范围内相关区域地质资料，评价区内第四系上更新统（</w:t>
      </w:r>
      <w:r>
        <w:rPr>
          <w:rFonts w:hint="default" w:ascii="Times New Roman" w:hAnsi="Times New Roman" w:eastAsia="宋体" w:cs="Times New Roman"/>
          <w:color w:val="000000"/>
          <w:kern w:val="0"/>
          <w:sz w:val="24"/>
          <w:szCs w:val="24"/>
          <w:lang w:val="en-US" w:eastAsia="zh-CN" w:bidi="ar"/>
        </w:rPr>
        <w:t>Q3</w:t>
      </w:r>
      <w:r>
        <w:rPr>
          <w:rFonts w:hint="eastAsia" w:ascii="宋体" w:hAnsi="宋体" w:eastAsia="宋体" w:cs="宋体"/>
          <w:color w:val="000000"/>
          <w:kern w:val="0"/>
          <w:sz w:val="24"/>
          <w:szCs w:val="24"/>
          <w:lang w:val="en-US" w:eastAsia="zh-CN" w:bidi="ar"/>
        </w:rPr>
        <w:t>）地层根据岩性特征可分为六层，总厚度约</w:t>
      </w:r>
      <w:r>
        <w:rPr>
          <w:rFonts w:hint="default" w:ascii="Times New Roman" w:hAnsi="Times New Roman" w:eastAsia="宋体" w:cs="Times New Roman"/>
          <w:color w:val="000000"/>
          <w:kern w:val="0"/>
          <w:sz w:val="24"/>
          <w:szCs w:val="24"/>
          <w:lang w:val="en-US" w:eastAsia="zh-CN" w:bidi="ar"/>
        </w:rPr>
        <w:t>30m</w:t>
      </w:r>
      <w:r>
        <w:rPr>
          <w:rFonts w:hint="eastAsia" w:ascii="宋体" w:hAnsi="宋体" w:eastAsia="宋体" w:cs="宋体"/>
          <w:color w:val="000000"/>
          <w:kern w:val="0"/>
          <w:sz w:val="24"/>
          <w:szCs w:val="24"/>
          <w:lang w:val="en-US" w:eastAsia="zh-CN" w:bidi="ar"/>
        </w:rPr>
        <w:t>。其岩性特征具体为，在耕植层以下有一层</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厚的重亚砂土层，其下第二层位为一层厚约</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7m</w:t>
      </w:r>
      <w:r>
        <w:rPr>
          <w:rFonts w:hint="eastAsia" w:ascii="宋体" w:hAnsi="宋体" w:eastAsia="宋体" w:cs="宋体"/>
          <w:color w:val="000000"/>
          <w:kern w:val="0"/>
          <w:sz w:val="24"/>
          <w:szCs w:val="24"/>
          <w:lang w:val="en-US" w:eastAsia="zh-CN" w:bidi="ar"/>
        </w:rPr>
        <w:t>的轻亚砂土层，该层厚度较为均一。再往下，第三层为一层</w:t>
      </w:r>
      <w:r>
        <w:rPr>
          <w:rFonts w:hint="eastAsia" w:ascii="宋体" w:hAnsi="宋体" w:cs="宋体"/>
          <w:color w:val="000000"/>
          <w:kern w:val="0"/>
          <w:sz w:val="24"/>
          <w:szCs w:val="24"/>
          <w:lang w:val="en-US" w:eastAsia="zh-CN" w:bidi="ar"/>
        </w:rPr>
        <w:t>厚</w:t>
      </w:r>
      <w:r>
        <w:rPr>
          <w:rFonts w:hint="eastAsia" w:ascii="宋体" w:hAnsi="宋体" w:eastAsia="宋体" w:cs="宋体"/>
          <w:color w:val="000000"/>
          <w:kern w:val="0"/>
          <w:sz w:val="24"/>
          <w:szCs w:val="24"/>
          <w:lang w:val="en-US" w:eastAsia="zh-CN" w:bidi="ar"/>
        </w:rPr>
        <w:t>约</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的亚砂土层，其在评价区西南部夹有一层厚约</w:t>
      </w:r>
      <w:r>
        <w:rPr>
          <w:rFonts w:hint="default" w:ascii="Times New Roman" w:hAnsi="Times New Roman" w:eastAsia="宋体" w:cs="Times New Roman"/>
          <w:color w:val="000000"/>
          <w:kern w:val="0"/>
          <w:sz w:val="24"/>
          <w:szCs w:val="24"/>
          <w:lang w:val="en-US" w:eastAsia="zh-CN" w:bidi="ar"/>
        </w:rPr>
        <w:t>0.5m</w:t>
      </w:r>
      <w:r>
        <w:rPr>
          <w:rFonts w:hint="eastAsia" w:ascii="宋体" w:hAnsi="宋体" w:eastAsia="宋体" w:cs="宋体"/>
          <w:color w:val="000000"/>
          <w:kern w:val="0"/>
          <w:sz w:val="24"/>
          <w:szCs w:val="24"/>
          <w:lang w:val="en-US" w:eastAsia="zh-CN" w:bidi="ar"/>
        </w:rPr>
        <w:t>、岩性为亚粘土的透镜体；第四层仍为一层厚约</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4m</w:t>
      </w:r>
      <w:r>
        <w:rPr>
          <w:rFonts w:hint="eastAsia" w:ascii="宋体" w:hAnsi="宋体" w:eastAsia="宋体" w:cs="宋体"/>
          <w:color w:val="000000"/>
          <w:kern w:val="0"/>
          <w:sz w:val="24"/>
          <w:szCs w:val="24"/>
          <w:lang w:val="en-US" w:eastAsia="zh-CN" w:bidi="ar"/>
        </w:rPr>
        <w:t>的轻亚砂土层，其下的第五层为一层厚约</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的细砂、粉砂层，为评价区内最为重要的浅层地下水含水层位。再往下则第六层为一层厚约</w:t>
      </w:r>
      <w:r>
        <w:rPr>
          <w:rFonts w:hint="default" w:ascii="Times New Roman" w:hAnsi="Times New Roman" w:eastAsia="宋体" w:cs="Times New Roman"/>
          <w:color w:val="000000"/>
          <w:kern w:val="0"/>
          <w:sz w:val="24"/>
          <w:szCs w:val="24"/>
          <w:lang w:val="en-US" w:eastAsia="zh-CN" w:bidi="ar"/>
        </w:rPr>
        <w:t>8-10m</w:t>
      </w:r>
      <w:r>
        <w:rPr>
          <w:rFonts w:hint="eastAsia" w:ascii="宋体" w:hAnsi="宋体" w:eastAsia="宋体" w:cs="宋体"/>
          <w:color w:val="000000"/>
          <w:kern w:val="0"/>
          <w:sz w:val="24"/>
          <w:szCs w:val="24"/>
          <w:lang w:val="en-US" w:eastAsia="zh-CN" w:bidi="ar"/>
        </w:rPr>
        <w:t>的弱透水层。第四系上更新统（</w:t>
      </w:r>
      <w:r>
        <w:rPr>
          <w:rFonts w:hint="default" w:ascii="Times New Roman" w:hAnsi="Times New Roman" w:eastAsia="宋体" w:cs="Times New Roman"/>
          <w:color w:val="000000"/>
          <w:kern w:val="0"/>
          <w:sz w:val="24"/>
          <w:szCs w:val="24"/>
          <w:lang w:val="en-US" w:eastAsia="zh-CN" w:bidi="ar"/>
        </w:rPr>
        <w:t>Q3</w:t>
      </w:r>
      <w:r>
        <w:rPr>
          <w:rFonts w:hint="eastAsia" w:ascii="宋体" w:hAnsi="宋体" w:eastAsia="宋体" w:cs="宋体"/>
          <w:color w:val="000000"/>
          <w:kern w:val="0"/>
          <w:sz w:val="24"/>
          <w:szCs w:val="24"/>
          <w:lang w:val="en-US" w:eastAsia="zh-CN" w:bidi="ar"/>
        </w:rPr>
        <w:t>）地层以下则为第四系上更新统（</w:t>
      </w:r>
      <w:r>
        <w:rPr>
          <w:rFonts w:hint="default" w:ascii="Times New Roman" w:hAnsi="Times New Roman" w:eastAsia="宋体" w:cs="Times New Roman"/>
          <w:color w:val="000000"/>
          <w:kern w:val="0"/>
          <w:sz w:val="24"/>
          <w:szCs w:val="24"/>
          <w:lang w:val="en-US" w:eastAsia="zh-CN" w:bidi="ar"/>
        </w:rPr>
        <w:t>Q3</w:t>
      </w:r>
      <w:r>
        <w:rPr>
          <w:rFonts w:hint="eastAsia" w:ascii="宋体" w:hAnsi="宋体" w:eastAsia="宋体" w:cs="宋体"/>
          <w:color w:val="000000"/>
          <w:kern w:val="0"/>
          <w:sz w:val="24"/>
          <w:szCs w:val="24"/>
          <w:lang w:val="en-US" w:eastAsia="zh-CN" w:bidi="ar"/>
        </w:rPr>
        <w:t>）地层，其同样可主要分为六层，该层组整体上含水性较弱，为相对隔水层。其第一层为一层厚约</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的亚粘土隔水层，第二层为一层</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3m</w:t>
      </w:r>
      <w:r>
        <w:rPr>
          <w:rFonts w:hint="eastAsia" w:ascii="宋体" w:hAnsi="宋体" w:eastAsia="宋体" w:cs="宋体"/>
          <w:color w:val="000000"/>
          <w:kern w:val="0"/>
          <w:sz w:val="24"/>
          <w:szCs w:val="24"/>
          <w:lang w:val="en-US" w:eastAsia="zh-CN" w:bidi="ar"/>
        </w:rPr>
        <w:t>的亚砂层，第三层则仍为一层厚约</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10m</w:t>
      </w:r>
      <w:r>
        <w:rPr>
          <w:rFonts w:hint="eastAsia" w:ascii="宋体" w:hAnsi="宋体" w:eastAsia="宋体" w:cs="宋体"/>
          <w:color w:val="000000"/>
          <w:kern w:val="0"/>
          <w:sz w:val="24"/>
          <w:szCs w:val="24"/>
          <w:lang w:val="en-US" w:eastAsia="zh-CN" w:bidi="ar"/>
        </w:rPr>
        <w:t>的亚粘土层，其下有一层厚度约</w:t>
      </w:r>
      <w:r>
        <w:rPr>
          <w:rFonts w:hint="default" w:ascii="Times New Roman" w:hAnsi="Times New Roman" w:eastAsia="宋体" w:cs="Times New Roman"/>
          <w:color w:val="000000"/>
          <w:kern w:val="0"/>
          <w:sz w:val="24"/>
          <w:szCs w:val="24"/>
          <w:lang w:val="en-US" w:eastAsia="zh-CN" w:bidi="ar"/>
        </w:rPr>
        <w:t>0.5m</w:t>
      </w:r>
      <w:r>
        <w:rPr>
          <w:rFonts w:hint="eastAsia" w:ascii="宋体" w:hAnsi="宋体" w:eastAsia="宋体" w:cs="宋体"/>
          <w:color w:val="000000"/>
          <w:kern w:val="0"/>
          <w:sz w:val="24"/>
          <w:szCs w:val="24"/>
          <w:lang w:val="en-US" w:eastAsia="zh-CN" w:bidi="ar"/>
        </w:rPr>
        <w:t>的钙质结核层，再往下第五层为一层厚约</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7m</w:t>
      </w:r>
      <w:r>
        <w:rPr>
          <w:rFonts w:hint="eastAsia" w:ascii="宋体" w:hAnsi="宋体" w:eastAsia="宋体" w:cs="宋体"/>
          <w:color w:val="000000"/>
          <w:kern w:val="0"/>
          <w:sz w:val="24"/>
          <w:szCs w:val="24"/>
          <w:lang w:val="en-US" w:eastAsia="zh-CN" w:bidi="ar"/>
        </w:rPr>
        <w:t>的亚砂土层，其下第六层为一层</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10m</w:t>
      </w:r>
      <w:r>
        <w:rPr>
          <w:rFonts w:hint="eastAsia" w:ascii="宋体" w:hAnsi="宋体" w:eastAsia="宋体" w:cs="宋体"/>
          <w:color w:val="000000"/>
          <w:kern w:val="0"/>
          <w:sz w:val="24"/>
          <w:szCs w:val="24"/>
          <w:lang w:val="en-US" w:eastAsia="zh-CN" w:bidi="ar"/>
        </w:rPr>
        <w:t>的亚粘土层。</w:t>
      </w:r>
    </w:p>
    <w:p>
      <w:pPr>
        <w:keepNext w:val="0"/>
        <w:keepLines w:val="0"/>
        <w:widowControl/>
        <w:suppressLineNumbers w:val="0"/>
        <w:jc w:val="both"/>
      </w:pP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地下水补径排特征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）地下水补给</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浅层水主要靠大气降水入渗和周边侧向径流补给，其次为河渠入渗，湖沟坑塘入渗和农灌回渗补给。</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）降水入渗补给</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降水入渗是浅层地下水的主要补给来源之一，其补给量的大小与包气带岩性、结构、地下水位埋深、降水强度及频率有关。</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本区地形平坦，地面坡降一般</w:t>
      </w:r>
      <w:r>
        <w:rPr>
          <w:rFonts w:hint="default" w:ascii="Times New Roman" w:hAnsi="Times New Roman" w:eastAsia="宋体" w:cs="Times New Roman"/>
          <w:color w:val="000000"/>
          <w:kern w:val="0"/>
          <w:sz w:val="24"/>
          <w:szCs w:val="24"/>
          <w:lang w:val="en-US" w:eastAsia="zh-CN" w:bidi="ar"/>
        </w:rPr>
        <w:t>1/2000-1/4000</w:t>
      </w:r>
      <w:r>
        <w:rPr>
          <w:rFonts w:hint="eastAsia" w:ascii="宋体" w:hAnsi="宋体" w:eastAsia="宋体" w:cs="宋体"/>
          <w:color w:val="000000"/>
          <w:kern w:val="0"/>
          <w:sz w:val="24"/>
          <w:szCs w:val="24"/>
          <w:lang w:val="en-US" w:eastAsia="zh-CN" w:bidi="ar"/>
        </w:rPr>
        <w:t>，地表径流迟缓，地下水埋深较浅，且包气带岩性大部分为粉土及粉砂，结构松散，极有利于大气降水渗入补给。特别是降水集中的</w:t>
      </w:r>
      <w:r>
        <w:rPr>
          <w:rFonts w:hint="default" w:ascii="Times New Roman" w:hAnsi="Times New Roman" w:eastAsia="宋体" w:cs="Times New Roman"/>
          <w:color w:val="000000"/>
          <w:kern w:val="0"/>
          <w:sz w:val="24"/>
          <w:szCs w:val="24"/>
          <w:lang w:val="en-US" w:eastAsia="zh-CN" w:bidi="ar"/>
        </w:rPr>
        <w:t>7-9</w:t>
      </w:r>
      <w:r>
        <w:rPr>
          <w:rFonts w:hint="eastAsia" w:ascii="宋体" w:hAnsi="宋体" w:eastAsia="宋体" w:cs="宋体"/>
          <w:color w:val="000000"/>
          <w:kern w:val="0"/>
          <w:sz w:val="24"/>
          <w:szCs w:val="24"/>
          <w:lang w:val="en-US" w:eastAsia="zh-CN" w:bidi="ar"/>
        </w:rPr>
        <w:t>月份，地下水位显著上升。</w:t>
      </w:r>
    </w:p>
    <w:p>
      <w:pPr>
        <w:keepNext w:val="0"/>
        <w:keepLines w:val="0"/>
        <w:widowControl/>
        <w:suppressLineNumbers w:val="0"/>
        <w:jc w:val="both"/>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）灌溉回渗补给</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本区农业水利化程度高，主要是渠灌和井灌。</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）地下水径流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调查评价区浅层地下水的天然径流方向大部分为自东南向西北方向补给沙河。</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）地下水排泄</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主要排泄形式为人工开采、少量侧向排泄及向沙河排泄。</w:t>
      </w:r>
    </w:p>
    <w:p>
      <w:pPr>
        <w:keepNext w:val="0"/>
        <w:keepLines w:val="0"/>
        <w:widowControl/>
        <w:suppressLineNumbers w:val="0"/>
        <w:jc w:val="both"/>
      </w:pPr>
      <w:r>
        <w:rPr>
          <w:rFonts w:hint="eastAsia"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评价区浅层地下水流场特征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地下水整体流向与地形坡度基本保持一致，地下水流向整体自东南向西北。</w:t>
      </w:r>
    </w:p>
    <w:p>
      <w:pPr>
        <w:bidi w:val="0"/>
        <w:rPr>
          <w:b/>
          <w:bCs/>
        </w:rPr>
      </w:pPr>
      <w:r>
        <w:rPr>
          <w:rFonts w:hint="eastAsia"/>
          <w:b/>
          <w:bCs/>
          <w:lang w:val="en-US" w:eastAsia="zh-CN"/>
        </w:rPr>
        <w:t xml:space="preserve">6.5.3.5 </w:t>
      </w:r>
      <w:r>
        <w:rPr>
          <w:b/>
          <w:bCs/>
          <w:lang w:val="en-US" w:eastAsia="zh-CN"/>
        </w:rPr>
        <w:t>场地水文地质特征</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场地地形地貌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拟建厂区所在地地貌上处于淮河冲洪积平原地带，地貌较为单一，地形较为平坦，地势开阔，自然地面标高在</w:t>
      </w:r>
      <w:r>
        <w:rPr>
          <w:rFonts w:hint="default" w:ascii="Times New Roman" w:hAnsi="Times New Roman" w:eastAsia="宋体" w:cs="Times New Roman"/>
          <w:color w:val="000000"/>
          <w:kern w:val="0"/>
          <w:sz w:val="24"/>
          <w:szCs w:val="24"/>
          <w:lang w:val="en-US" w:eastAsia="zh-CN" w:bidi="ar"/>
        </w:rPr>
        <w:t>76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81m</w:t>
      </w:r>
      <w:r>
        <w:rPr>
          <w:rFonts w:hint="eastAsia" w:ascii="宋体" w:hAnsi="宋体" w:eastAsia="宋体" w:cs="宋体"/>
          <w:color w:val="000000"/>
          <w:kern w:val="0"/>
          <w:sz w:val="24"/>
          <w:szCs w:val="24"/>
          <w:lang w:val="en-US" w:eastAsia="zh-CN" w:bidi="ar"/>
        </w:rPr>
        <w:t>之间。</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场地地质构造</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拟建厂区场地质构造相对较为简单，未有断层通过。工程地质条件一般，勘探深度内揭露的岩土地层均由第四系冲洪积的粘性土与粉土地层组成；就地层分布而言，上部变化较大，分布有较多夹层、透镜体，工程特性上、下部差异较大，上部较差，下部相对较好。</w:t>
      </w:r>
    </w:p>
    <w:p>
      <w:pPr>
        <w:autoSpaceDE w:val="0"/>
        <w:autoSpaceDN w:val="0"/>
        <w:ind w:firstLine="480"/>
        <w:rPr>
          <w:rFonts w:ascii="Times New Roman" w:hAnsi="Times New Roman"/>
          <w:b/>
          <w:snapToGrid w:val="0"/>
          <w:color w:val="auto"/>
          <w:spacing w:val="0"/>
          <w:kern w:val="0"/>
          <w:sz w:val="24"/>
        </w:rPr>
      </w:pPr>
      <w:r>
        <w:rPr>
          <w:rFonts w:hint="eastAsia"/>
          <w:b/>
          <w:snapToGrid w:val="0"/>
          <w:color w:val="auto"/>
          <w:spacing w:val="0"/>
          <w:kern w:val="0"/>
          <w:sz w:val="24"/>
          <w:lang w:val="en-US" w:eastAsia="zh-CN"/>
        </w:rPr>
        <w:t xml:space="preserve">6.5.3.6 </w:t>
      </w:r>
      <w:r>
        <w:rPr>
          <w:rFonts w:ascii="Times New Roman" w:hAnsi="Times New Roman"/>
          <w:b/>
          <w:snapToGrid w:val="0"/>
          <w:color w:val="auto"/>
          <w:spacing w:val="0"/>
          <w:kern w:val="0"/>
          <w:sz w:val="24"/>
        </w:rPr>
        <w:t>地下水环境影响识别</w:t>
      </w:r>
    </w:p>
    <w:p>
      <w:pPr>
        <w:autoSpaceDE w:val="0"/>
        <w:autoSpaceDN w:val="0"/>
        <w:ind w:firstLine="480"/>
        <w:rPr>
          <w:rFonts w:hint="eastAsia" w:ascii="Times New Roman" w:hAnsi="Times New Roman" w:eastAsia="宋体"/>
          <w:snapToGrid w:val="0"/>
          <w:color w:val="auto"/>
          <w:spacing w:val="0"/>
          <w:kern w:val="0"/>
          <w:lang w:eastAsia="zh-CN"/>
        </w:rPr>
      </w:pPr>
      <w:r>
        <w:rPr>
          <w:rFonts w:ascii="Times New Roman" w:hAnsi="Times New Roman"/>
          <w:snapToGrid w:val="0"/>
          <w:color w:val="auto"/>
          <w:spacing w:val="0"/>
          <w:kern w:val="0"/>
          <w:sz w:val="24"/>
        </w:rPr>
        <w:t>本项目运营期废水主要为</w:t>
      </w:r>
      <w:r>
        <w:rPr>
          <w:rFonts w:hint="eastAsia"/>
          <w:snapToGrid w:val="0"/>
          <w:color w:val="auto"/>
          <w:spacing w:val="0"/>
          <w:kern w:val="0"/>
          <w:sz w:val="24"/>
          <w:lang w:eastAsia="zh-CN"/>
        </w:rPr>
        <w:t>生活污水、餐饮废水、清洗废水、循环冷却水</w:t>
      </w:r>
      <w:r>
        <w:rPr>
          <w:rFonts w:ascii="Times New Roman" w:hAnsi="Times New Roman"/>
          <w:snapToGrid w:val="0"/>
          <w:color w:val="auto"/>
          <w:spacing w:val="0"/>
          <w:kern w:val="0"/>
          <w:sz w:val="24"/>
        </w:rPr>
        <w:t>，废水水质复杂程度属简单，</w:t>
      </w:r>
      <w:r>
        <w:rPr>
          <w:rFonts w:hint="eastAsia"/>
          <w:snapToGrid w:val="0"/>
          <w:color w:val="auto"/>
          <w:spacing w:val="0"/>
          <w:kern w:val="0"/>
          <w:sz w:val="24"/>
          <w:lang w:eastAsia="zh-CN"/>
        </w:rPr>
        <w:t>餐饮废水经隔油池处理后进入化粪池，与</w:t>
      </w:r>
      <w:r>
        <w:rPr>
          <w:rFonts w:ascii="Times New Roman" w:hAnsi="Times New Roman"/>
          <w:snapToGrid w:val="0"/>
          <w:color w:val="auto"/>
          <w:spacing w:val="0"/>
          <w:kern w:val="0"/>
          <w:sz w:val="24"/>
        </w:rPr>
        <w:t>生活污水经化粪池处理后定期清掏外运。项目运营期清洗废水</w:t>
      </w:r>
      <w:r>
        <w:rPr>
          <w:rFonts w:hint="eastAsia"/>
          <w:snapToGrid w:val="0"/>
          <w:color w:val="auto"/>
          <w:spacing w:val="0"/>
          <w:kern w:val="0"/>
          <w:sz w:val="24"/>
          <w:lang w:eastAsia="zh-CN"/>
        </w:rPr>
        <w:t>和循环冷却水经“</w:t>
      </w:r>
      <w:r>
        <w:rPr>
          <w:rFonts w:ascii="Times New Roman" w:hAnsi="Times New Roman"/>
          <w:snapToGrid w:val="0"/>
          <w:color w:val="auto"/>
          <w:spacing w:val="0"/>
          <w:kern w:val="0"/>
          <w:sz w:val="24"/>
        </w:rPr>
        <w:t>二级过滤+气浮沉淀</w:t>
      </w:r>
      <w:r>
        <w:rPr>
          <w:rFonts w:hint="eastAsia"/>
          <w:snapToGrid w:val="0"/>
          <w:color w:val="auto"/>
          <w:spacing w:val="0"/>
          <w:kern w:val="0"/>
          <w:sz w:val="24"/>
          <w:lang w:eastAsia="zh-CN"/>
        </w:rPr>
        <w:t>”</w:t>
      </w:r>
      <w:r>
        <w:rPr>
          <w:rFonts w:ascii="Times New Roman" w:hAnsi="Times New Roman"/>
          <w:snapToGrid w:val="0"/>
          <w:color w:val="auto"/>
          <w:spacing w:val="0"/>
          <w:kern w:val="0"/>
          <w:sz w:val="24"/>
        </w:rPr>
        <w:t>后全部回用于生产，不外排</w:t>
      </w:r>
      <w:r>
        <w:rPr>
          <w:rFonts w:hint="eastAsia"/>
          <w:snapToGrid w:val="0"/>
          <w:color w:val="auto"/>
          <w:spacing w:val="0"/>
          <w:kern w:val="0"/>
          <w:sz w:val="24"/>
          <w:lang w:eastAsia="zh-CN"/>
        </w:rPr>
        <w:t>。</w:t>
      </w:r>
    </w:p>
    <w:p>
      <w:pPr>
        <w:pStyle w:val="38"/>
        <w:spacing w:after="0"/>
        <w:rPr>
          <w:rFonts w:ascii="Times New Roman" w:hAnsi="Times New Roman"/>
          <w:snapToGrid w:val="0"/>
          <w:color w:val="auto"/>
          <w:spacing w:val="0"/>
          <w:kern w:val="0"/>
        </w:rPr>
      </w:pPr>
      <w:r>
        <w:rPr>
          <w:rFonts w:ascii="Times New Roman" w:hAnsi="Times New Roman"/>
          <w:snapToGrid w:val="0"/>
          <w:color w:val="auto"/>
          <w:spacing w:val="0"/>
          <w:kern w:val="0"/>
        </w:rPr>
        <w:t>本项目废水综合利用，污染物对地下水的影响主要是由于降雨、废水收集处理系统防渗措施不足或非正常工况下，废水通过垂直渗透进入包气带，进入包气带的污染物在物理、化学和生物作用下，经吸附、转化、迁移和分解后输入地下水。因此，包气带是连接地面污染物与地下含水层的主要通道和过渡带，既是污染物媒介体，又是污染物的净化场所和防护层。一般来说，土壤粒细而紧密，渗透性差，则污染慢；反之，颗粒大松散，渗透性良好则污染重。</w:t>
      </w:r>
    </w:p>
    <w:p>
      <w:pPr>
        <w:ind w:firstLine="482" w:firstLineChars="200"/>
        <w:rPr>
          <w:rFonts w:ascii="Times New Roman" w:hAnsi="Times New Roman"/>
          <w:b/>
          <w:snapToGrid w:val="0"/>
          <w:color w:val="auto"/>
          <w:spacing w:val="0"/>
          <w:kern w:val="0"/>
          <w:sz w:val="24"/>
        </w:rPr>
      </w:pPr>
      <w:r>
        <w:rPr>
          <w:rFonts w:hint="eastAsia"/>
          <w:b/>
          <w:snapToGrid w:val="0"/>
          <w:color w:val="auto"/>
          <w:spacing w:val="0"/>
          <w:kern w:val="0"/>
          <w:sz w:val="24"/>
          <w:lang w:val="en-US" w:eastAsia="zh-CN"/>
        </w:rPr>
        <w:t xml:space="preserve">6.5.3.7 </w:t>
      </w:r>
      <w:r>
        <w:rPr>
          <w:rFonts w:ascii="Times New Roman" w:hAnsi="Times New Roman"/>
          <w:b/>
          <w:snapToGrid w:val="0"/>
          <w:color w:val="auto"/>
          <w:spacing w:val="0"/>
          <w:kern w:val="0"/>
          <w:sz w:val="24"/>
        </w:rPr>
        <w:t>地下水污染防治措施</w:t>
      </w:r>
    </w:p>
    <w:p>
      <w:pPr>
        <w:ind w:firstLine="480" w:firstLineChars="200"/>
        <w:rPr>
          <w:rFonts w:ascii="Times New Roman" w:hAnsi="Times New Roman"/>
          <w:snapToGrid w:val="0"/>
          <w:color w:val="auto"/>
          <w:spacing w:val="0"/>
          <w:kern w:val="0"/>
          <w:sz w:val="24"/>
        </w:rPr>
      </w:pPr>
      <w:r>
        <w:rPr>
          <w:rFonts w:ascii="Times New Roman" w:hAnsi="Times New Roman"/>
          <w:snapToGrid w:val="0"/>
          <w:color w:val="auto"/>
          <w:spacing w:val="0"/>
          <w:kern w:val="0"/>
          <w:sz w:val="24"/>
        </w:rPr>
        <w:t>根据建设项目场地天然包气带防污性能、污染控制难易程度和污染物特性确定防渗级别。污染控制难易程度分级和天然包气带防污性能分级参照表</w:t>
      </w:r>
      <w:r>
        <w:rPr>
          <w:rFonts w:hint="eastAsia"/>
          <w:snapToGrid w:val="0"/>
          <w:color w:val="auto"/>
          <w:spacing w:val="0"/>
          <w:kern w:val="0"/>
          <w:sz w:val="24"/>
          <w:lang w:val="en-US" w:eastAsia="zh-CN"/>
        </w:rPr>
        <w:t>6</w:t>
      </w:r>
      <w:r>
        <w:rPr>
          <w:rFonts w:ascii="Times New Roman" w:hAnsi="Times New Roman"/>
          <w:snapToGrid w:val="0"/>
          <w:color w:val="auto"/>
          <w:spacing w:val="0"/>
          <w:kern w:val="0"/>
          <w:sz w:val="24"/>
        </w:rPr>
        <w:t>.</w:t>
      </w:r>
      <w:r>
        <w:rPr>
          <w:rFonts w:hint="eastAsia"/>
          <w:snapToGrid w:val="0"/>
          <w:color w:val="auto"/>
          <w:spacing w:val="0"/>
          <w:kern w:val="0"/>
          <w:sz w:val="24"/>
          <w:lang w:val="en-US" w:eastAsia="zh-CN"/>
        </w:rPr>
        <w:t>5-5</w:t>
      </w:r>
      <w:r>
        <w:rPr>
          <w:rFonts w:ascii="Times New Roman" w:hAnsi="Times New Roman"/>
          <w:snapToGrid w:val="0"/>
          <w:color w:val="auto"/>
          <w:spacing w:val="0"/>
          <w:kern w:val="0"/>
          <w:sz w:val="24"/>
        </w:rPr>
        <w:t>和表</w:t>
      </w:r>
      <w:r>
        <w:rPr>
          <w:rFonts w:hint="eastAsia"/>
          <w:snapToGrid w:val="0"/>
          <w:color w:val="auto"/>
          <w:spacing w:val="0"/>
          <w:kern w:val="0"/>
          <w:sz w:val="24"/>
          <w:lang w:val="en-US" w:eastAsia="zh-CN"/>
        </w:rPr>
        <w:t>6</w:t>
      </w:r>
      <w:r>
        <w:rPr>
          <w:rFonts w:ascii="Times New Roman" w:hAnsi="Times New Roman"/>
          <w:snapToGrid w:val="0"/>
          <w:color w:val="auto"/>
          <w:spacing w:val="0"/>
          <w:kern w:val="0"/>
          <w:sz w:val="24"/>
        </w:rPr>
        <w:t>.</w:t>
      </w:r>
      <w:r>
        <w:rPr>
          <w:rFonts w:hint="eastAsia"/>
          <w:snapToGrid w:val="0"/>
          <w:color w:val="auto"/>
          <w:spacing w:val="0"/>
          <w:kern w:val="0"/>
          <w:sz w:val="24"/>
          <w:lang w:val="en-US" w:eastAsia="zh-CN"/>
        </w:rPr>
        <w:t>5-6</w:t>
      </w:r>
      <w:r>
        <w:rPr>
          <w:rFonts w:ascii="Times New Roman" w:hAnsi="Times New Roman"/>
          <w:snapToGrid w:val="0"/>
          <w:color w:val="auto"/>
          <w:spacing w:val="0"/>
          <w:kern w:val="0"/>
          <w:sz w:val="24"/>
        </w:rPr>
        <w:t>进行相关等级的确定。参照表</w:t>
      </w:r>
      <w:r>
        <w:rPr>
          <w:rFonts w:hint="eastAsia"/>
          <w:snapToGrid w:val="0"/>
          <w:color w:val="auto"/>
          <w:spacing w:val="0"/>
          <w:kern w:val="0"/>
          <w:sz w:val="24"/>
          <w:lang w:val="en-US" w:eastAsia="zh-CN"/>
        </w:rPr>
        <w:t>6.5-7</w:t>
      </w:r>
      <w:r>
        <w:rPr>
          <w:rFonts w:ascii="Times New Roman" w:hAnsi="Times New Roman"/>
          <w:snapToGrid w:val="0"/>
          <w:color w:val="auto"/>
          <w:spacing w:val="0"/>
          <w:kern w:val="0"/>
          <w:sz w:val="24"/>
        </w:rPr>
        <w:t>提出防渗技术要求。</w:t>
      </w:r>
    </w:p>
    <w:p>
      <w:pPr>
        <w:spacing w:line="240" w:lineRule="auto"/>
        <w:jc w:val="center"/>
        <w:rPr>
          <w:rFonts w:ascii="Times New Roman" w:hAnsi="Times New Roman"/>
          <w:b/>
          <w:color w:val="auto"/>
        </w:rPr>
      </w:pPr>
      <w:r>
        <w:rPr>
          <w:rFonts w:ascii="Times New Roman" w:hAnsi="Times New Roman"/>
          <w:b/>
          <w:color w:val="auto"/>
        </w:rPr>
        <w:t>表</w:t>
      </w:r>
      <w:r>
        <w:rPr>
          <w:rFonts w:hint="eastAsia"/>
          <w:b/>
          <w:color w:val="auto"/>
          <w:lang w:val="en-US" w:eastAsia="zh-CN"/>
        </w:rPr>
        <w:t>6</w:t>
      </w:r>
      <w:r>
        <w:rPr>
          <w:rFonts w:ascii="Times New Roman" w:hAnsi="Times New Roman"/>
          <w:b/>
          <w:color w:val="auto"/>
        </w:rPr>
        <w:t>.</w:t>
      </w:r>
      <w:r>
        <w:rPr>
          <w:rFonts w:hint="eastAsia"/>
          <w:b/>
          <w:color w:val="auto"/>
          <w:lang w:val="en-US" w:eastAsia="zh-CN"/>
        </w:rPr>
        <w:t>5-5</w:t>
      </w:r>
      <w:r>
        <w:rPr>
          <w:rFonts w:ascii="Times New Roman" w:hAnsi="Times New Roman"/>
          <w:b/>
          <w:color w:val="auto"/>
        </w:rPr>
        <w:t xml:space="preserve">   污染控制难易程度分级参照表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1"/>
        <w:gridCol w:w="6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7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污染控制难易程度</w:t>
            </w:r>
          </w:p>
        </w:tc>
        <w:tc>
          <w:tcPr>
            <w:tcW w:w="372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难</w:t>
            </w:r>
          </w:p>
        </w:tc>
        <w:tc>
          <w:tcPr>
            <w:tcW w:w="372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6"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易</w:t>
            </w:r>
          </w:p>
        </w:tc>
        <w:tc>
          <w:tcPr>
            <w:tcW w:w="3723" w:type="pct"/>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对地下水环境有污染的物料或污染物泄漏后，可及时发现和处理</w:t>
            </w:r>
          </w:p>
        </w:tc>
      </w:tr>
    </w:tbl>
    <w:p>
      <w:pPr>
        <w:spacing w:line="240" w:lineRule="auto"/>
        <w:jc w:val="center"/>
        <w:rPr>
          <w:rFonts w:ascii="Times New Roman" w:hAnsi="Times New Roman"/>
          <w:b/>
          <w:color w:val="auto"/>
        </w:rPr>
      </w:pPr>
      <w:r>
        <w:rPr>
          <w:rFonts w:ascii="Times New Roman" w:hAnsi="Times New Roman"/>
          <w:b/>
          <w:color w:val="auto"/>
        </w:rPr>
        <w:t>表</w:t>
      </w:r>
      <w:r>
        <w:rPr>
          <w:rFonts w:hint="eastAsia"/>
          <w:b/>
          <w:color w:val="auto"/>
          <w:lang w:val="en-US" w:eastAsia="zh-CN"/>
        </w:rPr>
        <w:t>6.5-6</w:t>
      </w:r>
      <w:r>
        <w:rPr>
          <w:rFonts w:ascii="Times New Roman" w:hAnsi="Times New Roman"/>
          <w:b/>
          <w:color w:val="auto"/>
        </w:rPr>
        <w:t xml:space="preserve">    天然包气带防污性能分级参照表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分级</w:t>
            </w:r>
          </w:p>
        </w:tc>
        <w:tc>
          <w:tcPr>
            <w:tcW w:w="44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u w:val="none"/>
              </w:rPr>
            </w:pPr>
            <w:r>
              <w:rPr>
                <w:rFonts w:ascii="Times New Roman" w:hAnsi="Times New Roman" w:eastAsia="宋体"/>
                <w:i w:val="0"/>
                <w:iCs w:val="0"/>
                <w:color w:val="auto"/>
                <w:kern w:val="0"/>
                <w:sz w:val="21"/>
                <w:szCs w:val="21"/>
                <w:u w:val="none"/>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强</w:t>
            </w:r>
          </w:p>
        </w:tc>
        <w:tc>
          <w:tcPr>
            <w:tcW w:w="44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Mb≥1.0m，K≤1.0×10</w:t>
            </w:r>
            <w:r>
              <w:rPr>
                <w:rFonts w:ascii="Times New Roman" w:hAnsi="Times New Roman" w:eastAsia="宋体"/>
                <w:i w:val="0"/>
                <w:iCs w:val="0"/>
                <w:color w:val="auto"/>
                <w:kern w:val="0"/>
                <w:sz w:val="21"/>
                <w:szCs w:val="21"/>
                <w:u w:val="none"/>
                <w:vertAlign w:val="superscript"/>
              </w:rPr>
              <w:t>-6</w:t>
            </w:r>
            <w:r>
              <w:rPr>
                <w:rFonts w:ascii="Times New Roman" w:hAnsi="Times New Roman" w:eastAsia="宋体"/>
                <w:i w:val="0"/>
                <w:iCs w:val="0"/>
                <w:color w:val="auto"/>
                <w:kern w:val="0"/>
                <w:sz w:val="21"/>
                <w:szCs w:val="21"/>
                <w:u w:val="none"/>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5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中</w:t>
            </w:r>
          </w:p>
        </w:tc>
        <w:tc>
          <w:tcPr>
            <w:tcW w:w="44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0.5m≤Mb&lt;1.0m，K≤1.0×10</w:t>
            </w:r>
            <w:r>
              <w:rPr>
                <w:rFonts w:ascii="Times New Roman" w:hAnsi="Times New Roman" w:eastAsia="宋体"/>
                <w:i w:val="0"/>
                <w:iCs w:val="0"/>
                <w:color w:val="auto"/>
                <w:kern w:val="0"/>
                <w:sz w:val="21"/>
                <w:szCs w:val="21"/>
                <w:u w:val="none"/>
                <w:vertAlign w:val="superscript"/>
              </w:rPr>
              <w:t>-6</w:t>
            </w:r>
            <w:r>
              <w:rPr>
                <w:rFonts w:ascii="Times New Roman" w:hAnsi="Times New Roman" w:eastAsia="宋体"/>
                <w:i w:val="0"/>
                <w:iCs w:val="0"/>
                <w:color w:val="auto"/>
                <w:kern w:val="0"/>
                <w:sz w:val="21"/>
                <w:szCs w:val="21"/>
                <w:u w:val="none"/>
              </w:rPr>
              <w:t>cm/s，且分布连续、稳定</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u w:val="none"/>
              </w:rPr>
            </w:pPr>
            <w:r>
              <w:rPr>
                <w:rFonts w:ascii="Times New Roman" w:hAnsi="Times New Roman" w:eastAsia="宋体"/>
                <w:i w:val="0"/>
                <w:iCs w:val="0"/>
                <w:color w:val="auto"/>
                <w:kern w:val="0"/>
                <w:sz w:val="21"/>
                <w:szCs w:val="21"/>
                <w:u w:val="none"/>
              </w:rPr>
              <w:t>Mb≥1.0m，1.0×10</w:t>
            </w:r>
            <w:r>
              <w:rPr>
                <w:rFonts w:ascii="Times New Roman" w:hAnsi="Times New Roman" w:eastAsia="宋体"/>
                <w:i w:val="0"/>
                <w:iCs w:val="0"/>
                <w:color w:val="auto"/>
                <w:kern w:val="0"/>
                <w:sz w:val="21"/>
                <w:szCs w:val="21"/>
                <w:u w:val="none"/>
                <w:vertAlign w:val="superscript"/>
              </w:rPr>
              <w:t>-6</w:t>
            </w:r>
            <w:r>
              <w:rPr>
                <w:rFonts w:ascii="Times New Roman" w:hAnsi="Times New Roman" w:eastAsia="宋体"/>
                <w:i w:val="0"/>
                <w:iCs w:val="0"/>
                <w:color w:val="auto"/>
                <w:kern w:val="0"/>
                <w:sz w:val="21"/>
                <w:szCs w:val="21"/>
                <w:u w:val="none"/>
              </w:rPr>
              <w:t>cm/s&lt;K≤1.0×10</w:t>
            </w:r>
            <w:r>
              <w:rPr>
                <w:rFonts w:ascii="Times New Roman" w:hAnsi="Times New Roman" w:eastAsia="宋体"/>
                <w:i w:val="0"/>
                <w:iCs w:val="0"/>
                <w:color w:val="auto"/>
                <w:kern w:val="0"/>
                <w:sz w:val="21"/>
                <w:szCs w:val="21"/>
                <w:u w:val="none"/>
                <w:vertAlign w:val="superscript"/>
              </w:rPr>
              <w:t>-4</w:t>
            </w:r>
            <w:r>
              <w:rPr>
                <w:rFonts w:ascii="Times New Roman" w:hAnsi="Times New Roman" w:eastAsia="宋体"/>
                <w:i w:val="0"/>
                <w:iCs w:val="0"/>
                <w:color w:val="auto"/>
                <w:kern w:val="0"/>
                <w:sz w:val="21"/>
                <w:szCs w:val="21"/>
                <w:u w:val="none"/>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弱</w:t>
            </w:r>
          </w:p>
        </w:tc>
        <w:tc>
          <w:tcPr>
            <w:tcW w:w="449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Cs/>
                <w:i w:val="0"/>
                <w:iCs w:val="0"/>
                <w:color w:val="auto"/>
                <w:kern w:val="0"/>
                <w:sz w:val="21"/>
                <w:szCs w:val="21"/>
                <w:u w:val="none"/>
              </w:rPr>
            </w:pPr>
            <w:r>
              <w:rPr>
                <w:rFonts w:ascii="Times New Roman" w:hAnsi="Times New Roman" w:eastAsia="宋体"/>
                <w:i w:val="0"/>
                <w:iCs w:val="0"/>
                <w:color w:val="auto"/>
                <w:kern w:val="0"/>
                <w:sz w:val="21"/>
                <w:szCs w:val="21"/>
                <w:u w:val="none"/>
              </w:rPr>
              <w:t>岩（土）层不满足上述</w:t>
            </w:r>
            <w:r>
              <w:rPr>
                <w:rFonts w:hint="eastAsia"/>
                <w:i w:val="0"/>
                <w:iCs w:val="0"/>
                <w:color w:val="auto"/>
                <w:kern w:val="0"/>
                <w:sz w:val="21"/>
                <w:szCs w:val="21"/>
                <w:u w:val="none"/>
                <w:lang w:eastAsia="zh-CN"/>
              </w:rPr>
              <w:t>“</w:t>
            </w:r>
            <w:r>
              <w:rPr>
                <w:rFonts w:ascii="Times New Roman" w:hAnsi="Times New Roman" w:eastAsia="宋体"/>
                <w:i w:val="0"/>
                <w:iCs w:val="0"/>
                <w:color w:val="auto"/>
                <w:kern w:val="0"/>
                <w:sz w:val="21"/>
                <w:szCs w:val="21"/>
                <w:u w:val="none"/>
              </w:rPr>
              <w:t>强</w:t>
            </w:r>
            <w:r>
              <w:rPr>
                <w:rFonts w:hint="eastAsia"/>
                <w:i w:val="0"/>
                <w:iCs w:val="0"/>
                <w:color w:val="auto"/>
                <w:kern w:val="0"/>
                <w:sz w:val="21"/>
                <w:szCs w:val="21"/>
                <w:u w:val="none"/>
                <w:lang w:eastAsia="zh-CN"/>
              </w:rPr>
              <w:t>”</w:t>
            </w:r>
            <w:r>
              <w:rPr>
                <w:rFonts w:ascii="Times New Roman" w:hAnsi="Times New Roman" w:eastAsia="宋体"/>
                <w:i w:val="0"/>
                <w:iCs w:val="0"/>
                <w:color w:val="auto"/>
                <w:kern w:val="0"/>
                <w:sz w:val="21"/>
                <w:szCs w:val="21"/>
                <w:u w:val="none"/>
              </w:rPr>
              <w:t>和</w:t>
            </w:r>
            <w:r>
              <w:rPr>
                <w:rFonts w:hint="eastAsia"/>
                <w:i w:val="0"/>
                <w:iCs w:val="0"/>
                <w:color w:val="auto"/>
                <w:kern w:val="0"/>
                <w:sz w:val="21"/>
                <w:szCs w:val="21"/>
                <w:u w:val="none"/>
                <w:lang w:eastAsia="zh-CN"/>
              </w:rPr>
              <w:t>“</w:t>
            </w:r>
            <w:r>
              <w:rPr>
                <w:rFonts w:ascii="Times New Roman" w:hAnsi="Times New Roman" w:eastAsia="宋体"/>
                <w:i w:val="0"/>
                <w:iCs w:val="0"/>
                <w:color w:val="auto"/>
                <w:kern w:val="0"/>
                <w:sz w:val="21"/>
                <w:szCs w:val="21"/>
                <w:u w:val="none"/>
              </w:rPr>
              <w:t>中</w:t>
            </w:r>
            <w:r>
              <w:rPr>
                <w:rFonts w:hint="eastAsia"/>
                <w:i w:val="0"/>
                <w:iCs w:val="0"/>
                <w:color w:val="auto"/>
                <w:kern w:val="0"/>
                <w:sz w:val="21"/>
                <w:szCs w:val="21"/>
                <w:u w:val="none"/>
                <w:lang w:eastAsia="zh-CN"/>
              </w:rPr>
              <w:t>”</w:t>
            </w:r>
            <w:r>
              <w:rPr>
                <w:rFonts w:ascii="Times New Roman" w:hAnsi="Times New Roman" w:eastAsia="宋体"/>
                <w:i w:val="0"/>
                <w:iCs w:val="0"/>
                <w:color w:val="auto"/>
                <w:kern w:val="0"/>
                <w:sz w:val="21"/>
                <w:szCs w:val="21"/>
                <w:u w:val="none"/>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u w:val="none"/>
              </w:rPr>
            </w:pPr>
            <w:r>
              <w:rPr>
                <w:rFonts w:ascii="Times New Roman" w:hAnsi="Times New Roman" w:eastAsia="宋体"/>
                <w:i w:val="0"/>
                <w:iCs w:val="0"/>
                <w:color w:val="auto"/>
                <w:kern w:val="0"/>
                <w:sz w:val="21"/>
                <w:szCs w:val="21"/>
                <w:u w:val="none"/>
              </w:rPr>
              <w:t>注:Mb：岩土层单层厚度。K：渗透系数。</w:t>
            </w:r>
          </w:p>
        </w:tc>
      </w:tr>
    </w:tbl>
    <w:p>
      <w:pPr>
        <w:spacing w:line="240" w:lineRule="auto"/>
        <w:jc w:val="center"/>
        <w:rPr>
          <w:rFonts w:ascii="Times New Roman" w:hAnsi="Times New Roman"/>
          <w:b/>
          <w:color w:val="auto"/>
        </w:rPr>
      </w:pPr>
      <w:r>
        <w:rPr>
          <w:rFonts w:ascii="Times New Roman" w:hAnsi="Times New Roman"/>
          <w:b/>
          <w:color w:val="auto"/>
        </w:rPr>
        <w:t>表</w:t>
      </w:r>
      <w:r>
        <w:rPr>
          <w:rFonts w:hint="eastAsia"/>
          <w:b/>
          <w:color w:val="auto"/>
          <w:lang w:val="en-US" w:eastAsia="zh-CN"/>
        </w:rPr>
        <w:t>6</w:t>
      </w:r>
      <w:r>
        <w:rPr>
          <w:rFonts w:ascii="Times New Roman" w:hAnsi="Times New Roman"/>
          <w:b/>
          <w:color w:val="auto"/>
        </w:rPr>
        <w:t>.</w:t>
      </w:r>
      <w:r>
        <w:rPr>
          <w:rFonts w:hint="eastAsia"/>
          <w:b/>
          <w:color w:val="auto"/>
          <w:lang w:val="en-US" w:eastAsia="zh-CN"/>
        </w:rPr>
        <w:t>5-7</w:t>
      </w:r>
      <w:r>
        <w:rPr>
          <w:rFonts w:ascii="Times New Roman" w:hAnsi="Times New Roman"/>
          <w:b/>
          <w:color w:val="auto"/>
        </w:rPr>
        <w:t xml:space="preserve">  场地防渗等级一览表</w:t>
      </w:r>
    </w:p>
    <w:tbl>
      <w:tblPr>
        <w:tblStyle w:val="21"/>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2203"/>
        <w:gridCol w:w="1959"/>
        <w:gridCol w:w="1229"/>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场地名称</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天然包气带防污性能</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污染控制难易程度</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污染物类型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防渗分区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化粪池</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弱</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其他类型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污水处理站</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lang w:eastAsia="zh-CN"/>
              </w:rPr>
              <w:t>弱</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其他类型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生产车间</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弱</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其他类型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ascii="Times New Roman" w:hAnsi="Times New Roman"/>
                <w:color w:val="auto"/>
                <w:sz w:val="21"/>
                <w:szCs w:val="21"/>
                <w:highlight w:val="none"/>
                <w:u w:val="single"/>
              </w:rPr>
              <w:t>危废暂存间</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hint="eastAsia" w:ascii="Times New Roman" w:hAnsi="Times New Roman"/>
                <w:color w:val="auto"/>
                <w:sz w:val="21"/>
                <w:szCs w:val="21"/>
                <w:highlight w:val="none"/>
                <w:u w:val="single"/>
                <w:lang w:eastAsia="zh-CN"/>
              </w:rPr>
              <w:t>弱</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ascii="Times New Roman" w:hAnsi="Times New Roman"/>
                <w:color w:val="auto"/>
                <w:sz w:val="21"/>
                <w:szCs w:val="21"/>
                <w:highlight w:val="none"/>
                <w:u w:val="single"/>
              </w:rPr>
              <w:t>难</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ascii="Times New Roman" w:hAnsi="Times New Roman"/>
                <w:color w:val="auto"/>
                <w:sz w:val="21"/>
                <w:szCs w:val="21"/>
                <w:highlight w:val="none"/>
                <w:u w:val="single"/>
              </w:rPr>
              <w:t>其他类型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hint="eastAsia"/>
                <w:i w:val="0"/>
                <w:iCs w:val="0"/>
                <w:color w:val="auto"/>
                <w:sz w:val="21"/>
                <w:szCs w:val="21"/>
                <w:highlight w:val="none"/>
                <w:u w:val="single"/>
                <w:lang w:eastAsia="zh-CN"/>
              </w:rPr>
              <w:t>重点</w:t>
            </w:r>
            <w:r>
              <w:rPr>
                <w:rFonts w:ascii="Times New Roman" w:hAnsi="Times New Roman" w:eastAsia="宋体"/>
                <w:i w:val="0"/>
                <w:iCs w:val="0"/>
                <w:color w:val="auto"/>
                <w:sz w:val="21"/>
                <w:szCs w:val="21"/>
                <w:highlight w:val="none"/>
                <w:u w:val="single"/>
              </w:rPr>
              <w:t>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1"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highlight w:val="none"/>
                <w:u w:val="single"/>
                <w:lang w:eastAsia="zh-CN"/>
              </w:rPr>
            </w:pPr>
            <w:r>
              <w:rPr>
                <w:rFonts w:hint="eastAsia"/>
                <w:color w:val="auto"/>
                <w:sz w:val="21"/>
                <w:szCs w:val="21"/>
                <w:highlight w:val="none"/>
                <w:u w:val="single"/>
                <w:lang w:eastAsia="zh-CN"/>
              </w:rPr>
              <w:t>应急事故池</w:t>
            </w:r>
          </w:p>
        </w:tc>
        <w:tc>
          <w:tcPr>
            <w:tcW w:w="121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21"/>
                <w:highlight w:val="none"/>
                <w:u w:val="single"/>
                <w:lang w:eastAsia="zh-CN"/>
              </w:rPr>
            </w:pPr>
            <w:r>
              <w:rPr>
                <w:rFonts w:hint="eastAsia" w:ascii="Times New Roman" w:hAnsi="Times New Roman"/>
                <w:color w:val="auto"/>
                <w:sz w:val="21"/>
                <w:szCs w:val="21"/>
                <w:u w:val="single"/>
                <w:lang w:eastAsia="zh-CN"/>
              </w:rPr>
              <w:t>弱</w:t>
            </w:r>
          </w:p>
        </w:tc>
        <w:tc>
          <w:tcPr>
            <w:tcW w:w="1076"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ascii="Times New Roman" w:hAnsi="Times New Roman"/>
                <w:color w:val="auto"/>
                <w:sz w:val="21"/>
                <w:szCs w:val="21"/>
                <w:u w:val="single"/>
              </w:rPr>
              <w:t>难</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u w:val="single"/>
              </w:rPr>
            </w:pPr>
            <w:r>
              <w:rPr>
                <w:rFonts w:ascii="Times New Roman" w:hAnsi="Times New Roman"/>
                <w:color w:val="auto"/>
                <w:sz w:val="21"/>
                <w:szCs w:val="21"/>
                <w:u w:val="single"/>
              </w:rPr>
              <w:t>其他类型</w:t>
            </w:r>
          </w:p>
        </w:tc>
        <w:tc>
          <w:tcPr>
            <w:tcW w:w="675"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i w:val="0"/>
                <w:iCs w:val="0"/>
                <w:color w:val="auto"/>
                <w:sz w:val="21"/>
                <w:szCs w:val="21"/>
                <w:highlight w:val="none"/>
                <w:u w:val="single"/>
                <w:lang w:eastAsia="zh-CN"/>
              </w:rPr>
            </w:pPr>
            <w:r>
              <w:rPr>
                <w:rFonts w:ascii="Times New Roman" w:hAnsi="Times New Roman"/>
                <w:color w:val="auto"/>
                <w:sz w:val="21"/>
                <w:szCs w:val="21"/>
                <w:u w:val="single"/>
              </w:rPr>
              <w:t>一般防渗区</w:t>
            </w:r>
          </w:p>
        </w:tc>
      </w:tr>
    </w:tbl>
    <w:p>
      <w:pPr>
        <w:ind w:firstLine="480" w:firstLineChars="200"/>
        <w:rPr>
          <w:rFonts w:ascii="Times New Roman" w:hAnsi="Times New Roman"/>
          <w:color w:val="auto"/>
          <w:sz w:val="24"/>
        </w:rPr>
      </w:pPr>
      <w:r>
        <w:rPr>
          <w:rFonts w:ascii="Times New Roman" w:hAnsi="Times New Roman"/>
          <w:color w:val="auto"/>
          <w:sz w:val="24"/>
        </w:rPr>
        <w:t>综合上述防渗内容，本项目各场地分区防渗要求见表</w:t>
      </w:r>
      <w:r>
        <w:rPr>
          <w:rFonts w:hint="eastAsia"/>
          <w:color w:val="auto"/>
          <w:sz w:val="24"/>
          <w:lang w:val="en-US" w:eastAsia="zh-CN"/>
        </w:rPr>
        <w:t>6</w:t>
      </w:r>
      <w:r>
        <w:rPr>
          <w:rFonts w:ascii="Times New Roman" w:hAnsi="Times New Roman"/>
          <w:color w:val="auto"/>
          <w:sz w:val="24"/>
        </w:rPr>
        <w:t>.</w:t>
      </w:r>
      <w:r>
        <w:rPr>
          <w:rFonts w:hint="eastAsia"/>
          <w:color w:val="auto"/>
          <w:sz w:val="24"/>
          <w:lang w:val="en-US" w:eastAsia="zh-CN"/>
        </w:rPr>
        <w:t>5-8</w:t>
      </w:r>
      <w:r>
        <w:rPr>
          <w:rFonts w:ascii="Times New Roman" w:hAnsi="Times New Roman"/>
          <w:color w:val="auto"/>
          <w:sz w:val="24"/>
        </w:rPr>
        <w:t>。</w:t>
      </w:r>
    </w:p>
    <w:p>
      <w:pPr>
        <w:spacing w:line="240" w:lineRule="auto"/>
        <w:jc w:val="center"/>
        <w:rPr>
          <w:rFonts w:ascii="Times New Roman" w:hAnsi="Times New Roman"/>
          <w:b/>
          <w:color w:val="auto"/>
        </w:rPr>
      </w:pPr>
      <w:r>
        <w:rPr>
          <w:rFonts w:ascii="Times New Roman" w:hAnsi="Times New Roman"/>
          <w:b/>
          <w:color w:val="auto"/>
        </w:rPr>
        <w:t>表</w:t>
      </w:r>
      <w:r>
        <w:rPr>
          <w:rFonts w:hint="eastAsia"/>
          <w:b/>
          <w:color w:val="auto"/>
          <w:lang w:val="en-US" w:eastAsia="zh-CN"/>
        </w:rPr>
        <w:t>6</w:t>
      </w:r>
      <w:r>
        <w:rPr>
          <w:rFonts w:ascii="Times New Roman" w:hAnsi="Times New Roman"/>
          <w:b/>
          <w:color w:val="auto"/>
        </w:rPr>
        <w:t>.</w:t>
      </w:r>
      <w:r>
        <w:rPr>
          <w:rFonts w:hint="eastAsia"/>
          <w:b/>
          <w:color w:val="auto"/>
          <w:lang w:val="en-US" w:eastAsia="zh-CN"/>
        </w:rPr>
        <w:t>5-8</w:t>
      </w:r>
      <w:r>
        <w:rPr>
          <w:rFonts w:ascii="Times New Roman" w:hAnsi="Times New Roman"/>
          <w:b/>
          <w:color w:val="auto"/>
        </w:rPr>
        <w:t xml:space="preserve">  地下水污染分区防渗要求</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1786"/>
        <w:gridCol w:w="4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5" w:type="pct"/>
            <w:shd w:val="clear" w:color="92D050"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r>
              <w:rPr>
                <w:rFonts w:ascii="Times New Roman" w:hAnsi="Times New Roman" w:eastAsia="宋体"/>
                <w:i w:val="0"/>
                <w:iCs w:val="0"/>
                <w:color w:val="auto"/>
                <w:kern w:val="0"/>
                <w:sz w:val="21"/>
                <w:szCs w:val="21"/>
              </w:rPr>
              <w:t>场地名称</w:t>
            </w:r>
          </w:p>
        </w:tc>
        <w:tc>
          <w:tcPr>
            <w:tcW w:w="961" w:type="pct"/>
            <w:shd w:val="clear" w:color="92D050"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kern w:val="0"/>
                <w:sz w:val="21"/>
                <w:szCs w:val="21"/>
              </w:rPr>
              <w:t>防渗分区</w:t>
            </w:r>
          </w:p>
        </w:tc>
        <w:tc>
          <w:tcPr>
            <w:tcW w:w="2532" w:type="pct"/>
            <w:shd w:val="clear" w:color="92D050"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r>
              <w:rPr>
                <w:rFonts w:ascii="Times New Roman" w:hAnsi="Times New Roman" w:eastAsia="宋体"/>
                <w:i w:val="0"/>
                <w:iCs w:val="0"/>
                <w:color w:val="auto"/>
                <w:kern w:val="0"/>
                <w:sz w:val="21"/>
                <w:szCs w:val="21"/>
              </w:rPr>
              <w:t>防渗具体要求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sz w:val="21"/>
                <w:szCs w:val="21"/>
              </w:rPr>
              <w:t>化粪池</w:t>
            </w:r>
          </w:p>
        </w:tc>
        <w:tc>
          <w:tcPr>
            <w:tcW w:w="9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sz w:val="21"/>
                <w:szCs w:val="21"/>
              </w:rPr>
              <w:t>一般防渗区</w:t>
            </w:r>
          </w:p>
        </w:tc>
        <w:tc>
          <w:tcPr>
            <w:tcW w:w="253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kern w:val="0"/>
                <w:sz w:val="21"/>
                <w:szCs w:val="21"/>
              </w:rPr>
              <w:t>等效黏土防渗层Mb≥1.5m，K≤1.0×10</w:t>
            </w:r>
            <w:r>
              <w:rPr>
                <w:rFonts w:ascii="Times New Roman" w:hAnsi="Times New Roman" w:eastAsia="宋体"/>
                <w:i w:val="0"/>
                <w:iCs w:val="0"/>
                <w:color w:val="auto"/>
                <w:kern w:val="0"/>
                <w:sz w:val="21"/>
                <w:szCs w:val="21"/>
                <w:vertAlign w:val="superscript"/>
              </w:rPr>
              <w:t>-7</w:t>
            </w:r>
            <w:r>
              <w:rPr>
                <w:rFonts w:ascii="Times New Roman" w:hAnsi="Times New Roman" w:eastAsia="宋体"/>
                <w:i w:val="0"/>
                <w:iCs w:val="0"/>
                <w:color w:val="auto"/>
                <w:kern w:val="0"/>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hint="eastAsia"/>
                <w:color w:val="auto"/>
                <w:sz w:val="21"/>
                <w:szCs w:val="21"/>
                <w:lang w:eastAsia="zh-CN"/>
              </w:rPr>
              <w:t>污水处理站</w:t>
            </w:r>
          </w:p>
        </w:tc>
        <w:tc>
          <w:tcPr>
            <w:tcW w:w="9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p>
        </w:tc>
        <w:tc>
          <w:tcPr>
            <w:tcW w:w="2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生产车间</w:t>
            </w:r>
          </w:p>
        </w:tc>
        <w:tc>
          <w:tcPr>
            <w:tcW w:w="9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p>
        </w:tc>
        <w:tc>
          <w:tcPr>
            <w:tcW w:w="2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应急事故池</w:t>
            </w:r>
          </w:p>
        </w:tc>
        <w:tc>
          <w:tcPr>
            <w:tcW w:w="9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p>
        </w:tc>
        <w:tc>
          <w:tcPr>
            <w:tcW w:w="25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highlight w:val="none"/>
                <w:u w:val="single"/>
              </w:rPr>
            </w:pPr>
            <w:r>
              <w:rPr>
                <w:rFonts w:ascii="Times New Roman" w:hAnsi="Times New Roman" w:eastAsia="宋体"/>
                <w:i w:val="0"/>
                <w:iCs w:val="0"/>
                <w:color w:val="auto"/>
                <w:sz w:val="21"/>
                <w:szCs w:val="21"/>
                <w:highlight w:val="none"/>
                <w:u w:val="single"/>
              </w:rPr>
              <w:t>危废暂存间</w:t>
            </w:r>
          </w:p>
        </w:tc>
        <w:tc>
          <w:tcPr>
            <w:tcW w:w="9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highlight w:val="none"/>
                <w:u w:val="single"/>
              </w:rPr>
            </w:pPr>
            <w:r>
              <w:rPr>
                <w:rFonts w:hint="eastAsia"/>
                <w:i w:val="0"/>
                <w:iCs w:val="0"/>
                <w:color w:val="auto"/>
                <w:sz w:val="21"/>
                <w:szCs w:val="21"/>
                <w:highlight w:val="none"/>
                <w:u w:val="single"/>
                <w:lang w:eastAsia="zh-CN"/>
              </w:rPr>
              <w:t>重点</w:t>
            </w:r>
            <w:r>
              <w:rPr>
                <w:rFonts w:ascii="Times New Roman" w:hAnsi="Times New Roman" w:eastAsia="宋体"/>
                <w:i w:val="0"/>
                <w:iCs w:val="0"/>
                <w:color w:val="auto"/>
                <w:sz w:val="21"/>
                <w:szCs w:val="21"/>
                <w:highlight w:val="none"/>
                <w:u w:val="single"/>
              </w:rPr>
              <w:t>防渗区</w:t>
            </w:r>
          </w:p>
        </w:tc>
        <w:tc>
          <w:tcPr>
            <w:tcW w:w="2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highlight w:val="none"/>
                <w:u w:val="single"/>
              </w:rPr>
            </w:pPr>
            <w:r>
              <w:rPr>
                <w:rFonts w:ascii="Times New Roman" w:hAnsi="Times New Roman" w:eastAsia="宋体"/>
                <w:i w:val="0"/>
                <w:iCs w:val="0"/>
                <w:color w:val="auto"/>
                <w:kern w:val="0"/>
                <w:sz w:val="21"/>
                <w:szCs w:val="21"/>
                <w:highlight w:val="none"/>
                <w:u w:val="single"/>
              </w:rPr>
              <w:t>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sz w:val="21"/>
                <w:szCs w:val="21"/>
              </w:rPr>
              <w:t>其他场地</w:t>
            </w:r>
          </w:p>
        </w:tc>
        <w:tc>
          <w:tcPr>
            <w:tcW w:w="9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sz w:val="21"/>
                <w:szCs w:val="21"/>
              </w:rPr>
            </w:pPr>
            <w:r>
              <w:rPr>
                <w:rFonts w:ascii="Times New Roman" w:hAnsi="Times New Roman" w:eastAsia="宋体"/>
                <w:i w:val="0"/>
                <w:iCs w:val="0"/>
                <w:color w:val="auto"/>
                <w:sz w:val="21"/>
                <w:szCs w:val="21"/>
              </w:rPr>
              <w:t>简单防渗区</w:t>
            </w:r>
          </w:p>
        </w:tc>
        <w:tc>
          <w:tcPr>
            <w:tcW w:w="25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i w:val="0"/>
                <w:iCs w:val="0"/>
                <w:color w:val="auto"/>
                <w:kern w:val="0"/>
                <w:sz w:val="21"/>
                <w:szCs w:val="21"/>
              </w:rPr>
            </w:pPr>
            <w:r>
              <w:rPr>
                <w:rFonts w:ascii="Times New Roman" w:hAnsi="Times New Roman" w:eastAsia="宋体"/>
                <w:i w:val="0"/>
                <w:iCs w:val="0"/>
                <w:color w:val="auto"/>
                <w:kern w:val="0"/>
                <w:sz w:val="21"/>
                <w:szCs w:val="21"/>
              </w:rPr>
              <w:t>一般地面硬化</w:t>
            </w:r>
          </w:p>
        </w:tc>
      </w:tr>
    </w:tbl>
    <w:p>
      <w:pPr>
        <w:tabs>
          <w:tab w:val="left" w:pos="2709"/>
        </w:tabs>
        <w:ind w:firstLine="480"/>
        <w:jc w:val="left"/>
        <w:rPr>
          <w:rFonts w:ascii="Times New Roman" w:hAnsi="Times New Roman"/>
          <w:b/>
          <w:color w:val="auto"/>
          <w:sz w:val="24"/>
        </w:rPr>
      </w:pPr>
      <w:r>
        <w:rPr>
          <w:rFonts w:hint="eastAsia"/>
          <w:b/>
          <w:snapToGrid w:val="0"/>
          <w:color w:val="auto"/>
          <w:spacing w:val="0"/>
          <w:kern w:val="0"/>
          <w:sz w:val="24"/>
          <w:lang w:val="en-US" w:eastAsia="zh-CN"/>
        </w:rPr>
        <w:t xml:space="preserve">6.5.3.8 </w:t>
      </w:r>
      <w:r>
        <w:rPr>
          <w:rFonts w:ascii="Times New Roman" w:hAnsi="Times New Roman"/>
          <w:b/>
          <w:color w:val="auto"/>
          <w:sz w:val="24"/>
        </w:rPr>
        <w:t>地下水环境影响</w:t>
      </w:r>
      <w:r>
        <w:rPr>
          <w:rFonts w:hint="eastAsia"/>
          <w:b/>
          <w:color w:val="auto"/>
          <w:sz w:val="24"/>
          <w:lang w:eastAsia="zh-CN"/>
        </w:rPr>
        <w:t>预测</w:t>
      </w:r>
      <w:r>
        <w:rPr>
          <w:rFonts w:ascii="Times New Roman" w:hAnsi="Times New Roman"/>
          <w:b/>
          <w:color w:val="auto"/>
          <w:sz w:val="24"/>
        </w:rPr>
        <w:t>分析</w:t>
      </w:r>
    </w:p>
    <w:p>
      <w:pPr>
        <w:ind w:firstLine="480"/>
        <w:rPr>
          <w:rFonts w:hint="eastAsia"/>
          <w:color w:val="000000"/>
          <w:sz w:val="24"/>
          <w:szCs w:val="24"/>
          <w:u w:val="single"/>
        </w:rPr>
      </w:pPr>
      <w:r>
        <w:rPr>
          <w:rFonts w:ascii="Times New Roman" w:hAnsi="Times New Roman"/>
          <w:color w:val="auto"/>
          <w:sz w:val="24"/>
          <w:szCs w:val="24"/>
          <w:u w:val="single"/>
        </w:rPr>
        <w:t>根据《环境影响评价技术导则 地下水环境》(HJ 610-2016)中附录A地下水环境影响评价行业分类表，确定废塑料加工、再生利用为</w:t>
      </w:r>
      <w:r>
        <w:rPr>
          <w:rFonts w:ascii="Times New Roman" w:hAnsi="Times New Roman"/>
          <w:color w:val="auto"/>
          <w:sz w:val="24"/>
          <w:szCs w:val="24"/>
          <w:u w:val="single"/>
        </w:rPr>
        <w:fldChar w:fldCharType="begin"/>
      </w:r>
      <w:r>
        <w:rPr>
          <w:rFonts w:ascii="Times New Roman" w:hAnsi="Times New Roman"/>
          <w:color w:val="auto"/>
          <w:sz w:val="24"/>
          <w:szCs w:val="24"/>
          <w:u w:val="single"/>
        </w:rPr>
        <w:instrText xml:space="preserve"> = 3 \* ROMAN </w:instrText>
      </w:r>
      <w:r>
        <w:rPr>
          <w:rFonts w:ascii="Times New Roman" w:hAnsi="Times New Roman"/>
          <w:color w:val="auto"/>
          <w:sz w:val="24"/>
          <w:szCs w:val="24"/>
          <w:u w:val="single"/>
        </w:rPr>
        <w:fldChar w:fldCharType="separate"/>
      </w:r>
      <w:r>
        <w:rPr>
          <w:rFonts w:ascii="Times New Roman" w:hAnsi="Times New Roman"/>
          <w:color w:val="auto"/>
          <w:sz w:val="24"/>
          <w:szCs w:val="24"/>
          <w:u w:val="single"/>
        </w:rPr>
        <w:t>III</w:t>
      </w:r>
      <w:r>
        <w:rPr>
          <w:rFonts w:ascii="Times New Roman" w:hAnsi="Times New Roman"/>
          <w:color w:val="auto"/>
          <w:sz w:val="24"/>
          <w:szCs w:val="24"/>
          <w:u w:val="single"/>
        </w:rPr>
        <w:fldChar w:fldCharType="end"/>
      </w:r>
      <w:r>
        <w:rPr>
          <w:rFonts w:ascii="Times New Roman" w:hAnsi="Times New Roman"/>
          <w:color w:val="auto"/>
          <w:sz w:val="24"/>
          <w:szCs w:val="24"/>
          <w:u w:val="single"/>
        </w:rPr>
        <w:t>类项目，</w:t>
      </w:r>
      <w:r>
        <w:rPr>
          <w:rFonts w:hint="eastAsia" w:ascii="Times New Roman" w:hAnsi="Times New Roman"/>
          <w:color w:val="auto"/>
          <w:sz w:val="24"/>
          <w:szCs w:val="24"/>
          <w:u w:val="single"/>
        </w:rPr>
        <w:t>本项目位于</w:t>
      </w:r>
      <w:r>
        <w:rPr>
          <w:rFonts w:hint="eastAsia"/>
          <w:u w:val="single"/>
          <w:lang w:val="en-US" w:eastAsia="zh-CN"/>
        </w:rPr>
        <w:t>平顶山市叶县廉村镇二郎庙村村北200米路东</w:t>
      </w:r>
      <w:r>
        <w:rPr>
          <w:rFonts w:hint="eastAsia" w:ascii="Times New Roman" w:hAnsi="Times New Roman"/>
          <w:color w:val="auto"/>
          <w:sz w:val="24"/>
          <w:szCs w:val="24"/>
          <w:u w:val="single"/>
        </w:rPr>
        <w:t>，项目所在区域不属于集中式饮用水水源准保护区以及其以外的补给</w:t>
      </w:r>
      <w:r>
        <w:rPr>
          <w:rFonts w:hint="eastAsia"/>
          <w:color w:val="auto"/>
          <w:sz w:val="24"/>
          <w:szCs w:val="24"/>
          <w:u w:val="single"/>
          <w:lang w:eastAsia="zh-CN"/>
        </w:rPr>
        <w:t>径流</w:t>
      </w:r>
      <w:r>
        <w:rPr>
          <w:rFonts w:hint="eastAsia" w:ascii="Times New Roman" w:hAnsi="Times New Roman"/>
          <w:color w:val="auto"/>
          <w:sz w:val="24"/>
          <w:szCs w:val="24"/>
          <w:u w:val="single"/>
        </w:rPr>
        <w:t>区，也不属于特殊地下水资源保护区，同时根据现场调查，项目区域村民饮用自来水及</w:t>
      </w:r>
      <w:r>
        <w:rPr>
          <w:rFonts w:hint="eastAsia"/>
          <w:color w:val="auto"/>
          <w:sz w:val="24"/>
          <w:szCs w:val="24"/>
          <w:u w:val="single"/>
          <w:lang w:eastAsia="zh-CN"/>
        </w:rPr>
        <w:t>井</w:t>
      </w:r>
      <w:r>
        <w:rPr>
          <w:rFonts w:hint="eastAsia" w:ascii="Times New Roman" w:hAnsi="Times New Roman"/>
          <w:color w:val="auto"/>
          <w:sz w:val="24"/>
          <w:szCs w:val="24"/>
          <w:u w:val="single"/>
        </w:rPr>
        <w:t>水，因此，地下水评价范围内地下水敏感程度为</w:t>
      </w:r>
      <w:r>
        <w:rPr>
          <w:rFonts w:hint="eastAsia"/>
          <w:color w:val="auto"/>
          <w:sz w:val="24"/>
          <w:szCs w:val="24"/>
          <w:u w:val="single"/>
          <w:lang w:eastAsia="zh-CN"/>
        </w:rPr>
        <w:t>“较</w:t>
      </w:r>
      <w:r>
        <w:rPr>
          <w:rFonts w:hint="eastAsia" w:ascii="Times New Roman" w:hAnsi="Times New Roman"/>
          <w:color w:val="auto"/>
          <w:sz w:val="24"/>
          <w:szCs w:val="24"/>
          <w:u w:val="single"/>
        </w:rPr>
        <w:t>敏感</w:t>
      </w:r>
      <w:r>
        <w:rPr>
          <w:rFonts w:hint="eastAsia"/>
          <w:color w:val="auto"/>
          <w:sz w:val="24"/>
          <w:szCs w:val="24"/>
          <w:u w:val="single"/>
          <w:lang w:eastAsia="zh-CN"/>
        </w:rPr>
        <w:t>”</w:t>
      </w:r>
      <w:r>
        <w:rPr>
          <w:rFonts w:ascii="Times New Roman" w:hAnsi="Times New Roman"/>
          <w:color w:val="auto"/>
          <w:sz w:val="24"/>
          <w:szCs w:val="24"/>
          <w:u w:val="single"/>
        </w:rPr>
        <w:t>。评价工作等级为三级。</w:t>
      </w:r>
      <w:r>
        <w:rPr>
          <w:rFonts w:hint="eastAsia"/>
          <w:color w:val="000000"/>
          <w:sz w:val="24"/>
          <w:szCs w:val="24"/>
          <w:u w:val="single"/>
        </w:rPr>
        <w:t>因此，本次环境影响评价主要采用类比定性方法分析项目运营过程中对地下水的影响。</w:t>
      </w:r>
    </w:p>
    <w:p>
      <w:pPr>
        <w:ind w:firstLine="480"/>
        <w:rPr>
          <w:rFonts w:hint="eastAsia"/>
          <w:color w:val="000000"/>
          <w:sz w:val="24"/>
          <w:szCs w:val="24"/>
          <w:u w:val="single"/>
        </w:rPr>
      </w:pPr>
      <w:r>
        <w:rPr>
          <w:rFonts w:hint="eastAsia"/>
          <w:color w:val="000000"/>
          <w:sz w:val="24"/>
          <w:szCs w:val="24"/>
          <w:u w:val="single"/>
        </w:rPr>
        <w:t>（1）污染途径</w:t>
      </w:r>
    </w:p>
    <w:p>
      <w:pPr>
        <w:bidi w:val="0"/>
        <w:rPr>
          <w:rFonts w:hint="eastAsia"/>
          <w:u w:val="single"/>
        </w:rPr>
      </w:pPr>
      <w:r>
        <w:rPr>
          <w:rFonts w:hint="eastAsia"/>
          <w:u w:val="single"/>
        </w:rPr>
        <w:t>污染物从污染源进入地下水所经过路径称为地下水污染途径，地下水污染途径是多种多样的。根据工程所处区域的地质情况，拟建项目可能对下水造成污染的途径主要有：废水处理设施（包括生活污水收集设施、生产废水收集设施）渗漏对地下水造成的污染。</w:t>
      </w:r>
    </w:p>
    <w:p>
      <w:pPr>
        <w:ind w:firstLine="48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2</w:t>
      </w:r>
      <w:r>
        <w:rPr>
          <w:rFonts w:hint="eastAsia"/>
          <w:color w:val="000000"/>
          <w:sz w:val="24"/>
          <w:szCs w:val="24"/>
          <w:u w:val="single"/>
        </w:rPr>
        <w:t>）预测范围</w:t>
      </w:r>
    </w:p>
    <w:p>
      <w:pPr>
        <w:ind w:firstLine="480"/>
        <w:rPr>
          <w:rFonts w:hint="eastAsia"/>
          <w:color w:val="000000"/>
          <w:sz w:val="24"/>
          <w:szCs w:val="24"/>
          <w:u w:val="single"/>
        </w:rPr>
      </w:pPr>
      <w:r>
        <w:rPr>
          <w:rFonts w:hint="eastAsia"/>
          <w:color w:val="000000"/>
          <w:sz w:val="24"/>
          <w:szCs w:val="24"/>
          <w:u w:val="single"/>
        </w:rPr>
        <w:t>本次评价采用查表法确定地下水调查范围。本次地下水预测范围与现状调查范围一致。根据本项目所在区域的地下水含水组的岩性特征与埋藏规律可知，地下水整体流向为由东南向西北方向</w:t>
      </w:r>
      <w:r>
        <w:rPr>
          <w:rFonts w:hint="eastAsia"/>
          <w:color w:val="000000"/>
          <w:sz w:val="24"/>
          <w:szCs w:val="24"/>
          <w:u w:val="single"/>
          <w:lang w:eastAsia="zh-CN"/>
        </w:rPr>
        <w:t>，</w:t>
      </w:r>
      <w:r>
        <w:rPr>
          <w:rFonts w:hint="eastAsia"/>
          <w:color w:val="000000"/>
          <w:sz w:val="24"/>
          <w:szCs w:val="24"/>
          <w:u w:val="single"/>
        </w:rPr>
        <w:t>三级评价范围</w:t>
      </w:r>
      <w:r>
        <w:rPr>
          <w:rFonts w:hint="eastAsia"/>
          <w:color w:val="000000"/>
          <w:sz w:val="24"/>
          <w:szCs w:val="24"/>
          <w:u w:val="single"/>
          <w:lang w:eastAsia="zh-CN"/>
        </w:rPr>
        <w:t>划定</w:t>
      </w:r>
      <w:r>
        <w:rPr>
          <w:rFonts w:hint="eastAsia"/>
          <w:color w:val="000000"/>
          <w:sz w:val="24"/>
          <w:szCs w:val="24"/>
          <w:u w:val="single"/>
        </w:rPr>
        <w:t>为6</w:t>
      </w:r>
      <w:r>
        <w:rPr>
          <w:rFonts w:hint="eastAsia"/>
          <w:color w:val="000000"/>
          <w:sz w:val="24"/>
          <w:szCs w:val="24"/>
          <w:u w:val="single"/>
          <w:lang w:val="en-US" w:eastAsia="zh-CN"/>
        </w:rPr>
        <w:t>.493</w:t>
      </w:r>
      <w:r>
        <w:rPr>
          <w:rFonts w:hint="eastAsia"/>
          <w:color w:val="000000"/>
          <w:sz w:val="24"/>
          <w:szCs w:val="24"/>
          <w:u w:val="single"/>
        </w:rPr>
        <w:t>km</w:t>
      </w:r>
      <w:r>
        <w:rPr>
          <w:rFonts w:hint="eastAsia"/>
          <w:color w:val="000000"/>
          <w:sz w:val="24"/>
          <w:szCs w:val="24"/>
          <w:u w:val="single"/>
          <w:vertAlign w:val="superscript"/>
        </w:rPr>
        <w:t>2</w:t>
      </w:r>
      <w:r>
        <w:rPr>
          <w:rFonts w:hint="eastAsia"/>
          <w:color w:val="000000"/>
          <w:sz w:val="24"/>
          <w:szCs w:val="24"/>
          <w:u w:val="single"/>
        </w:rPr>
        <w:t>。</w:t>
      </w:r>
    </w:p>
    <w:p>
      <w:pPr>
        <w:ind w:firstLine="48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3</w:t>
      </w:r>
      <w:r>
        <w:rPr>
          <w:rFonts w:hint="eastAsia"/>
          <w:color w:val="000000"/>
          <w:sz w:val="24"/>
          <w:szCs w:val="24"/>
          <w:u w:val="single"/>
        </w:rPr>
        <w:t>）预测时段</w:t>
      </w:r>
    </w:p>
    <w:p>
      <w:pPr>
        <w:ind w:firstLine="480"/>
        <w:rPr>
          <w:rFonts w:hint="eastAsia"/>
          <w:color w:val="000000"/>
          <w:sz w:val="24"/>
          <w:szCs w:val="24"/>
          <w:u w:val="single"/>
        </w:rPr>
      </w:pPr>
      <w:r>
        <w:rPr>
          <w:rFonts w:hint="eastAsia"/>
          <w:color w:val="000000"/>
          <w:sz w:val="24"/>
          <w:szCs w:val="24"/>
          <w:u w:val="single"/>
        </w:rPr>
        <w:t>本次工程地下水影响预测时段：废水下渗100d、500d、1000d、3000d、5000d时间点（典型时间节点）。</w:t>
      </w:r>
    </w:p>
    <w:p>
      <w:pPr>
        <w:spacing w:before="39" w:line="185" w:lineRule="auto"/>
        <w:ind w:firstLine="607"/>
        <w:rPr>
          <w:rFonts w:ascii="宋体" w:hAnsi="宋体" w:eastAsia="宋体" w:cs="宋体"/>
          <w:sz w:val="24"/>
          <w:szCs w:val="24"/>
          <w:u w:val="single"/>
        </w:rPr>
      </w:pPr>
      <w:r>
        <w:rPr>
          <w:rFonts w:ascii="宋体" w:hAnsi="宋体" w:eastAsia="宋体" w:cs="宋体"/>
          <w:spacing w:val="-3"/>
          <w:sz w:val="24"/>
          <w:szCs w:val="24"/>
          <w:u w:val="single"/>
        </w:rPr>
        <w:t>（</w:t>
      </w:r>
      <w:r>
        <w:rPr>
          <w:rFonts w:hint="eastAsia" w:ascii="Times New Roman" w:hAnsi="Times New Roman" w:eastAsia="宋体" w:cs="Times New Roman"/>
          <w:spacing w:val="-3"/>
          <w:sz w:val="24"/>
          <w:szCs w:val="24"/>
          <w:u w:val="single"/>
          <w:lang w:val="en-US" w:eastAsia="zh-CN"/>
        </w:rPr>
        <w:t>4</w:t>
      </w:r>
      <w:r>
        <w:rPr>
          <w:rFonts w:ascii="宋体" w:hAnsi="宋体" w:eastAsia="宋体" w:cs="宋体"/>
          <w:spacing w:val="-3"/>
          <w:sz w:val="24"/>
          <w:szCs w:val="24"/>
          <w:u w:val="single"/>
        </w:rPr>
        <w:t>）情景设置</w:t>
      </w:r>
    </w:p>
    <w:p>
      <w:pPr>
        <w:ind w:firstLine="480"/>
        <w:rPr>
          <w:rFonts w:hint="eastAsia" w:eastAsia="宋体"/>
          <w:color w:val="000000"/>
          <w:sz w:val="24"/>
          <w:szCs w:val="24"/>
          <w:u w:val="single"/>
          <w:lang w:eastAsia="zh-CN"/>
        </w:rPr>
      </w:pPr>
      <w:r>
        <w:rPr>
          <w:rFonts w:ascii="宋体" w:hAnsi="宋体" w:eastAsia="宋体" w:cs="宋体"/>
          <w:spacing w:val="2"/>
          <w:sz w:val="24"/>
          <w:szCs w:val="24"/>
          <w:u w:val="single"/>
        </w:rPr>
        <w:t>本次工程按照要求进行防渗措施，本次地下水影响预测仅分析非正常状况下，</w:t>
      </w:r>
      <w:r>
        <w:rPr>
          <w:rFonts w:hint="eastAsia" w:ascii="宋体" w:hAnsi="宋体" w:eastAsia="宋体" w:cs="宋体"/>
          <w:spacing w:val="2"/>
          <w:sz w:val="24"/>
          <w:szCs w:val="24"/>
          <w:u w:val="single"/>
          <w:lang w:eastAsia="zh-CN"/>
        </w:rPr>
        <w:t>工程废水下渗对地下水环境的影响，不再分析正常状况下工程废水下渗对地下水环境的影响。</w:t>
      </w:r>
    </w:p>
    <w:p>
      <w:pPr>
        <w:ind w:firstLine="48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5</w:t>
      </w:r>
      <w:r>
        <w:rPr>
          <w:rFonts w:hint="eastAsia"/>
          <w:color w:val="000000"/>
          <w:sz w:val="24"/>
          <w:szCs w:val="24"/>
          <w:u w:val="single"/>
        </w:rPr>
        <w:t>）预测因子及评价标准</w:t>
      </w:r>
    </w:p>
    <w:p>
      <w:pPr>
        <w:ind w:firstLine="480"/>
        <w:rPr>
          <w:rFonts w:hint="eastAsia"/>
          <w:color w:val="000000"/>
          <w:sz w:val="24"/>
          <w:szCs w:val="24"/>
          <w:u w:val="single"/>
        </w:rPr>
      </w:pPr>
      <w:r>
        <w:rPr>
          <w:rFonts w:hint="eastAsia"/>
          <w:color w:val="000000"/>
          <w:sz w:val="24"/>
          <w:szCs w:val="24"/>
          <w:u w:val="single"/>
        </w:rPr>
        <w:t>本次地下水影响预测选取</w:t>
      </w:r>
      <w:r>
        <w:rPr>
          <w:rFonts w:hint="eastAsia"/>
          <w:color w:val="000000"/>
          <w:sz w:val="24"/>
          <w:szCs w:val="24"/>
          <w:u w:val="single"/>
          <w:lang w:eastAsia="zh-CN"/>
        </w:rPr>
        <w:t>耗氧量</w:t>
      </w:r>
      <w:r>
        <w:rPr>
          <w:rFonts w:hint="eastAsia"/>
          <w:color w:val="000000"/>
          <w:sz w:val="24"/>
          <w:szCs w:val="24"/>
          <w:u w:val="single"/>
        </w:rPr>
        <w:t>、氨氮为预测因子，评价标准执行《地下水质量标准》（GB/T14848-</w:t>
      </w:r>
      <w:r>
        <w:rPr>
          <w:rFonts w:hint="eastAsia"/>
          <w:color w:val="000000"/>
          <w:sz w:val="24"/>
          <w:szCs w:val="24"/>
          <w:u w:val="single"/>
          <w:lang w:val="en-US" w:eastAsia="zh-CN"/>
        </w:rPr>
        <w:t>2017</w:t>
      </w:r>
      <w:r>
        <w:rPr>
          <w:rFonts w:hint="eastAsia"/>
          <w:color w:val="000000"/>
          <w:sz w:val="24"/>
          <w:szCs w:val="24"/>
          <w:u w:val="single"/>
        </w:rPr>
        <w:t>）Ⅲ类。本项目需将COD转化为</w:t>
      </w:r>
      <w:r>
        <w:rPr>
          <w:rFonts w:hint="eastAsia"/>
          <w:color w:val="000000"/>
          <w:sz w:val="24"/>
          <w:szCs w:val="24"/>
          <w:u w:val="single"/>
          <w:lang w:eastAsia="zh-CN"/>
        </w:rPr>
        <w:t>耗氧量（以</w:t>
      </w:r>
      <w:r>
        <w:rPr>
          <w:rFonts w:hint="eastAsia"/>
          <w:color w:val="000000"/>
          <w:sz w:val="24"/>
          <w:szCs w:val="24"/>
          <w:u w:val="single"/>
          <w:lang w:val="en-US" w:eastAsia="zh-CN"/>
        </w:rPr>
        <w:t>COD</w:t>
      </w:r>
      <w:r>
        <w:rPr>
          <w:rFonts w:hint="eastAsia"/>
          <w:color w:val="000000"/>
          <w:sz w:val="24"/>
          <w:szCs w:val="24"/>
          <w:u w:val="single"/>
          <w:vertAlign w:val="subscript"/>
          <w:lang w:val="en-US" w:eastAsia="zh-CN"/>
        </w:rPr>
        <w:t>Mn</w:t>
      </w:r>
      <w:r>
        <w:rPr>
          <w:rFonts w:hint="eastAsia"/>
          <w:color w:val="000000"/>
          <w:sz w:val="24"/>
          <w:szCs w:val="24"/>
          <w:u w:val="single"/>
          <w:lang w:val="en-US" w:eastAsia="zh-CN"/>
        </w:rPr>
        <w:t>核算</w:t>
      </w:r>
      <w:r>
        <w:rPr>
          <w:rFonts w:hint="eastAsia"/>
          <w:color w:val="000000"/>
          <w:sz w:val="24"/>
          <w:szCs w:val="24"/>
          <w:u w:val="single"/>
          <w:lang w:eastAsia="zh-CN"/>
        </w:rPr>
        <w:t>）</w:t>
      </w:r>
      <w:r>
        <w:rPr>
          <w:rFonts w:hint="eastAsia"/>
          <w:color w:val="000000"/>
          <w:sz w:val="24"/>
          <w:szCs w:val="24"/>
          <w:u w:val="single"/>
        </w:rPr>
        <w:t>，经查阅《COD、BOD与</w:t>
      </w:r>
      <w:r>
        <w:rPr>
          <w:rFonts w:hint="eastAsia"/>
          <w:color w:val="000000"/>
          <w:sz w:val="24"/>
          <w:szCs w:val="24"/>
          <w:u w:val="single"/>
          <w:lang w:eastAsia="zh-CN"/>
        </w:rPr>
        <w:t>耗氧量</w:t>
      </w:r>
      <w:r>
        <w:rPr>
          <w:rFonts w:hint="eastAsia"/>
          <w:color w:val="000000"/>
          <w:sz w:val="24"/>
          <w:szCs w:val="24"/>
          <w:u w:val="single"/>
        </w:rPr>
        <w:t>理论内涵及倍率关系研究》（东北水利水电，2009年第9期），COD</w:t>
      </w:r>
      <w:r>
        <w:rPr>
          <w:rFonts w:hint="eastAsia"/>
          <w:color w:val="000000"/>
          <w:sz w:val="24"/>
          <w:szCs w:val="24"/>
          <w:u w:val="single"/>
          <w:lang w:eastAsia="zh-CN"/>
        </w:rPr>
        <w:t>：耗氧量</w:t>
      </w:r>
      <w:r>
        <w:rPr>
          <w:rFonts w:hint="eastAsia"/>
          <w:color w:val="000000"/>
          <w:sz w:val="24"/>
          <w:szCs w:val="24"/>
          <w:u w:val="single"/>
        </w:rPr>
        <w:t>=3.3</w:t>
      </w:r>
      <w:r>
        <w:rPr>
          <w:rFonts w:hint="eastAsia"/>
          <w:color w:val="000000"/>
          <w:sz w:val="24"/>
          <w:szCs w:val="24"/>
          <w:u w:val="single"/>
          <w:lang w:eastAsia="zh-CN"/>
        </w:rPr>
        <w:t>：</w:t>
      </w:r>
      <w:r>
        <w:rPr>
          <w:rFonts w:hint="eastAsia"/>
          <w:color w:val="000000"/>
          <w:sz w:val="24"/>
          <w:szCs w:val="24"/>
          <w:u w:val="single"/>
        </w:rPr>
        <w:t>1。</w:t>
      </w:r>
    </w:p>
    <w:p>
      <w:pPr>
        <w:ind w:firstLine="48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6</w:t>
      </w:r>
      <w:r>
        <w:rPr>
          <w:rFonts w:hint="eastAsia"/>
          <w:color w:val="000000"/>
          <w:sz w:val="24"/>
          <w:szCs w:val="24"/>
          <w:u w:val="single"/>
        </w:rPr>
        <w:t>）预测源强</w:t>
      </w:r>
    </w:p>
    <w:p>
      <w:pPr>
        <w:ind w:firstLine="480"/>
        <w:rPr>
          <w:rFonts w:hint="default" w:eastAsia="宋体"/>
          <w:color w:val="000000"/>
          <w:sz w:val="24"/>
          <w:szCs w:val="24"/>
          <w:u w:val="single"/>
          <w:lang w:val="en-US" w:eastAsia="zh-CN"/>
        </w:rPr>
      </w:pPr>
      <w:r>
        <w:rPr>
          <w:rFonts w:hint="eastAsia"/>
          <w:color w:val="000000"/>
          <w:sz w:val="24"/>
          <w:szCs w:val="24"/>
          <w:u w:val="single"/>
        </w:rPr>
        <w:t>本次评价主要分析非正常状况下污水处理站废水下渗对地下水环境的影响。</w:t>
      </w:r>
      <w:r>
        <w:rPr>
          <w:rFonts w:hint="eastAsia"/>
          <w:color w:val="000000"/>
          <w:sz w:val="24"/>
          <w:szCs w:val="24"/>
          <w:u w:val="single"/>
          <w:lang w:eastAsia="zh-CN"/>
        </w:rPr>
        <w:t>本项目采取污水站进口浓度进行预测</w:t>
      </w:r>
      <w:r>
        <w:rPr>
          <w:rFonts w:hint="eastAsia"/>
          <w:color w:val="000000"/>
          <w:sz w:val="24"/>
          <w:szCs w:val="24"/>
          <w:u w:val="single"/>
          <w:lang w:val="en-US" w:eastAsia="zh-CN"/>
        </w:rPr>
        <w:t>COD：101.09mg/L</w:t>
      </w:r>
      <w:r>
        <w:rPr>
          <w:rFonts w:hint="eastAsia"/>
          <w:color w:val="000000"/>
          <w:sz w:val="24"/>
          <w:szCs w:val="24"/>
          <w:u w:val="single"/>
          <w:vertAlign w:val="baseline"/>
          <w:lang w:val="en-US" w:eastAsia="zh-CN"/>
        </w:rPr>
        <w:t>、氨氮：34.58</w:t>
      </w:r>
      <w:r>
        <w:rPr>
          <w:rFonts w:hint="eastAsia"/>
          <w:color w:val="000000"/>
          <w:sz w:val="24"/>
          <w:szCs w:val="24"/>
          <w:u w:val="single"/>
          <w:lang w:val="en-US" w:eastAsia="zh-CN"/>
        </w:rPr>
        <w:t>mg/L、苯乙烯：4mg/L。</w:t>
      </w:r>
    </w:p>
    <w:p>
      <w:pPr>
        <w:ind w:firstLine="48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7</w:t>
      </w:r>
      <w:r>
        <w:rPr>
          <w:rFonts w:hint="eastAsia"/>
          <w:color w:val="000000"/>
          <w:sz w:val="24"/>
          <w:szCs w:val="24"/>
          <w:u w:val="single"/>
        </w:rPr>
        <w:t>）预测方法</w:t>
      </w:r>
    </w:p>
    <w:p>
      <w:pPr>
        <w:ind w:firstLine="480"/>
        <w:rPr>
          <w:rFonts w:hint="eastAsia"/>
          <w:color w:val="000000"/>
          <w:sz w:val="24"/>
          <w:szCs w:val="24"/>
          <w:u w:val="single"/>
        </w:rPr>
      </w:pPr>
      <w:r>
        <w:rPr>
          <w:rFonts w:hint="eastAsia"/>
          <w:color w:val="000000"/>
          <w:sz w:val="24"/>
          <w:szCs w:val="24"/>
          <w:u w:val="single"/>
        </w:rPr>
        <w:t>本次工程污水处理站非正常排放源强采用地下水水溶质运移解析法中的一维稳定流动一维水动力弥散模式进行预测与评价。</w:t>
      </w:r>
    </w:p>
    <w:p>
      <w:pPr>
        <w:ind w:firstLine="480"/>
        <w:rPr>
          <w:rFonts w:hint="eastAsia"/>
          <w:color w:val="000000"/>
          <w:sz w:val="24"/>
          <w:szCs w:val="24"/>
          <w:u w:val="single"/>
        </w:rPr>
      </w:pPr>
      <w:r>
        <w:rPr>
          <w:rFonts w:hint="eastAsia"/>
          <w:color w:val="000000"/>
          <w:sz w:val="24"/>
          <w:szCs w:val="24"/>
          <w:u w:val="single"/>
        </w:rPr>
        <w:t>一维稳定流动一维水动力弥散模式预测模型如下：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sz w:val="24"/>
          <w:szCs w:val="24"/>
          <w:u w:val="single"/>
        </w:rPr>
      </w:pPr>
      <w:r>
        <w:rPr>
          <w:u w:val="single"/>
        </w:rPr>
        <w:drawing>
          <wp:inline distT="0" distB="0" distL="114300" distR="114300">
            <wp:extent cx="2447925" cy="438150"/>
            <wp:effectExtent l="0" t="0" r="9525" b="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64"/>
                    <a:stretch>
                      <a:fillRect/>
                    </a:stretch>
                  </pic:blipFill>
                  <pic:spPr>
                    <a:xfrm>
                      <a:off x="0" y="0"/>
                      <a:ext cx="2447925" cy="438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5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1"/>
          <w:sz w:val="24"/>
          <w:szCs w:val="24"/>
          <w:u w:val="single"/>
        </w:rPr>
        <w:t>式中：x—预测点至污染源强距离（m</w:t>
      </w:r>
      <w:r>
        <w:rPr>
          <w:rFonts w:hint="default" w:ascii="Times New Roman" w:hAnsi="Times New Roman" w:eastAsia="宋体" w:cs="Times New Roman"/>
          <w:spacing w:val="-16"/>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65"/>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3"/>
          <w:position w:val="12"/>
          <w:sz w:val="24"/>
          <w:szCs w:val="24"/>
          <w:u w:val="single"/>
        </w:rPr>
        <w:t>C-t时刻</w:t>
      </w:r>
      <w:r>
        <w:rPr>
          <w:rFonts w:hint="default" w:ascii="Times New Roman" w:hAnsi="Times New Roman" w:eastAsia="宋体" w:cs="Times New Roman"/>
          <w:spacing w:val="-57"/>
          <w:position w:val="12"/>
          <w:sz w:val="24"/>
          <w:szCs w:val="24"/>
          <w:u w:val="single"/>
        </w:rPr>
        <w:t xml:space="preserve"> </w:t>
      </w:r>
      <w:r>
        <w:rPr>
          <w:rFonts w:hint="default" w:ascii="Times New Roman" w:hAnsi="Times New Roman" w:eastAsia="宋体" w:cs="Times New Roman"/>
          <w:spacing w:val="-3"/>
          <w:position w:val="12"/>
          <w:sz w:val="24"/>
          <w:szCs w:val="24"/>
          <w:u w:val="single"/>
        </w:rPr>
        <w:t>x处的地下水浓度（mg/L</w:t>
      </w:r>
      <w:r>
        <w:rPr>
          <w:rFonts w:hint="default" w:ascii="Times New Roman" w:hAnsi="Times New Roman" w:eastAsia="宋体" w:cs="Times New Roman"/>
          <w:spacing w:val="3"/>
          <w:position w:val="12"/>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spacing w:val="-2"/>
          <w:sz w:val="24"/>
          <w:szCs w:val="24"/>
          <w:u w:val="single"/>
        </w:rPr>
        <w:t>C</w:t>
      </w:r>
      <w:r>
        <w:rPr>
          <w:rFonts w:hint="default" w:ascii="Times New Roman" w:hAnsi="Times New Roman" w:eastAsia="宋体" w:cs="Times New Roman"/>
          <w:spacing w:val="-2"/>
          <w:position w:val="-1"/>
          <w:sz w:val="24"/>
          <w:szCs w:val="24"/>
          <w:u w:val="single"/>
        </w:rPr>
        <w:t>0—</w:t>
      </w:r>
      <w:r>
        <w:rPr>
          <w:rFonts w:hint="default" w:ascii="Times New Roman" w:hAnsi="Times New Roman" w:eastAsia="宋体" w:cs="Times New Roman"/>
          <w:spacing w:val="-2"/>
          <w:sz w:val="24"/>
          <w:szCs w:val="24"/>
          <w:u w:val="single"/>
        </w:rPr>
        <w:t>废水浓度（mg/L</w:t>
      </w:r>
      <w:r>
        <w:rPr>
          <w:rFonts w:hint="default" w:ascii="Times New Roman" w:hAnsi="Times New Roman" w:eastAsia="宋体" w:cs="Times New Roman"/>
          <w:spacing w:val="6"/>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16"/>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
          <w:position w:val="12"/>
          <w:sz w:val="24"/>
          <w:szCs w:val="24"/>
          <w:u w:val="single"/>
        </w:rPr>
        <w:t>D—纵向弥散系数（m</w:t>
      </w:r>
      <w:r>
        <w:rPr>
          <w:rFonts w:hint="eastAsia" w:ascii="Times New Roman" w:hAnsi="Times New Roman" w:eastAsia="宋体" w:cs="Times New Roman"/>
          <w:spacing w:val="-1"/>
          <w:position w:val="12"/>
          <w:sz w:val="24"/>
          <w:szCs w:val="24"/>
          <w:u w:val="single"/>
          <w:vertAlign w:val="superscript"/>
          <w:lang w:val="en-US" w:eastAsia="zh-CN"/>
        </w:rPr>
        <w:t>2</w:t>
      </w:r>
      <w:r>
        <w:rPr>
          <w:rFonts w:hint="default" w:ascii="Times New Roman" w:hAnsi="Times New Roman" w:eastAsia="宋体" w:cs="Times New Roman"/>
          <w:spacing w:val="-1"/>
          <w:position w:val="12"/>
          <w:sz w:val="24"/>
          <w:szCs w:val="24"/>
          <w:u w:val="single"/>
        </w:rPr>
        <w:t>/d</w:t>
      </w:r>
      <w:r>
        <w:rPr>
          <w:rFonts w:hint="default" w:ascii="Times New Roman" w:hAnsi="Times New Roman" w:eastAsia="宋体" w:cs="Times New Roman"/>
          <w:spacing w:val="3"/>
          <w:position w:val="12"/>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14"/>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
          <w:sz w:val="24"/>
          <w:szCs w:val="24"/>
          <w:u w:val="single"/>
        </w:rPr>
        <w:t>t—预测时段（d</w:t>
      </w:r>
      <w:r>
        <w:rPr>
          <w:rFonts w:hint="default" w:ascii="Times New Roman" w:hAnsi="Times New Roman" w:eastAsia="宋体" w:cs="Times New Roman"/>
          <w:spacing w:val="3"/>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12"/>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position w:val="13"/>
          <w:sz w:val="24"/>
          <w:szCs w:val="24"/>
          <w:u w:val="single"/>
        </w:rPr>
        <w:t>u—地下水流速（m/d）；</w:t>
      </w:r>
    </w:p>
    <w:p>
      <w:pPr>
        <w:keepNext w:val="0"/>
        <w:keepLines w:val="0"/>
        <w:pageBreakBefore w:val="0"/>
        <w:widowControl w:val="0"/>
        <w:kinsoku/>
        <w:wordWrap/>
        <w:overflowPunct/>
        <w:topLinePunct w:val="0"/>
        <w:autoSpaceDE/>
        <w:autoSpaceDN/>
        <w:bidi w:val="0"/>
        <w:adjustRightInd w:val="0"/>
        <w:snapToGrid w:val="0"/>
        <w:spacing w:line="360" w:lineRule="auto"/>
        <w:ind w:firstLine="1321"/>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4"/>
          <w:sz w:val="24"/>
          <w:szCs w:val="24"/>
          <w:u w:val="single"/>
        </w:rPr>
        <w:t>erfc</w:t>
      </w:r>
      <w:r>
        <w:rPr>
          <w:rFonts w:hint="default" w:ascii="Times New Roman" w:hAnsi="Times New Roman" w:eastAsia="宋体" w:cs="Times New Roman"/>
          <w:spacing w:val="-49"/>
          <w:sz w:val="24"/>
          <w:szCs w:val="24"/>
          <w:u w:val="single"/>
        </w:rPr>
        <w:t xml:space="preserve"> </w:t>
      </w:r>
      <w:r>
        <w:rPr>
          <w:rFonts w:hint="default" w:ascii="Times New Roman" w:hAnsi="Times New Roman" w:eastAsia="宋体" w:cs="Times New Roman"/>
          <w:spacing w:val="-4"/>
          <w:sz w:val="24"/>
          <w:szCs w:val="24"/>
          <w:u w:val="single"/>
          <w:lang w:eastAsia="zh-CN"/>
        </w:rPr>
        <w:t>（</w:t>
      </w:r>
      <w:r>
        <w:rPr>
          <w:rFonts w:hint="default" w:ascii="Times New Roman" w:hAnsi="Times New Roman" w:eastAsia="宋体" w:cs="Times New Roman"/>
          <w:spacing w:val="-4"/>
          <w:sz w:val="24"/>
          <w:szCs w:val="24"/>
          <w:u w:val="single"/>
          <w:lang w:val="en-US" w:eastAsia="zh-CN"/>
        </w:rPr>
        <w:t>x</w:t>
      </w:r>
      <w:r>
        <w:rPr>
          <w:rFonts w:hint="default" w:ascii="Times New Roman" w:hAnsi="Times New Roman" w:eastAsia="宋体" w:cs="Times New Roman"/>
          <w:spacing w:val="-4"/>
          <w:sz w:val="24"/>
          <w:szCs w:val="24"/>
          <w:u w:val="single"/>
          <w:lang w:eastAsia="zh-CN"/>
        </w:rPr>
        <w:t>）</w:t>
      </w:r>
      <w:r>
        <w:rPr>
          <w:rFonts w:hint="default" w:ascii="Times New Roman" w:hAnsi="Times New Roman" w:eastAsia="宋体" w:cs="Times New Roman"/>
          <w:spacing w:val="-4"/>
          <w:sz w:val="24"/>
          <w:szCs w:val="24"/>
          <w:u w:val="single"/>
        </w:rPr>
        <w:t>—余误差函数。</w:t>
      </w:r>
    </w:p>
    <w:p>
      <w:pPr>
        <w:keepNext w:val="0"/>
        <w:keepLines w:val="0"/>
        <w:pageBreakBefore w:val="0"/>
        <w:widowControl w:val="0"/>
        <w:kinsoku/>
        <w:wordWrap/>
        <w:overflowPunct/>
        <w:topLinePunct w:val="0"/>
        <w:autoSpaceDE/>
        <w:autoSpaceDN/>
        <w:bidi w:val="0"/>
        <w:adjustRightInd w:val="0"/>
        <w:snapToGrid w:val="0"/>
        <w:spacing w:line="360" w:lineRule="auto"/>
        <w:ind w:firstLine="608"/>
        <w:jc w:val="both"/>
        <w:textAlignment w:val="auto"/>
        <w:rPr>
          <w:rFonts w:ascii="宋体" w:hAnsi="宋体" w:eastAsia="宋体" w:cs="宋体"/>
          <w:sz w:val="24"/>
          <w:szCs w:val="24"/>
          <w:u w:val="single"/>
        </w:rPr>
      </w:pPr>
      <w:r>
        <w:rPr>
          <w:rFonts w:ascii="宋体" w:hAnsi="宋体" w:eastAsia="宋体" w:cs="宋体"/>
          <w:spacing w:val="-2"/>
          <w:position w:val="16"/>
          <w:sz w:val="24"/>
          <w:szCs w:val="24"/>
          <w:u w:val="single"/>
        </w:rPr>
        <w:t>（</w:t>
      </w:r>
      <w:r>
        <w:rPr>
          <w:rFonts w:hint="eastAsia" w:ascii="Times New Roman" w:hAnsi="Times New Roman" w:eastAsia="宋体" w:cs="Times New Roman"/>
          <w:spacing w:val="-2"/>
          <w:position w:val="16"/>
          <w:sz w:val="24"/>
          <w:szCs w:val="24"/>
          <w:u w:val="single"/>
          <w:lang w:val="en-US" w:eastAsia="zh-CN"/>
        </w:rPr>
        <w:t>8</w:t>
      </w:r>
      <w:r>
        <w:rPr>
          <w:rFonts w:ascii="宋体" w:hAnsi="宋体" w:eastAsia="宋体" w:cs="宋体"/>
          <w:spacing w:val="-2"/>
          <w:position w:val="16"/>
          <w:sz w:val="24"/>
          <w:szCs w:val="24"/>
          <w:u w:val="single"/>
        </w:rPr>
        <w:t>）预测参数确定</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6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
          <w:sz w:val="24"/>
          <w:szCs w:val="24"/>
          <w:u w:val="single"/>
        </w:rPr>
        <w:t>①纵向弥散系数确定</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601"/>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
          <w:sz w:val="24"/>
          <w:szCs w:val="24"/>
          <w:u w:val="single"/>
        </w:rPr>
        <w:t>根据类比分析，纵向弥散系数为</w:t>
      </w:r>
      <w:r>
        <w:rPr>
          <w:rFonts w:hint="eastAsia" w:cs="Times New Roman"/>
          <w:spacing w:val="-1"/>
          <w:sz w:val="24"/>
          <w:szCs w:val="24"/>
          <w:u w:val="single"/>
          <w:lang w:val="en-US" w:eastAsia="zh-CN"/>
        </w:rPr>
        <w:t>0.01</w:t>
      </w:r>
      <w:r>
        <w:rPr>
          <w:rFonts w:hint="default" w:ascii="Times New Roman" w:hAnsi="Times New Roman" w:eastAsia="宋体" w:cs="Times New Roman"/>
          <w:spacing w:val="-1"/>
          <w:sz w:val="24"/>
          <w:szCs w:val="24"/>
          <w:u w:val="single"/>
        </w:rPr>
        <w:t>m</w:t>
      </w:r>
      <w:r>
        <w:rPr>
          <w:rFonts w:hint="eastAsia" w:ascii="Times New Roman" w:hAnsi="Times New Roman" w:eastAsia="宋体" w:cs="Times New Roman"/>
          <w:spacing w:val="-1"/>
          <w:sz w:val="24"/>
          <w:szCs w:val="24"/>
          <w:u w:val="single"/>
          <w:vertAlign w:val="superscript"/>
          <w:lang w:val="en-US" w:eastAsia="zh-CN"/>
        </w:rPr>
        <w:t>2</w:t>
      </w:r>
      <w:r>
        <w:rPr>
          <w:rFonts w:hint="default" w:ascii="Times New Roman" w:hAnsi="Times New Roman" w:eastAsia="宋体" w:cs="Times New Roman"/>
          <w:spacing w:val="-1"/>
          <w:sz w:val="24"/>
          <w:szCs w:val="24"/>
          <w:u w:val="single"/>
        </w:rPr>
        <w:t>/d。</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99"/>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2"/>
          <w:sz w:val="24"/>
          <w:szCs w:val="24"/>
          <w:u w:val="single"/>
        </w:rPr>
        <w:t>②地下水流速</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601"/>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pacing w:val="-1"/>
          <w:sz w:val="24"/>
          <w:szCs w:val="24"/>
          <w:u w:val="single"/>
        </w:rPr>
        <w:t>地下水流速可以利用水利坡度及渗透系数求出，具体计算公式为：</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603"/>
        <w:jc w:val="center"/>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u=kI</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式中：u—地下水流速（m/d）；</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k—渗透系数（m/d），取0.0052m/d（根据场地包气带渗水试验资料，基础底面以下垂向渗透系数平均值6.01×10-6cm/s）；</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I—水利坡度，本次工程水利坡度取值0.</w:t>
      </w:r>
      <w:r>
        <w:rPr>
          <w:rFonts w:hint="eastAsia" w:cs="Times New Roman"/>
          <w:spacing w:val="-1"/>
          <w:position w:val="12"/>
          <w:sz w:val="24"/>
          <w:szCs w:val="24"/>
          <w:u w:val="single"/>
          <w:lang w:val="en-US" w:eastAsia="zh-CN"/>
        </w:rPr>
        <w:t>18</w:t>
      </w:r>
      <w:r>
        <w:rPr>
          <w:rFonts w:hint="default" w:ascii="Times New Roman" w:hAnsi="Times New Roman" w:eastAsia="宋体" w:cs="Times New Roman"/>
          <w:spacing w:val="-1"/>
          <w:position w:val="12"/>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经计算，工程所在区域地下水流速为0.00036m/d。</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③有效孔隙度、横截面积</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横截面面积：本次评价取50m</w:t>
      </w:r>
      <w:r>
        <w:rPr>
          <w:rFonts w:hint="default" w:ascii="Times New Roman" w:hAnsi="Times New Roman" w:eastAsia="宋体" w:cs="Times New Roman"/>
          <w:spacing w:val="-1"/>
          <w:position w:val="12"/>
          <w:sz w:val="24"/>
          <w:szCs w:val="24"/>
          <w:u w:val="single"/>
          <w:vertAlign w:val="superscript"/>
        </w:rPr>
        <w:t>2</w:t>
      </w:r>
      <w:r>
        <w:rPr>
          <w:rFonts w:hint="default" w:ascii="Times New Roman" w:hAnsi="Times New Roman" w:eastAsia="宋体" w:cs="Times New Roman"/>
          <w:spacing w:val="-1"/>
          <w:position w:val="12"/>
          <w:sz w:val="24"/>
          <w:szCs w:val="24"/>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有效孔隙度：评价区域潜水含水介质以细砂、砂砾石为主，孔隙度为0.26~0.53，有效孔隙度比孔隙度少5~10%，因此评价区域潜水含水层有效孔隙度约为0.23~0.50。因此确定评价区域有效孔隙度取值0.35。</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③参数汇总</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lang w:val="en-US" w:eastAsia="zh-CN"/>
        </w:rPr>
      </w:pPr>
      <w:r>
        <w:rPr>
          <w:rFonts w:hint="default" w:ascii="Times New Roman" w:hAnsi="Times New Roman" w:eastAsia="宋体" w:cs="Times New Roman"/>
          <w:spacing w:val="-1"/>
          <w:position w:val="12"/>
          <w:sz w:val="24"/>
          <w:szCs w:val="24"/>
          <w:u w:val="single"/>
        </w:rPr>
        <w:t>本次地下水预测参数，见表</w:t>
      </w:r>
      <w:r>
        <w:rPr>
          <w:rFonts w:hint="eastAsia" w:cs="Times New Roman"/>
          <w:spacing w:val="-1"/>
          <w:position w:val="12"/>
          <w:sz w:val="24"/>
          <w:szCs w:val="24"/>
          <w:u w:val="single"/>
          <w:lang w:val="en-US" w:eastAsia="zh-CN"/>
        </w:rPr>
        <w:t>6.5-9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b/>
          <w:color w:val="auto"/>
        </w:rPr>
      </w:pPr>
      <w:r>
        <w:rPr>
          <w:rFonts w:ascii="Times New Roman" w:hAnsi="Times New Roman"/>
          <w:b/>
          <w:color w:val="auto"/>
        </w:rPr>
        <w:t>表</w:t>
      </w:r>
      <w:r>
        <w:rPr>
          <w:rFonts w:hint="eastAsia"/>
          <w:b/>
          <w:color w:val="auto"/>
          <w:lang w:val="en-US" w:eastAsia="zh-CN"/>
        </w:rPr>
        <w:t>6.5-9</w:t>
      </w:r>
      <w:r>
        <w:rPr>
          <w:rFonts w:ascii="Times New Roman" w:hAnsi="Times New Roman"/>
          <w:b/>
          <w:color w:val="auto"/>
        </w:rPr>
        <w:t xml:space="preserve">  污水处理站非正常排放地下水预测参数选取一览表</w:t>
      </w:r>
    </w:p>
    <w:tbl>
      <w:tblPr>
        <w:tblStyle w:val="4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6"/>
        <w:gridCol w:w="1155"/>
        <w:gridCol w:w="2707"/>
        <w:gridCol w:w="1611"/>
        <w:gridCol w:w="1284"/>
        <w:gridCol w:w="1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 w:hRule="atLeast"/>
          <w:jc w:val="center"/>
        </w:trPr>
        <w:tc>
          <w:tcPr>
            <w:tcW w:w="4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参数</w:t>
            </w:r>
          </w:p>
        </w:tc>
        <w:tc>
          <w:tcPr>
            <w:tcW w:w="6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Times New Roman" w:cs="Times New Roman"/>
                <w:spacing w:val="-10"/>
                <w:w w:val="98"/>
                <w:sz w:val="21"/>
                <w:szCs w:val="21"/>
              </w:rPr>
              <w:t>x</w:t>
            </w:r>
            <w:r>
              <w:rPr>
                <w:rFonts w:hint="default" w:ascii="Times New Roman" w:hAnsi="Times New Roman" w:eastAsia="宋体" w:cs="Times New Roman"/>
                <w:spacing w:val="-10"/>
                <w:w w:val="98"/>
                <w:sz w:val="21"/>
                <w:szCs w:val="21"/>
              </w:rPr>
              <w:t>（</w:t>
            </w:r>
            <w:r>
              <w:rPr>
                <w:rFonts w:hint="default" w:ascii="Times New Roman" w:hAnsi="Times New Roman" w:eastAsia="Times New Roman" w:cs="Times New Roman"/>
                <w:spacing w:val="-10"/>
                <w:w w:val="98"/>
                <w:sz w:val="21"/>
                <w:szCs w:val="21"/>
              </w:rPr>
              <w:t>m</w:t>
            </w:r>
            <w:r>
              <w:rPr>
                <w:rFonts w:hint="default" w:ascii="Times New Roman" w:hAnsi="Times New Roman" w:eastAsia="宋体" w:cs="Times New Roman"/>
                <w:spacing w:val="-10"/>
                <w:w w:val="98"/>
                <w:sz w:val="21"/>
                <w:szCs w:val="21"/>
              </w:rPr>
              <w:t>）</w:t>
            </w:r>
          </w:p>
        </w:tc>
        <w:tc>
          <w:tcPr>
            <w:tcW w:w="1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Times New Roman" w:cs="Times New Roman"/>
                <w:spacing w:val="-2"/>
                <w:sz w:val="21"/>
                <w:szCs w:val="21"/>
              </w:rPr>
              <w:t>C</w:t>
            </w:r>
            <w:r>
              <w:rPr>
                <w:rFonts w:hint="default" w:ascii="Times New Roman" w:hAnsi="Times New Roman" w:eastAsia="Times New Roman" w:cs="Times New Roman"/>
                <w:spacing w:val="-2"/>
                <w:position w:val="-1"/>
                <w:sz w:val="21"/>
                <w:szCs w:val="21"/>
              </w:rPr>
              <w:t>0</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mg/L</w:t>
            </w:r>
            <w:r>
              <w:rPr>
                <w:rFonts w:hint="default" w:ascii="Times New Roman" w:hAnsi="Times New Roman" w:eastAsia="宋体" w:cs="Times New Roman"/>
                <w:spacing w:val="-2"/>
                <w:sz w:val="21"/>
                <w:szCs w:val="21"/>
              </w:rPr>
              <w:t>）</w:t>
            </w:r>
          </w:p>
        </w:tc>
        <w:tc>
          <w:tcPr>
            <w:tcW w:w="8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Times New Roman" w:cs="Times New Roman"/>
                <w:spacing w:val="-1"/>
                <w:sz w:val="21"/>
                <w:szCs w:val="21"/>
              </w:rPr>
              <w:t>D</w:t>
            </w:r>
            <w:r>
              <w:rPr>
                <w:rFonts w:hint="default" w:ascii="Times New Roman" w:hAnsi="Times New Roman" w:eastAsia="宋体" w:cs="Times New Roman"/>
                <w:spacing w:val="-1"/>
                <w:sz w:val="21"/>
                <w:szCs w:val="21"/>
              </w:rPr>
              <w:t>（</w:t>
            </w:r>
            <w:r>
              <w:rPr>
                <w:rFonts w:hint="default" w:ascii="Times New Roman" w:hAnsi="Times New Roman" w:eastAsia="Times New Roman" w:cs="Times New Roman"/>
                <w:spacing w:val="-1"/>
                <w:sz w:val="21"/>
                <w:szCs w:val="21"/>
              </w:rPr>
              <w:t>m/d</w:t>
            </w:r>
            <w:r>
              <w:rPr>
                <w:rFonts w:hint="default" w:ascii="Times New Roman" w:hAnsi="Times New Roman" w:eastAsia="宋体" w:cs="Times New Roman"/>
                <w:spacing w:val="-1"/>
                <w:sz w:val="21"/>
                <w:szCs w:val="21"/>
              </w:rPr>
              <w:t>）</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Times New Roman" w:cs="Times New Roman"/>
                <w:spacing w:val="-1"/>
                <w:sz w:val="21"/>
                <w:szCs w:val="21"/>
              </w:rPr>
              <w:t>t</w:t>
            </w:r>
            <w:r>
              <w:rPr>
                <w:rFonts w:hint="default" w:ascii="Times New Roman" w:hAnsi="Times New Roman" w:eastAsia="宋体" w:cs="Times New Roman"/>
                <w:spacing w:val="-1"/>
                <w:sz w:val="21"/>
                <w:szCs w:val="21"/>
              </w:rPr>
              <w:t>（</w:t>
            </w:r>
            <w:r>
              <w:rPr>
                <w:rFonts w:hint="default" w:ascii="Times New Roman" w:hAnsi="Times New Roman" w:eastAsia="Times New Roman" w:cs="Times New Roman"/>
                <w:spacing w:val="-1"/>
                <w:sz w:val="21"/>
                <w:szCs w:val="21"/>
              </w:rPr>
              <w:t>d</w:t>
            </w:r>
            <w:r>
              <w:rPr>
                <w:rFonts w:hint="default" w:ascii="Times New Roman" w:hAnsi="Times New Roman" w:eastAsia="宋体" w:cs="Times New Roman"/>
                <w:spacing w:val="-1"/>
                <w:sz w:val="21"/>
                <w:szCs w:val="21"/>
              </w:rPr>
              <w:t>）</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Times New Roman" w:cs="Times New Roman"/>
                <w:spacing w:val="-1"/>
                <w:sz w:val="21"/>
                <w:szCs w:val="21"/>
              </w:rPr>
              <w:t>u</w:t>
            </w:r>
            <w:r>
              <w:rPr>
                <w:rFonts w:hint="default" w:ascii="Times New Roman" w:hAnsi="Times New Roman" w:eastAsia="宋体" w:cs="Times New Roman"/>
                <w:spacing w:val="-1"/>
                <w:sz w:val="21"/>
                <w:szCs w:val="21"/>
              </w:rPr>
              <w:t>（</w:t>
            </w:r>
            <w:r>
              <w:rPr>
                <w:rFonts w:hint="default" w:ascii="Times New Roman" w:hAnsi="Times New Roman" w:eastAsia="Times New Roman" w:cs="Times New Roman"/>
                <w:spacing w:val="-1"/>
                <w:sz w:val="21"/>
                <w:szCs w:val="21"/>
              </w:rPr>
              <w:t>m/d</w:t>
            </w:r>
            <w:r>
              <w:rPr>
                <w:rFonts w:hint="default" w:ascii="Times New Roman" w:hAnsi="Times New Roman" w:eastAsia="宋体" w:cs="Times New Roman"/>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 w:hRule="atLeast"/>
          <w:jc w:val="center"/>
        </w:trPr>
        <w:tc>
          <w:tcPr>
            <w:tcW w:w="47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数值</w:t>
            </w:r>
          </w:p>
        </w:tc>
        <w:tc>
          <w:tcPr>
            <w:tcW w:w="6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0~500</w:t>
            </w:r>
          </w:p>
        </w:tc>
        <w:tc>
          <w:tcPr>
            <w:tcW w:w="1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COD：101.09mg/L</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z w:val="21"/>
                <w:szCs w:val="21"/>
              </w:rPr>
            </w:pPr>
            <w:r>
              <w:rPr>
                <w:rFonts w:hint="eastAsia" w:ascii="Times New Roman" w:hAnsi="Times New Roman" w:eastAsia="Times New Roman" w:cs="Times New Roman"/>
                <w:sz w:val="21"/>
                <w:szCs w:val="21"/>
                <w:lang w:val="en-US" w:eastAsia="zh-CN"/>
              </w:rPr>
              <w:t>氨氮：34.58mg/L</w:t>
            </w:r>
          </w:p>
        </w:tc>
        <w:tc>
          <w:tcPr>
            <w:tcW w:w="8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0.01</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0~5000</w:t>
            </w:r>
          </w:p>
        </w:tc>
        <w:tc>
          <w:tcPr>
            <w:tcW w:w="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0.00036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（10）预测内容</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本次工程地下水预测内容如下：非正常工况下，</w:t>
      </w:r>
      <w:r>
        <w:rPr>
          <w:rFonts w:hint="eastAsia" w:cs="Times New Roman"/>
          <w:spacing w:val="-1"/>
          <w:position w:val="12"/>
          <w:sz w:val="24"/>
          <w:szCs w:val="24"/>
          <w:u w:val="single"/>
          <w:lang w:eastAsia="zh-CN"/>
        </w:rPr>
        <w:t>耗氧量</w:t>
      </w:r>
      <w:r>
        <w:rPr>
          <w:rFonts w:hint="default" w:ascii="Times New Roman" w:hAnsi="Times New Roman" w:eastAsia="宋体" w:cs="Times New Roman"/>
          <w:spacing w:val="-1"/>
          <w:position w:val="12"/>
          <w:sz w:val="24"/>
          <w:szCs w:val="24"/>
          <w:u w:val="single"/>
        </w:rPr>
        <w:t>、氨氮不同时段的影响范围、程度，最大迁移距离。</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（11）预测结果与评价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非正常状况下污水处理站废水下渗对</w:t>
      </w:r>
      <w:r>
        <w:rPr>
          <w:rFonts w:hint="eastAsia" w:cs="Times New Roman"/>
          <w:spacing w:val="-1"/>
          <w:position w:val="12"/>
          <w:sz w:val="24"/>
          <w:szCs w:val="24"/>
          <w:u w:val="single"/>
          <w:lang w:eastAsia="zh-CN"/>
        </w:rPr>
        <w:t>厂址</w:t>
      </w:r>
      <w:r>
        <w:rPr>
          <w:rFonts w:hint="default" w:ascii="Times New Roman" w:hAnsi="Times New Roman" w:eastAsia="宋体" w:cs="Times New Roman"/>
          <w:spacing w:val="-1"/>
          <w:position w:val="12"/>
          <w:sz w:val="24"/>
          <w:szCs w:val="24"/>
          <w:u w:val="single"/>
        </w:rPr>
        <w:t>下游地下水影响预测结果见表</w:t>
      </w:r>
      <w:r>
        <w:rPr>
          <w:rFonts w:hint="eastAsia" w:cs="Times New Roman"/>
          <w:spacing w:val="-1"/>
          <w:position w:val="12"/>
          <w:sz w:val="24"/>
          <w:szCs w:val="24"/>
          <w:u w:val="single"/>
          <w:lang w:val="en-US" w:eastAsia="zh-CN"/>
        </w:rPr>
        <w:t>6.5-10</w:t>
      </w:r>
      <w:r>
        <w:rPr>
          <w:rFonts w:hint="default" w:ascii="Times New Roman" w:hAnsi="Times New Roman" w:eastAsia="宋体" w:cs="Times New Roman"/>
          <w:spacing w:val="-1"/>
          <w:position w:val="12"/>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b/>
          <w:color w:val="auto"/>
        </w:rPr>
      </w:pPr>
      <w:r>
        <w:rPr>
          <w:rFonts w:ascii="Times New Roman" w:hAnsi="Times New Roman"/>
          <w:b/>
          <w:color w:val="auto"/>
        </w:rPr>
        <w:t>表</w:t>
      </w:r>
      <w:r>
        <w:rPr>
          <w:rFonts w:hint="eastAsia"/>
          <w:b/>
          <w:color w:val="auto"/>
          <w:lang w:val="en-US" w:eastAsia="zh-CN"/>
        </w:rPr>
        <w:t>6.5-10</w:t>
      </w:r>
      <w:r>
        <w:rPr>
          <w:rFonts w:ascii="Times New Roman" w:hAnsi="Times New Roman"/>
          <w:b/>
          <w:color w:val="auto"/>
        </w:rPr>
        <w:t xml:space="preserve">  污水站非正常状况下</w:t>
      </w:r>
      <w:r>
        <w:rPr>
          <w:rFonts w:hint="eastAsia"/>
          <w:b/>
          <w:color w:val="auto"/>
          <w:lang w:eastAsia="zh-CN"/>
        </w:rPr>
        <w:t>厂址</w:t>
      </w:r>
      <w:r>
        <w:rPr>
          <w:rFonts w:ascii="Times New Roman" w:hAnsi="Times New Roman"/>
          <w:b/>
          <w:color w:val="auto"/>
        </w:rPr>
        <w:t>下游地下水影响预测一览表  单位：mg/L</w:t>
      </w:r>
    </w:p>
    <w:tbl>
      <w:tblPr>
        <w:tblStyle w:val="4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4"/>
        <w:gridCol w:w="535"/>
        <w:gridCol w:w="214"/>
        <w:gridCol w:w="292"/>
        <w:gridCol w:w="976"/>
        <w:gridCol w:w="872"/>
        <w:gridCol w:w="1079"/>
        <w:gridCol w:w="1088"/>
        <w:gridCol w:w="1182"/>
        <w:gridCol w:w="1079"/>
        <w:gridCol w:w="11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pacing w:val="-13"/>
                <w:sz w:val="21"/>
                <w:szCs w:val="21"/>
              </w:rPr>
              <w:t>因子</w:t>
            </w:r>
          </w:p>
        </w:tc>
        <w:tc>
          <w:tcPr>
            <w:tcW w:w="32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距离</w:t>
            </w:r>
            <w:r>
              <w:rPr>
                <w:rFonts w:hint="default" w:ascii="Times New Roman" w:hAnsi="Times New Roman" w:eastAsia="宋体" w:cs="Times New Roman"/>
                <w:spacing w:val="-10"/>
                <w:sz w:val="21"/>
                <w:szCs w:val="21"/>
              </w:rPr>
              <w:t>（</w:t>
            </w:r>
            <w:r>
              <w:rPr>
                <w:rFonts w:hint="default" w:ascii="Times New Roman" w:hAnsi="Times New Roman" w:eastAsia="Times New Roman" w:cs="Times New Roman"/>
                <w:spacing w:val="-10"/>
                <w:sz w:val="21"/>
                <w:szCs w:val="21"/>
              </w:rPr>
              <w:t>m</w:t>
            </w:r>
            <w:r>
              <w:rPr>
                <w:rFonts w:hint="default" w:ascii="Times New Roman" w:hAnsi="Times New Roman" w:eastAsia="宋体" w:cs="Times New Roman"/>
                <w:spacing w:val="-10"/>
                <w:sz w:val="21"/>
                <w:szCs w:val="21"/>
              </w:rPr>
              <w:t>）</w:t>
            </w:r>
          </w:p>
        </w:tc>
        <w:tc>
          <w:tcPr>
            <w:tcW w:w="4335" w:type="pct"/>
            <w:gridSpan w:val="9"/>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时间（</w:t>
            </w:r>
            <w:r>
              <w:rPr>
                <w:rFonts w:hint="default" w:ascii="Times New Roman" w:hAnsi="Times New Roman" w:eastAsia="Times New Roman" w:cs="Times New Roman"/>
                <w:spacing w:val="-4"/>
                <w:sz w:val="21"/>
                <w:szCs w:val="21"/>
              </w:rPr>
              <w:t>d</w:t>
            </w:r>
            <w:r>
              <w:rPr>
                <w:rFonts w:hint="default" w:ascii="Times New Roman" w:hAnsi="Times New Roman" w:eastAsia="宋体" w:cs="Times New Roman"/>
                <w:spacing w:val="-4"/>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szCs w:val="21"/>
              </w:rPr>
            </w:pP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w w:val="97"/>
                <w:sz w:val="21"/>
                <w:szCs w:val="21"/>
              </w:rPr>
              <w:t>10</w:t>
            </w: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300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500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6"/>
                <w:sz w:val="21"/>
                <w:szCs w:val="21"/>
              </w:rPr>
              <w:t>1000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2000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3000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4000</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cs="宋体"/>
                <w:spacing w:val="-8"/>
                <w:sz w:val="21"/>
                <w:szCs w:val="21"/>
                <w:lang w:eastAsia="zh-CN"/>
              </w:rPr>
              <w:t>耗氧量</w:t>
            </w: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w w:val="97"/>
                <w:sz w:val="21"/>
                <w:szCs w:val="21"/>
              </w:rPr>
              <w:t>10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1"/>
                <w:sz w:val="21"/>
                <w:szCs w:val="21"/>
              </w:rPr>
              <w:t>0.01</w:t>
            </w:r>
            <w:r>
              <w:rPr>
                <w:rFonts w:hint="default" w:ascii="Times New Roman" w:hAnsi="Times New Roman" w:eastAsia="宋体" w:cs="Times New Roman"/>
                <w:spacing w:val="-1"/>
                <w:sz w:val="21"/>
                <w:szCs w:val="21"/>
                <w:lang w:val="en-US" w:eastAsia="zh-CN"/>
              </w:rPr>
              <w:t>4672</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Times New Roman" w:cs="Times New Roman"/>
                <w:spacing w:val="-2"/>
                <w:sz w:val="21"/>
                <w:szCs w:val="21"/>
              </w:rPr>
              <w:t>0.</w:t>
            </w:r>
            <w:r>
              <w:rPr>
                <w:rFonts w:hint="default" w:ascii="Times New Roman" w:hAnsi="Times New Roman" w:eastAsia="宋体" w:cs="Times New Roman"/>
                <w:spacing w:val="-2"/>
                <w:sz w:val="21"/>
                <w:szCs w:val="21"/>
                <w:lang w:val="en-US" w:eastAsia="zh-CN"/>
              </w:rPr>
              <w:t>445122</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7.503881</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3</w:t>
            </w:r>
            <w:r>
              <w:rPr>
                <w:rFonts w:hint="default" w:ascii="Times New Roman" w:hAnsi="Times New Roman" w:eastAsia="宋体" w:cs="Times New Roman"/>
                <w:spacing w:val="-1"/>
                <w:sz w:val="21"/>
                <w:szCs w:val="21"/>
                <w:lang w:val="en-US" w:eastAsia="zh-CN"/>
              </w:rPr>
              <w:t>4</w:t>
            </w:r>
            <w:r>
              <w:rPr>
                <w:rFonts w:hint="default" w:ascii="Times New Roman" w:hAnsi="Times New Roman" w:eastAsia="Times New Roman" w:cs="Times New Roman"/>
                <w:spacing w:val="-1"/>
                <w:sz w:val="21"/>
                <w:szCs w:val="21"/>
              </w:rPr>
              <w:t>.641</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58.03582</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77.65279</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93.37759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20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w:t>
            </w:r>
            <w:r>
              <w:rPr>
                <w:rFonts w:hint="default" w:ascii="Times New Roman" w:hAnsi="Times New Roman" w:eastAsia="宋体" w:cs="Times New Roman"/>
                <w:spacing w:val="-1"/>
                <w:sz w:val="21"/>
                <w:szCs w:val="21"/>
                <w:lang w:val="en-US" w:eastAsia="zh-CN"/>
              </w:rPr>
              <w:t>325</w:t>
            </w:r>
            <w:r>
              <w:rPr>
                <w:rFonts w:hint="default" w:ascii="Times New Roman" w:hAnsi="Times New Roman" w:eastAsia="Times New Roman" w:cs="Times New Roman"/>
                <w:spacing w:val="-1"/>
                <w:sz w:val="21"/>
                <w:szCs w:val="21"/>
              </w:rPr>
              <w:t>59</w:t>
            </w:r>
            <w:r>
              <w:rPr>
                <w:rFonts w:hint="default" w:ascii="Times New Roman" w:hAnsi="Times New Roman" w:eastAsia="Times New Roman" w:cs="Times New Roman"/>
                <w:spacing w:val="-5"/>
                <w:sz w:val="21"/>
                <w:szCs w:val="21"/>
              </w:rPr>
              <w:t>6</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0.553178</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3.462923</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8.916144</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15.97296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30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w:t>
            </w:r>
            <w:r>
              <w:rPr>
                <w:rFonts w:hint="default" w:ascii="Times New Roman" w:hAnsi="Times New Roman" w:eastAsia="宋体" w:cs="Times New Roman"/>
                <w:spacing w:val="-1"/>
                <w:sz w:val="21"/>
                <w:szCs w:val="21"/>
                <w:lang w:val="en-US" w:eastAsia="zh-CN"/>
              </w:rPr>
              <w:t>57</w:t>
            </w:r>
            <w:r>
              <w:rPr>
                <w:rFonts w:hint="default" w:ascii="Times New Roman" w:hAnsi="Times New Roman" w:eastAsia="Times New Roman" w:cs="Times New Roman"/>
                <w:spacing w:val="-1"/>
                <w:sz w:val="21"/>
                <w:szCs w:val="21"/>
              </w:rPr>
              <w:t>9</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0.04535536</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0.3349566</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w w:val="97"/>
                <w:sz w:val="21"/>
                <w:szCs w:val="21"/>
              </w:rPr>
              <w:t>1.13286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40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0.00012223</w:t>
            </w:r>
            <w:r>
              <w:rPr>
                <w:rFonts w:hint="default" w:ascii="Times New Roman" w:hAnsi="Times New Roman" w:eastAsia="Times New Roman" w:cs="Times New Roman"/>
                <w:spacing w:val="-5"/>
                <w:sz w:val="21"/>
                <w:szCs w:val="21"/>
              </w:rPr>
              <w:t>55</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0.0039008</w:t>
            </w:r>
            <w:r>
              <w:rPr>
                <w:rFonts w:hint="default" w:ascii="Times New Roman" w:hAnsi="Times New Roman" w:eastAsia="Times New Roman" w:cs="Times New Roman"/>
                <w:spacing w:val="-5"/>
                <w:sz w:val="21"/>
                <w:szCs w:val="21"/>
              </w:rPr>
              <w:t>98</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0.03180683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50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0.00034486</w:t>
            </w:r>
            <w:r>
              <w:rPr>
                <w:rFonts w:hint="default" w:ascii="Times New Roman" w:hAnsi="Times New Roman" w:eastAsia="Times New Roman" w:cs="Times New Roman"/>
                <w:spacing w:val="2"/>
                <w:sz w:val="21"/>
                <w:szCs w:val="21"/>
              </w:rPr>
              <w:t xml:space="preserve"> </w:t>
            </w:r>
            <w:r>
              <w:rPr>
                <w:rFonts w:hint="default" w:ascii="Times New Roman" w:hAnsi="Times New Roman" w:eastAsia="Times New Roman" w:cs="Times New Roman"/>
                <w:spacing w:val="-7"/>
                <w:sz w:val="21"/>
                <w:szCs w:val="21"/>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60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hint="eastAsia" w:ascii="Times New Roman" w:hAnsi="Times New Roman" w:eastAsia="宋体" w:cs="Times New Roman"/>
                <w:sz w:val="21"/>
                <w:szCs w:val="21"/>
                <w:vertAlign w:val="subscript"/>
                <w:lang w:val="en-US" w:eastAsia="zh-CN"/>
              </w:rPr>
              <w:t>3</w:t>
            </w: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N</w:t>
            </w: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0"/>
                <w:w w:val="97"/>
                <w:sz w:val="21"/>
                <w:szCs w:val="21"/>
              </w:rPr>
              <w:t>10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0.012456</w:t>
            </w:r>
            <w:r>
              <w:rPr>
                <w:rFonts w:hint="default" w:ascii="Times New Roman" w:hAnsi="Times New Roman" w:eastAsia="Times New Roman" w:cs="Times New Roman"/>
                <w:spacing w:val="-5"/>
                <w:sz w:val="21"/>
                <w:szCs w:val="21"/>
              </w:rPr>
              <w:t>37</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0.4372045</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7.07072</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31.69913</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54.6857</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73.</w:t>
            </w:r>
            <w:r>
              <w:rPr>
                <w:rFonts w:hint="default" w:ascii="Times New Roman" w:hAnsi="Times New Roman" w:eastAsia="Times New Roman" w:cs="Times New Roman"/>
                <w:spacing w:val="-28"/>
                <w:sz w:val="21"/>
                <w:szCs w:val="21"/>
              </w:rPr>
              <w:t xml:space="preserve"> </w:t>
            </w:r>
            <w:r>
              <w:rPr>
                <w:rFonts w:hint="default" w:ascii="Times New Roman" w:hAnsi="Times New Roman" w:eastAsia="Times New Roman" w:cs="Times New Roman"/>
                <w:spacing w:val="-4"/>
                <w:sz w:val="21"/>
                <w:szCs w:val="21"/>
              </w:rPr>
              <w:t>17029</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87.98738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20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0.0025874</w:t>
            </w:r>
            <w:r>
              <w:rPr>
                <w:rFonts w:hint="default" w:ascii="Times New Roman" w:hAnsi="Times New Roman" w:eastAsia="Times New Roman" w:cs="Times New Roman"/>
                <w:spacing w:val="-5"/>
                <w:sz w:val="21"/>
                <w:szCs w:val="21"/>
              </w:rPr>
              <w:t>52</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0.5212458</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3.263026</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8.401461</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15.05093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30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0.00083832</w:t>
            </w:r>
            <w:r>
              <w:rPr>
                <w:rFonts w:hint="default" w:ascii="Times New Roman" w:hAnsi="Times New Roman" w:eastAsia="Times New Roman" w:cs="Times New Roman"/>
                <w:sz w:val="21"/>
                <w:szCs w:val="21"/>
              </w:rPr>
              <w:t>3</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0.04273723</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0.3156213</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1.067465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40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0.00011517</w:t>
            </w:r>
            <w:r>
              <w:rPr>
                <w:rFonts w:hint="default" w:ascii="Times New Roman" w:hAnsi="Times New Roman" w:eastAsia="Times New Roman" w:cs="Times New Roman"/>
                <w:spacing w:val="-5"/>
                <w:sz w:val="21"/>
                <w:szCs w:val="21"/>
              </w:rPr>
              <w:t>94</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0.0036757</w:t>
            </w:r>
            <w:r>
              <w:rPr>
                <w:rFonts w:hint="default" w:ascii="Times New Roman" w:hAnsi="Times New Roman" w:eastAsia="Times New Roman" w:cs="Times New Roman"/>
                <w:spacing w:val="-10"/>
                <w:w w:val="97"/>
                <w:sz w:val="21"/>
                <w:szCs w:val="21"/>
              </w:rPr>
              <w:t>19</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0.02997079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50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0.00032496</w:t>
            </w:r>
            <w:r>
              <w:rPr>
                <w:rFonts w:hint="default" w:ascii="Times New Roman" w:hAnsi="Times New Roman" w:eastAsia="Times New Roman" w:cs="Times New Roman"/>
                <w:spacing w:val="-10"/>
                <w:w w:val="97"/>
                <w:sz w:val="21"/>
                <w:szCs w:val="21"/>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3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宋体"/>
                <w:sz w:val="21"/>
                <w:szCs w:val="21"/>
              </w:rPr>
            </w:pPr>
          </w:p>
        </w:tc>
        <w:tc>
          <w:tcPr>
            <w:tcW w:w="32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5"/>
                <w:sz w:val="21"/>
                <w:szCs w:val="21"/>
              </w:rPr>
              <w:t>60</w:t>
            </w:r>
          </w:p>
        </w:tc>
        <w:tc>
          <w:tcPr>
            <w:tcW w:w="15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3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39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5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c>
          <w:tcPr>
            <w:tcW w:w="62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根据预测结果可知，</w:t>
      </w:r>
    </w:p>
    <w:p>
      <w:pPr>
        <w:keepNext w:val="0"/>
        <w:keepLines w:val="0"/>
        <w:pageBreakBefore w:val="0"/>
        <w:widowControl w:val="0"/>
        <w:kinsoku/>
        <w:wordWrap/>
        <w:overflowPunct/>
        <w:topLinePunct w:val="0"/>
        <w:autoSpaceDE/>
        <w:autoSpaceDN/>
        <w:bidi w:val="0"/>
        <w:adjustRightInd w:val="0"/>
        <w:snapToGrid w:val="0"/>
        <w:spacing w:line="360" w:lineRule="auto"/>
        <w:ind w:firstLine="1316"/>
        <w:textAlignment w:val="auto"/>
        <w:rPr>
          <w:rFonts w:hint="default" w:ascii="Times New Roman" w:hAnsi="Times New Roman" w:eastAsia="宋体" w:cs="Times New Roman"/>
          <w:spacing w:val="-1"/>
          <w:position w:val="12"/>
          <w:sz w:val="24"/>
          <w:szCs w:val="24"/>
          <w:u w:val="single"/>
        </w:rPr>
      </w:pPr>
      <w:r>
        <w:rPr>
          <w:rFonts w:hint="default" w:ascii="Times New Roman" w:hAnsi="Times New Roman" w:eastAsia="宋体" w:cs="Times New Roman"/>
          <w:spacing w:val="-1"/>
          <w:position w:val="12"/>
          <w:sz w:val="24"/>
          <w:szCs w:val="24"/>
          <w:u w:val="single"/>
        </w:rPr>
        <w:t>在非正常状况下污水处理站池壁发生渗透，连续下渗5000d后，</w:t>
      </w:r>
      <w:r>
        <w:rPr>
          <w:rFonts w:hint="eastAsia" w:cs="Times New Roman"/>
          <w:spacing w:val="-1"/>
          <w:position w:val="12"/>
          <w:sz w:val="24"/>
          <w:szCs w:val="24"/>
          <w:u w:val="single"/>
          <w:lang w:eastAsia="zh-CN"/>
        </w:rPr>
        <w:t>耗氧量</w:t>
      </w:r>
      <w:r>
        <w:rPr>
          <w:rFonts w:hint="default" w:ascii="Times New Roman" w:hAnsi="Times New Roman" w:eastAsia="宋体" w:cs="Times New Roman"/>
          <w:spacing w:val="-1"/>
          <w:position w:val="12"/>
          <w:sz w:val="24"/>
          <w:szCs w:val="24"/>
          <w:u w:val="single"/>
        </w:rPr>
        <w:t>达标距离为30m（即30m以外的区域均达标）；最大影响距离为60m（即浓度为0mg/L）。在连续下渗5000d时，氨氮达标距离为40m（即40m以外的区域均达标）；最大影响距离为60m（即浓度为0mg/L）。经调查，本次污水处理站60m以内，没有水源准保护区及其他需要特殊地下水资源保护区、饮用水源准保护区以外的补给径流区、分散式饮用水水源地及特殊地下水资源保护区以外的分布区等其他环境敏感区。</w:t>
      </w:r>
    </w:p>
    <w:p>
      <w:pPr>
        <w:ind w:firstLine="480"/>
        <w:rPr>
          <w:rFonts w:hint="eastAsia"/>
          <w:color w:val="000000"/>
          <w:sz w:val="24"/>
          <w:szCs w:val="24"/>
          <w:u w:val="single"/>
        </w:rPr>
      </w:pPr>
      <w:r>
        <w:rPr>
          <w:rFonts w:hint="eastAsia"/>
          <w:color w:val="000000"/>
          <w:sz w:val="24"/>
          <w:szCs w:val="24"/>
          <w:u w:val="single"/>
          <w:lang w:eastAsia="zh-CN"/>
        </w:rPr>
        <w:t>环评要求</w:t>
      </w:r>
      <w:r>
        <w:rPr>
          <w:rFonts w:hint="eastAsia"/>
          <w:color w:val="000000"/>
          <w:sz w:val="24"/>
          <w:szCs w:val="24"/>
          <w:u w:val="single"/>
        </w:rPr>
        <w:t>项目建设区域</w:t>
      </w:r>
      <w:r>
        <w:rPr>
          <w:rFonts w:hint="eastAsia"/>
          <w:color w:val="000000"/>
          <w:sz w:val="24"/>
          <w:szCs w:val="24"/>
          <w:u w:val="single"/>
          <w:lang w:eastAsia="zh-CN"/>
        </w:rPr>
        <w:t>地面</w:t>
      </w:r>
      <w:r>
        <w:rPr>
          <w:rFonts w:hint="eastAsia"/>
          <w:color w:val="000000"/>
          <w:sz w:val="24"/>
          <w:szCs w:val="24"/>
          <w:u w:val="single"/>
        </w:rPr>
        <w:t>做好基础防渗，地面采用混凝土结构，厚度不低于150mm，底部做防水层处理，采用防水剂、防冻剂与水泥</w:t>
      </w:r>
      <w:r>
        <w:rPr>
          <w:rFonts w:hint="eastAsia"/>
          <w:color w:val="000000"/>
          <w:sz w:val="24"/>
          <w:szCs w:val="24"/>
          <w:u w:val="single"/>
          <w:lang w:eastAsia="zh-CN"/>
        </w:rPr>
        <w:t>砂浆</w:t>
      </w:r>
      <w:r>
        <w:rPr>
          <w:rFonts w:hint="eastAsia"/>
          <w:color w:val="000000"/>
          <w:sz w:val="24"/>
          <w:szCs w:val="24"/>
          <w:u w:val="single"/>
        </w:rPr>
        <w:t>混合涂层，厚度不低于3cm；各建筑物地面及墙体侧面地面以上0.3m以下部位应采用人工防渗材料进行防渗，保证防渗材料渗透系数≤10</w:t>
      </w:r>
      <w:r>
        <w:rPr>
          <w:rFonts w:hint="eastAsia"/>
          <w:color w:val="000000"/>
          <w:sz w:val="24"/>
          <w:szCs w:val="24"/>
          <w:u w:val="single"/>
          <w:vertAlign w:val="superscript"/>
        </w:rPr>
        <w:t>-10</w:t>
      </w:r>
      <w:r>
        <w:rPr>
          <w:rFonts w:hint="eastAsia"/>
          <w:color w:val="000000"/>
          <w:sz w:val="24"/>
          <w:szCs w:val="24"/>
          <w:u w:val="single"/>
        </w:rPr>
        <w:t>cm/s。通过以上措施后项目建设不会对项目区域地下水产生明显影响。</w:t>
      </w:r>
    </w:p>
    <w:p>
      <w:pPr>
        <w:ind w:firstLine="360" w:firstLineChars="150"/>
        <w:rPr>
          <w:rFonts w:hint="eastAsia"/>
          <w:color w:val="000000"/>
          <w:sz w:val="24"/>
          <w:szCs w:val="24"/>
          <w:u w:val="single"/>
        </w:rPr>
      </w:pPr>
      <w:r>
        <w:rPr>
          <w:rFonts w:hint="eastAsia"/>
          <w:color w:val="000000"/>
          <w:sz w:val="24"/>
          <w:szCs w:val="24"/>
          <w:u w:val="single"/>
        </w:rPr>
        <w:t>（</w:t>
      </w:r>
      <w:r>
        <w:rPr>
          <w:rFonts w:hint="eastAsia"/>
          <w:color w:val="000000"/>
          <w:sz w:val="24"/>
          <w:szCs w:val="24"/>
          <w:u w:val="single"/>
          <w:lang w:val="en-US" w:eastAsia="zh-CN"/>
        </w:rPr>
        <w:t>9</w:t>
      </w:r>
      <w:r>
        <w:rPr>
          <w:rFonts w:hint="eastAsia"/>
          <w:color w:val="000000"/>
          <w:sz w:val="24"/>
          <w:szCs w:val="24"/>
          <w:u w:val="single"/>
        </w:rPr>
        <w:t>）地下水影响评价结论</w:t>
      </w:r>
    </w:p>
    <w:p>
      <w:pPr>
        <w:ind w:firstLine="480"/>
        <w:rPr>
          <w:rFonts w:hint="eastAsia"/>
          <w:color w:val="000000"/>
          <w:sz w:val="24"/>
          <w:szCs w:val="24"/>
          <w:u w:val="single"/>
        </w:rPr>
      </w:pPr>
      <w:r>
        <w:rPr>
          <w:rFonts w:hint="eastAsia"/>
          <w:color w:val="000000"/>
          <w:sz w:val="24"/>
          <w:szCs w:val="24"/>
          <w:u w:val="single"/>
        </w:rPr>
        <w:t>本项目根据区域地勘资料，项目所在区域以粉质粘土为主，粉质粘土的渗透系数较小，不利于污染物下渗，因此，项目对地下水影响较小</w:t>
      </w:r>
      <w:r>
        <w:rPr>
          <w:rFonts w:hint="eastAsia"/>
          <w:color w:val="000000"/>
          <w:sz w:val="24"/>
          <w:szCs w:val="24"/>
          <w:u w:val="single"/>
          <w:lang w:eastAsia="zh-CN"/>
        </w:rPr>
        <w:t>，</w:t>
      </w:r>
      <w:r>
        <w:rPr>
          <w:rFonts w:hint="eastAsia"/>
          <w:color w:val="000000"/>
          <w:sz w:val="24"/>
          <w:szCs w:val="24"/>
          <w:u w:val="single"/>
        </w:rPr>
        <w:t>应充分做好污水管道的防渗处理，杜绝污水渗漏，确保污水收集处理系统衔接良好，严格用水管理，防止污水</w:t>
      </w:r>
      <w:r>
        <w:rPr>
          <w:rFonts w:hint="eastAsia"/>
          <w:color w:val="000000"/>
          <w:sz w:val="24"/>
          <w:szCs w:val="24"/>
          <w:u w:val="single"/>
          <w:lang w:eastAsia="zh-CN"/>
        </w:rPr>
        <w:t>“</w:t>
      </w:r>
      <w:r>
        <w:rPr>
          <w:rFonts w:hint="eastAsia"/>
          <w:color w:val="000000"/>
          <w:sz w:val="24"/>
          <w:szCs w:val="24"/>
          <w:u w:val="single"/>
        </w:rPr>
        <w:t>跑、冒、滴、漏</w:t>
      </w:r>
      <w:r>
        <w:rPr>
          <w:rFonts w:hint="eastAsia"/>
          <w:color w:val="000000"/>
          <w:sz w:val="24"/>
          <w:szCs w:val="24"/>
          <w:u w:val="single"/>
          <w:lang w:eastAsia="zh-CN"/>
        </w:rPr>
        <w:t>”</w:t>
      </w:r>
      <w:r>
        <w:rPr>
          <w:rFonts w:hint="eastAsia"/>
          <w:color w:val="000000"/>
          <w:sz w:val="24"/>
          <w:szCs w:val="24"/>
          <w:u w:val="single"/>
        </w:rPr>
        <w:t>现象的发生，可以很大程度的消除周边地区污染物排放对地下水环境的影响。建设项目</w:t>
      </w:r>
      <w:r>
        <w:rPr>
          <w:rFonts w:hint="eastAsia"/>
          <w:color w:val="000000"/>
          <w:sz w:val="24"/>
          <w:szCs w:val="24"/>
          <w:u w:val="single"/>
          <w:lang w:eastAsia="zh-CN"/>
        </w:rPr>
        <w:t>厂区</w:t>
      </w:r>
      <w:r>
        <w:rPr>
          <w:rFonts w:hint="eastAsia"/>
          <w:color w:val="000000"/>
          <w:sz w:val="24"/>
          <w:szCs w:val="24"/>
          <w:u w:val="single"/>
        </w:rPr>
        <w:t>在落实好防渗、防污措施后，本项目污染物能得到有效处理，对地下水水质影响较小，项目的建设不会产生其他环境地质问题。</w:t>
      </w:r>
    </w:p>
    <w:p>
      <w:pPr>
        <w:pStyle w:val="3"/>
        <w:bidi w:val="0"/>
      </w:pPr>
      <w:bookmarkStart w:id="160" w:name="_Toc5247"/>
      <w:bookmarkStart w:id="161" w:name="_Toc8272"/>
      <w:bookmarkStart w:id="162" w:name="_Toc18883"/>
      <w:r>
        <w:rPr>
          <w:rFonts w:hint="eastAsia"/>
          <w:lang w:val="en-US" w:eastAsia="zh-CN"/>
        </w:rPr>
        <w:t xml:space="preserve">6.6 </w:t>
      </w:r>
      <w:r>
        <w:rPr>
          <w:lang w:val="en-US" w:eastAsia="zh-CN"/>
        </w:rPr>
        <w:t>土壤环境影响分析</w:t>
      </w:r>
      <w:bookmarkEnd w:id="160"/>
      <w:bookmarkEnd w:id="161"/>
      <w:bookmarkEnd w:id="162"/>
    </w:p>
    <w:p>
      <w:pPr>
        <w:bidi w:val="0"/>
        <w:rPr>
          <w:rFonts w:hint="eastAsia"/>
          <w:lang w:val="en-US" w:eastAsia="zh-CN"/>
        </w:rPr>
      </w:pPr>
      <w:r>
        <w:rPr>
          <w:rFonts w:hint="eastAsia"/>
          <w:lang w:val="en-US" w:eastAsia="zh-CN"/>
        </w:rPr>
        <w:t>根据2.5.4，本项目土壤环境影响评价等级为</w:t>
      </w:r>
      <w:r>
        <w:rPr>
          <w:rFonts w:hint="eastAsia" w:cs="Times New Roman"/>
          <w:sz w:val="24"/>
          <w:szCs w:val="24"/>
          <w:u w:val="single"/>
          <w:lang w:val="en-US" w:eastAsia="zh-CN"/>
        </w:rPr>
        <w:t>“三级</w:t>
      </w:r>
      <w:r>
        <w:rPr>
          <w:rFonts w:hint="eastAsia"/>
          <w:lang w:val="en-US" w:eastAsia="zh-CN"/>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本项目土壤现状调查范围按照建设场址及厂界外</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05</w:t>
      </w:r>
      <w:r>
        <w:rPr>
          <w:rFonts w:hint="default" w:ascii="Times New Roman" w:hAnsi="Times New Roman" w:eastAsia="宋体" w:cs="Times New Roman"/>
          <w:color w:val="000000"/>
          <w:kern w:val="0"/>
          <w:sz w:val="24"/>
          <w:szCs w:val="24"/>
          <w:lang w:val="en-US" w:eastAsia="zh-CN" w:bidi="ar"/>
        </w:rPr>
        <w:t>km</w:t>
      </w:r>
      <w:r>
        <w:rPr>
          <w:rFonts w:hint="eastAsia" w:ascii="宋体" w:hAnsi="宋体" w:eastAsia="宋体" w:cs="宋体"/>
          <w:color w:val="000000"/>
          <w:kern w:val="0"/>
          <w:sz w:val="24"/>
          <w:szCs w:val="24"/>
          <w:lang w:val="en-US" w:eastAsia="zh-CN" w:bidi="ar"/>
        </w:rPr>
        <w:t>范围，土壤环境调查范围示意图见图</w:t>
      </w: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sz w:val="24"/>
        </w:rPr>
        <mc:AlternateContent>
          <mc:Choice Requires="wps">
            <w:drawing>
              <wp:anchor distT="0" distB="0" distL="114300" distR="114300" simplePos="0" relativeHeight="251727872" behindDoc="0" locked="0" layoutInCell="1" allowOverlap="1">
                <wp:simplePos x="0" y="0"/>
                <wp:positionH relativeFrom="column">
                  <wp:posOffset>3700145</wp:posOffset>
                </wp:positionH>
                <wp:positionV relativeFrom="paragraph">
                  <wp:posOffset>936625</wp:posOffset>
                </wp:positionV>
                <wp:extent cx="666750" cy="285750"/>
                <wp:effectExtent l="0" t="0" r="0" b="0"/>
                <wp:wrapNone/>
                <wp:docPr id="101" name="文本框 101"/>
                <wp:cNvGraphicFramePr/>
                <a:graphic xmlns:a="http://schemas.openxmlformats.org/drawingml/2006/main">
                  <a:graphicData uri="http://schemas.microsoft.com/office/word/2010/wordprocessingShape">
                    <wps:wsp>
                      <wps:cNvSpPr txBox="1"/>
                      <wps:spPr>
                        <a:xfrm rot="600000">
                          <a:off x="0" y="0"/>
                          <a:ext cx="666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35pt;margin-top:73.75pt;height:22.5pt;width:52.5pt;rotation:655360f;z-index:251727872;mso-width-relative:page;mso-height-relative:page;" filled="f" stroked="f" coordsize="21600,21600" o:gfxdata="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&#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jhJz2AAAAAsBAAAPAAAAAAAAAAEAIAAAACIAAABk&#10;cnMvZG93bnJldi54bWxQSwECFAAUAAAACACHTuJA05I1Tz8CAAB2BAAADgAAAAAAAAABACAAAAAn&#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v:textbox>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3192145</wp:posOffset>
                </wp:positionH>
                <wp:positionV relativeFrom="paragraph">
                  <wp:posOffset>3482975</wp:posOffset>
                </wp:positionV>
                <wp:extent cx="666750" cy="285750"/>
                <wp:effectExtent l="0" t="0" r="0" b="0"/>
                <wp:wrapNone/>
                <wp:docPr id="100" name="文本框 100"/>
                <wp:cNvGraphicFramePr/>
                <a:graphic xmlns:a="http://schemas.openxmlformats.org/drawingml/2006/main">
                  <a:graphicData uri="http://schemas.microsoft.com/office/word/2010/wordprocessingShape">
                    <wps:wsp>
                      <wps:cNvSpPr txBox="1"/>
                      <wps:spPr>
                        <a:xfrm rot="600000">
                          <a:off x="0" y="0"/>
                          <a:ext cx="666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274.25pt;height:22.5pt;width:52.5pt;rotation:655360f;z-index:251726848;mso-width-relative:page;mso-height-relative:page;" filled="f" stroked="f" coordsize="21600,21600" o:gfxdata="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HOQ12QAAAAsBAAAPAAAAAAAAAAEAIAAAACIAAABk&#10;cnMvZG93bnJldi54bWxQSwECFAAUAAAACACHTuJAOp8/qz4CAAB2BAAADgAAAAAAAAABACAAAAAo&#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v:textbox>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3744595</wp:posOffset>
                </wp:positionH>
                <wp:positionV relativeFrom="paragraph">
                  <wp:posOffset>790575</wp:posOffset>
                </wp:positionV>
                <wp:extent cx="69850" cy="469900"/>
                <wp:effectExtent l="37465" t="0" r="45085" b="6350"/>
                <wp:wrapNone/>
                <wp:docPr id="93" name="直接箭头连接符 93"/>
                <wp:cNvGraphicFramePr/>
                <a:graphic xmlns:a="http://schemas.openxmlformats.org/drawingml/2006/main">
                  <a:graphicData uri="http://schemas.microsoft.com/office/word/2010/wordprocessingShape">
                    <wps:wsp>
                      <wps:cNvCnPr/>
                      <wps:spPr>
                        <a:xfrm flipV="1">
                          <a:off x="0" y="0"/>
                          <a:ext cx="69850" cy="469900"/>
                        </a:xfrm>
                        <a:prstGeom prst="straightConnector1">
                          <a:avLst/>
                        </a:prstGeom>
                        <a:ln w="1270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4.85pt;margin-top:62.25pt;height:37pt;width:5.5pt;z-index:251722752;mso-width-relative:page;mso-height-relative:page;" filled="f" stroked="t" coordsize="21600,21600" o:gfxdata="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5m18tgAAAALAQAADwAA&#10;AAAAAAABACAAAAAiAAAAZHJzL2Rvd25yZXYueG1sUEsBAhQAFAAAAAgAh07iQLD3tuMWAgAABwQA&#10;AA4AAAAAAAAAAQAgAAAAJwEAAGRycy9lMm9Eb2MueG1sUEsFBgAAAAAGAAYAWQEAAK8FAAAAAA==&#10;">
                <v:fill on="f" focussize="0,0"/>
                <v:stroke weight="1pt" color="#FFFF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1191895</wp:posOffset>
                </wp:positionH>
                <wp:positionV relativeFrom="paragraph">
                  <wp:posOffset>2632075</wp:posOffset>
                </wp:positionV>
                <wp:extent cx="666750" cy="285750"/>
                <wp:effectExtent l="0" t="0" r="0" b="0"/>
                <wp:wrapNone/>
                <wp:docPr id="99" name="文本框 99"/>
                <wp:cNvGraphicFramePr/>
                <a:graphic xmlns:a="http://schemas.openxmlformats.org/drawingml/2006/main">
                  <a:graphicData uri="http://schemas.microsoft.com/office/word/2010/wordprocessingShape">
                    <wps:wsp>
                      <wps:cNvSpPr txBox="1"/>
                      <wps:spPr>
                        <a:xfrm rot="600000">
                          <a:off x="0" y="0"/>
                          <a:ext cx="666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85pt;margin-top:207.25pt;height:22.5pt;width:52.5pt;rotation:655360f;z-index:251725824;mso-width-relative:page;mso-height-relative:page;" filled="f" stroked="f" coordsize="21600,21600" o:gfxdata="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cJrU2AAAAAsBAAAPAAAAAAAAAAEAIAAAACIAAABk&#10;cnMvZG93bnJldi54bWxQSwECFAAUAAAACACHTuJAIG/2wz8CAAB0BAAADgAAAAAAAAABACAAAAAn&#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v:textbox>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4557395</wp:posOffset>
                </wp:positionH>
                <wp:positionV relativeFrom="paragraph">
                  <wp:posOffset>2111375</wp:posOffset>
                </wp:positionV>
                <wp:extent cx="666750" cy="285750"/>
                <wp:effectExtent l="0" t="0" r="0" b="0"/>
                <wp:wrapNone/>
                <wp:docPr id="96" name="文本框 96"/>
                <wp:cNvGraphicFramePr/>
                <a:graphic xmlns:a="http://schemas.openxmlformats.org/drawingml/2006/main">
                  <a:graphicData uri="http://schemas.microsoft.com/office/word/2010/wordprocessingShape">
                    <wps:wsp>
                      <wps:cNvSpPr txBox="1"/>
                      <wps:spPr>
                        <a:xfrm rot="600000">
                          <a:off x="4752340" y="4465320"/>
                          <a:ext cx="666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5pt;margin-top:166.25pt;height:22.5pt;width:52.5pt;rotation:655360f;z-index:251724800;mso-width-relative:page;mso-height-relative:page;" filled="f" stroked="f" coordsize="21600,21600" o:gfxdata="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wu2jjZAAAACwEAAA8AAAAAAAAA&#10;AQAgAAAAIgAAAGRycy9kb3ducmV2LnhtbFBLAQIUABQAAAAIAIdO4kA9qd6NSQIAAIAEAAAOAAAA&#10;AAAAAAEAIAAAACg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FFFF00"/>
                          <w:lang w:val="en-US" w:eastAsia="zh-CN"/>
                        </w:rPr>
                      </w:pPr>
                      <w:r>
                        <w:rPr>
                          <w:rFonts w:hint="eastAsia"/>
                          <w:color w:val="FFFF00"/>
                          <w:lang w:val="en-US" w:eastAsia="zh-CN"/>
                        </w:rPr>
                        <w:t>0.05km</w:t>
                      </w:r>
                    </w:p>
                  </w:txbxContent>
                </v:textbox>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3230245</wp:posOffset>
                </wp:positionH>
                <wp:positionV relativeFrom="paragraph">
                  <wp:posOffset>3333750</wp:posOffset>
                </wp:positionV>
                <wp:extent cx="63500" cy="504825"/>
                <wp:effectExtent l="39370" t="0" r="49530" b="9525"/>
                <wp:wrapNone/>
                <wp:docPr id="95" name="直接箭头连接符 95"/>
                <wp:cNvGraphicFramePr/>
                <a:graphic xmlns:a="http://schemas.openxmlformats.org/drawingml/2006/main">
                  <a:graphicData uri="http://schemas.microsoft.com/office/word/2010/wordprocessingShape">
                    <wps:wsp>
                      <wps:cNvCnPr/>
                      <wps:spPr>
                        <a:xfrm flipV="1">
                          <a:off x="0" y="0"/>
                          <a:ext cx="63500" cy="504825"/>
                        </a:xfrm>
                        <a:prstGeom prst="straightConnector1">
                          <a:avLst/>
                        </a:prstGeom>
                        <a:ln w="1270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4.35pt;margin-top:262.5pt;height:39.75pt;width:5pt;z-index:251723776;mso-width-relative:page;mso-height-relative:page;" filled="f" stroked="t" coordsize="21600,21600" o:gfxdata="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JvLk9gAAAALAQAADwAA&#10;AAAAAAABACAAAAAiAAAAZHJzL2Rvd25yZXYueG1sUEsBAhQAFAAAAAgAh07iQMmy+b8WAgAABwQA&#10;AA4AAAAAAAAAAQAgAAAAJwEAAGRycy9lMm9Eb2MueG1sUEsFBgAAAAAGAAYAWQEAAK8FAAAAAA==&#10;">
                <v:fill on="f" focussize="0,0"/>
                <v:stroke weight="1pt" color="#FFFF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1236345</wp:posOffset>
                </wp:positionH>
                <wp:positionV relativeFrom="paragraph">
                  <wp:posOffset>2867025</wp:posOffset>
                </wp:positionV>
                <wp:extent cx="482600" cy="50800"/>
                <wp:effectExtent l="0" t="41275" r="12700" b="41275"/>
                <wp:wrapNone/>
                <wp:docPr id="54" name="直接箭头连接符 54"/>
                <wp:cNvGraphicFramePr/>
                <a:graphic xmlns:a="http://schemas.openxmlformats.org/drawingml/2006/main">
                  <a:graphicData uri="http://schemas.microsoft.com/office/word/2010/wordprocessingShape">
                    <wps:wsp>
                      <wps:cNvCnPr/>
                      <wps:spPr>
                        <a:xfrm>
                          <a:off x="0" y="0"/>
                          <a:ext cx="482600" cy="50800"/>
                        </a:xfrm>
                        <a:prstGeom prst="straightConnector1">
                          <a:avLst/>
                        </a:prstGeom>
                        <a:ln w="1270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7.35pt;margin-top:225.75pt;height:4pt;width:38pt;z-index:251721728;mso-width-relative:page;mso-height-relative:page;" filled="f" stroked="t" coordsize="21600,21600" o:gfxdata="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SrVaXZAAAACwEAAA8AAAAAAAAAAQAg&#10;AAAAIgAAAGRycy9kb3ducmV2LnhtbFBLAQIUABQAAAAIAIdO4kCGAFQJDQIAAP0DAAAOAAAAAAAA&#10;AAEAIAAAACgBAABkcnMvZTJvRG9jLnhtbFBLBQYAAAAABgAGAFkBAACnBQAAAAA=&#10;">
                <v:fill on="f" focussize="0,0"/>
                <v:stroke weight="1pt" color="#FFFF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4576445</wp:posOffset>
                </wp:positionH>
                <wp:positionV relativeFrom="paragraph">
                  <wp:posOffset>2359025</wp:posOffset>
                </wp:positionV>
                <wp:extent cx="482600" cy="50800"/>
                <wp:effectExtent l="0" t="41275" r="12700" b="41275"/>
                <wp:wrapNone/>
                <wp:docPr id="21" name="直接箭头连接符 21"/>
                <wp:cNvGraphicFramePr/>
                <a:graphic xmlns:a="http://schemas.openxmlformats.org/drawingml/2006/main">
                  <a:graphicData uri="http://schemas.microsoft.com/office/word/2010/wordprocessingShape">
                    <wps:wsp>
                      <wps:cNvCnPr/>
                      <wps:spPr>
                        <a:xfrm>
                          <a:off x="5476240" y="3258820"/>
                          <a:ext cx="482600" cy="50800"/>
                        </a:xfrm>
                        <a:prstGeom prst="straightConnector1">
                          <a:avLst/>
                        </a:prstGeom>
                        <a:ln w="12700">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35pt;margin-top:185.75pt;height:4pt;width:38pt;z-index:251720704;mso-width-relative:page;mso-height-relative:page;" filled="f" stroked="t" coordsize="21600,21600" o:gfxdata="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kvwc3aAAAA&#10;CwEAAA8AAAAAAAAAAQAgAAAAIgAAAGRycy9kb3ducmV2LnhtbFBLAQIUABQAAAAIAIdO4kBok4xP&#10;GwIAAAkEAAAOAAAAAAAAAAEAIAAAACkBAABkcnMvZTJvRG9jLnhtbFBLBQYAAAAABgAGAFkBAAC2&#10;BQAAAAA=&#10;">
                <v:fill on="f" focussize="0,0"/>
                <v:stroke weight="1pt" color="#FFFF00 [3204]" miterlimit="8" joinstyle="miter" startarrow="open" endarrow="open"/>
                <v:imagedata o:title=""/>
                <o:lock v:ext="edit" aspectratio="f"/>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1712595</wp:posOffset>
                </wp:positionH>
                <wp:positionV relativeFrom="paragraph">
                  <wp:posOffset>1177925</wp:posOffset>
                </wp:positionV>
                <wp:extent cx="2921000" cy="2228850"/>
                <wp:effectExtent l="12065" t="12065" r="19685" b="26035"/>
                <wp:wrapNone/>
                <wp:docPr id="18" name="任意多边形 18"/>
                <wp:cNvGraphicFramePr/>
                <a:graphic xmlns:a="http://schemas.openxmlformats.org/drawingml/2006/main">
                  <a:graphicData uri="http://schemas.microsoft.com/office/word/2010/wordprocessingShape">
                    <wps:wsp>
                      <wps:cNvSpPr/>
                      <wps:spPr>
                        <a:xfrm>
                          <a:off x="2536190" y="1861820"/>
                          <a:ext cx="2921000" cy="2228850"/>
                        </a:xfrm>
                        <a:custGeom>
                          <a:avLst/>
                          <a:gdLst>
                            <a:gd name="connisteX0" fmla="*/ 990600 w 2921000"/>
                            <a:gd name="connsiteY0" fmla="*/ 0 h 2228850"/>
                            <a:gd name="connisteX1" fmla="*/ 819150 w 2921000"/>
                            <a:gd name="connsiteY1" fmla="*/ 1498600 h 2228850"/>
                            <a:gd name="connisteX2" fmla="*/ 38100 w 2921000"/>
                            <a:gd name="connsiteY2" fmla="*/ 1447800 h 2228850"/>
                            <a:gd name="connisteX3" fmla="*/ 0 w 2921000"/>
                            <a:gd name="connsiteY3" fmla="*/ 2038350 h 2228850"/>
                            <a:gd name="connisteX4" fmla="*/ 2768600 w 2921000"/>
                            <a:gd name="connsiteY4" fmla="*/ 2228850 h 2228850"/>
                            <a:gd name="connisteX5" fmla="*/ 2921000 w 2921000"/>
                            <a:gd name="connsiteY5" fmla="*/ 171450 h 2228850"/>
                            <a:gd name="connisteX6" fmla="*/ 990600 w 2921000"/>
                            <a:gd name="connsiteY6" fmla="*/ 0 h 22288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921000" h="2228850">
                              <a:moveTo>
                                <a:pt x="990600" y="0"/>
                              </a:moveTo>
                              <a:lnTo>
                                <a:pt x="819150" y="1498600"/>
                              </a:lnTo>
                              <a:lnTo>
                                <a:pt x="38100" y="1447800"/>
                              </a:lnTo>
                              <a:lnTo>
                                <a:pt x="0" y="2038350"/>
                              </a:lnTo>
                              <a:lnTo>
                                <a:pt x="2768600" y="2228850"/>
                              </a:lnTo>
                              <a:lnTo>
                                <a:pt x="2921000" y="171450"/>
                              </a:lnTo>
                              <a:lnTo>
                                <a:pt x="990600" y="0"/>
                              </a:lnTo>
                              <a:close/>
                            </a:path>
                          </a:pathLst>
                        </a:cu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134.85pt;margin-top:92.75pt;height:175.5pt;width:230pt;z-index:251719680;mso-width-relative:page;mso-height-relative:page;" filled="f" stroked="t" coordsize="2921000,2228850" o:gfxdata="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Uetg2AAAAAsBAAAPAAAAAAAAAAEA&#10;IAAAACIAAABkcnMvZG93bnJldi54bWxQSwECFAAUAAAACACHTuJAcTKU2GUDAAAXCgAADgAAAAAA&#10;AAABACAAAAAnAQAAZHJzL2Uyb0RvYy54bWxQSwUGAAAAAAYABgBZAQAA/gYAAAAA&#10;" path="m990600,0l819150,1498600,38100,1447800,0,2038350,2768600,2228850,2921000,171450,990600,0xe">
                <v:path textboxrect="0,0,2921000,2228850" o:connectlocs="990600,0;819150,1498600;38100,1447800;0,2038350;2768600,2228850;2921000,171450;990600,0" o:connectangles="0,0,0,0,0,0,0"/>
                <v:fill on="f" focussize="0,0"/>
                <v:stroke weight="1.75pt" color="#FF0000 [3204]" miterlimit="8" joinstyle="miter"/>
                <v:imagedata o:title=""/>
                <o:lock v:ext="edit" aspectratio="f"/>
                <v:textbox>
                  <w:txbxContent>
                    <w:p>
                      <w:pPr>
                        <w:jc w:val="center"/>
                      </w:pPr>
                    </w:p>
                  </w:txbxContent>
                </v:textbox>
              </v:shape>
            </w:pict>
          </mc:Fallback>
        </mc:AlternateContent>
      </w:r>
      <w:r>
        <w:drawing>
          <wp:inline distT="0" distB="0" distL="114300" distR="114300">
            <wp:extent cx="5752465" cy="4793615"/>
            <wp:effectExtent l="0" t="0" r="635" b="698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65"/>
                    <a:stretch>
                      <a:fillRect/>
                    </a:stretch>
                  </pic:blipFill>
                  <pic:spPr>
                    <a:xfrm>
                      <a:off x="0" y="0"/>
                      <a:ext cx="5752465" cy="4793615"/>
                    </a:xfrm>
                    <a:prstGeom prst="rect">
                      <a:avLst/>
                    </a:prstGeom>
                    <a:noFill/>
                    <a:ln>
                      <a:noFill/>
                    </a:ln>
                  </pic:spPr>
                </pic:pic>
              </a:graphicData>
            </a:graphic>
          </wp:inline>
        </w:drawing>
      </w:r>
    </w:p>
    <w:p>
      <w:pPr>
        <w:bidi w:val="0"/>
        <w:jc w:val="center"/>
        <w:rPr>
          <w:b/>
          <w:bCs/>
        </w:rPr>
      </w:pPr>
      <w:r>
        <w:rPr>
          <w:rFonts w:hint="eastAsia"/>
          <w:b/>
          <w:bCs/>
          <w:lang w:val="en-US" w:eastAsia="zh-CN"/>
        </w:rPr>
        <w:t>图</w:t>
      </w:r>
      <w:r>
        <w:rPr>
          <w:b/>
          <w:bCs/>
          <w:lang w:val="en-US" w:eastAsia="zh-CN"/>
        </w:rPr>
        <w:t>6.</w:t>
      </w:r>
      <w:r>
        <w:rPr>
          <w:rFonts w:hint="eastAsia"/>
          <w:b/>
          <w:bCs/>
          <w:lang w:val="en-US" w:eastAsia="zh-CN"/>
        </w:rPr>
        <w:t>6</w:t>
      </w:r>
      <w:r>
        <w:rPr>
          <w:b/>
          <w:bCs/>
          <w:lang w:val="en-US" w:eastAsia="zh-CN"/>
        </w:rPr>
        <w:t xml:space="preserve">-1 </w:t>
      </w:r>
      <w:r>
        <w:rPr>
          <w:rFonts w:hint="eastAsia"/>
          <w:b/>
          <w:bCs/>
          <w:lang w:val="en-US" w:eastAsia="zh-CN"/>
        </w:rPr>
        <w:t xml:space="preserve"> 土壤环境影响评价范围示意图</w:t>
      </w:r>
    </w:p>
    <w:p>
      <w:pPr>
        <w:pStyle w:val="4"/>
        <w:bidi w:val="0"/>
      </w:pPr>
      <w:r>
        <w:rPr>
          <w:rFonts w:hint="eastAsia"/>
          <w:lang w:val="en-US" w:eastAsia="zh-CN"/>
        </w:rPr>
        <w:t>6.6.1 土壤环境影响类型与影响途径识别</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pPr>
        <w:keepNext w:val="0"/>
        <w:keepLines w:val="0"/>
        <w:widowControl/>
        <w:suppressLineNumbers w:val="0"/>
        <w:ind w:left="0" w:leftChars="0" w:firstLine="480" w:firstLineChars="200"/>
        <w:jc w:val="both"/>
      </w:pPr>
      <w:r>
        <w:rPr>
          <w:rFonts w:hint="eastAsia" w:ascii="宋体" w:hAnsi="宋体" w:eastAsia="宋体" w:cs="宋体"/>
          <w:color w:val="000000"/>
          <w:kern w:val="0"/>
          <w:sz w:val="24"/>
          <w:szCs w:val="24"/>
          <w:lang w:val="en-US" w:eastAsia="zh-CN" w:bidi="ar"/>
        </w:rPr>
        <w:t>本项目排放气体污染物有：颗粒物、非甲烷总烃、</w:t>
      </w:r>
      <w:r>
        <w:rPr>
          <w:rFonts w:hint="eastAsia" w:ascii="宋体" w:hAnsi="宋体" w:cs="宋体"/>
          <w:color w:val="000000"/>
          <w:kern w:val="0"/>
          <w:sz w:val="24"/>
          <w:szCs w:val="24"/>
          <w:lang w:val="en-US" w:eastAsia="zh-CN" w:bidi="ar"/>
        </w:rPr>
        <w:t>苯乙烯、氨和硫化氢</w:t>
      </w:r>
      <w:r>
        <w:rPr>
          <w:rFonts w:hint="eastAsia" w:ascii="宋体" w:hAnsi="宋体" w:eastAsia="宋体" w:cs="宋体"/>
          <w:color w:val="000000"/>
          <w:kern w:val="0"/>
          <w:sz w:val="24"/>
          <w:szCs w:val="24"/>
          <w:lang w:val="en-US" w:eastAsia="zh-CN" w:bidi="ar"/>
        </w:rPr>
        <w:t>。根据工程分析内容及大气环境预测评价，本项目颗粒物采袋式除尘器处理，</w:t>
      </w:r>
      <w:r>
        <w:rPr>
          <w:rFonts w:hint="eastAsia" w:ascii="宋体" w:hAnsi="宋体" w:cs="宋体"/>
          <w:color w:val="000000"/>
          <w:kern w:val="0"/>
          <w:sz w:val="24"/>
          <w:szCs w:val="24"/>
          <w:lang w:val="en-US" w:eastAsia="zh-CN" w:bidi="ar"/>
        </w:rPr>
        <w:t>有机废气</w:t>
      </w:r>
      <w:r>
        <w:rPr>
          <w:rFonts w:hint="eastAsia" w:ascii="宋体" w:hAnsi="宋体" w:eastAsia="宋体" w:cs="宋体"/>
          <w:color w:val="000000"/>
          <w:kern w:val="0"/>
          <w:sz w:val="24"/>
          <w:szCs w:val="24"/>
          <w:lang w:val="en-US" w:eastAsia="zh-CN" w:bidi="ar"/>
        </w:rPr>
        <w:t>进入吸附浓缩+催化燃烧装置处理；新增无组织废气能够达到相关排放标准。根据本项目排放废气物质理化性质以及大气环境预测结论，本项目通过大气沉降进入地表土壤的影响很小。</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本项目清洗废水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循环冷却水经厂内污水处理设施处理达标后，回用于清洗。餐饮废水经隔油池处理后与生活污水一同进入化粪池，定期清掏肥田。正常工况下，本项目运营期内没有厂区废水经过地面漫流进入土壤的途径。本项目生产区、装置区</w:t>
      </w:r>
      <w:r>
        <w:rPr>
          <w:rFonts w:hint="eastAsia" w:ascii="宋体" w:hAnsi="宋体" w:cs="宋体"/>
          <w:color w:val="000000"/>
          <w:kern w:val="0"/>
          <w:sz w:val="24"/>
          <w:szCs w:val="24"/>
          <w:lang w:val="en-US" w:eastAsia="zh-CN" w:bidi="ar"/>
        </w:rPr>
        <w:t>及</w:t>
      </w:r>
      <w:r>
        <w:rPr>
          <w:rFonts w:hint="eastAsia" w:ascii="宋体" w:hAnsi="宋体" w:eastAsia="宋体" w:cs="宋体"/>
          <w:color w:val="000000"/>
          <w:kern w:val="0"/>
          <w:sz w:val="24"/>
          <w:szCs w:val="24"/>
          <w:lang w:val="en-US" w:eastAsia="zh-CN" w:bidi="ar"/>
        </w:rPr>
        <w:t>公辅工程地面按照相关规范进行硬化，正常工况下，本项目运营期内废水污染物没有垂直入渗进入土壤的途径。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但在事故情形下，污染物存在垂直入渗影响土壤的途径。本项目运营期内从大气沉降、地面漫流、垂直入渗等方面分析污染途径进行土壤环境影响分析</w:t>
      </w:r>
    </w:p>
    <w:p>
      <w:pPr>
        <w:pStyle w:val="4"/>
        <w:bidi w:val="0"/>
      </w:pPr>
      <w:r>
        <w:rPr>
          <w:rFonts w:hint="eastAsia"/>
          <w:lang w:val="en-US" w:eastAsia="zh-CN"/>
        </w:rPr>
        <w:t>6.6.2</w:t>
      </w:r>
      <w:r>
        <w:rPr>
          <w:rFonts w:hint="default"/>
          <w:lang w:val="en-US" w:eastAsia="zh-CN"/>
        </w:rPr>
        <w:t xml:space="preserve"> </w:t>
      </w:r>
      <w:r>
        <w:rPr>
          <w:rFonts w:hint="eastAsia"/>
          <w:lang w:val="en-US" w:eastAsia="zh-CN"/>
        </w:rPr>
        <w:t>评价标准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本次项目土壤环境质量评价标准参照《土壤环境质量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GB36600-2018</w:t>
      </w:r>
      <w:r>
        <w:rPr>
          <w:rFonts w:hint="eastAsia" w:ascii="宋体" w:hAnsi="宋体" w:eastAsia="宋体" w:cs="宋体"/>
          <w:color w:val="000000"/>
          <w:kern w:val="0"/>
          <w:sz w:val="24"/>
          <w:szCs w:val="24"/>
          <w:lang w:val="en-US" w:eastAsia="zh-CN" w:bidi="ar"/>
        </w:rPr>
        <w:t>）建设用地第二类用地风险筛选值。</w:t>
      </w:r>
    </w:p>
    <w:p>
      <w:pPr>
        <w:pStyle w:val="4"/>
        <w:bidi w:val="0"/>
      </w:pPr>
      <w:r>
        <w:rPr>
          <w:rFonts w:hint="eastAsia"/>
          <w:lang w:val="en-US" w:eastAsia="zh-CN"/>
        </w:rPr>
        <w:t>6.6.3 预测方法</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根据《环境影响评价技术导则土壤环境》（试行）（HJ964-2018），评价等级为</w:t>
      </w:r>
      <w:r>
        <w:rPr>
          <w:rFonts w:hint="eastAsia" w:cs="Times New Roman"/>
          <w:sz w:val="24"/>
          <w:szCs w:val="24"/>
          <w:u w:val="single"/>
          <w:lang w:val="en-US" w:eastAsia="zh-CN"/>
        </w:rPr>
        <w:t>“可不开展土壤环境影响评价工作</w:t>
      </w:r>
      <w:r>
        <w:rPr>
          <w:rFonts w:hint="eastAsia"/>
          <w:lang w:val="en-US" w:eastAsia="zh-CN"/>
        </w:rPr>
        <w:t>”</w:t>
      </w:r>
      <w:r>
        <w:rPr>
          <w:rFonts w:hint="default" w:ascii="Times New Roman" w:hAnsi="Times New Roman" w:eastAsia="宋体" w:cs="Times New Roman"/>
          <w:color w:val="000000"/>
          <w:kern w:val="0"/>
          <w:sz w:val="24"/>
          <w:szCs w:val="24"/>
          <w:lang w:val="en-US" w:eastAsia="zh-CN" w:bidi="ar"/>
        </w:rPr>
        <w:t>，仅定性说明本项目对土壤环境产生的影响。</w:t>
      </w:r>
    </w:p>
    <w:p>
      <w:pPr>
        <w:pStyle w:val="4"/>
        <w:bidi w:val="0"/>
        <w:rPr>
          <w:rFonts w:hint="eastAsia"/>
          <w:lang w:val="en-US" w:eastAsia="zh-CN"/>
        </w:rPr>
      </w:pPr>
      <w:r>
        <w:rPr>
          <w:rFonts w:hint="eastAsia"/>
          <w:lang w:val="en-US" w:eastAsia="zh-CN"/>
        </w:rPr>
        <w:t>6.6.4 土壤环境影响分析</w:t>
      </w:r>
    </w:p>
    <w:p>
      <w:pPr>
        <w:bidi w:val="0"/>
        <w:rPr>
          <w:rFonts w:hint="eastAsia"/>
          <w:u w:val="single"/>
          <w:lang w:val="en-US" w:eastAsia="zh-CN"/>
        </w:rPr>
      </w:pPr>
      <w:r>
        <w:rPr>
          <w:rFonts w:hint="eastAsia"/>
          <w:u w:val="single"/>
          <w:lang w:val="en-US" w:eastAsia="zh-CN"/>
        </w:rPr>
        <w:t>本项目为废旧塑料加工，主要原料为丙烯腈(A)-丁二烯(B)-苯乙烯(S)（ABS）氨和聚苯乙烯（PS），塑料成分简单，废气污染因子含有《土壤环境质量 建设用地土壤污染风险管控标准（试行）》（</w:t>
      </w:r>
      <w:r>
        <w:rPr>
          <w:rFonts w:hint="default"/>
          <w:u w:val="single"/>
          <w:lang w:val="en-US" w:eastAsia="zh-CN"/>
        </w:rPr>
        <w:t>GB36600-2018</w:t>
      </w:r>
      <w:r>
        <w:rPr>
          <w:rFonts w:hint="eastAsia"/>
          <w:u w:val="single"/>
          <w:lang w:val="en-US" w:eastAsia="zh-CN"/>
        </w:rPr>
        <w:t>）中的土壤污染因子苯乙烯经预测落地浓度对土壤影响较小。在正常运营过程总不会造成土壤污染。非正常情况下主要是污水处理设施渗漏，污水处理量为16t/d，处理量较小，项目废塑料清洗污染物主要为COD、SS、氨氮、总氮、总磷等。污水处理设施发生故障时，及时停止运行，且污染物成分简单，污水量小，企业设置有500m</w:t>
      </w:r>
      <w:r>
        <w:rPr>
          <w:rFonts w:hint="eastAsia"/>
          <w:u w:val="single"/>
          <w:vertAlign w:val="superscript"/>
          <w:lang w:val="en-US" w:eastAsia="zh-CN"/>
        </w:rPr>
        <w:t>3</w:t>
      </w:r>
      <w:r>
        <w:rPr>
          <w:rFonts w:hint="eastAsia"/>
          <w:u w:val="single"/>
          <w:lang w:val="en-US" w:eastAsia="zh-CN"/>
        </w:rPr>
        <w:t>应急事故池，可储存事故污水保障不会渗透到厂界外农田。因此，本项目运营期和事故期对土壤环境的影响很小。</w:t>
      </w:r>
    </w:p>
    <w:p>
      <w:pPr>
        <w:pStyle w:val="4"/>
        <w:bidi w:val="0"/>
        <w:rPr>
          <w:lang w:val="en-US"/>
        </w:rPr>
      </w:pPr>
      <w:bookmarkStart w:id="163" w:name="_Toc24714"/>
      <w:r>
        <w:rPr>
          <w:rFonts w:hint="eastAsia"/>
          <w:lang w:val="en-US" w:eastAsia="zh-CN"/>
        </w:rPr>
        <w:t xml:space="preserve">6.7 </w:t>
      </w:r>
      <w:r>
        <w:rPr>
          <w:rFonts w:hint="eastAsia"/>
          <w:lang w:val="en-US"/>
        </w:rPr>
        <w:t>固体废弃物环境影响分析</w:t>
      </w:r>
      <w:bookmarkEnd w:id="163"/>
    </w:p>
    <w:p>
      <w:pPr>
        <w:pStyle w:val="4"/>
        <w:bidi w:val="0"/>
        <w:rPr>
          <w:lang w:val="en-US"/>
        </w:rPr>
      </w:pPr>
      <w:r>
        <w:rPr>
          <w:rFonts w:hint="eastAsia"/>
          <w:lang w:val="en-US" w:eastAsia="zh-CN"/>
        </w:rPr>
        <w:t>6.7.1</w:t>
      </w:r>
      <w:r>
        <w:rPr>
          <w:lang w:val="en-US"/>
        </w:rPr>
        <w:t xml:space="preserve"> </w:t>
      </w:r>
      <w:r>
        <w:rPr>
          <w:rFonts w:hint="eastAsia"/>
          <w:lang w:val="en-US"/>
        </w:rPr>
        <w:t>固体废物的来源、种类和产生量</w:t>
      </w:r>
    </w:p>
    <w:p>
      <w:pPr>
        <w:widowControl/>
        <w:ind w:firstLine="480"/>
        <w:rPr>
          <w:color w:val="000000"/>
          <w:szCs w:val="24"/>
          <w:lang w:val="en-US" w:bidi="ar"/>
        </w:rPr>
      </w:pPr>
      <w:r>
        <w:rPr>
          <w:rFonts w:hint="eastAsia"/>
          <w:color w:val="000000"/>
          <w:szCs w:val="24"/>
          <w:lang w:val="en-US" w:bidi="ar"/>
        </w:rPr>
        <w:t>本项目产生的固体废物主要有：</w:t>
      </w:r>
      <w:r>
        <w:rPr>
          <w:rFonts w:ascii="Times New Roman" w:hAnsi="Times New Roman"/>
          <w:color w:val="auto"/>
          <w:sz w:val="24"/>
        </w:rPr>
        <w:t>分拣废物、</w:t>
      </w:r>
      <w:r>
        <w:rPr>
          <w:rFonts w:hint="eastAsia"/>
          <w:color w:val="auto"/>
          <w:sz w:val="24"/>
          <w:lang w:eastAsia="zh-CN"/>
        </w:rPr>
        <w:t>废包装、除尘器卸灰、</w:t>
      </w:r>
      <w:r>
        <w:rPr>
          <w:rFonts w:ascii="Times New Roman" w:hAnsi="Times New Roman"/>
          <w:color w:val="auto"/>
          <w:sz w:val="24"/>
        </w:rPr>
        <w:t>过滤网、清洗</w:t>
      </w:r>
      <w:r>
        <w:rPr>
          <w:rFonts w:hint="eastAsia"/>
          <w:color w:val="auto"/>
          <w:sz w:val="24"/>
          <w:lang w:eastAsia="zh-CN"/>
        </w:rPr>
        <w:t>污泥</w:t>
      </w:r>
      <w:r>
        <w:rPr>
          <w:rFonts w:ascii="Times New Roman" w:hAnsi="Times New Roman"/>
          <w:color w:val="auto"/>
          <w:sz w:val="24"/>
        </w:rPr>
        <w:t>废渣、生活垃圾</w:t>
      </w:r>
      <w:r>
        <w:rPr>
          <w:rFonts w:hint="eastAsia"/>
          <w:color w:val="auto"/>
          <w:sz w:val="24"/>
          <w:lang w:eastAsia="zh-CN"/>
        </w:rPr>
        <w:t>、废活性炭、废机油。</w:t>
      </w:r>
    </w:p>
    <w:p>
      <w:pPr>
        <w:widowControl/>
        <w:ind w:firstLine="482"/>
        <w:jc w:val="center"/>
        <w:rPr>
          <w:rFonts w:hint="eastAsia"/>
          <w:b/>
          <w:bCs/>
          <w:color w:val="000000"/>
          <w:szCs w:val="24"/>
          <w:lang w:val="en-US" w:bidi="ar"/>
        </w:rPr>
      </w:pPr>
      <w:r>
        <w:rPr>
          <w:rFonts w:hint="eastAsia"/>
          <w:b/>
          <w:bCs/>
          <w:color w:val="000000"/>
          <w:szCs w:val="24"/>
          <w:lang w:val="en-US" w:bidi="ar"/>
        </w:rPr>
        <w:t>表6.</w:t>
      </w:r>
      <w:r>
        <w:rPr>
          <w:rFonts w:hint="eastAsia"/>
          <w:b/>
          <w:bCs/>
          <w:color w:val="000000"/>
          <w:szCs w:val="24"/>
          <w:lang w:val="en-US" w:eastAsia="zh-CN" w:bidi="ar"/>
        </w:rPr>
        <w:t>7-1</w:t>
      </w:r>
      <w:r>
        <w:rPr>
          <w:rFonts w:hint="eastAsia"/>
          <w:b/>
          <w:bCs/>
          <w:color w:val="000000"/>
          <w:szCs w:val="24"/>
          <w:lang w:val="en-US" w:bidi="ar"/>
        </w:rPr>
        <w:t xml:space="preserve">  建设项目固体废物利用处置方式评价表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26"/>
        <w:gridCol w:w="1098"/>
        <w:gridCol w:w="717"/>
        <w:gridCol w:w="1256"/>
        <w:gridCol w:w="816"/>
        <w:gridCol w:w="1254"/>
        <w:gridCol w:w="1377"/>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编号</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固废</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名称</w:t>
            </w:r>
          </w:p>
        </w:tc>
        <w:tc>
          <w:tcPr>
            <w:tcW w:w="39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属性</w:t>
            </w: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产生工序</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废物</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类别</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废物代码</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rPr>
              <w:t>产生量</w:t>
            </w:r>
          </w:p>
        </w:tc>
        <w:tc>
          <w:tcPr>
            <w:tcW w:w="116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1</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ascii="Times New Roman" w:hAnsi="Times New Roman"/>
                <w:color w:val="auto"/>
                <w:kern w:val="0"/>
                <w:sz w:val="21"/>
                <w:szCs w:val="21"/>
              </w:rPr>
              <w:t>分拣固废</w:t>
            </w:r>
          </w:p>
        </w:tc>
        <w:tc>
          <w:tcPr>
            <w:tcW w:w="39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一般固废</w:t>
            </w: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分拣</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283.5</w:t>
            </w:r>
            <w:r>
              <w:rPr>
                <w:rFonts w:hint="default" w:ascii="Times New Roman" w:hAnsi="Times New Roman"/>
                <w:color w:val="auto"/>
                <w:kern w:val="0"/>
                <w:sz w:val="21"/>
                <w:szCs w:val="21"/>
                <w:lang w:val="en-US" w:eastAsia="zh-CN"/>
              </w:rPr>
              <w:t>t/a</w:t>
            </w:r>
          </w:p>
        </w:tc>
        <w:tc>
          <w:tcPr>
            <w:tcW w:w="116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集中收集后送往当地垃圾填埋场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2</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废包装</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拆包</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5</w:t>
            </w:r>
            <w:r>
              <w:rPr>
                <w:rFonts w:hint="default" w:ascii="Times New Roman" w:hAnsi="Times New Roman"/>
                <w:color w:val="auto"/>
                <w:kern w:val="0"/>
                <w:sz w:val="21"/>
                <w:szCs w:val="21"/>
                <w:lang w:val="en-US" w:eastAsia="zh-CN"/>
              </w:rPr>
              <w:t>t/a</w:t>
            </w:r>
          </w:p>
        </w:tc>
        <w:tc>
          <w:tcPr>
            <w:tcW w:w="116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hint="eastAsia" w:ascii="Times New Roman" w:hAnsi="Times New Roman"/>
                <w:color w:val="auto"/>
                <w:sz w:val="21"/>
                <w:szCs w:val="21"/>
                <w:lang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3</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清洗</w:t>
            </w:r>
            <w:r>
              <w:rPr>
                <w:rFonts w:hint="eastAsia" w:ascii="Times New Roman" w:hAnsi="Times New Roman"/>
                <w:color w:val="auto"/>
                <w:kern w:val="0"/>
                <w:sz w:val="21"/>
                <w:szCs w:val="21"/>
                <w:lang w:eastAsia="zh-CN"/>
              </w:rPr>
              <w:t>污泥</w:t>
            </w:r>
            <w:r>
              <w:rPr>
                <w:rFonts w:ascii="Times New Roman" w:hAnsi="Times New Roman"/>
                <w:color w:val="auto"/>
                <w:kern w:val="0"/>
                <w:sz w:val="21"/>
                <w:szCs w:val="21"/>
              </w:rPr>
              <w:t>废渣</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清洗</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rPr>
            </w:pPr>
            <w:r>
              <w:rPr>
                <w:rFonts w:hint="default" w:ascii="Times New Roman" w:hAnsi="Times New Roman"/>
                <w:color w:val="auto"/>
                <w:kern w:val="0"/>
                <w:sz w:val="21"/>
                <w:szCs w:val="21"/>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15.75</w:t>
            </w:r>
            <w:r>
              <w:rPr>
                <w:rFonts w:hint="default" w:ascii="Times New Roman" w:hAnsi="Times New Roman"/>
                <w:color w:val="auto"/>
                <w:kern w:val="0"/>
                <w:sz w:val="21"/>
                <w:szCs w:val="21"/>
                <w:lang w:val="en-US" w:eastAsia="zh-CN"/>
              </w:rPr>
              <w:t>t/a</w:t>
            </w:r>
          </w:p>
        </w:tc>
        <w:tc>
          <w:tcPr>
            <w:tcW w:w="116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sz w:val="21"/>
                <w:szCs w:val="21"/>
              </w:rPr>
              <w:t>采用压滤机脱水后集中收集送至当地垃圾填埋场进行处置。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4</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除尘器卸灰</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粉尘处理</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2.374</w:t>
            </w:r>
            <w:r>
              <w:rPr>
                <w:rFonts w:hint="default" w:ascii="Times New Roman" w:hAnsi="Times New Roman"/>
                <w:color w:val="auto"/>
                <w:kern w:val="0"/>
                <w:sz w:val="21"/>
                <w:szCs w:val="21"/>
                <w:lang w:val="en-US" w:eastAsia="zh-CN"/>
              </w:rPr>
              <w:t>t/a</w:t>
            </w:r>
          </w:p>
        </w:tc>
        <w:tc>
          <w:tcPr>
            <w:tcW w:w="116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sz w:val="21"/>
                <w:szCs w:val="21"/>
                <w:lang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6"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5</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废滤网</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挤塑</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color w:val="auto"/>
                <w:kern w:val="0"/>
                <w:sz w:val="21"/>
                <w:szCs w:val="21"/>
                <w:lang w:val="en-US" w:eastAsia="zh-CN"/>
              </w:rPr>
              <w:t>0.9t</w:t>
            </w:r>
            <w:r>
              <w:rPr>
                <w:rFonts w:ascii="Times New Roman" w:hAnsi="Times New Roman"/>
                <w:color w:val="auto"/>
                <w:kern w:val="0"/>
                <w:sz w:val="21"/>
                <w:szCs w:val="21"/>
              </w:rPr>
              <w:t>/a</w:t>
            </w:r>
          </w:p>
        </w:tc>
        <w:tc>
          <w:tcPr>
            <w:tcW w:w="1165"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ascii="Times New Roman" w:hAnsi="Times New Roman"/>
                <w:color w:val="auto"/>
                <w:kern w:val="0"/>
                <w:sz w:val="21"/>
                <w:szCs w:val="21"/>
              </w:rPr>
              <w:t>集中收集后交由原厂家回收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8"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6</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rPr>
            </w:pPr>
            <w:r>
              <w:rPr>
                <w:rFonts w:hint="eastAsia"/>
                <w:color w:val="auto"/>
                <w:kern w:val="0"/>
                <w:sz w:val="21"/>
                <w:szCs w:val="21"/>
                <w:u w:val="single"/>
                <w:lang w:eastAsia="zh-CN"/>
              </w:rPr>
              <w:t>废催化剂</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rPr>
            </w:pPr>
            <w:r>
              <w:rPr>
                <w:rFonts w:hint="eastAsia"/>
                <w:color w:val="auto"/>
                <w:kern w:val="0"/>
                <w:sz w:val="21"/>
                <w:szCs w:val="21"/>
                <w:u w:val="single"/>
                <w:lang w:eastAsia="zh-CN"/>
              </w:rPr>
              <w:t>废气处理</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color w:val="auto"/>
                <w:kern w:val="0"/>
                <w:sz w:val="21"/>
                <w:szCs w:val="21"/>
                <w:u w:val="single"/>
                <w:lang w:val="en-US" w:eastAsia="zh-CN"/>
              </w:rPr>
              <w:t>5</w:t>
            </w:r>
            <w:r>
              <w:rPr>
                <w:rFonts w:hint="default" w:ascii="Times New Roman" w:hAnsi="Times New Roman"/>
                <w:color w:val="auto"/>
                <w:kern w:val="0"/>
                <w:sz w:val="21"/>
                <w:szCs w:val="21"/>
                <w:u w:val="single"/>
                <w:lang w:val="en-US" w:eastAsia="zh-CN"/>
              </w:rPr>
              <w:t>t/</w:t>
            </w:r>
            <w:r>
              <w:rPr>
                <w:rFonts w:hint="eastAsia" w:ascii="Times New Roman" w:hAnsi="Times New Roman"/>
                <w:color w:val="auto"/>
                <w:kern w:val="0"/>
                <w:sz w:val="21"/>
                <w:szCs w:val="21"/>
                <w:u w:val="single"/>
                <w:lang w:val="en-US" w:eastAsia="zh-CN"/>
              </w:rPr>
              <w:t>（4~5）</w:t>
            </w:r>
            <w:r>
              <w:rPr>
                <w:rFonts w:hint="default" w:ascii="Times New Roman" w:hAnsi="Times New Roman"/>
                <w:color w:val="auto"/>
                <w:kern w:val="0"/>
                <w:sz w:val="21"/>
                <w:szCs w:val="21"/>
                <w:u w:val="single"/>
                <w:lang w:val="en-US" w:eastAsia="zh-CN"/>
              </w:rPr>
              <w:t>a</w:t>
            </w:r>
          </w:p>
        </w:tc>
        <w:tc>
          <w:tcPr>
            <w:tcW w:w="116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7</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生活垃圾</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eastAsia="zh-CN"/>
              </w:rPr>
            </w:pPr>
            <w:r>
              <w:rPr>
                <w:rFonts w:ascii="Times New Roman" w:hAnsi="Times New Roman"/>
                <w:color w:val="auto"/>
                <w:kern w:val="0"/>
                <w:sz w:val="21"/>
                <w:szCs w:val="21"/>
              </w:rPr>
              <w:t>办公生活</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3.0</w:t>
            </w:r>
            <w:r>
              <w:rPr>
                <w:rFonts w:hint="default" w:ascii="Times New Roman" w:hAnsi="Times New Roman"/>
                <w:color w:val="auto"/>
                <w:kern w:val="0"/>
                <w:sz w:val="21"/>
                <w:szCs w:val="21"/>
                <w:lang w:val="en-US" w:eastAsia="zh-CN"/>
              </w:rPr>
              <w:t>t/a</w:t>
            </w:r>
          </w:p>
        </w:tc>
        <w:tc>
          <w:tcPr>
            <w:tcW w:w="1165" w:type="pct"/>
            <w:noWrap w:val="0"/>
            <w:vAlign w:val="center"/>
          </w:tcPr>
          <w:p>
            <w:pPr>
              <w:pStyle w:val="26"/>
              <w:keepNext w:val="0"/>
              <w:keepLines w:val="0"/>
              <w:pageBreakBefore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ascii="Times New Roman" w:hAnsi="Times New Roman"/>
                <w:color w:val="auto"/>
                <w:kern w:val="0"/>
                <w:sz w:val="21"/>
                <w:szCs w:val="21"/>
                <w:lang w:eastAsia="zh-CN"/>
              </w:rPr>
            </w:pPr>
            <w:r>
              <w:rPr>
                <w:snapToGrid w:val="0"/>
                <w:color w:val="auto"/>
                <w:kern w:val="0"/>
                <w:sz w:val="21"/>
                <w:szCs w:val="21"/>
                <w:lang w:val="en-US" w:eastAsia="zh-CN"/>
              </w:rPr>
              <w:t>集中收集后交由环卫部门处理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8</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val="en-US" w:eastAsia="zh-CN"/>
              </w:rPr>
              <w:t>废</w:t>
            </w:r>
            <w:r>
              <w:rPr>
                <w:rFonts w:hint="eastAsia" w:ascii="Times New Roman" w:hAnsi="Times New Roman"/>
                <w:color w:val="auto"/>
                <w:kern w:val="0"/>
                <w:sz w:val="21"/>
                <w:szCs w:val="21"/>
                <w:lang w:val="en-US" w:eastAsia="zh-CN"/>
              </w:rPr>
              <w:t>机油</w:t>
            </w:r>
          </w:p>
        </w:tc>
        <w:tc>
          <w:tcPr>
            <w:tcW w:w="39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危险废物</w:t>
            </w: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eastAsia" w:ascii="Times New Roman" w:hAnsi="Times New Roman"/>
                <w:color w:val="auto"/>
                <w:kern w:val="0"/>
                <w:sz w:val="21"/>
                <w:szCs w:val="21"/>
                <w:lang w:eastAsia="zh-CN"/>
              </w:rPr>
              <w:t>设备维修</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HW</w:t>
            </w:r>
            <w:r>
              <w:rPr>
                <w:rFonts w:hint="eastAsia" w:ascii="Times New Roman" w:hAnsi="Times New Roman"/>
                <w:color w:val="auto"/>
                <w:kern w:val="0"/>
                <w:sz w:val="21"/>
                <w:szCs w:val="21"/>
                <w:lang w:val="en-US" w:eastAsia="zh-CN"/>
              </w:rPr>
              <w:t>08</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ascii="Times New Roman" w:hAnsi="Times New Roman"/>
                <w:color w:val="auto"/>
                <w:kern w:val="0"/>
                <w:sz w:val="21"/>
                <w:szCs w:val="21"/>
                <w:lang w:val="en-US" w:eastAsia="zh-CN"/>
              </w:rPr>
              <w:t>900-214-08</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0.</w:t>
            </w:r>
            <w:r>
              <w:rPr>
                <w:rFonts w:hint="eastAsia" w:ascii="Times New Roman" w:hAnsi="Times New Roman"/>
                <w:color w:val="auto"/>
                <w:kern w:val="0"/>
                <w:sz w:val="21"/>
                <w:szCs w:val="21"/>
                <w:lang w:val="en-US" w:eastAsia="zh-CN"/>
              </w:rPr>
              <w:t>01</w:t>
            </w:r>
            <w:r>
              <w:rPr>
                <w:rFonts w:hint="default" w:ascii="Times New Roman" w:hAnsi="Times New Roman"/>
                <w:color w:val="auto"/>
                <w:kern w:val="0"/>
                <w:sz w:val="21"/>
                <w:szCs w:val="21"/>
                <w:lang w:val="en-US" w:eastAsia="zh-CN"/>
              </w:rPr>
              <w:t>t/a</w:t>
            </w:r>
          </w:p>
        </w:tc>
        <w:tc>
          <w:tcPr>
            <w:tcW w:w="1165"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9</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eastAsia="zh-CN"/>
              </w:rPr>
              <w:t>废活性炭</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lang w:eastAsia="zh-CN"/>
              </w:rPr>
              <w:t>废气处理</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HW49</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lang w:val="en-US" w:eastAsia="zh-CN"/>
              </w:rPr>
              <w:t>900-039-49</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eastAsia"/>
                <w:color w:val="auto"/>
                <w:kern w:val="0"/>
                <w:sz w:val="21"/>
                <w:szCs w:val="21"/>
                <w:lang w:val="en-US" w:eastAsia="zh-CN"/>
              </w:rPr>
              <w:t>3.06</w:t>
            </w:r>
            <w:r>
              <w:rPr>
                <w:rFonts w:hint="default" w:ascii="Times New Roman" w:hAnsi="Times New Roman"/>
                <w:color w:val="auto"/>
                <w:kern w:val="0"/>
                <w:sz w:val="21"/>
                <w:szCs w:val="21"/>
                <w:lang w:val="en-US" w:eastAsia="zh-CN"/>
              </w:rPr>
              <w:t>t/a</w:t>
            </w:r>
          </w:p>
        </w:tc>
        <w:tc>
          <w:tcPr>
            <w:tcW w:w="116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8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10</w:t>
            </w:r>
          </w:p>
        </w:tc>
        <w:tc>
          <w:tcPr>
            <w:tcW w:w="59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s="Times New Roman"/>
                <w:sz w:val="21"/>
                <w:szCs w:val="21"/>
                <w:u w:val="single"/>
                <w:lang w:val="en-US" w:eastAsia="zh-CN"/>
              </w:rPr>
              <w:t>喷淋塔漂浮物及沉渣</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c>
          <w:tcPr>
            <w:tcW w:w="6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r>
              <w:rPr>
                <w:rFonts w:hint="default" w:ascii="Times New Roman" w:hAnsi="Times New Roman"/>
                <w:color w:val="auto"/>
                <w:kern w:val="0"/>
                <w:sz w:val="21"/>
                <w:szCs w:val="21"/>
                <w:u w:val="single"/>
                <w:lang w:eastAsia="zh-CN"/>
              </w:rPr>
              <w:t>废气处理</w:t>
            </w:r>
          </w:p>
        </w:tc>
        <w:tc>
          <w:tcPr>
            <w:tcW w:w="44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u w:val="single"/>
                <w:lang w:val="en-US" w:eastAsia="zh-CN"/>
              </w:rPr>
              <w:t>HW49</w:t>
            </w:r>
          </w:p>
        </w:tc>
        <w:tc>
          <w:tcPr>
            <w:tcW w:w="68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val="en-US" w:eastAsia="zh-CN"/>
              </w:rPr>
            </w:pPr>
            <w:r>
              <w:rPr>
                <w:rFonts w:hint="default" w:ascii="Times New Roman" w:hAnsi="Times New Roman"/>
                <w:color w:val="auto"/>
                <w:kern w:val="0"/>
                <w:sz w:val="21"/>
                <w:szCs w:val="21"/>
                <w:u w:val="single"/>
                <w:lang w:val="en-US" w:eastAsia="zh-CN"/>
              </w:rPr>
              <w:t>772-006-49</w:t>
            </w:r>
          </w:p>
        </w:tc>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u w:val="single"/>
                <w:lang w:val="en-US" w:eastAsia="zh-CN"/>
              </w:rPr>
              <w:t>0.14</w:t>
            </w:r>
          </w:p>
        </w:tc>
        <w:tc>
          <w:tcPr>
            <w:tcW w:w="1165"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kern w:val="0"/>
                <w:sz w:val="21"/>
                <w:szCs w:val="21"/>
                <w:lang w:eastAsia="zh-CN"/>
              </w:rPr>
            </w:pPr>
          </w:p>
        </w:tc>
      </w:tr>
    </w:tbl>
    <w:p>
      <w:pPr>
        <w:pStyle w:val="4"/>
        <w:bidi w:val="0"/>
      </w:pPr>
      <w:r>
        <w:rPr>
          <w:rFonts w:hint="eastAsia"/>
          <w:lang w:val="en-US" w:eastAsia="zh-CN"/>
        </w:rPr>
        <w:t>6.7.2 固废贮存措施及依托可行性</w:t>
      </w:r>
    </w:p>
    <w:p>
      <w:pPr>
        <w:bidi w:val="0"/>
      </w:pPr>
      <w:r>
        <w:rPr>
          <w:rFonts w:hint="eastAsia"/>
          <w:lang w:val="en-US" w:eastAsia="zh-CN"/>
        </w:rPr>
        <w:t>本项目生产过程中产生的各类危险废物贮存应按GB18597-2001《危险废物贮存污染控制标准》有关规定执行。本项目新建10m</w:t>
      </w:r>
      <w:r>
        <w:rPr>
          <w:rFonts w:hint="eastAsia"/>
          <w:vertAlign w:val="superscript"/>
          <w:lang w:val="en-US" w:eastAsia="zh-CN"/>
        </w:rPr>
        <w:t>2</w:t>
      </w:r>
      <w:r>
        <w:rPr>
          <w:rFonts w:hint="eastAsia"/>
          <w:lang w:val="en-US" w:eastAsia="zh-CN"/>
        </w:rPr>
        <w:t>危废间，可满足3个月的暂存量，且危废暂存间内危废定期委托有资质单位处理。</w:t>
      </w:r>
    </w:p>
    <w:p>
      <w:pPr>
        <w:pStyle w:val="4"/>
        <w:bidi w:val="0"/>
      </w:pPr>
      <w:r>
        <w:rPr>
          <w:rFonts w:hint="eastAsia"/>
          <w:lang w:val="en-US" w:eastAsia="zh-CN"/>
        </w:rPr>
        <w:t xml:space="preserve">6.7.3 </w:t>
      </w:r>
      <w:r>
        <w:rPr>
          <w:lang w:val="en-US" w:eastAsia="zh-CN"/>
        </w:rPr>
        <w:t>危险废物运输过程的污染防治措施</w:t>
      </w:r>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危险废物内部转运时应按照《建设项目危险废物环境影响评价指南》和《危险废物收集贮存运输技术规范》</w:t>
      </w:r>
      <w:r>
        <w:rPr>
          <w:rFonts w:hint="default" w:ascii="Times New Roman" w:hAnsi="Times New Roman" w:eastAsia="宋体" w:cs="Times New Roman"/>
          <w:color w:val="000000"/>
          <w:kern w:val="0"/>
          <w:sz w:val="24"/>
          <w:szCs w:val="24"/>
          <w:lang w:val="en-US" w:eastAsia="zh-CN" w:bidi="ar"/>
        </w:rPr>
        <w:t>(HJ2025)</w:t>
      </w:r>
      <w:r>
        <w:rPr>
          <w:rFonts w:hint="eastAsia" w:ascii="宋体" w:hAnsi="宋体" w:eastAsia="宋体" w:cs="宋体"/>
          <w:color w:val="000000"/>
          <w:kern w:val="0"/>
          <w:sz w:val="24"/>
          <w:szCs w:val="24"/>
          <w:lang w:val="en-US" w:eastAsia="zh-CN" w:bidi="ar"/>
        </w:rPr>
        <w:t>要求，从厂区内产生工艺环节运输到危废品库，应有专人负责，专用容器收集、转运。危险废物内部转运应填写《危险废物厂内转运记录表》，内部转运结束后应对转运路线进行检查和清理，并对转运工具进行清洗。危险废物外部转移运时应按《危险废物转移联单管理办法》的规定报批危险废物转移计划，填写好转运联单，并必须交由有资质的单位承运。</w:t>
      </w:r>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危险废物的收集工作和转运工作，应制定详细的操作规程，明确操作程序、方法、专用设备和工具，转移和交接、安全保障和应急防护等，各类危险废物的种类、重量或者数量及去向等应如实记载，且经营情况记录簿应当保存三年。确定收集设备、转运车辆及现场工作人员等情况并确定相应作业区域，同时要设置作业界线标志和警示牌，设置危险废物收集专用通道和人员避险通道，进入储存间的人员、机动车辆和作业车辆，必须采取防火措施。</w:t>
      </w:r>
    </w:p>
    <w:p>
      <w:pPr>
        <w:pStyle w:val="4"/>
        <w:bidi w:val="0"/>
      </w:pPr>
      <w:r>
        <w:rPr>
          <w:rFonts w:hint="eastAsia"/>
          <w:lang w:val="en-US" w:eastAsia="zh-CN"/>
        </w:rPr>
        <w:t>6.7.4 固废处置小结</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运营期产生的废物在厂内暂存及运输过程均按照危废管理要求进行，本项目依托暂存间建设现状：地面与裙角采用坚固、防渗的材料建造；用于存放装有废物容器的地方，有耐腐蚀的硬化地面，且表面无裂缝；贮存区四周有防流散围堰；各类危险废物应分类分区域单独存放于危险废物暂存区；危险废物暂存库房和各危险废物贮存容器均应按</w:t>
      </w:r>
      <w:r>
        <w:rPr>
          <w:rFonts w:hint="default" w:ascii="Times New Roman" w:hAnsi="Times New Roman" w:eastAsia="宋体" w:cs="Times New Roman"/>
          <w:color w:val="000000"/>
          <w:kern w:val="0"/>
          <w:sz w:val="24"/>
          <w:szCs w:val="24"/>
          <w:lang w:val="en-US" w:eastAsia="zh-CN" w:bidi="ar"/>
        </w:rPr>
        <w:t>GB15562.2</w:t>
      </w:r>
      <w:r>
        <w:rPr>
          <w:rFonts w:hint="eastAsia" w:ascii="宋体" w:hAnsi="宋体" w:eastAsia="宋体" w:cs="宋体"/>
          <w:color w:val="000000"/>
          <w:kern w:val="0"/>
          <w:sz w:val="24"/>
          <w:szCs w:val="24"/>
          <w:lang w:val="en-US" w:eastAsia="zh-CN" w:bidi="ar"/>
        </w:rPr>
        <w:t>的要求设置专用的危险废物警示标志。评价认为，建设单位在落实本项目各项固体废物防治措施的基础上，运营期内对环境影响很小。</w:t>
      </w:r>
    </w:p>
    <w:p>
      <w:pPr>
        <w:pStyle w:val="3"/>
        <w:pageBreakBefore w:val="0"/>
        <w:widowControl w:val="0"/>
        <w:kinsoku/>
        <w:wordWrap/>
        <w:overflowPunct/>
        <w:topLinePunct w:val="0"/>
        <w:autoSpaceDE/>
        <w:autoSpaceDN/>
        <w:bidi w:val="0"/>
        <w:textAlignment w:val="auto"/>
      </w:pPr>
      <w:bookmarkStart w:id="164" w:name="_Toc27185"/>
      <w:bookmarkStart w:id="165" w:name="_Toc5888495"/>
      <w:bookmarkStart w:id="166" w:name="_Toc651"/>
      <w:bookmarkStart w:id="167" w:name="_Toc30775"/>
      <w:bookmarkStart w:id="168" w:name="_Toc17489"/>
      <w:r>
        <w:rPr>
          <w:rFonts w:hint="eastAsia"/>
          <w:lang w:val="en-US" w:eastAsia="zh-CN"/>
        </w:rPr>
        <w:t xml:space="preserve">6.8 </w:t>
      </w:r>
      <w:r>
        <w:t>环境风险影响分析</w:t>
      </w:r>
      <w:bookmarkEnd w:id="164"/>
      <w:bookmarkEnd w:id="165"/>
      <w:bookmarkEnd w:id="166"/>
      <w:bookmarkEnd w:id="167"/>
      <w:bookmarkEnd w:id="168"/>
    </w:p>
    <w:p>
      <w:pPr>
        <w:pStyle w:val="4"/>
        <w:pageBreakBefore w:val="0"/>
        <w:widowControl w:val="0"/>
        <w:kinsoku/>
        <w:wordWrap/>
        <w:overflowPunct/>
        <w:topLinePunct w:val="0"/>
        <w:autoSpaceDE/>
        <w:autoSpaceDN/>
        <w:bidi w:val="0"/>
        <w:spacing w:beforeLines="0" w:afterLines="0"/>
        <w:textAlignment w:val="auto"/>
        <w:rPr>
          <w:lang w:eastAsia="zh-CN"/>
        </w:rPr>
      </w:pPr>
      <w:bookmarkStart w:id="169" w:name="_Toc5888496"/>
      <w:bookmarkStart w:id="170" w:name="_Toc28433"/>
      <w:r>
        <w:rPr>
          <w:rFonts w:hint="eastAsia"/>
          <w:lang w:val="en-US" w:eastAsia="zh-CN"/>
        </w:rPr>
        <w:t xml:space="preserve">6.8.1 </w:t>
      </w:r>
      <w:r>
        <w:rPr>
          <w:lang w:eastAsia="zh-CN"/>
        </w:rPr>
        <w:t>评价依据</w:t>
      </w:r>
      <w:bookmarkEnd w:id="169"/>
      <w:bookmarkEnd w:id="170"/>
    </w:p>
    <w:p>
      <w:pPr>
        <w:ind w:firstLine="480" w:firstLineChars="200"/>
        <w:rPr>
          <w:rFonts w:ascii="Times New Roman" w:hAnsi="Times New Roman"/>
          <w:color w:val="auto"/>
          <w:sz w:val="24"/>
        </w:rPr>
      </w:pPr>
      <w:r>
        <w:rPr>
          <w:rFonts w:ascii="Times New Roman" w:hAnsi="Times New Roman"/>
          <w:color w:val="auto"/>
          <w:sz w:val="24"/>
        </w:rPr>
        <w:t>1、环境风险调查</w:t>
      </w:r>
    </w:p>
    <w:p>
      <w:pPr>
        <w:ind w:firstLine="480" w:firstLineChars="200"/>
        <w:rPr>
          <w:rFonts w:ascii="Times New Roman" w:hAnsi="Times New Roman"/>
          <w:color w:val="auto"/>
          <w:sz w:val="24"/>
        </w:rPr>
      </w:pPr>
      <w:r>
        <w:rPr>
          <w:rFonts w:ascii="Times New Roman" w:hAnsi="Times New Roman"/>
          <w:color w:val="auto"/>
          <w:sz w:val="24"/>
        </w:rPr>
        <w:t>根据本项目的建设特点，项目主要原料为废旧塑料，产品为再生塑料颗粒可燃品，如果引发火灾产生伴生/次生污染物，如消防废水和火灾废气引发的二次污染对周围环境以及人体健康的影响。</w:t>
      </w:r>
    </w:p>
    <w:p>
      <w:pPr>
        <w:ind w:firstLine="480" w:firstLineChars="200"/>
        <w:rPr>
          <w:rFonts w:ascii="Times New Roman" w:hAnsi="Times New Roman"/>
          <w:color w:val="auto"/>
          <w:sz w:val="24"/>
        </w:rPr>
      </w:pPr>
      <w:r>
        <w:rPr>
          <w:rFonts w:ascii="Times New Roman" w:hAnsi="Times New Roman"/>
          <w:color w:val="auto"/>
          <w:sz w:val="24"/>
        </w:rPr>
        <w:t>2、风险</w:t>
      </w:r>
      <w:r>
        <w:rPr>
          <w:rFonts w:hint="eastAsia"/>
          <w:color w:val="auto"/>
          <w:sz w:val="24"/>
          <w:lang w:eastAsia="zh-CN"/>
        </w:rPr>
        <w:t>潜势</w:t>
      </w:r>
      <w:r>
        <w:rPr>
          <w:rFonts w:ascii="Times New Roman" w:hAnsi="Times New Roman"/>
          <w:color w:val="auto"/>
          <w:sz w:val="24"/>
        </w:rPr>
        <w:t>初判</w:t>
      </w:r>
    </w:p>
    <w:p>
      <w:pPr>
        <w:ind w:firstLine="480"/>
        <w:rPr>
          <w:rFonts w:ascii="Times New Roman" w:hAnsi="Times New Roman"/>
          <w:color w:val="auto"/>
          <w:sz w:val="24"/>
        </w:rPr>
      </w:pPr>
      <w:r>
        <w:rPr>
          <w:rFonts w:ascii="Times New Roman" w:hAnsi="Times New Roman"/>
          <w:color w:val="auto"/>
          <w:sz w:val="24"/>
        </w:rPr>
        <w:t>根据建设项目涉及的物质和工艺系统的危险性及其所在地的环境敏感程度，结合事故情形下环境影响途径，对建设项目潜在环境危害程度进行概化分析，按照表</w:t>
      </w:r>
      <w:r>
        <w:rPr>
          <w:rFonts w:hint="eastAsia"/>
          <w:color w:val="auto"/>
          <w:sz w:val="24"/>
          <w:lang w:val="en-US" w:eastAsia="zh-CN"/>
        </w:rPr>
        <w:t>6.8-1</w:t>
      </w:r>
      <w:r>
        <w:rPr>
          <w:rFonts w:ascii="Times New Roman" w:hAnsi="Times New Roman"/>
          <w:color w:val="auto"/>
          <w:sz w:val="24"/>
        </w:rPr>
        <w:t>确定环境风险潜势。</w:t>
      </w:r>
    </w:p>
    <w:p>
      <w:pPr>
        <w:spacing w:line="0" w:lineRule="atLeast"/>
        <w:jc w:val="center"/>
        <w:rPr>
          <w:rFonts w:ascii="Times New Roman" w:hAnsi="Times New Roman"/>
          <w:b/>
          <w:color w:val="auto"/>
          <w:szCs w:val="21"/>
        </w:rPr>
      </w:pPr>
      <w:r>
        <w:rPr>
          <w:rFonts w:ascii="Times New Roman" w:hAnsi="Times New Roman"/>
          <w:b/>
          <w:color w:val="auto"/>
          <w:kern w:val="24"/>
          <w:szCs w:val="21"/>
        </w:rPr>
        <w:t>表</w:t>
      </w:r>
      <w:r>
        <w:rPr>
          <w:rFonts w:hint="eastAsia"/>
          <w:b/>
          <w:color w:val="auto"/>
          <w:kern w:val="24"/>
          <w:szCs w:val="21"/>
          <w:lang w:val="en-US" w:eastAsia="zh-CN"/>
        </w:rPr>
        <w:t xml:space="preserve">6.8-1  </w:t>
      </w:r>
      <w:r>
        <w:rPr>
          <w:rFonts w:ascii="Times New Roman" w:hAnsi="Times New Roman"/>
          <w:b/>
          <w:color w:val="auto"/>
          <w:szCs w:val="21"/>
        </w:rPr>
        <w:t>建设项目环境风险潜势划分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1778"/>
        <w:gridCol w:w="1778"/>
        <w:gridCol w:w="1778"/>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环境敏感程度（E）</w:t>
            </w:r>
          </w:p>
        </w:tc>
        <w:tc>
          <w:tcPr>
            <w:tcW w:w="695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极高危害（P1）</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高度危害（P2）</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中度危害（P3）</w:t>
            </w: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3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环境高度敏感区（E1）</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4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IV</w:t>
            </w:r>
            <w:r>
              <w:rPr>
                <w:rFonts w:ascii="Times New Roman" w:hAnsi="Times New Roman"/>
                <w:color w:val="auto"/>
                <w:kern w:val="0"/>
                <w:sz w:val="21"/>
                <w:szCs w:val="21"/>
              </w:rPr>
              <w:fldChar w:fldCharType="end"/>
            </w:r>
            <w:r>
              <w:rPr>
                <w:rFonts w:ascii="Times New Roman" w:hAnsi="Times New Roman"/>
                <w:color w:val="auto"/>
                <w:kern w:val="0"/>
                <w:sz w:val="21"/>
                <w:szCs w:val="21"/>
                <w:vertAlign w:val="superscript"/>
              </w:rPr>
              <w:t>+</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4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IV</w:t>
            </w:r>
            <w:r>
              <w:rPr>
                <w:rFonts w:ascii="Times New Roman" w:hAnsi="Times New Roman"/>
                <w:color w:val="auto"/>
                <w:kern w:val="0"/>
                <w:sz w:val="21"/>
                <w:szCs w:val="21"/>
              </w:rPr>
              <w:fldChar w:fldCharType="end"/>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3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环境中度敏感区（E2）</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4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IV</w:t>
            </w:r>
            <w:r>
              <w:rPr>
                <w:rFonts w:ascii="Times New Roman" w:hAnsi="Times New Roman"/>
                <w:color w:val="auto"/>
                <w:kern w:val="0"/>
                <w:sz w:val="21"/>
                <w:szCs w:val="21"/>
              </w:rPr>
              <w:fldChar w:fldCharType="end"/>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2 \* ROMAN </w:instrText>
            </w:r>
            <w:r>
              <w:rPr>
                <w:rFonts w:ascii="Times New Roman" w:hAnsi="Times New Roman"/>
                <w:color w:val="auto"/>
                <w:sz w:val="21"/>
                <w:szCs w:val="21"/>
              </w:rPr>
              <w:fldChar w:fldCharType="separate"/>
            </w:r>
            <w:r>
              <w:rPr>
                <w:rFonts w:ascii="Times New Roman" w:hAnsi="Times New Roman"/>
                <w:color w:val="auto"/>
                <w:sz w:val="21"/>
                <w:szCs w:val="21"/>
              </w:rPr>
              <w:t>II</w:t>
            </w:r>
            <w:r>
              <w:rPr>
                <w:rFonts w:ascii="Times New Roman" w:hAnsi="Times New Roman"/>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3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环境低度敏感区（E3）</w:t>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3 \* ROMAN </w:instrText>
            </w:r>
            <w:r>
              <w:rPr>
                <w:rFonts w:ascii="Times New Roman" w:hAnsi="Times New Roman"/>
                <w:color w:val="auto"/>
                <w:sz w:val="21"/>
                <w:szCs w:val="21"/>
              </w:rPr>
              <w:fldChar w:fldCharType="separate"/>
            </w:r>
            <w:r>
              <w:rPr>
                <w:rFonts w:ascii="Times New Roman" w:hAnsi="Times New Roman"/>
                <w:color w:val="auto"/>
                <w:sz w:val="21"/>
                <w:szCs w:val="21"/>
              </w:rPr>
              <w:t>III</w:t>
            </w:r>
            <w:r>
              <w:rPr>
                <w:rFonts w:ascii="Times New Roman" w:hAnsi="Times New Roman"/>
                <w:color w:val="auto"/>
                <w:sz w:val="21"/>
                <w:szCs w:val="21"/>
              </w:rPr>
              <w:fldChar w:fldCharType="end"/>
            </w:r>
          </w:p>
        </w:tc>
        <w:tc>
          <w:tcPr>
            <w:tcW w:w="177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2 \* ROMAN </w:instrText>
            </w:r>
            <w:r>
              <w:rPr>
                <w:rFonts w:ascii="Times New Roman" w:hAnsi="Times New Roman"/>
                <w:color w:val="auto"/>
                <w:sz w:val="21"/>
                <w:szCs w:val="21"/>
              </w:rPr>
              <w:fldChar w:fldCharType="separate"/>
            </w:r>
            <w:r>
              <w:rPr>
                <w:rFonts w:ascii="Times New Roman" w:hAnsi="Times New Roman"/>
                <w:color w:val="auto"/>
                <w:sz w:val="21"/>
                <w:szCs w:val="21"/>
              </w:rPr>
              <w:t>II</w:t>
            </w:r>
            <w:r>
              <w:rPr>
                <w:rFonts w:ascii="Times New Roman" w:hAnsi="Times New Roman"/>
                <w:color w:val="auto"/>
                <w:sz w:val="21"/>
                <w:szCs w:val="21"/>
              </w:rPr>
              <w:fldChar w:fldCharType="end"/>
            </w:r>
          </w:p>
        </w:tc>
        <w:tc>
          <w:tcPr>
            <w:tcW w:w="1617"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fldChar w:fldCharType="begin"/>
            </w:r>
            <w:r>
              <w:rPr>
                <w:rFonts w:ascii="Times New Roman" w:hAnsi="Times New Roman"/>
                <w:color w:val="auto"/>
                <w:sz w:val="21"/>
                <w:szCs w:val="21"/>
              </w:rPr>
              <w:instrText xml:space="preserve"> = 1 \* ROMAN </w:instrText>
            </w:r>
            <w:r>
              <w:rPr>
                <w:rFonts w:ascii="Times New Roman" w:hAnsi="Times New Roman"/>
                <w:color w:val="auto"/>
                <w:sz w:val="21"/>
                <w:szCs w:val="21"/>
              </w:rPr>
              <w:fldChar w:fldCharType="separate"/>
            </w:r>
            <w:r>
              <w:rPr>
                <w:rFonts w:ascii="Times New Roman" w:hAnsi="Times New Roman"/>
                <w:color w:val="auto"/>
                <w:sz w:val="21"/>
                <w:szCs w:val="21"/>
              </w:rPr>
              <w:t>I</w:t>
            </w:r>
            <w:r>
              <w:rPr>
                <w:rFonts w:ascii="Times New Roman" w:hAnsi="Times New Roman"/>
                <w:color w:val="auto"/>
                <w:sz w:val="21"/>
                <w:szCs w:val="21"/>
              </w:rPr>
              <w:fldChar w:fldCharType="end"/>
            </w:r>
          </w:p>
        </w:tc>
      </w:tr>
    </w:tbl>
    <w:p>
      <w:pPr>
        <w:ind w:firstLine="480"/>
        <w:rPr>
          <w:rFonts w:ascii="Times New Roman" w:hAnsi="Times New Roman"/>
          <w:color w:val="auto"/>
          <w:sz w:val="24"/>
        </w:rPr>
      </w:pPr>
      <w:r>
        <w:rPr>
          <w:rFonts w:ascii="Times New Roman" w:hAnsi="Times New Roman"/>
          <w:color w:val="auto"/>
          <w:sz w:val="24"/>
        </w:rPr>
        <w:t>（1）P的分级确定</w:t>
      </w:r>
    </w:p>
    <w:p>
      <w:pPr>
        <w:ind w:firstLine="480"/>
        <w:rPr>
          <w:rFonts w:ascii="Times New Roman" w:hAnsi="Times New Roman"/>
          <w:color w:val="auto"/>
          <w:sz w:val="24"/>
        </w:rPr>
      </w:pPr>
      <w:r>
        <w:rPr>
          <w:rFonts w:ascii="Times New Roman" w:hAnsi="Times New Roman"/>
          <w:color w:val="auto"/>
          <w:sz w:val="24"/>
        </w:rPr>
        <w:t>危险物质数量与临界量比值（Q）</w:t>
      </w:r>
    </w:p>
    <w:p>
      <w:pPr>
        <w:ind w:firstLine="480"/>
        <w:rPr>
          <w:rFonts w:ascii="Times New Roman" w:hAnsi="Times New Roman"/>
          <w:color w:val="auto"/>
          <w:sz w:val="24"/>
        </w:rPr>
      </w:pPr>
      <w:r>
        <w:rPr>
          <w:rFonts w:ascii="Times New Roman" w:hAnsi="Times New Roman"/>
          <w:color w:val="auto"/>
          <w:sz w:val="24"/>
        </w:rPr>
        <w:t>Q=q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2</w:t>
      </w:r>
      <w:r>
        <w:rPr>
          <w:rFonts w:ascii="Times New Roman" w:hAnsi="Times New Roman"/>
          <w:color w:val="auto"/>
          <w:sz w:val="24"/>
        </w:rPr>
        <w:t>/Q</w:t>
      </w:r>
      <w:r>
        <w:rPr>
          <w:rFonts w:ascii="Times New Roman" w:hAnsi="Times New Roman"/>
          <w:color w:val="auto"/>
          <w:sz w:val="24"/>
          <w:vertAlign w:val="subscript"/>
        </w:rPr>
        <w:t>2</w:t>
      </w:r>
      <w:r>
        <w:rPr>
          <w:rFonts w:ascii="Times New Roman" w:hAnsi="Times New Roman"/>
          <w:color w:val="auto"/>
          <w:sz w:val="24"/>
        </w:rPr>
        <w:t>+...q</w:t>
      </w:r>
      <w:r>
        <w:rPr>
          <w:rFonts w:ascii="Times New Roman" w:hAnsi="Times New Roman"/>
          <w:color w:val="auto"/>
          <w:sz w:val="24"/>
          <w:vertAlign w:val="subscript"/>
        </w:rPr>
        <w:t>n</w:t>
      </w:r>
      <w:r>
        <w:rPr>
          <w:rFonts w:ascii="Times New Roman" w:hAnsi="Times New Roman"/>
          <w:color w:val="auto"/>
          <w:sz w:val="24"/>
        </w:rPr>
        <w:t>/Q</w:t>
      </w:r>
      <w:r>
        <w:rPr>
          <w:rFonts w:ascii="Times New Roman" w:hAnsi="Times New Roman"/>
          <w:color w:val="auto"/>
          <w:sz w:val="24"/>
          <w:vertAlign w:val="subscript"/>
        </w:rPr>
        <w:t>n</w:t>
      </w:r>
    </w:p>
    <w:p>
      <w:pPr>
        <w:ind w:firstLine="480"/>
        <w:rPr>
          <w:rFonts w:ascii="Times New Roman" w:hAnsi="Times New Roman"/>
          <w:color w:val="auto"/>
          <w:sz w:val="24"/>
        </w:rPr>
      </w:pPr>
      <w:r>
        <w:rPr>
          <w:rFonts w:ascii="Times New Roman" w:hAnsi="Times New Roman"/>
          <w:color w:val="auto"/>
          <w:sz w:val="24"/>
        </w:rPr>
        <w:t>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2</w:t>
      </w:r>
      <w:r>
        <w:rPr>
          <w:rFonts w:ascii="Times New Roman" w:hAnsi="Times New Roman"/>
          <w:color w:val="auto"/>
          <w:sz w:val="24"/>
        </w:rPr>
        <w:t>、...q</w:t>
      </w:r>
      <w:r>
        <w:rPr>
          <w:rFonts w:ascii="Times New Roman" w:hAnsi="Times New Roman"/>
          <w:color w:val="auto"/>
          <w:sz w:val="24"/>
          <w:vertAlign w:val="subscript"/>
        </w:rPr>
        <w:t>n</w:t>
      </w:r>
      <w:r>
        <w:rPr>
          <w:rFonts w:ascii="Times New Roman" w:hAnsi="Times New Roman"/>
          <w:color w:val="auto"/>
          <w:sz w:val="24"/>
        </w:rPr>
        <w:t>——每一种危险物质的最大存在总量，t；</w:t>
      </w:r>
    </w:p>
    <w:p>
      <w:pPr>
        <w:ind w:firstLine="480"/>
        <w:rPr>
          <w:rFonts w:ascii="Times New Roman" w:hAnsi="Times New Roman"/>
          <w:color w:val="auto"/>
          <w:sz w:val="24"/>
        </w:rPr>
      </w:pPr>
      <w:r>
        <w:rPr>
          <w:rFonts w:ascii="Times New Roman" w:hAnsi="Times New Roman"/>
          <w:color w:val="auto"/>
          <w:sz w:val="24"/>
        </w:rPr>
        <w:t>Q</w:t>
      </w:r>
      <w:r>
        <w:rPr>
          <w:rFonts w:ascii="Times New Roman" w:hAnsi="Times New Roman"/>
          <w:color w:val="auto"/>
          <w:sz w:val="24"/>
          <w:vertAlign w:val="subscript"/>
        </w:rPr>
        <w:t>1</w:t>
      </w:r>
      <w:r>
        <w:rPr>
          <w:rFonts w:ascii="Times New Roman" w:hAnsi="Times New Roman"/>
          <w:color w:val="auto"/>
          <w:sz w:val="24"/>
        </w:rPr>
        <w:t>、Q</w:t>
      </w:r>
      <w:r>
        <w:rPr>
          <w:rFonts w:ascii="Times New Roman" w:hAnsi="Times New Roman"/>
          <w:color w:val="auto"/>
          <w:sz w:val="24"/>
          <w:vertAlign w:val="subscript"/>
        </w:rPr>
        <w:t>2</w:t>
      </w:r>
      <w:r>
        <w:rPr>
          <w:rFonts w:ascii="Times New Roman" w:hAnsi="Times New Roman"/>
          <w:color w:val="auto"/>
          <w:sz w:val="24"/>
        </w:rPr>
        <w:t>、...Q</w:t>
      </w:r>
      <w:r>
        <w:rPr>
          <w:rFonts w:ascii="Times New Roman" w:hAnsi="Times New Roman"/>
          <w:color w:val="auto"/>
          <w:sz w:val="24"/>
          <w:vertAlign w:val="subscript"/>
        </w:rPr>
        <w:t>n</w:t>
      </w:r>
      <w:r>
        <w:rPr>
          <w:rFonts w:ascii="Times New Roman" w:hAnsi="Times New Roman"/>
          <w:color w:val="auto"/>
          <w:sz w:val="24"/>
        </w:rPr>
        <w:t>——每一种危险物质的临界量，t。</w:t>
      </w:r>
    </w:p>
    <w:p>
      <w:pPr>
        <w:ind w:firstLine="480"/>
        <w:rPr>
          <w:rFonts w:ascii="Times New Roman" w:hAnsi="Times New Roman"/>
          <w:color w:val="auto"/>
          <w:sz w:val="24"/>
        </w:rPr>
      </w:pPr>
      <w:r>
        <w:rPr>
          <w:rFonts w:ascii="Times New Roman" w:hAnsi="Times New Roman"/>
          <w:color w:val="auto"/>
          <w:sz w:val="24"/>
        </w:rPr>
        <w:t>当Q＜1时，该项目环境风险潜势为</w:t>
      </w:r>
      <w:r>
        <w:rPr>
          <w:rFonts w:ascii="Times New Roman" w:hAnsi="Times New Roman"/>
          <w:color w:val="auto"/>
          <w:sz w:val="24"/>
        </w:rPr>
        <w:fldChar w:fldCharType="begin"/>
      </w:r>
      <w:r>
        <w:rPr>
          <w:rFonts w:ascii="Times New Roman" w:hAnsi="Times New Roman"/>
          <w:color w:val="auto"/>
          <w:sz w:val="24"/>
        </w:rPr>
        <w:instrText xml:space="preserve"> = 1 \* ROMAN </w:instrText>
      </w:r>
      <w:r>
        <w:rPr>
          <w:rFonts w:ascii="Times New Roman" w:hAnsi="Times New Roman"/>
          <w:color w:val="auto"/>
          <w:sz w:val="24"/>
        </w:rPr>
        <w:fldChar w:fldCharType="separate"/>
      </w:r>
      <w:r>
        <w:rPr>
          <w:rFonts w:ascii="Times New Roman" w:hAnsi="Times New Roman"/>
          <w:color w:val="auto"/>
          <w:sz w:val="24"/>
        </w:rPr>
        <w:t>I</w:t>
      </w:r>
      <w:r>
        <w:rPr>
          <w:rFonts w:ascii="Times New Roman" w:hAnsi="Times New Roman"/>
          <w:color w:val="auto"/>
          <w:sz w:val="24"/>
        </w:rPr>
        <w:fldChar w:fldCharType="end"/>
      </w:r>
      <w:r>
        <w:rPr>
          <w:rFonts w:ascii="Times New Roman" w:hAnsi="Times New Roman"/>
          <w:color w:val="auto"/>
          <w:sz w:val="24"/>
        </w:rPr>
        <w:t>。</w:t>
      </w:r>
    </w:p>
    <w:p>
      <w:pPr>
        <w:ind w:firstLine="480"/>
        <w:rPr>
          <w:rFonts w:ascii="Times New Roman" w:hAnsi="Times New Roman"/>
          <w:color w:val="auto"/>
          <w:sz w:val="24"/>
        </w:rPr>
      </w:pPr>
      <w:r>
        <w:rPr>
          <w:rFonts w:ascii="Times New Roman" w:hAnsi="Times New Roman"/>
          <w:color w:val="auto"/>
          <w:sz w:val="24"/>
        </w:rPr>
        <w:t>当Q≥1时，将Q值划分为：</w:t>
      </w:r>
      <w:r>
        <w:rPr>
          <w:rFonts w:hint="eastAsia" w:ascii="宋体" w:hAnsi="宋体" w:cs="宋体"/>
          <w:color w:val="auto"/>
          <w:sz w:val="24"/>
        </w:rPr>
        <w:t>①</w:t>
      </w:r>
      <w:r>
        <w:rPr>
          <w:rFonts w:ascii="Times New Roman" w:hAnsi="Times New Roman"/>
          <w:color w:val="auto"/>
          <w:sz w:val="24"/>
        </w:rPr>
        <w:t>1≤Q＜10；</w:t>
      </w:r>
      <w:r>
        <w:rPr>
          <w:rFonts w:hint="eastAsia" w:ascii="宋体" w:hAnsi="宋体" w:cs="宋体"/>
          <w:color w:val="auto"/>
          <w:sz w:val="24"/>
        </w:rPr>
        <w:t>②</w:t>
      </w:r>
      <w:r>
        <w:rPr>
          <w:rFonts w:ascii="Times New Roman" w:hAnsi="Times New Roman"/>
          <w:color w:val="auto"/>
          <w:sz w:val="24"/>
        </w:rPr>
        <w:t>10≤Q＜100；</w:t>
      </w:r>
      <w:r>
        <w:rPr>
          <w:rFonts w:hint="eastAsia" w:ascii="宋体" w:hAnsi="宋体" w:cs="宋体"/>
          <w:color w:val="auto"/>
          <w:sz w:val="24"/>
        </w:rPr>
        <w:t>③</w:t>
      </w:r>
      <w:r>
        <w:rPr>
          <w:rFonts w:ascii="Times New Roman" w:hAnsi="Times New Roman"/>
          <w:color w:val="auto"/>
          <w:sz w:val="24"/>
        </w:rPr>
        <w:t>Q≥100。</w:t>
      </w:r>
    </w:p>
    <w:p>
      <w:pPr>
        <w:ind w:firstLine="480"/>
        <w:rPr>
          <w:rFonts w:ascii="Times New Roman" w:hAnsi="Times New Roman"/>
          <w:color w:val="auto"/>
          <w:sz w:val="24"/>
        </w:rPr>
      </w:pPr>
      <w:r>
        <w:rPr>
          <w:rFonts w:ascii="Times New Roman" w:hAnsi="Times New Roman"/>
          <w:color w:val="auto"/>
          <w:sz w:val="24"/>
        </w:rPr>
        <w:t>项目所用原辅材料不涉及剧毒物质，仅废塑料原料及产品塑料颗粒具有可燃性，废旧塑料及再生塑料颗粒无临界量，因此本项目Q&lt;1，该项目的环境风险潜势为</w:t>
      </w:r>
      <w:r>
        <w:rPr>
          <w:rFonts w:ascii="Times New Roman" w:hAnsi="Times New Roman"/>
          <w:color w:val="auto"/>
          <w:sz w:val="24"/>
        </w:rPr>
        <w:fldChar w:fldCharType="begin"/>
      </w:r>
      <w:r>
        <w:rPr>
          <w:rFonts w:ascii="Times New Roman" w:hAnsi="Times New Roman"/>
          <w:color w:val="auto"/>
          <w:sz w:val="24"/>
        </w:rPr>
        <w:instrText xml:space="preserve"> = 1 \* ROMAN </w:instrText>
      </w:r>
      <w:r>
        <w:rPr>
          <w:rFonts w:ascii="Times New Roman" w:hAnsi="Times New Roman"/>
          <w:color w:val="auto"/>
          <w:sz w:val="24"/>
        </w:rPr>
        <w:fldChar w:fldCharType="separate"/>
      </w:r>
      <w:r>
        <w:rPr>
          <w:rFonts w:ascii="Times New Roman" w:hAnsi="Times New Roman"/>
          <w:color w:val="auto"/>
          <w:sz w:val="24"/>
        </w:rPr>
        <w:t>I</w:t>
      </w:r>
      <w:r>
        <w:rPr>
          <w:rFonts w:ascii="Times New Roman" w:hAnsi="Times New Roman"/>
          <w:color w:val="auto"/>
          <w:sz w:val="24"/>
        </w:rPr>
        <w:fldChar w:fldCharType="end"/>
      </w:r>
      <w:r>
        <w:rPr>
          <w:rFonts w:ascii="Times New Roman" w:hAnsi="Times New Roman"/>
          <w:color w:val="auto"/>
          <w:sz w:val="24"/>
        </w:rPr>
        <w:t>。</w:t>
      </w:r>
    </w:p>
    <w:p>
      <w:pPr>
        <w:ind w:firstLine="480"/>
        <w:rPr>
          <w:rFonts w:ascii="Times New Roman" w:hAnsi="Times New Roman"/>
          <w:color w:val="auto"/>
          <w:sz w:val="24"/>
        </w:rPr>
      </w:pPr>
      <w:r>
        <w:rPr>
          <w:rFonts w:ascii="Times New Roman" w:hAnsi="Times New Roman"/>
          <w:color w:val="auto"/>
          <w:sz w:val="24"/>
        </w:rPr>
        <w:t>3、风险评价工作等级确定</w:t>
      </w:r>
    </w:p>
    <w:p>
      <w:pPr>
        <w:pStyle w:val="40"/>
        <w:widowControl w:val="0"/>
        <w:ind w:firstLine="436" w:firstLineChars="182"/>
        <w:rPr>
          <w:rFonts w:hint="default" w:ascii="Times New Roman" w:hAnsi="Times New Roman" w:eastAsia="宋体"/>
          <w:color w:val="auto"/>
          <w:kern w:val="24"/>
          <w:sz w:val="24"/>
          <w:szCs w:val="24"/>
          <w:lang w:val="en-US" w:eastAsia="zh-CN"/>
        </w:rPr>
      </w:pPr>
      <w:r>
        <w:rPr>
          <w:rFonts w:hint="default" w:ascii="Times New Roman" w:hAnsi="Times New Roman"/>
          <w:color w:val="auto"/>
          <w:kern w:val="24"/>
          <w:sz w:val="24"/>
          <w:szCs w:val="24"/>
        </w:rPr>
        <w:t>根据HJ169-2018《建设项目环境风险评价技术导则》，风险评价等级评定见表</w:t>
      </w:r>
      <w:r>
        <w:rPr>
          <w:rFonts w:hint="eastAsia"/>
          <w:color w:val="auto"/>
          <w:kern w:val="24"/>
          <w:sz w:val="24"/>
          <w:szCs w:val="24"/>
          <w:lang w:val="en-US" w:eastAsia="zh-CN"/>
        </w:rPr>
        <w:t>6.8-2</w:t>
      </w:r>
    </w:p>
    <w:p>
      <w:pPr>
        <w:spacing w:line="0" w:lineRule="atLeast"/>
        <w:jc w:val="center"/>
        <w:rPr>
          <w:rFonts w:ascii="Times New Roman" w:hAnsi="Times New Roman"/>
          <w:b/>
          <w:color w:val="auto"/>
          <w:szCs w:val="21"/>
        </w:rPr>
      </w:pPr>
      <w:r>
        <w:rPr>
          <w:rFonts w:ascii="Times New Roman" w:hAnsi="Times New Roman"/>
          <w:b/>
          <w:color w:val="auto"/>
          <w:kern w:val="24"/>
          <w:szCs w:val="21"/>
        </w:rPr>
        <w:t>表</w:t>
      </w:r>
      <w:r>
        <w:rPr>
          <w:rFonts w:hint="eastAsia"/>
          <w:b/>
          <w:color w:val="auto"/>
          <w:kern w:val="24"/>
          <w:szCs w:val="21"/>
          <w:lang w:val="en-US" w:eastAsia="zh-CN"/>
        </w:rPr>
        <w:t xml:space="preserve">6.8-2  </w:t>
      </w:r>
      <w:r>
        <w:rPr>
          <w:rFonts w:ascii="Times New Roman" w:hAnsi="Times New Roman"/>
          <w:b/>
          <w:color w:val="auto"/>
          <w:kern w:val="24"/>
          <w:szCs w:val="21"/>
        </w:rPr>
        <w:t>环境风险</w:t>
      </w:r>
      <w:r>
        <w:rPr>
          <w:rFonts w:ascii="Times New Roman" w:hAnsi="Times New Roman"/>
          <w:b/>
          <w:color w:val="auto"/>
          <w:szCs w:val="21"/>
        </w:rPr>
        <w:t>评价工作级别确定</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4"/>
        <w:gridCol w:w="1705"/>
        <w:gridCol w:w="1765"/>
        <w:gridCol w:w="243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环境风险潜势</w:t>
            </w:r>
          </w:p>
        </w:tc>
        <w:tc>
          <w:tcPr>
            <w:tcW w:w="93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4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IV</w:t>
            </w:r>
            <w:r>
              <w:rPr>
                <w:rFonts w:ascii="Times New Roman" w:hAnsi="Times New Roman"/>
                <w:color w:val="auto"/>
                <w:kern w:val="0"/>
                <w:sz w:val="21"/>
                <w:szCs w:val="21"/>
              </w:rPr>
              <w:fldChar w:fldCharType="end"/>
            </w:r>
            <w:r>
              <w:rPr>
                <w:rFonts w:ascii="Times New Roman" w:hAnsi="Times New Roman"/>
                <w:color w:val="auto"/>
                <w:kern w:val="0"/>
                <w:sz w:val="21"/>
                <w:szCs w:val="21"/>
              </w:rPr>
              <w:t>、</w:t>
            </w: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4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IV</w:t>
            </w:r>
            <w:r>
              <w:rPr>
                <w:rFonts w:ascii="Times New Roman" w:hAnsi="Times New Roman"/>
                <w:color w:val="auto"/>
                <w:kern w:val="0"/>
                <w:sz w:val="21"/>
                <w:szCs w:val="21"/>
              </w:rPr>
              <w:fldChar w:fldCharType="end"/>
            </w:r>
            <w:r>
              <w:rPr>
                <w:rFonts w:ascii="Times New Roman" w:hAnsi="Times New Roman"/>
                <w:color w:val="auto"/>
                <w:kern w:val="0"/>
                <w:sz w:val="21"/>
                <w:szCs w:val="21"/>
                <w:vertAlign w:val="superscript"/>
              </w:rPr>
              <w:t>+</w:t>
            </w:r>
          </w:p>
        </w:tc>
        <w:tc>
          <w:tcPr>
            <w:tcW w:w="9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spacing w:val="-10"/>
                <w:kern w:val="0"/>
                <w:sz w:val="21"/>
                <w:szCs w:val="21"/>
              </w:rPr>
            </w:pPr>
            <w:r>
              <w:rPr>
                <w:rFonts w:ascii="Times New Roman" w:hAnsi="Times New Roman"/>
                <w:color w:val="auto"/>
                <w:spacing w:val="-10"/>
                <w:kern w:val="0"/>
                <w:sz w:val="21"/>
                <w:szCs w:val="21"/>
              </w:rPr>
              <w:fldChar w:fldCharType="begin"/>
            </w:r>
            <w:r>
              <w:rPr>
                <w:rFonts w:ascii="Times New Roman" w:hAnsi="Times New Roman"/>
                <w:color w:val="auto"/>
                <w:spacing w:val="-10"/>
                <w:kern w:val="0"/>
                <w:sz w:val="21"/>
                <w:szCs w:val="21"/>
              </w:rPr>
              <w:instrText xml:space="preserve"> = 3 \* ROMAN </w:instrText>
            </w:r>
            <w:r>
              <w:rPr>
                <w:rFonts w:ascii="Times New Roman" w:hAnsi="Times New Roman"/>
                <w:color w:val="auto"/>
                <w:spacing w:val="-10"/>
                <w:kern w:val="0"/>
                <w:sz w:val="21"/>
                <w:szCs w:val="21"/>
              </w:rPr>
              <w:fldChar w:fldCharType="separate"/>
            </w:r>
            <w:r>
              <w:rPr>
                <w:rFonts w:ascii="Times New Roman" w:hAnsi="Times New Roman"/>
                <w:color w:val="auto"/>
                <w:spacing w:val="-10"/>
                <w:kern w:val="0"/>
                <w:sz w:val="21"/>
                <w:szCs w:val="21"/>
              </w:rPr>
              <w:t>III</w:t>
            </w:r>
            <w:r>
              <w:rPr>
                <w:rFonts w:ascii="Times New Roman" w:hAnsi="Times New Roman"/>
                <w:color w:val="auto"/>
                <w:spacing w:val="-10"/>
                <w:kern w:val="0"/>
                <w:sz w:val="21"/>
                <w:szCs w:val="21"/>
              </w:rPr>
              <w:fldChar w:fldCharType="end"/>
            </w:r>
          </w:p>
        </w:tc>
        <w:tc>
          <w:tcPr>
            <w:tcW w:w="13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2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II</w:t>
            </w:r>
            <w:r>
              <w:rPr>
                <w:rFonts w:ascii="Times New Roman" w:hAnsi="Times New Roman"/>
                <w:color w:val="auto"/>
                <w:kern w:val="0"/>
                <w:sz w:val="21"/>
                <w:szCs w:val="21"/>
              </w:rPr>
              <w:fldChar w:fldCharType="end"/>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fldChar w:fldCharType="begin"/>
            </w:r>
            <w:r>
              <w:rPr>
                <w:rFonts w:ascii="Times New Roman" w:hAnsi="Times New Roman"/>
                <w:color w:val="auto"/>
                <w:kern w:val="0"/>
                <w:sz w:val="21"/>
                <w:szCs w:val="21"/>
              </w:rPr>
              <w:instrText xml:space="preserve"> = 1 \* ROMAN </w:instrText>
            </w:r>
            <w:r>
              <w:rPr>
                <w:rFonts w:ascii="Times New Roman" w:hAnsi="Times New Roman"/>
                <w:color w:val="auto"/>
                <w:kern w:val="0"/>
                <w:sz w:val="21"/>
                <w:szCs w:val="21"/>
              </w:rPr>
              <w:fldChar w:fldCharType="separate"/>
            </w:r>
            <w:r>
              <w:rPr>
                <w:rFonts w:ascii="Times New Roman" w:hAnsi="Times New Roman"/>
                <w:color w:val="auto"/>
                <w:kern w:val="0"/>
                <w:sz w:val="21"/>
                <w:szCs w:val="21"/>
              </w:rPr>
              <w:t>I</w:t>
            </w:r>
            <w:r>
              <w:rPr>
                <w:rFonts w:ascii="Times New Roman" w:hAnsi="Times New Roman"/>
                <w:color w:val="auto"/>
                <w:kern w:val="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评价工作等级</w:t>
            </w:r>
          </w:p>
        </w:tc>
        <w:tc>
          <w:tcPr>
            <w:tcW w:w="93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一</w:t>
            </w:r>
          </w:p>
        </w:tc>
        <w:tc>
          <w:tcPr>
            <w:tcW w:w="9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二</w:t>
            </w:r>
          </w:p>
        </w:tc>
        <w:tc>
          <w:tcPr>
            <w:tcW w:w="13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三</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简单分析</w:t>
            </w:r>
            <w:r>
              <w:rPr>
                <w:rFonts w:ascii="Times New Roman" w:hAnsi="Times New Roman"/>
                <w:color w:val="auto"/>
                <w:kern w:val="0"/>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80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本项目</w:t>
            </w:r>
          </w:p>
        </w:tc>
        <w:tc>
          <w:tcPr>
            <w:tcW w:w="4193"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sz w:val="21"/>
                <w:szCs w:val="21"/>
              </w:rPr>
              <w:t>本项目的环境风险潜势为</w:t>
            </w:r>
            <w:r>
              <w:rPr>
                <w:rFonts w:ascii="Times New Roman" w:hAnsi="Times New Roman"/>
                <w:color w:val="auto"/>
                <w:sz w:val="21"/>
                <w:szCs w:val="21"/>
              </w:rPr>
              <w:fldChar w:fldCharType="begin"/>
            </w:r>
            <w:r>
              <w:rPr>
                <w:rFonts w:ascii="Times New Roman" w:hAnsi="Times New Roman"/>
                <w:color w:val="auto"/>
                <w:sz w:val="21"/>
                <w:szCs w:val="21"/>
              </w:rPr>
              <w:instrText xml:space="preserve"> = 1 \* ROMAN </w:instrText>
            </w:r>
            <w:r>
              <w:rPr>
                <w:rFonts w:ascii="Times New Roman" w:hAnsi="Times New Roman"/>
                <w:color w:val="auto"/>
                <w:sz w:val="21"/>
                <w:szCs w:val="21"/>
              </w:rPr>
              <w:fldChar w:fldCharType="separate"/>
            </w:r>
            <w:r>
              <w:rPr>
                <w:rFonts w:ascii="Times New Roman" w:hAnsi="Times New Roman"/>
                <w:color w:val="auto"/>
                <w:sz w:val="21"/>
                <w:szCs w:val="21"/>
              </w:rPr>
              <w:t>I</w:t>
            </w:r>
            <w:r>
              <w:rPr>
                <w:rFonts w:ascii="Times New Roman" w:hAnsi="Times New Roman"/>
                <w:color w:val="auto"/>
                <w:sz w:val="21"/>
                <w:szCs w:val="21"/>
              </w:rPr>
              <w:fldChar w:fldCharType="end"/>
            </w:r>
            <w:r>
              <w:rPr>
                <w:rFonts w:ascii="Times New Roman" w:hAnsi="Times New Roman"/>
                <w:color w:val="auto"/>
                <w:sz w:val="21"/>
                <w:szCs w:val="21"/>
              </w:rPr>
              <w:t>，评级工作等级为简单分析。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5000" w:type="pct"/>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vertAlign w:val="superscript"/>
              </w:rPr>
              <w:t>a</w:t>
            </w:r>
            <w:r>
              <w:rPr>
                <w:rFonts w:ascii="Times New Roman" w:hAnsi="Times New Roman"/>
                <w:color w:val="auto"/>
                <w:kern w:val="0"/>
                <w:sz w:val="21"/>
                <w:szCs w:val="21"/>
              </w:rPr>
              <w:t>是相对于详细评价工作内容而言，在描述危险物质、环境影响途径、环境危害后果、风险防范措施等方面给出定性的说明。见附录A。</w:t>
            </w:r>
          </w:p>
        </w:tc>
      </w:tr>
    </w:tbl>
    <w:p>
      <w:pPr>
        <w:pStyle w:val="4"/>
        <w:bidi w:val="0"/>
        <w:rPr>
          <w:lang w:eastAsia="zh-CN"/>
        </w:rPr>
      </w:pPr>
      <w:bookmarkStart w:id="171" w:name="_Toc5888497"/>
      <w:bookmarkStart w:id="172" w:name="_Toc27996"/>
      <w:r>
        <w:rPr>
          <w:rFonts w:hint="eastAsia"/>
          <w:lang w:val="en-US" w:eastAsia="zh-CN"/>
        </w:rPr>
        <w:t xml:space="preserve">6.8.2 </w:t>
      </w:r>
      <w:r>
        <w:rPr>
          <w:lang w:eastAsia="zh-CN"/>
        </w:rPr>
        <w:t>环境敏感目标调查</w:t>
      </w:r>
      <w:bookmarkEnd w:id="171"/>
      <w:bookmarkEnd w:id="172"/>
    </w:p>
    <w:p>
      <w:pPr>
        <w:ind w:firstLine="480" w:firstLineChars="200"/>
        <w:rPr>
          <w:rFonts w:hint="eastAsia" w:ascii="Times New Roman" w:hAnsi="Times New Roman" w:eastAsia="宋体"/>
          <w:color w:val="auto"/>
          <w:sz w:val="24"/>
          <w:lang w:eastAsia="zh-CN"/>
        </w:rPr>
      </w:pPr>
      <w:r>
        <w:rPr>
          <w:rFonts w:ascii="Times New Roman" w:hAnsi="Times New Roman"/>
          <w:color w:val="auto"/>
          <w:sz w:val="24"/>
        </w:rPr>
        <w:t>根据现场调查及建设单位提供资料，本项目环境风险敏感目标如下</w:t>
      </w:r>
      <w:r>
        <w:rPr>
          <w:rFonts w:hint="eastAsia"/>
          <w:color w:val="auto"/>
          <w:sz w:val="24"/>
          <w:lang w:eastAsia="zh-CN"/>
        </w:rPr>
        <w:t>：</w:t>
      </w:r>
    </w:p>
    <w:p>
      <w:pPr>
        <w:spacing w:line="240" w:lineRule="auto"/>
        <w:ind w:left="432"/>
        <w:jc w:val="center"/>
        <w:rPr>
          <w:rFonts w:ascii="Times New Roman" w:hAnsi="Times New Roman"/>
          <w:b/>
          <w:color w:val="auto"/>
          <w:highlight w:val="none"/>
        </w:rPr>
      </w:pPr>
      <w:r>
        <w:rPr>
          <w:rFonts w:ascii="Times New Roman" w:hAnsi="Times New Roman"/>
          <w:b/>
          <w:color w:val="auto"/>
          <w:highlight w:val="none"/>
        </w:rPr>
        <w:t>表</w:t>
      </w:r>
      <w:r>
        <w:rPr>
          <w:rFonts w:hint="eastAsia"/>
          <w:b/>
          <w:color w:val="auto"/>
          <w:highlight w:val="none"/>
          <w:lang w:val="en-US" w:eastAsia="zh-CN"/>
        </w:rPr>
        <w:t xml:space="preserve">6.8-3  </w:t>
      </w:r>
      <w:r>
        <w:rPr>
          <w:rFonts w:ascii="Times New Roman" w:hAnsi="Times New Roman"/>
          <w:b/>
          <w:color w:val="auto"/>
          <w:highlight w:val="none"/>
        </w:rPr>
        <w:t>环境敏感目标调查表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538"/>
        <w:gridCol w:w="1575"/>
        <w:gridCol w:w="1781"/>
        <w:gridCol w:w="1594"/>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7"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lang w:val="en-US" w:eastAsia="zh-CN"/>
              </w:rPr>
            </w:pPr>
            <w:bookmarkStart w:id="173" w:name="_Toc25641"/>
            <w:bookmarkStart w:id="174" w:name="_Toc5888498"/>
            <w:r>
              <w:rPr>
                <w:rFonts w:ascii="Times New Roman" w:hAnsi="Times New Roman"/>
                <w:color w:val="auto"/>
                <w:sz w:val="21"/>
                <w:szCs w:val="21"/>
              </w:rPr>
              <w:t>环境要素</w:t>
            </w:r>
          </w:p>
        </w:tc>
        <w:tc>
          <w:tcPr>
            <w:tcW w:w="1538" w:type="dxa"/>
            <w:vMerge w:val="restart"/>
            <w:vAlign w:val="center"/>
          </w:tcPr>
          <w:p>
            <w:pPr>
              <w:pStyle w:val="30"/>
              <w:bidi w:val="0"/>
              <w:rPr>
                <w:rFonts w:hint="eastAsia"/>
                <w:lang w:val="en-US" w:eastAsia="zh-CN"/>
              </w:rPr>
            </w:pPr>
            <w:r>
              <w:rPr>
                <w:rFonts w:hint="eastAsia"/>
                <w:lang w:val="en-US" w:eastAsia="zh-CN"/>
              </w:rPr>
              <w:t>环境保护对象</w:t>
            </w:r>
          </w:p>
        </w:tc>
        <w:tc>
          <w:tcPr>
            <w:tcW w:w="1575" w:type="dxa"/>
            <w:vMerge w:val="restart"/>
            <w:vAlign w:val="center"/>
          </w:tcPr>
          <w:p>
            <w:pPr>
              <w:pStyle w:val="30"/>
              <w:bidi w:val="0"/>
              <w:rPr>
                <w:rFonts w:hint="eastAsia"/>
                <w:lang w:val="en-US" w:eastAsia="zh-CN"/>
              </w:rPr>
            </w:pPr>
            <w:r>
              <w:rPr>
                <w:rFonts w:hint="eastAsia"/>
                <w:lang w:val="en-US" w:eastAsia="zh-CN"/>
              </w:rPr>
              <w:t>相对厂址方位</w:t>
            </w:r>
          </w:p>
        </w:tc>
        <w:tc>
          <w:tcPr>
            <w:tcW w:w="1781" w:type="dxa"/>
            <w:vMerge w:val="restart"/>
            <w:vAlign w:val="center"/>
          </w:tcPr>
          <w:p>
            <w:pPr>
              <w:pStyle w:val="30"/>
              <w:bidi w:val="0"/>
              <w:rPr>
                <w:rFonts w:hint="eastAsia"/>
                <w:lang w:val="en-US" w:eastAsia="zh-CN"/>
              </w:rPr>
            </w:pPr>
            <w:r>
              <w:rPr>
                <w:rFonts w:hint="eastAsia"/>
                <w:lang w:val="en-US" w:eastAsia="zh-CN"/>
              </w:rPr>
              <w:t>相对最近距离(m)</w:t>
            </w:r>
          </w:p>
        </w:tc>
        <w:tc>
          <w:tcPr>
            <w:tcW w:w="1594" w:type="dxa"/>
            <w:vMerge w:val="restart"/>
            <w:vAlign w:val="center"/>
          </w:tcPr>
          <w:p>
            <w:pPr>
              <w:pStyle w:val="30"/>
              <w:bidi w:val="0"/>
              <w:rPr>
                <w:rFonts w:hint="eastAsia"/>
                <w:lang w:val="en-US" w:eastAsia="zh-CN"/>
              </w:rPr>
            </w:pPr>
            <w:r>
              <w:rPr>
                <w:rFonts w:hint="eastAsia"/>
                <w:lang w:val="en-US" w:eastAsia="zh-CN"/>
              </w:rPr>
              <w:t>规模/人数</w:t>
            </w:r>
          </w:p>
        </w:tc>
        <w:tc>
          <w:tcPr>
            <w:tcW w:w="1723"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lang w:val="en-US" w:eastAsia="zh-CN"/>
              </w:rPr>
            </w:pPr>
            <w:r>
              <w:rPr>
                <w:rFonts w:ascii="Times New Roman" w:hAnsi="Times New Roman"/>
                <w:color w:val="auto"/>
                <w:sz w:val="21"/>
                <w:szCs w:val="21"/>
              </w:rPr>
              <w:t>功能类别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7" w:type="dxa"/>
            <w:vMerge w:val="continue"/>
            <w:vAlign w:val="center"/>
          </w:tcPr>
          <w:p>
            <w:pPr>
              <w:pStyle w:val="30"/>
              <w:bidi w:val="0"/>
            </w:pPr>
          </w:p>
        </w:tc>
        <w:tc>
          <w:tcPr>
            <w:tcW w:w="1538" w:type="dxa"/>
            <w:vMerge w:val="continue"/>
            <w:vAlign w:val="center"/>
          </w:tcPr>
          <w:p>
            <w:pPr>
              <w:pStyle w:val="30"/>
              <w:bidi w:val="0"/>
            </w:pPr>
          </w:p>
        </w:tc>
        <w:tc>
          <w:tcPr>
            <w:tcW w:w="1575" w:type="dxa"/>
            <w:vMerge w:val="continue"/>
            <w:vAlign w:val="center"/>
          </w:tcPr>
          <w:p>
            <w:pPr>
              <w:pStyle w:val="30"/>
              <w:bidi w:val="0"/>
            </w:pPr>
          </w:p>
        </w:tc>
        <w:tc>
          <w:tcPr>
            <w:tcW w:w="1781" w:type="dxa"/>
            <w:vMerge w:val="continue"/>
            <w:vAlign w:val="center"/>
          </w:tcPr>
          <w:p>
            <w:pPr>
              <w:pStyle w:val="30"/>
              <w:bidi w:val="0"/>
            </w:pPr>
          </w:p>
        </w:tc>
        <w:tc>
          <w:tcPr>
            <w:tcW w:w="1594" w:type="dxa"/>
            <w:vMerge w:val="continue"/>
            <w:vAlign w:val="center"/>
          </w:tcPr>
          <w:p>
            <w:pPr>
              <w:pStyle w:val="30"/>
              <w:bidi w:val="0"/>
            </w:pP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lang w:val="en-US" w:eastAsia="zh-CN"/>
              </w:rPr>
            </w:pPr>
            <w:r>
              <w:rPr>
                <w:rFonts w:ascii="Times New Roman" w:hAnsi="Times New Roman"/>
                <w:color w:val="auto"/>
                <w:sz w:val="21"/>
                <w:szCs w:val="21"/>
              </w:rPr>
              <w:t>环境风险</w:t>
            </w:r>
          </w:p>
        </w:tc>
        <w:tc>
          <w:tcPr>
            <w:tcW w:w="1538" w:type="dxa"/>
            <w:vAlign w:val="center"/>
          </w:tcPr>
          <w:p>
            <w:pPr>
              <w:pStyle w:val="30"/>
              <w:bidi w:val="0"/>
              <w:rPr>
                <w:rFonts w:hint="eastAsia"/>
                <w:lang w:val="en-US" w:eastAsia="zh-CN"/>
              </w:rPr>
            </w:pPr>
            <w:r>
              <w:rPr>
                <w:rFonts w:hint="eastAsia"/>
                <w:lang w:val="en-US" w:eastAsia="zh-CN"/>
              </w:rPr>
              <w:t>后王庄</w:t>
            </w:r>
          </w:p>
        </w:tc>
        <w:tc>
          <w:tcPr>
            <w:tcW w:w="1575" w:type="dxa"/>
            <w:vAlign w:val="center"/>
          </w:tcPr>
          <w:p>
            <w:pPr>
              <w:pStyle w:val="30"/>
              <w:bidi w:val="0"/>
              <w:rPr>
                <w:rFonts w:hint="default"/>
                <w:lang w:val="en-US" w:eastAsia="zh-CN"/>
              </w:rPr>
            </w:pPr>
            <w:r>
              <w:rPr>
                <w:rFonts w:hint="eastAsia"/>
                <w:lang w:val="en-US" w:eastAsia="zh-CN"/>
              </w:rPr>
              <w:t>SW</w:t>
            </w:r>
          </w:p>
        </w:tc>
        <w:tc>
          <w:tcPr>
            <w:tcW w:w="1781" w:type="dxa"/>
            <w:vAlign w:val="center"/>
          </w:tcPr>
          <w:p>
            <w:pPr>
              <w:pStyle w:val="30"/>
              <w:bidi w:val="0"/>
              <w:rPr>
                <w:rFonts w:hint="default"/>
                <w:lang w:val="en-US" w:eastAsia="zh-CN"/>
              </w:rPr>
            </w:pPr>
            <w:r>
              <w:rPr>
                <w:rFonts w:hint="eastAsia"/>
                <w:lang w:val="en-US" w:eastAsia="zh-CN"/>
              </w:rPr>
              <w:t>120</w:t>
            </w:r>
          </w:p>
        </w:tc>
        <w:tc>
          <w:tcPr>
            <w:tcW w:w="1594" w:type="dxa"/>
            <w:vAlign w:val="center"/>
          </w:tcPr>
          <w:p>
            <w:pPr>
              <w:pStyle w:val="30"/>
              <w:bidi w:val="0"/>
              <w:rPr>
                <w:rFonts w:hint="eastAsia"/>
                <w:lang w:val="en-US" w:eastAsia="zh-CN"/>
              </w:rPr>
            </w:pPr>
            <w:r>
              <w:rPr>
                <w:rFonts w:hint="eastAsia"/>
                <w:lang w:val="en-US" w:eastAsia="zh-CN"/>
              </w:rPr>
              <w:t>2100人</w:t>
            </w:r>
          </w:p>
        </w:tc>
        <w:tc>
          <w:tcPr>
            <w:tcW w:w="1723"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pPr>
            <w:r>
              <w:rPr>
                <w:rFonts w:ascii="Times New Roman" w:hAnsi="Times New Roman"/>
                <w:color w:val="auto"/>
                <w:sz w:val="21"/>
                <w:szCs w:val="21"/>
              </w:rPr>
              <w:t>人群健康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val="en-US" w:eastAsia="zh-CN"/>
              </w:rPr>
            </w:pPr>
            <w:r>
              <w:rPr>
                <w:rFonts w:hint="eastAsia"/>
                <w:lang w:eastAsia="zh-CN"/>
              </w:rPr>
              <w:t>常宋</w:t>
            </w:r>
          </w:p>
        </w:tc>
        <w:tc>
          <w:tcPr>
            <w:tcW w:w="1575" w:type="dxa"/>
            <w:vAlign w:val="center"/>
          </w:tcPr>
          <w:p>
            <w:pPr>
              <w:pStyle w:val="30"/>
              <w:bidi w:val="0"/>
              <w:ind w:firstLine="0" w:firstLineChars="0"/>
              <w:rPr>
                <w:rFonts w:hint="eastAsia"/>
                <w:lang w:val="en-US" w:eastAsia="zh-CN"/>
              </w:rPr>
            </w:pPr>
            <w:r>
              <w:rPr>
                <w:rFonts w:hint="eastAsia"/>
                <w:lang w:val="en-US" w:eastAsia="zh-CN"/>
              </w:rPr>
              <w:t>NE</w:t>
            </w:r>
          </w:p>
        </w:tc>
        <w:tc>
          <w:tcPr>
            <w:tcW w:w="1781" w:type="dxa"/>
            <w:vAlign w:val="center"/>
          </w:tcPr>
          <w:p>
            <w:pPr>
              <w:pStyle w:val="30"/>
              <w:bidi w:val="0"/>
              <w:ind w:firstLine="0" w:firstLineChars="0"/>
              <w:rPr>
                <w:rFonts w:hint="eastAsia"/>
                <w:lang w:val="en-US" w:eastAsia="zh-CN"/>
              </w:rPr>
            </w:pPr>
            <w:r>
              <w:rPr>
                <w:rFonts w:hint="eastAsia"/>
                <w:lang w:val="en-US" w:eastAsia="zh-CN"/>
              </w:rPr>
              <w:t>405</w:t>
            </w:r>
          </w:p>
        </w:tc>
        <w:tc>
          <w:tcPr>
            <w:tcW w:w="1594" w:type="dxa"/>
            <w:vAlign w:val="center"/>
          </w:tcPr>
          <w:p>
            <w:pPr>
              <w:pStyle w:val="30"/>
              <w:bidi w:val="0"/>
              <w:ind w:firstLine="0" w:firstLineChars="0"/>
              <w:rPr>
                <w:rFonts w:hint="eastAsia"/>
                <w:lang w:val="en-US" w:eastAsia="zh-CN"/>
              </w:rPr>
            </w:pPr>
            <w:r>
              <w:rPr>
                <w:rFonts w:hint="eastAsia"/>
                <w:lang w:val="en-US" w:eastAsia="zh-CN"/>
              </w:rPr>
              <w:t>1000人</w:t>
            </w:r>
          </w:p>
        </w:tc>
        <w:tc>
          <w:tcPr>
            <w:tcW w:w="1723" w:type="dxa"/>
            <w:vMerge w:val="continue"/>
            <w:vAlign w:val="center"/>
          </w:tcPr>
          <w:p>
            <w:pPr>
              <w:pStyle w:val="30"/>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val="en-US" w:eastAsia="zh-CN"/>
              </w:rPr>
            </w:pPr>
            <w:r>
              <w:rPr>
                <w:rFonts w:hint="eastAsia"/>
                <w:lang w:val="en-US" w:eastAsia="zh-CN"/>
              </w:rPr>
              <w:t>二郎庙村</w:t>
            </w:r>
          </w:p>
        </w:tc>
        <w:tc>
          <w:tcPr>
            <w:tcW w:w="1575" w:type="dxa"/>
            <w:vAlign w:val="center"/>
          </w:tcPr>
          <w:p>
            <w:pPr>
              <w:pStyle w:val="30"/>
              <w:bidi w:val="0"/>
              <w:rPr>
                <w:rFonts w:hint="default"/>
                <w:lang w:val="en-US" w:eastAsia="zh-CN"/>
              </w:rPr>
            </w:pPr>
            <w:r>
              <w:rPr>
                <w:rFonts w:hint="eastAsia"/>
                <w:lang w:val="en-US" w:eastAsia="zh-CN"/>
              </w:rPr>
              <w:t>SW</w:t>
            </w:r>
          </w:p>
        </w:tc>
        <w:tc>
          <w:tcPr>
            <w:tcW w:w="1781" w:type="dxa"/>
            <w:vAlign w:val="center"/>
          </w:tcPr>
          <w:p>
            <w:pPr>
              <w:pStyle w:val="30"/>
              <w:bidi w:val="0"/>
              <w:rPr>
                <w:rFonts w:hint="default"/>
                <w:lang w:val="en-US" w:eastAsia="zh-CN"/>
              </w:rPr>
            </w:pPr>
            <w:r>
              <w:rPr>
                <w:rFonts w:hint="eastAsia"/>
                <w:lang w:val="en-US" w:eastAsia="zh-CN"/>
              </w:rPr>
              <w:t>550</w:t>
            </w:r>
          </w:p>
        </w:tc>
        <w:tc>
          <w:tcPr>
            <w:tcW w:w="1594" w:type="dxa"/>
            <w:vAlign w:val="center"/>
          </w:tcPr>
          <w:p>
            <w:pPr>
              <w:pStyle w:val="30"/>
              <w:bidi w:val="0"/>
              <w:rPr>
                <w:rFonts w:hint="default"/>
                <w:lang w:val="en-US" w:eastAsia="zh-CN"/>
              </w:rPr>
            </w:pPr>
            <w:r>
              <w:rPr>
                <w:rFonts w:hint="eastAsia"/>
                <w:lang w:val="en-US" w:eastAsia="zh-CN"/>
              </w:rPr>
              <w:t>1800人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pPr>
            <w:r>
              <w:rPr>
                <w:rFonts w:hint="eastAsia"/>
                <w:lang w:eastAsia="zh-CN"/>
              </w:rPr>
              <w:t>齐庄村</w:t>
            </w:r>
          </w:p>
        </w:tc>
        <w:tc>
          <w:tcPr>
            <w:tcW w:w="1575" w:type="dxa"/>
            <w:vAlign w:val="center"/>
          </w:tcPr>
          <w:p>
            <w:pPr>
              <w:pStyle w:val="30"/>
              <w:bidi w:val="0"/>
              <w:rPr>
                <w:rFonts w:hint="eastAsia" w:eastAsia="宋体"/>
                <w:lang w:val="en-US" w:eastAsia="zh-CN"/>
              </w:rPr>
            </w:pPr>
            <w:r>
              <w:rPr>
                <w:rFonts w:hint="eastAsia"/>
                <w:lang w:val="en-US" w:eastAsia="zh-CN"/>
              </w:rPr>
              <w:t>S</w:t>
            </w:r>
          </w:p>
        </w:tc>
        <w:tc>
          <w:tcPr>
            <w:tcW w:w="1781" w:type="dxa"/>
            <w:vAlign w:val="center"/>
          </w:tcPr>
          <w:p>
            <w:pPr>
              <w:pStyle w:val="30"/>
              <w:bidi w:val="0"/>
              <w:rPr>
                <w:rFonts w:hint="default" w:eastAsia="宋体"/>
                <w:lang w:val="en-US" w:eastAsia="zh-CN"/>
              </w:rPr>
            </w:pPr>
            <w:r>
              <w:rPr>
                <w:rFonts w:hint="eastAsia"/>
                <w:lang w:val="en-US" w:eastAsia="zh-CN"/>
              </w:rPr>
              <w:t>670</w:t>
            </w:r>
          </w:p>
        </w:tc>
        <w:tc>
          <w:tcPr>
            <w:tcW w:w="1594" w:type="dxa"/>
            <w:vAlign w:val="center"/>
          </w:tcPr>
          <w:p>
            <w:pPr>
              <w:pStyle w:val="30"/>
              <w:bidi w:val="0"/>
              <w:rPr>
                <w:rFonts w:hint="default"/>
                <w:lang w:val="en-US" w:eastAsia="zh-CN"/>
              </w:rPr>
            </w:pPr>
            <w:r>
              <w:rPr>
                <w:rFonts w:hint="eastAsia"/>
                <w:lang w:val="en-US" w:eastAsia="zh-CN"/>
              </w:rPr>
              <w:t>1800人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老龚庄村</w:t>
            </w:r>
          </w:p>
        </w:tc>
        <w:tc>
          <w:tcPr>
            <w:tcW w:w="1575" w:type="dxa"/>
            <w:vAlign w:val="center"/>
          </w:tcPr>
          <w:p>
            <w:pPr>
              <w:pStyle w:val="30"/>
              <w:bidi w:val="0"/>
              <w:ind w:firstLine="0" w:firstLineChars="0"/>
              <w:rPr>
                <w:rFonts w:hint="default" w:eastAsia="宋体"/>
                <w:lang w:val="en-US" w:eastAsia="zh-CN"/>
              </w:rPr>
            </w:pPr>
            <w:r>
              <w:rPr>
                <w:rFonts w:hint="eastAsia"/>
                <w:lang w:val="en-US" w:eastAsia="zh-CN"/>
              </w:rPr>
              <w:t>NW</w:t>
            </w:r>
          </w:p>
        </w:tc>
        <w:tc>
          <w:tcPr>
            <w:tcW w:w="1781" w:type="dxa"/>
            <w:vAlign w:val="center"/>
          </w:tcPr>
          <w:p>
            <w:pPr>
              <w:pStyle w:val="30"/>
              <w:bidi w:val="0"/>
              <w:ind w:firstLine="0" w:firstLineChars="0"/>
              <w:rPr>
                <w:rFonts w:hint="default"/>
                <w:lang w:val="en-US" w:eastAsia="zh-CN"/>
              </w:rPr>
            </w:pPr>
            <w:r>
              <w:rPr>
                <w:rFonts w:hint="eastAsia"/>
                <w:lang w:val="en-US" w:eastAsia="zh-CN"/>
              </w:rPr>
              <w:t>710</w:t>
            </w:r>
          </w:p>
        </w:tc>
        <w:tc>
          <w:tcPr>
            <w:tcW w:w="1594" w:type="dxa"/>
            <w:vAlign w:val="center"/>
          </w:tcPr>
          <w:p>
            <w:pPr>
              <w:pStyle w:val="30"/>
              <w:bidi w:val="0"/>
              <w:ind w:firstLine="0" w:firstLineChars="0"/>
              <w:rPr>
                <w:rFonts w:hint="default"/>
                <w:lang w:val="en-US" w:eastAsia="zh-CN"/>
              </w:rPr>
            </w:pPr>
            <w:r>
              <w:rPr>
                <w:rFonts w:hint="eastAsia"/>
                <w:lang w:val="en-US" w:eastAsia="zh-CN"/>
              </w:rPr>
              <w:t>1200人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程湾</w:t>
            </w:r>
          </w:p>
        </w:tc>
        <w:tc>
          <w:tcPr>
            <w:tcW w:w="1575" w:type="dxa"/>
            <w:vAlign w:val="center"/>
          </w:tcPr>
          <w:p>
            <w:pPr>
              <w:pStyle w:val="30"/>
              <w:bidi w:val="0"/>
              <w:ind w:firstLine="0" w:firstLineChars="0"/>
              <w:rPr>
                <w:rFonts w:hint="eastAsia"/>
                <w:lang w:val="en-US" w:eastAsia="zh-CN"/>
              </w:rPr>
            </w:pPr>
            <w:r>
              <w:rPr>
                <w:rFonts w:hint="eastAsia"/>
                <w:lang w:val="en-US" w:eastAsia="zh-CN"/>
              </w:rPr>
              <w:t>W</w:t>
            </w:r>
          </w:p>
        </w:tc>
        <w:tc>
          <w:tcPr>
            <w:tcW w:w="1781" w:type="dxa"/>
            <w:vAlign w:val="center"/>
          </w:tcPr>
          <w:p>
            <w:pPr>
              <w:pStyle w:val="30"/>
              <w:bidi w:val="0"/>
              <w:ind w:firstLine="0" w:firstLineChars="0"/>
              <w:rPr>
                <w:rFonts w:hint="eastAsia"/>
                <w:lang w:val="en-US" w:eastAsia="zh-CN"/>
              </w:rPr>
            </w:pPr>
            <w:r>
              <w:rPr>
                <w:rFonts w:hint="eastAsia"/>
                <w:lang w:val="en-US" w:eastAsia="zh-CN"/>
              </w:rPr>
              <w:t>830</w:t>
            </w:r>
          </w:p>
        </w:tc>
        <w:tc>
          <w:tcPr>
            <w:tcW w:w="1594" w:type="dxa"/>
            <w:vAlign w:val="center"/>
          </w:tcPr>
          <w:p>
            <w:pPr>
              <w:pStyle w:val="30"/>
              <w:bidi w:val="0"/>
              <w:ind w:firstLine="0" w:firstLineChars="0"/>
              <w:rPr>
                <w:rFonts w:hint="eastAsia"/>
                <w:lang w:val="en-US" w:eastAsia="zh-CN"/>
              </w:rPr>
            </w:pPr>
            <w:r>
              <w:rPr>
                <w:rFonts w:hint="eastAsia"/>
                <w:lang w:val="en-US" w:eastAsia="zh-CN"/>
              </w:rPr>
              <w:t>600人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eastAsia="zh-CN"/>
              </w:rPr>
            </w:pPr>
            <w:r>
              <w:rPr>
                <w:rFonts w:hint="eastAsia"/>
                <w:lang w:eastAsia="zh-CN"/>
              </w:rPr>
              <w:t>袁庄村</w:t>
            </w:r>
          </w:p>
        </w:tc>
        <w:tc>
          <w:tcPr>
            <w:tcW w:w="1575" w:type="dxa"/>
            <w:vAlign w:val="center"/>
          </w:tcPr>
          <w:p>
            <w:pPr>
              <w:pStyle w:val="30"/>
              <w:bidi w:val="0"/>
              <w:rPr>
                <w:rFonts w:hint="eastAsia"/>
                <w:lang w:val="en-US" w:eastAsia="zh-CN"/>
              </w:rPr>
            </w:pPr>
            <w:r>
              <w:rPr>
                <w:rFonts w:hint="eastAsia"/>
                <w:lang w:val="en-US" w:eastAsia="zh-CN"/>
              </w:rPr>
              <w:t>NE</w:t>
            </w:r>
          </w:p>
        </w:tc>
        <w:tc>
          <w:tcPr>
            <w:tcW w:w="1781" w:type="dxa"/>
            <w:vAlign w:val="center"/>
          </w:tcPr>
          <w:p>
            <w:pPr>
              <w:pStyle w:val="30"/>
              <w:bidi w:val="0"/>
              <w:rPr>
                <w:rFonts w:hint="default"/>
                <w:lang w:val="en-US" w:eastAsia="zh-CN"/>
              </w:rPr>
            </w:pPr>
            <w:r>
              <w:rPr>
                <w:rFonts w:hint="eastAsia"/>
                <w:lang w:val="en-US" w:eastAsia="zh-CN"/>
              </w:rPr>
              <w:t>913</w:t>
            </w:r>
          </w:p>
        </w:tc>
        <w:tc>
          <w:tcPr>
            <w:tcW w:w="1594" w:type="dxa"/>
            <w:vAlign w:val="center"/>
          </w:tcPr>
          <w:p>
            <w:pPr>
              <w:pStyle w:val="30"/>
              <w:bidi w:val="0"/>
              <w:rPr>
                <w:rFonts w:hint="default"/>
                <w:lang w:val="en-US" w:eastAsia="zh-CN"/>
              </w:rPr>
            </w:pPr>
            <w:r>
              <w:rPr>
                <w:rFonts w:hint="eastAsia"/>
                <w:lang w:val="en-US" w:eastAsia="zh-CN"/>
              </w:rPr>
              <w:t>1000人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张窖</w:t>
            </w:r>
          </w:p>
        </w:tc>
        <w:tc>
          <w:tcPr>
            <w:tcW w:w="1575" w:type="dxa"/>
            <w:vAlign w:val="center"/>
          </w:tcPr>
          <w:p>
            <w:pPr>
              <w:pStyle w:val="30"/>
              <w:bidi w:val="0"/>
              <w:ind w:firstLine="0" w:firstLineChars="0"/>
              <w:rPr>
                <w:rFonts w:hint="default"/>
                <w:lang w:val="en-US" w:eastAsia="zh-CN"/>
              </w:rPr>
            </w:pPr>
            <w:r>
              <w:rPr>
                <w:rFonts w:hint="eastAsia"/>
                <w:lang w:val="en-US" w:eastAsia="zh-CN"/>
              </w:rPr>
              <w:t>SE</w:t>
            </w:r>
          </w:p>
        </w:tc>
        <w:tc>
          <w:tcPr>
            <w:tcW w:w="1781" w:type="dxa"/>
            <w:vAlign w:val="center"/>
          </w:tcPr>
          <w:p>
            <w:pPr>
              <w:pStyle w:val="30"/>
              <w:bidi w:val="0"/>
              <w:ind w:firstLine="0" w:firstLineChars="0"/>
              <w:rPr>
                <w:rFonts w:hint="default"/>
                <w:lang w:val="en-US" w:eastAsia="zh-CN"/>
              </w:rPr>
            </w:pPr>
            <w:r>
              <w:rPr>
                <w:rFonts w:hint="eastAsia"/>
                <w:lang w:val="en-US" w:eastAsia="zh-CN"/>
              </w:rPr>
              <w:t>1073</w:t>
            </w:r>
          </w:p>
        </w:tc>
        <w:tc>
          <w:tcPr>
            <w:tcW w:w="1594" w:type="dxa"/>
            <w:vAlign w:val="center"/>
          </w:tcPr>
          <w:p>
            <w:pPr>
              <w:pStyle w:val="30"/>
              <w:bidi w:val="0"/>
              <w:ind w:firstLine="0" w:firstLineChars="0"/>
              <w:rPr>
                <w:rFonts w:hint="default"/>
                <w:lang w:val="en-US" w:eastAsia="zh-CN"/>
              </w:rPr>
            </w:pPr>
            <w:r>
              <w:rPr>
                <w:rFonts w:hint="eastAsia"/>
                <w:lang w:val="en-US" w:eastAsia="zh-CN"/>
              </w:rPr>
              <w:t>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沙朱王</w:t>
            </w:r>
          </w:p>
        </w:tc>
        <w:tc>
          <w:tcPr>
            <w:tcW w:w="1575" w:type="dxa"/>
            <w:vAlign w:val="center"/>
          </w:tcPr>
          <w:p>
            <w:pPr>
              <w:pStyle w:val="30"/>
              <w:bidi w:val="0"/>
              <w:ind w:firstLine="0" w:firstLineChars="0"/>
              <w:rPr>
                <w:rFonts w:hint="default"/>
                <w:lang w:val="en-US" w:eastAsia="zh-CN"/>
              </w:rPr>
            </w:pPr>
            <w:r>
              <w:rPr>
                <w:rFonts w:hint="eastAsia"/>
                <w:lang w:val="en-US" w:eastAsia="zh-CN"/>
              </w:rPr>
              <w:t>NE</w:t>
            </w:r>
          </w:p>
        </w:tc>
        <w:tc>
          <w:tcPr>
            <w:tcW w:w="1781" w:type="dxa"/>
            <w:vAlign w:val="center"/>
          </w:tcPr>
          <w:p>
            <w:pPr>
              <w:pStyle w:val="30"/>
              <w:bidi w:val="0"/>
              <w:ind w:firstLine="0" w:firstLineChars="0"/>
              <w:rPr>
                <w:rFonts w:hint="default"/>
                <w:lang w:val="en-US" w:eastAsia="zh-CN"/>
              </w:rPr>
            </w:pPr>
            <w:r>
              <w:rPr>
                <w:rFonts w:hint="eastAsia"/>
                <w:lang w:val="en-US" w:eastAsia="zh-CN"/>
              </w:rPr>
              <w:t>1236</w:t>
            </w:r>
          </w:p>
        </w:tc>
        <w:tc>
          <w:tcPr>
            <w:tcW w:w="1594" w:type="dxa"/>
            <w:vAlign w:val="center"/>
          </w:tcPr>
          <w:p>
            <w:pPr>
              <w:pStyle w:val="30"/>
              <w:bidi w:val="0"/>
              <w:ind w:firstLine="0" w:firstLineChars="0"/>
              <w:rPr>
                <w:rFonts w:hint="default"/>
                <w:lang w:val="en-US" w:eastAsia="zh-CN"/>
              </w:rPr>
            </w:pPr>
            <w:r>
              <w:rPr>
                <w:rFonts w:hint="eastAsia"/>
                <w:lang w:val="en-US" w:eastAsia="zh-CN"/>
              </w:rPr>
              <w:t>1800人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eastAsia="宋体"/>
                <w:lang w:eastAsia="zh-CN"/>
              </w:rPr>
            </w:pPr>
            <w:r>
              <w:rPr>
                <w:rFonts w:hint="eastAsia"/>
                <w:lang w:eastAsia="zh-CN"/>
              </w:rPr>
              <w:t>汪庄村</w:t>
            </w:r>
          </w:p>
        </w:tc>
        <w:tc>
          <w:tcPr>
            <w:tcW w:w="1575" w:type="dxa"/>
            <w:vAlign w:val="center"/>
          </w:tcPr>
          <w:p>
            <w:pPr>
              <w:pStyle w:val="30"/>
              <w:bidi w:val="0"/>
              <w:rPr>
                <w:rFonts w:hint="default"/>
                <w:lang w:val="en-US" w:eastAsia="zh-CN"/>
              </w:rPr>
            </w:pPr>
            <w:r>
              <w:rPr>
                <w:rFonts w:hint="eastAsia"/>
                <w:lang w:val="en-US" w:eastAsia="zh-CN"/>
              </w:rPr>
              <w:t>NW</w:t>
            </w:r>
          </w:p>
        </w:tc>
        <w:tc>
          <w:tcPr>
            <w:tcW w:w="1781" w:type="dxa"/>
            <w:vAlign w:val="center"/>
          </w:tcPr>
          <w:p>
            <w:pPr>
              <w:pStyle w:val="30"/>
              <w:bidi w:val="0"/>
              <w:rPr>
                <w:rFonts w:hint="default"/>
                <w:lang w:val="en-US" w:eastAsia="zh-CN"/>
              </w:rPr>
            </w:pPr>
            <w:r>
              <w:rPr>
                <w:rFonts w:hint="eastAsia"/>
                <w:lang w:val="en-US" w:eastAsia="zh-CN"/>
              </w:rPr>
              <w:t>1283</w:t>
            </w:r>
          </w:p>
        </w:tc>
        <w:tc>
          <w:tcPr>
            <w:tcW w:w="1594" w:type="dxa"/>
            <w:vAlign w:val="center"/>
          </w:tcPr>
          <w:p>
            <w:pPr>
              <w:pStyle w:val="30"/>
              <w:bidi w:val="0"/>
            </w:pPr>
            <w:r>
              <w:rPr>
                <w:rFonts w:hint="eastAsia"/>
                <w:lang w:val="en-US" w:eastAsia="zh-CN"/>
              </w:rPr>
              <w:t>2400人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庆庄村</w:t>
            </w:r>
          </w:p>
        </w:tc>
        <w:tc>
          <w:tcPr>
            <w:tcW w:w="1575" w:type="dxa"/>
            <w:vAlign w:val="center"/>
          </w:tcPr>
          <w:p>
            <w:pPr>
              <w:pStyle w:val="30"/>
              <w:bidi w:val="0"/>
              <w:ind w:firstLine="0" w:firstLineChars="0"/>
              <w:rPr>
                <w:rFonts w:hint="default"/>
                <w:lang w:val="en-US" w:eastAsia="zh-CN"/>
              </w:rPr>
            </w:pPr>
            <w:r>
              <w:rPr>
                <w:rFonts w:hint="eastAsia"/>
                <w:lang w:val="en-US" w:eastAsia="zh-CN"/>
              </w:rPr>
              <w:t>E</w:t>
            </w:r>
          </w:p>
        </w:tc>
        <w:tc>
          <w:tcPr>
            <w:tcW w:w="1781" w:type="dxa"/>
            <w:vAlign w:val="center"/>
          </w:tcPr>
          <w:p>
            <w:pPr>
              <w:pStyle w:val="30"/>
              <w:bidi w:val="0"/>
              <w:ind w:firstLine="0" w:firstLineChars="0"/>
              <w:rPr>
                <w:rFonts w:hint="default"/>
                <w:lang w:val="en-US" w:eastAsia="zh-CN"/>
              </w:rPr>
            </w:pPr>
            <w:r>
              <w:rPr>
                <w:rFonts w:hint="eastAsia"/>
                <w:lang w:val="en-US" w:eastAsia="zh-CN"/>
              </w:rPr>
              <w:t>1322</w:t>
            </w:r>
          </w:p>
        </w:tc>
        <w:tc>
          <w:tcPr>
            <w:tcW w:w="1594" w:type="dxa"/>
            <w:vAlign w:val="center"/>
          </w:tcPr>
          <w:p>
            <w:pPr>
              <w:pStyle w:val="30"/>
              <w:bidi w:val="0"/>
              <w:ind w:firstLine="0" w:firstLineChars="0"/>
              <w:rPr>
                <w:rFonts w:hint="default"/>
                <w:lang w:val="en-US" w:eastAsia="zh-CN"/>
              </w:rPr>
            </w:pPr>
            <w:r>
              <w:rPr>
                <w:rFonts w:hint="eastAsia"/>
                <w:lang w:val="en-US" w:eastAsia="zh-CN"/>
              </w:rPr>
              <w:t>2400人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eastAsia="zh-CN"/>
              </w:rPr>
            </w:pPr>
            <w:r>
              <w:rPr>
                <w:rFonts w:hint="eastAsia"/>
                <w:lang w:eastAsia="zh-CN"/>
              </w:rPr>
              <w:t>任庄村</w:t>
            </w:r>
          </w:p>
        </w:tc>
        <w:tc>
          <w:tcPr>
            <w:tcW w:w="1575" w:type="dxa"/>
            <w:vAlign w:val="center"/>
          </w:tcPr>
          <w:p>
            <w:pPr>
              <w:pStyle w:val="30"/>
              <w:bidi w:val="0"/>
              <w:rPr>
                <w:rFonts w:hint="default"/>
                <w:lang w:val="en-US" w:eastAsia="zh-CN"/>
              </w:rPr>
            </w:pPr>
            <w:r>
              <w:rPr>
                <w:rFonts w:hint="eastAsia"/>
                <w:lang w:val="en-US" w:eastAsia="zh-CN"/>
              </w:rPr>
              <w:t>NE</w:t>
            </w:r>
          </w:p>
        </w:tc>
        <w:tc>
          <w:tcPr>
            <w:tcW w:w="1781" w:type="dxa"/>
            <w:vAlign w:val="center"/>
          </w:tcPr>
          <w:p>
            <w:pPr>
              <w:pStyle w:val="30"/>
              <w:bidi w:val="0"/>
              <w:rPr>
                <w:rFonts w:hint="default"/>
                <w:lang w:val="en-US" w:eastAsia="zh-CN"/>
              </w:rPr>
            </w:pPr>
            <w:r>
              <w:rPr>
                <w:rFonts w:hint="eastAsia"/>
                <w:lang w:val="en-US" w:eastAsia="zh-CN"/>
              </w:rPr>
              <w:t>1810</w:t>
            </w:r>
          </w:p>
        </w:tc>
        <w:tc>
          <w:tcPr>
            <w:tcW w:w="1594" w:type="dxa"/>
            <w:vAlign w:val="center"/>
          </w:tcPr>
          <w:p>
            <w:pPr>
              <w:pStyle w:val="30"/>
              <w:bidi w:val="0"/>
              <w:rPr>
                <w:rFonts w:hint="default"/>
                <w:lang w:val="en-US"/>
              </w:rPr>
            </w:pPr>
            <w:r>
              <w:rPr>
                <w:rFonts w:hint="eastAsia"/>
                <w:lang w:val="en-US" w:eastAsia="zh-CN"/>
              </w:rPr>
              <w:t>2000</w:t>
            </w:r>
            <w:r>
              <w:rPr>
                <w:rFonts w:hint="default"/>
                <w:lang w:val="en-US" w:eastAsia="zh-CN"/>
              </w:rPr>
              <w:t>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新顾村</w:t>
            </w:r>
          </w:p>
        </w:tc>
        <w:tc>
          <w:tcPr>
            <w:tcW w:w="1575" w:type="dxa"/>
            <w:vAlign w:val="center"/>
          </w:tcPr>
          <w:p>
            <w:pPr>
              <w:pStyle w:val="30"/>
              <w:bidi w:val="0"/>
              <w:ind w:firstLine="0" w:firstLineChars="0"/>
              <w:rPr>
                <w:rFonts w:hint="eastAsia"/>
                <w:lang w:val="en-US" w:eastAsia="zh-CN"/>
              </w:rPr>
            </w:pPr>
            <w:r>
              <w:rPr>
                <w:rFonts w:hint="eastAsia"/>
                <w:lang w:val="en-US" w:eastAsia="zh-CN"/>
              </w:rPr>
              <w:t>W</w:t>
            </w:r>
          </w:p>
        </w:tc>
        <w:tc>
          <w:tcPr>
            <w:tcW w:w="1781" w:type="dxa"/>
            <w:vAlign w:val="center"/>
          </w:tcPr>
          <w:p>
            <w:pPr>
              <w:pStyle w:val="30"/>
              <w:bidi w:val="0"/>
              <w:ind w:firstLine="0" w:firstLineChars="0"/>
              <w:rPr>
                <w:rFonts w:hint="eastAsia"/>
                <w:lang w:val="en-US" w:eastAsia="zh-CN"/>
              </w:rPr>
            </w:pPr>
            <w:r>
              <w:rPr>
                <w:rFonts w:hint="eastAsia"/>
                <w:lang w:val="en-US" w:eastAsia="zh-CN"/>
              </w:rPr>
              <w:t>1836</w:t>
            </w:r>
          </w:p>
        </w:tc>
        <w:tc>
          <w:tcPr>
            <w:tcW w:w="1594" w:type="dxa"/>
            <w:vAlign w:val="center"/>
          </w:tcPr>
          <w:p>
            <w:pPr>
              <w:pStyle w:val="30"/>
              <w:bidi w:val="0"/>
              <w:ind w:firstLine="0" w:firstLineChars="0"/>
              <w:rPr>
                <w:rFonts w:hint="eastAsia"/>
                <w:lang w:val="en-US" w:eastAsia="zh-CN"/>
              </w:rPr>
            </w:pPr>
            <w:r>
              <w:rPr>
                <w:rFonts w:hint="eastAsia"/>
                <w:lang w:val="en-US" w:eastAsia="zh-CN"/>
              </w:rPr>
              <w:t>2100人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桂张</w:t>
            </w:r>
          </w:p>
        </w:tc>
        <w:tc>
          <w:tcPr>
            <w:tcW w:w="1575" w:type="dxa"/>
            <w:vAlign w:val="center"/>
          </w:tcPr>
          <w:p>
            <w:pPr>
              <w:pStyle w:val="30"/>
              <w:bidi w:val="0"/>
              <w:ind w:firstLine="0" w:firstLineChars="0"/>
              <w:rPr>
                <w:rFonts w:hint="default"/>
                <w:lang w:val="en-US" w:eastAsia="zh-CN"/>
              </w:rPr>
            </w:pPr>
            <w:r>
              <w:rPr>
                <w:rFonts w:hint="eastAsia"/>
                <w:lang w:val="en-US" w:eastAsia="zh-CN"/>
              </w:rPr>
              <w:t>E</w:t>
            </w:r>
          </w:p>
        </w:tc>
        <w:tc>
          <w:tcPr>
            <w:tcW w:w="1781" w:type="dxa"/>
            <w:vAlign w:val="center"/>
          </w:tcPr>
          <w:p>
            <w:pPr>
              <w:pStyle w:val="30"/>
              <w:bidi w:val="0"/>
              <w:ind w:firstLine="0" w:firstLineChars="0"/>
              <w:rPr>
                <w:rFonts w:hint="default"/>
                <w:lang w:val="en-US" w:eastAsia="zh-CN"/>
              </w:rPr>
            </w:pPr>
            <w:r>
              <w:rPr>
                <w:rFonts w:hint="eastAsia"/>
                <w:lang w:val="en-US" w:eastAsia="zh-CN"/>
              </w:rPr>
              <w:t>2005</w:t>
            </w:r>
          </w:p>
        </w:tc>
        <w:tc>
          <w:tcPr>
            <w:tcW w:w="1594" w:type="dxa"/>
            <w:vAlign w:val="center"/>
          </w:tcPr>
          <w:p>
            <w:pPr>
              <w:pStyle w:val="30"/>
              <w:bidi w:val="0"/>
              <w:ind w:firstLine="0" w:firstLineChars="0"/>
              <w:rPr>
                <w:rFonts w:hint="default"/>
                <w:lang w:val="en-US" w:eastAsia="zh-CN"/>
              </w:rPr>
            </w:pPr>
            <w:r>
              <w:rPr>
                <w:rFonts w:hint="eastAsia"/>
                <w:lang w:val="en-US" w:eastAsia="zh-CN"/>
              </w:rPr>
              <w:t>600人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邵庄村</w:t>
            </w:r>
          </w:p>
        </w:tc>
        <w:tc>
          <w:tcPr>
            <w:tcW w:w="1575" w:type="dxa"/>
            <w:vAlign w:val="center"/>
          </w:tcPr>
          <w:p>
            <w:pPr>
              <w:pStyle w:val="30"/>
              <w:bidi w:val="0"/>
              <w:ind w:firstLine="0" w:firstLineChars="0"/>
              <w:rPr>
                <w:rFonts w:hint="eastAsia"/>
                <w:lang w:val="en-US" w:eastAsia="zh-CN"/>
              </w:rPr>
            </w:pPr>
            <w:r>
              <w:rPr>
                <w:rFonts w:hint="eastAsia"/>
                <w:lang w:val="en-US" w:eastAsia="zh-CN"/>
              </w:rPr>
              <w:t>SE</w:t>
            </w:r>
          </w:p>
        </w:tc>
        <w:tc>
          <w:tcPr>
            <w:tcW w:w="1781" w:type="dxa"/>
            <w:vAlign w:val="center"/>
          </w:tcPr>
          <w:p>
            <w:pPr>
              <w:pStyle w:val="30"/>
              <w:bidi w:val="0"/>
              <w:ind w:firstLine="0" w:firstLineChars="0"/>
              <w:rPr>
                <w:rFonts w:hint="eastAsia"/>
                <w:lang w:val="en-US" w:eastAsia="zh-CN"/>
              </w:rPr>
            </w:pPr>
            <w:r>
              <w:rPr>
                <w:rFonts w:hint="eastAsia"/>
                <w:lang w:val="en-US" w:eastAsia="zh-CN"/>
              </w:rPr>
              <w:t>2041</w:t>
            </w:r>
          </w:p>
        </w:tc>
        <w:tc>
          <w:tcPr>
            <w:tcW w:w="1594" w:type="dxa"/>
            <w:vAlign w:val="center"/>
          </w:tcPr>
          <w:p>
            <w:pPr>
              <w:pStyle w:val="30"/>
              <w:bidi w:val="0"/>
              <w:ind w:firstLine="0" w:firstLineChars="0"/>
              <w:rPr>
                <w:rFonts w:hint="eastAsia"/>
                <w:lang w:val="en-US" w:eastAsia="zh-CN"/>
              </w:rPr>
            </w:pPr>
            <w:r>
              <w:rPr>
                <w:rFonts w:hint="eastAsia"/>
                <w:lang w:val="en-US" w:eastAsia="zh-CN"/>
              </w:rPr>
              <w:t>2100人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南余村</w:t>
            </w:r>
          </w:p>
        </w:tc>
        <w:tc>
          <w:tcPr>
            <w:tcW w:w="1575" w:type="dxa"/>
            <w:vAlign w:val="center"/>
          </w:tcPr>
          <w:p>
            <w:pPr>
              <w:pStyle w:val="30"/>
              <w:bidi w:val="0"/>
              <w:ind w:firstLine="0" w:firstLineChars="0"/>
              <w:rPr>
                <w:rFonts w:hint="eastAsia"/>
                <w:lang w:val="en-US" w:eastAsia="zh-CN"/>
              </w:rPr>
            </w:pPr>
            <w:r>
              <w:rPr>
                <w:rFonts w:hint="eastAsia"/>
                <w:lang w:val="en-US" w:eastAsia="zh-CN"/>
              </w:rPr>
              <w:t>SE</w:t>
            </w:r>
          </w:p>
        </w:tc>
        <w:tc>
          <w:tcPr>
            <w:tcW w:w="1781" w:type="dxa"/>
            <w:vAlign w:val="center"/>
          </w:tcPr>
          <w:p>
            <w:pPr>
              <w:pStyle w:val="30"/>
              <w:bidi w:val="0"/>
              <w:ind w:firstLine="0" w:firstLineChars="0"/>
              <w:rPr>
                <w:rFonts w:hint="eastAsia"/>
                <w:lang w:val="en-US" w:eastAsia="zh-CN"/>
              </w:rPr>
            </w:pPr>
            <w:r>
              <w:rPr>
                <w:rFonts w:hint="eastAsia"/>
                <w:lang w:val="en-US" w:eastAsia="zh-CN"/>
              </w:rPr>
              <w:t>2056</w:t>
            </w:r>
          </w:p>
        </w:tc>
        <w:tc>
          <w:tcPr>
            <w:tcW w:w="1594" w:type="dxa"/>
            <w:vAlign w:val="center"/>
          </w:tcPr>
          <w:p>
            <w:pPr>
              <w:pStyle w:val="30"/>
              <w:bidi w:val="0"/>
              <w:ind w:firstLine="0" w:firstLineChars="0"/>
              <w:rPr>
                <w:rFonts w:hint="eastAsia"/>
                <w:lang w:val="en-US" w:eastAsia="zh-CN"/>
              </w:rPr>
            </w:pPr>
            <w:r>
              <w:rPr>
                <w:rFonts w:hint="eastAsia"/>
                <w:lang w:val="en-US" w:eastAsia="zh-CN"/>
              </w:rPr>
              <w:t>2400人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骆庄</w:t>
            </w:r>
          </w:p>
        </w:tc>
        <w:tc>
          <w:tcPr>
            <w:tcW w:w="1575" w:type="dxa"/>
            <w:vAlign w:val="center"/>
          </w:tcPr>
          <w:p>
            <w:pPr>
              <w:pStyle w:val="30"/>
              <w:bidi w:val="0"/>
              <w:ind w:firstLine="0" w:firstLineChars="0"/>
              <w:rPr>
                <w:rFonts w:hint="eastAsia"/>
                <w:lang w:val="en-US" w:eastAsia="zh-CN"/>
              </w:rPr>
            </w:pPr>
            <w:r>
              <w:rPr>
                <w:rFonts w:hint="eastAsia"/>
                <w:lang w:val="en-US" w:eastAsia="zh-CN"/>
              </w:rPr>
              <w:t>NW</w:t>
            </w:r>
          </w:p>
        </w:tc>
        <w:tc>
          <w:tcPr>
            <w:tcW w:w="1781" w:type="dxa"/>
            <w:vAlign w:val="center"/>
          </w:tcPr>
          <w:p>
            <w:pPr>
              <w:pStyle w:val="30"/>
              <w:bidi w:val="0"/>
              <w:ind w:firstLine="0" w:firstLineChars="0"/>
              <w:rPr>
                <w:rFonts w:hint="eastAsia"/>
                <w:lang w:val="en-US" w:eastAsia="zh-CN"/>
              </w:rPr>
            </w:pPr>
            <w:r>
              <w:rPr>
                <w:rFonts w:hint="eastAsia"/>
                <w:lang w:val="en-US" w:eastAsia="zh-CN"/>
              </w:rPr>
              <w:t>2066</w:t>
            </w:r>
          </w:p>
        </w:tc>
        <w:tc>
          <w:tcPr>
            <w:tcW w:w="1594" w:type="dxa"/>
            <w:vAlign w:val="center"/>
          </w:tcPr>
          <w:p>
            <w:pPr>
              <w:pStyle w:val="30"/>
              <w:bidi w:val="0"/>
              <w:ind w:firstLine="0" w:firstLineChars="0"/>
              <w:rPr>
                <w:rFonts w:hint="eastAsia"/>
                <w:lang w:val="en-US" w:eastAsia="zh-CN"/>
              </w:rPr>
            </w:pPr>
            <w:r>
              <w:rPr>
                <w:rFonts w:hint="eastAsia"/>
                <w:lang w:val="en-US" w:eastAsia="zh-CN"/>
              </w:rPr>
              <w:t>1400人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val="en-US" w:eastAsia="zh-CN"/>
              </w:rPr>
              <w:t>崔王村</w:t>
            </w:r>
          </w:p>
        </w:tc>
        <w:tc>
          <w:tcPr>
            <w:tcW w:w="1575" w:type="dxa"/>
            <w:vAlign w:val="center"/>
          </w:tcPr>
          <w:p>
            <w:pPr>
              <w:pStyle w:val="30"/>
              <w:bidi w:val="0"/>
              <w:ind w:firstLine="0" w:firstLineChars="0"/>
              <w:rPr>
                <w:rFonts w:hint="eastAsia"/>
                <w:lang w:val="en-US" w:eastAsia="zh-CN"/>
              </w:rPr>
            </w:pPr>
            <w:r>
              <w:rPr>
                <w:rFonts w:hint="eastAsia"/>
                <w:lang w:val="en-US" w:eastAsia="zh-CN"/>
              </w:rPr>
              <w:t>SW</w:t>
            </w:r>
          </w:p>
        </w:tc>
        <w:tc>
          <w:tcPr>
            <w:tcW w:w="1781" w:type="dxa"/>
            <w:vAlign w:val="center"/>
          </w:tcPr>
          <w:p>
            <w:pPr>
              <w:pStyle w:val="30"/>
              <w:bidi w:val="0"/>
              <w:ind w:firstLine="0" w:firstLineChars="0"/>
              <w:rPr>
                <w:rFonts w:hint="eastAsia"/>
                <w:lang w:val="en-US" w:eastAsia="zh-CN"/>
              </w:rPr>
            </w:pPr>
            <w:r>
              <w:rPr>
                <w:rFonts w:hint="eastAsia"/>
                <w:lang w:val="en-US" w:eastAsia="zh-CN"/>
              </w:rPr>
              <w:t>2080</w:t>
            </w:r>
          </w:p>
        </w:tc>
        <w:tc>
          <w:tcPr>
            <w:tcW w:w="1594" w:type="dxa"/>
            <w:vAlign w:val="center"/>
          </w:tcPr>
          <w:p>
            <w:pPr>
              <w:pStyle w:val="30"/>
              <w:bidi w:val="0"/>
              <w:ind w:firstLine="0" w:firstLineChars="0"/>
              <w:rPr>
                <w:rFonts w:hint="eastAsia"/>
                <w:lang w:val="en-US" w:eastAsia="zh-CN"/>
              </w:rPr>
            </w:pPr>
            <w:r>
              <w:rPr>
                <w:rFonts w:hint="eastAsia"/>
                <w:lang w:val="en-US" w:eastAsia="zh-CN"/>
              </w:rPr>
              <w:t>2500人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val="en-US" w:eastAsia="zh-CN"/>
              </w:rPr>
            </w:pPr>
            <w:r>
              <w:rPr>
                <w:rFonts w:hint="eastAsia"/>
                <w:lang w:eastAsia="zh-CN"/>
              </w:rPr>
              <w:t>郑楼</w:t>
            </w:r>
          </w:p>
        </w:tc>
        <w:tc>
          <w:tcPr>
            <w:tcW w:w="1575" w:type="dxa"/>
            <w:vAlign w:val="center"/>
          </w:tcPr>
          <w:p>
            <w:pPr>
              <w:pStyle w:val="30"/>
              <w:bidi w:val="0"/>
              <w:ind w:firstLine="0" w:firstLineChars="0"/>
              <w:rPr>
                <w:rFonts w:hint="eastAsia"/>
                <w:lang w:val="en-US" w:eastAsia="zh-CN"/>
              </w:rPr>
            </w:pPr>
            <w:r>
              <w:rPr>
                <w:rFonts w:hint="eastAsia"/>
                <w:lang w:val="en-US" w:eastAsia="zh-CN"/>
              </w:rPr>
              <w:t>SW</w:t>
            </w:r>
          </w:p>
        </w:tc>
        <w:tc>
          <w:tcPr>
            <w:tcW w:w="1781" w:type="dxa"/>
            <w:vAlign w:val="center"/>
          </w:tcPr>
          <w:p>
            <w:pPr>
              <w:pStyle w:val="30"/>
              <w:bidi w:val="0"/>
              <w:ind w:firstLine="0" w:firstLineChars="0"/>
              <w:rPr>
                <w:rFonts w:hint="eastAsia"/>
                <w:lang w:val="en-US" w:eastAsia="zh-CN"/>
              </w:rPr>
            </w:pPr>
            <w:r>
              <w:rPr>
                <w:rFonts w:hint="eastAsia"/>
                <w:lang w:val="en-US" w:eastAsia="zh-CN"/>
              </w:rPr>
              <w:t>2162</w:t>
            </w:r>
          </w:p>
        </w:tc>
        <w:tc>
          <w:tcPr>
            <w:tcW w:w="1594" w:type="dxa"/>
            <w:vAlign w:val="center"/>
          </w:tcPr>
          <w:p>
            <w:pPr>
              <w:pStyle w:val="30"/>
              <w:bidi w:val="0"/>
              <w:ind w:firstLine="0" w:firstLineChars="0"/>
              <w:rPr>
                <w:rFonts w:hint="eastAsia"/>
                <w:lang w:val="en-US" w:eastAsia="zh-CN"/>
              </w:rPr>
            </w:pPr>
            <w:r>
              <w:rPr>
                <w:rFonts w:hint="eastAsia"/>
                <w:lang w:val="en-US" w:eastAsia="zh-CN"/>
              </w:rPr>
              <w:t>1800人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default"/>
                <w:lang w:val="en-US" w:eastAsia="zh-CN"/>
              </w:rPr>
            </w:pPr>
            <w:r>
              <w:rPr>
                <w:rFonts w:hint="eastAsia"/>
                <w:lang w:val="en-US" w:eastAsia="zh-CN"/>
              </w:rPr>
              <w:t>齐贤王村</w:t>
            </w:r>
          </w:p>
        </w:tc>
        <w:tc>
          <w:tcPr>
            <w:tcW w:w="1575" w:type="dxa"/>
            <w:vAlign w:val="center"/>
          </w:tcPr>
          <w:p>
            <w:pPr>
              <w:pStyle w:val="30"/>
              <w:bidi w:val="0"/>
              <w:rPr>
                <w:rFonts w:hint="eastAsia"/>
                <w:lang w:val="en-US" w:eastAsia="zh-CN"/>
              </w:rPr>
            </w:pPr>
            <w:r>
              <w:rPr>
                <w:rFonts w:hint="eastAsia"/>
                <w:lang w:val="en-US" w:eastAsia="zh-CN"/>
              </w:rPr>
              <w:t>E</w:t>
            </w:r>
          </w:p>
        </w:tc>
        <w:tc>
          <w:tcPr>
            <w:tcW w:w="1781" w:type="dxa"/>
            <w:vAlign w:val="center"/>
          </w:tcPr>
          <w:p>
            <w:pPr>
              <w:pStyle w:val="30"/>
              <w:bidi w:val="0"/>
              <w:rPr>
                <w:rFonts w:hint="default"/>
                <w:lang w:val="en-US" w:eastAsia="zh-CN"/>
              </w:rPr>
            </w:pPr>
            <w:r>
              <w:rPr>
                <w:rFonts w:hint="eastAsia"/>
                <w:lang w:val="en-US" w:eastAsia="zh-CN"/>
              </w:rPr>
              <w:t>2186</w:t>
            </w:r>
          </w:p>
        </w:tc>
        <w:tc>
          <w:tcPr>
            <w:tcW w:w="1594" w:type="dxa"/>
            <w:vAlign w:val="center"/>
          </w:tcPr>
          <w:p>
            <w:pPr>
              <w:pStyle w:val="30"/>
              <w:bidi w:val="0"/>
              <w:rPr>
                <w:rFonts w:hint="default"/>
                <w:lang w:val="en-US" w:eastAsia="zh-CN"/>
              </w:rPr>
            </w:pPr>
            <w:r>
              <w:rPr>
                <w:rFonts w:hint="eastAsia"/>
                <w:lang w:val="en-US" w:eastAsia="zh-CN"/>
              </w:rPr>
              <w:t>1024人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廉村镇</w:t>
            </w:r>
          </w:p>
        </w:tc>
        <w:tc>
          <w:tcPr>
            <w:tcW w:w="1575" w:type="dxa"/>
            <w:vAlign w:val="center"/>
          </w:tcPr>
          <w:p>
            <w:pPr>
              <w:pStyle w:val="30"/>
              <w:bidi w:val="0"/>
              <w:ind w:firstLine="0" w:firstLineChars="0"/>
              <w:rPr>
                <w:rFonts w:hint="eastAsia"/>
                <w:lang w:val="en-US" w:eastAsia="zh-CN"/>
              </w:rPr>
            </w:pPr>
            <w:r>
              <w:rPr>
                <w:rFonts w:hint="eastAsia"/>
                <w:lang w:val="en-US" w:eastAsia="zh-CN"/>
              </w:rPr>
              <w:t>N</w:t>
            </w:r>
          </w:p>
        </w:tc>
        <w:tc>
          <w:tcPr>
            <w:tcW w:w="1781" w:type="dxa"/>
            <w:vAlign w:val="center"/>
          </w:tcPr>
          <w:p>
            <w:pPr>
              <w:pStyle w:val="30"/>
              <w:bidi w:val="0"/>
              <w:ind w:firstLine="0" w:firstLineChars="0"/>
              <w:rPr>
                <w:rFonts w:hint="eastAsia"/>
                <w:lang w:val="en-US" w:eastAsia="zh-CN"/>
              </w:rPr>
            </w:pPr>
            <w:r>
              <w:rPr>
                <w:rFonts w:hint="eastAsia"/>
                <w:lang w:val="en-US" w:eastAsia="zh-CN"/>
              </w:rPr>
              <w:t>2201</w:t>
            </w:r>
          </w:p>
        </w:tc>
        <w:tc>
          <w:tcPr>
            <w:tcW w:w="1594" w:type="dxa"/>
            <w:vAlign w:val="center"/>
          </w:tcPr>
          <w:p>
            <w:pPr>
              <w:pStyle w:val="30"/>
              <w:bidi w:val="0"/>
              <w:ind w:firstLine="0" w:firstLineChars="0"/>
              <w:rPr>
                <w:rFonts w:hint="eastAsia"/>
                <w:lang w:val="en-US" w:eastAsia="zh-CN"/>
              </w:rPr>
            </w:pPr>
            <w:r>
              <w:rPr>
                <w:rFonts w:hint="eastAsia"/>
                <w:lang w:val="en-US" w:eastAsia="zh-CN"/>
              </w:rPr>
              <w:t>2000人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eastAsia="zh-CN"/>
              </w:rPr>
            </w:pPr>
            <w:r>
              <w:rPr>
                <w:rFonts w:hint="eastAsia"/>
                <w:lang w:eastAsia="zh-CN"/>
              </w:rPr>
              <w:t>马黄村</w:t>
            </w:r>
          </w:p>
        </w:tc>
        <w:tc>
          <w:tcPr>
            <w:tcW w:w="1575" w:type="dxa"/>
            <w:vAlign w:val="center"/>
          </w:tcPr>
          <w:p>
            <w:pPr>
              <w:pStyle w:val="30"/>
              <w:bidi w:val="0"/>
              <w:rPr>
                <w:rFonts w:hint="default"/>
                <w:lang w:val="en-US" w:eastAsia="zh-CN"/>
              </w:rPr>
            </w:pPr>
            <w:r>
              <w:rPr>
                <w:rFonts w:hint="eastAsia"/>
                <w:lang w:val="en-US" w:eastAsia="zh-CN"/>
              </w:rPr>
              <w:t>NE</w:t>
            </w:r>
          </w:p>
        </w:tc>
        <w:tc>
          <w:tcPr>
            <w:tcW w:w="1781" w:type="dxa"/>
            <w:vAlign w:val="center"/>
          </w:tcPr>
          <w:p>
            <w:pPr>
              <w:pStyle w:val="30"/>
              <w:bidi w:val="0"/>
              <w:rPr>
                <w:rFonts w:hint="default"/>
                <w:lang w:val="en-US" w:eastAsia="zh-CN"/>
              </w:rPr>
            </w:pPr>
            <w:r>
              <w:rPr>
                <w:rFonts w:hint="eastAsia"/>
                <w:lang w:val="en-US" w:eastAsia="zh-CN"/>
              </w:rPr>
              <w:t>2209</w:t>
            </w:r>
          </w:p>
        </w:tc>
        <w:tc>
          <w:tcPr>
            <w:tcW w:w="1594" w:type="dxa"/>
            <w:vAlign w:val="center"/>
          </w:tcPr>
          <w:p>
            <w:pPr>
              <w:pStyle w:val="30"/>
              <w:bidi w:val="0"/>
              <w:rPr>
                <w:rFonts w:hint="default"/>
                <w:lang w:val="en-US" w:eastAsia="zh-CN"/>
              </w:rPr>
            </w:pPr>
            <w:r>
              <w:rPr>
                <w:rFonts w:hint="eastAsia"/>
                <w:lang w:val="en-US" w:eastAsia="zh-CN"/>
              </w:rPr>
              <w:t>800人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高柳村</w:t>
            </w:r>
          </w:p>
        </w:tc>
        <w:tc>
          <w:tcPr>
            <w:tcW w:w="1575" w:type="dxa"/>
            <w:vAlign w:val="center"/>
          </w:tcPr>
          <w:p>
            <w:pPr>
              <w:pStyle w:val="30"/>
              <w:bidi w:val="0"/>
              <w:ind w:firstLine="0" w:firstLineChars="0"/>
              <w:rPr>
                <w:rFonts w:hint="eastAsia"/>
                <w:lang w:val="en-US" w:eastAsia="zh-CN"/>
              </w:rPr>
            </w:pPr>
            <w:r>
              <w:rPr>
                <w:rFonts w:hint="eastAsia"/>
                <w:lang w:val="en-US" w:eastAsia="zh-CN"/>
              </w:rPr>
              <w:t>SW</w:t>
            </w:r>
          </w:p>
        </w:tc>
        <w:tc>
          <w:tcPr>
            <w:tcW w:w="1781" w:type="dxa"/>
            <w:vAlign w:val="center"/>
          </w:tcPr>
          <w:p>
            <w:pPr>
              <w:pStyle w:val="30"/>
              <w:bidi w:val="0"/>
              <w:ind w:firstLine="0" w:firstLineChars="0"/>
              <w:rPr>
                <w:rFonts w:hint="eastAsia"/>
                <w:lang w:val="en-US" w:eastAsia="zh-CN"/>
              </w:rPr>
            </w:pPr>
            <w:r>
              <w:rPr>
                <w:rFonts w:hint="eastAsia"/>
                <w:lang w:val="en-US" w:eastAsia="zh-CN"/>
              </w:rPr>
              <w:t>2218</w:t>
            </w:r>
          </w:p>
        </w:tc>
        <w:tc>
          <w:tcPr>
            <w:tcW w:w="1594" w:type="dxa"/>
            <w:vAlign w:val="center"/>
          </w:tcPr>
          <w:p>
            <w:pPr>
              <w:pStyle w:val="30"/>
              <w:bidi w:val="0"/>
              <w:ind w:firstLine="0" w:firstLineChars="0"/>
              <w:rPr>
                <w:rFonts w:hint="eastAsia"/>
                <w:lang w:val="en-US" w:eastAsia="zh-CN"/>
              </w:rPr>
            </w:pPr>
            <w:r>
              <w:rPr>
                <w:rFonts w:hint="eastAsia"/>
                <w:lang w:val="en-US" w:eastAsia="zh-CN"/>
              </w:rPr>
              <w:t>2100人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南吕村</w:t>
            </w:r>
          </w:p>
        </w:tc>
        <w:tc>
          <w:tcPr>
            <w:tcW w:w="1575" w:type="dxa"/>
            <w:vAlign w:val="center"/>
          </w:tcPr>
          <w:p>
            <w:pPr>
              <w:pStyle w:val="30"/>
              <w:bidi w:val="0"/>
              <w:ind w:firstLine="0" w:firstLineChars="0"/>
              <w:rPr>
                <w:rFonts w:hint="eastAsia"/>
                <w:lang w:val="en-US" w:eastAsia="zh-CN"/>
              </w:rPr>
            </w:pPr>
            <w:r>
              <w:rPr>
                <w:rFonts w:hint="eastAsia"/>
                <w:lang w:val="en-US" w:eastAsia="zh-CN"/>
              </w:rPr>
              <w:t>SE</w:t>
            </w:r>
          </w:p>
        </w:tc>
        <w:tc>
          <w:tcPr>
            <w:tcW w:w="1781" w:type="dxa"/>
            <w:vAlign w:val="center"/>
          </w:tcPr>
          <w:p>
            <w:pPr>
              <w:pStyle w:val="30"/>
              <w:bidi w:val="0"/>
              <w:ind w:firstLine="0" w:firstLineChars="0"/>
              <w:rPr>
                <w:rFonts w:hint="eastAsia"/>
                <w:lang w:val="en-US" w:eastAsia="zh-CN"/>
              </w:rPr>
            </w:pPr>
            <w:r>
              <w:rPr>
                <w:rFonts w:hint="eastAsia"/>
                <w:lang w:val="en-US" w:eastAsia="zh-CN"/>
              </w:rPr>
              <w:t>2333</w:t>
            </w:r>
          </w:p>
        </w:tc>
        <w:tc>
          <w:tcPr>
            <w:tcW w:w="1594" w:type="dxa"/>
            <w:vAlign w:val="center"/>
          </w:tcPr>
          <w:p>
            <w:pPr>
              <w:pStyle w:val="30"/>
              <w:bidi w:val="0"/>
              <w:ind w:firstLine="0" w:firstLineChars="0"/>
              <w:rPr>
                <w:rFonts w:hint="eastAsia"/>
                <w:lang w:val="en-US" w:eastAsia="zh-CN"/>
              </w:rPr>
            </w:pPr>
            <w:r>
              <w:rPr>
                <w:rFonts w:hint="eastAsia"/>
                <w:lang w:val="en-US" w:eastAsia="zh-CN"/>
              </w:rPr>
              <w:t>2400人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eastAsia="zh-CN"/>
              </w:rPr>
            </w:pPr>
            <w:r>
              <w:rPr>
                <w:rFonts w:hint="eastAsia"/>
                <w:lang w:eastAsia="zh-CN"/>
              </w:rPr>
              <w:t>何庄</w:t>
            </w:r>
          </w:p>
        </w:tc>
        <w:tc>
          <w:tcPr>
            <w:tcW w:w="1575" w:type="dxa"/>
            <w:vAlign w:val="center"/>
          </w:tcPr>
          <w:p>
            <w:pPr>
              <w:pStyle w:val="30"/>
              <w:bidi w:val="0"/>
              <w:rPr>
                <w:rFonts w:hint="default"/>
                <w:lang w:val="en-US" w:eastAsia="zh-CN"/>
              </w:rPr>
            </w:pPr>
            <w:r>
              <w:rPr>
                <w:rFonts w:hint="eastAsia"/>
                <w:lang w:val="en-US" w:eastAsia="zh-CN"/>
              </w:rPr>
              <w:t>NW</w:t>
            </w:r>
          </w:p>
        </w:tc>
        <w:tc>
          <w:tcPr>
            <w:tcW w:w="1781" w:type="dxa"/>
            <w:vAlign w:val="center"/>
          </w:tcPr>
          <w:p>
            <w:pPr>
              <w:pStyle w:val="30"/>
              <w:bidi w:val="0"/>
              <w:rPr>
                <w:rFonts w:hint="default"/>
                <w:lang w:val="en-US" w:eastAsia="zh-CN"/>
              </w:rPr>
            </w:pPr>
            <w:r>
              <w:rPr>
                <w:rFonts w:hint="eastAsia"/>
                <w:lang w:val="en-US" w:eastAsia="zh-CN"/>
              </w:rPr>
              <w:t>2407</w:t>
            </w:r>
          </w:p>
        </w:tc>
        <w:tc>
          <w:tcPr>
            <w:tcW w:w="1594" w:type="dxa"/>
            <w:vAlign w:val="center"/>
          </w:tcPr>
          <w:p>
            <w:pPr>
              <w:pStyle w:val="30"/>
              <w:bidi w:val="0"/>
              <w:rPr>
                <w:rFonts w:hint="default"/>
                <w:lang w:val="en-US" w:eastAsia="zh-CN"/>
              </w:rPr>
            </w:pPr>
            <w:r>
              <w:rPr>
                <w:rFonts w:hint="eastAsia"/>
                <w:lang w:val="en-US" w:eastAsia="zh-CN"/>
              </w:rPr>
              <w:t>1500人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077" w:type="dxa"/>
            <w:vMerge w:val="continue"/>
            <w:vAlign w:val="center"/>
          </w:tcPr>
          <w:p>
            <w:pPr>
              <w:pStyle w:val="30"/>
              <w:bidi w:val="0"/>
              <w:ind w:firstLine="0" w:firstLineChars="0"/>
              <w:rPr>
                <w:rFonts w:hint="default"/>
                <w:lang w:val="en-US" w:eastAsia="zh-CN"/>
              </w:rPr>
            </w:pPr>
          </w:p>
        </w:tc>
        <w:tc>
          <w:tcPr>
            <w:tcW w:w="1538" w:type="dxa"/>
            <w:vAlign w:val="center"/>
          </w:tcPr>
          <w:p>
            <w:pPr>
              <w:pStyle w:val="30"/>
              <w:bidi w:val="0"/>
              <w:ind w:firstLine="0" w:firstLineChars="0"/>
              <w:rPr>
                <w:rFonts w:hint="eastAsia"/>
                <w:lang w:eastAsia="zh-CN"/>
              </w:rPr>
            </w:pPr>
            <w:r>
              <w:rPr>
                <w:rFonts w:hint="eastAsia"/>
                <w:lang w:eastAsia="zh-CN"/>
              </w:rPr>
              <w:t>孟王村</w:t>
            </w:r>
          </w:p>
        </w:tc>
        <w:tc>
          <w:tcPr>
            <w:tcW w:w="1575" w:type="dxa"/>
            <w:vAlign w:val="center"/>
          </w:tcPr>
          <w:p>
            <w:pPr>
              <w:pStyle w:val="30"/>
              <w:bidi w:val="0"/>
              <w:ind w:firstLine="0" w:firstLineChars="0"/>
              <w:rPr>
                <w:rFonts w:hint="default"/>
                <w:lang w:val="en-US" w:eastAsia="zh-CN"/>
              </w:rPr>
            </w:pPr>
            <w:r>
              <w:rPr>
                <w:rFonts w:hint="eastAsia"/>
                <w:lang w:val="en-US" w:eastAsia="zh-CN"/>
              </w:rPr>
              <w:t>S</w:t>
            </w:r>
          </w:p>
        </w:tc>
        <w:tc>
          <w:tcPr>
            <w:tcW w:w="1781" w:type="dxa"/>
            <w:vAlign w:val="center"/>
          </w:tcPr>
          <w:p>
            <w:pPr>
              <w:pStyle w:val="30"/>
              <w:bidi w:val="0"/>
              <w:ind w:firstLine="0" w:firstLineChars="0"/>
              <w:rPr>
                <w:rFonts w:hint="default"/>
                <w:lang w:val="en-US" w:eastAsia="zh-CN"/>
              </w:rPr>
            </w:pPr>
            <w:r>
              <w:rPr>
                <w:rFonts w:hint="eastAsia"/>
                <w:lang w:val="en-US" w:eastAsia="zh-CN"/>
              </w:rPr>
              <w:t>2433</w:t>
            </w:r>
          </w:p>
        </w:tc>
        <w:tc>
          <w:tcPr>
            <w:tcW w:w="1594" w:type="dxa"/>
            <w:vAlign w:val="center"/>
          </w:tcPr>
          <w:p>
            <w:pPr>
              <w:pStyle w:val="30"/>
              <w:bidi w:val="0"/>
              <w:ind w:firstLine="0" w:firstLineChars="0"/>
              <w:rPr>
                <w:rFonts w:hint="default"/>
                <w:lang w:val="en-US" w:eastAsia="zh-CN"/>
              </w:rPr>
            </w:pPr>
            <w:r>
              <w:rPr>
                <w:rFonts w:hint="eastAsia"/>
                <w:lang w:val="en-US" w:eastAsia="zh-CN"/>
              </w:rPr>
              <w:t>5000人</w:t>
            </w:r>
          </w:p>
        </w:tc>
        <w:tc>
          <w:tcPr>
            <w:tcW w:w="1723" w:type="dxa"/>
            <w:vMerge w:val="continue"/>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Merge w:val="continue"/>
            <w:vAlign w:val="center"/>
          </w:tcPr>
          <w:p>
            <w:pPr>
              <w:pStyle w:val="30"/>
              <w:bidi w:val="0"/>
              <w:rPr>
                <w:rFonts w:hint="default"/>
                <w:lang w:val="en-US" w:eastAsia="zh-CN"/>
              </w:rPr>
            </w:pPr>
          </w:p>
        </w:tc>
        <w:tc>
          <w:tcPr>
            <w:tcW w:w="1538" w:type="dxa"/>
            <w:vAlign w:val="center"/>
          </w:tcPr>
          <w:p>
            <w:pPr>
              <w:pStyle w:val="30"/>
              <w:bidi w:val="0"/>
              <w:rPr>
                <w:rFonts w:hint="eastAsia"/>
                <w:lang w:eastAsia="zh-CN"/>
              </w:rPr>
            </w:pPr>
            <w:r>
              <w:rPr>
                <w:rFonts w:hint="eastAsia"/>
                <w:lang w:eastAsia="zh-CN"/>
              </w:rPr>
              <w:t>王丰庄村</w:t>
            </w:r>
          </w:p>
        </w:tc>
        <w:tc>
          <w:tcPr>
            <w:tcW w:w="1575" w:type="dxa"/>
            <w:vAlign w:val="center"/>
          </w:tcPr>
          <w:p>
            <w:pPr>
              <w:pStyle w:val="30"/>
              <w:bidi w:val="0"/>
              <w:rPr>
                <w:rFonts w:hint="eastAsia"/>
                <w:lang w:val="en-US" w:eastAsia="zh-CN"/>
              </w:rPr>
            </w:pPr>
            <w:r>
              <w:rPr>
                <w:rFonts w:hint="eastAsia"/>
                <w:lang w:val="en-US" w:eastAsia="zh-CN"/>
              </w:rPr>
              <w:t>NE</w:t>
            </w:r>
          </w:p>
        </w:tc>
        <w:tc>
          <w:tcPr>
            <w:tcW w:w="1781" w:type="dxa"/>
            <w:vAlign w:val="center"/>
          </w:tcPr>
          <w:p>
            <w:pPr>
              <w:pStyle w:val="30"/>
              <w:bidi w:val="0"/>
              <w:rPr>
                <w:rFonts w:hint="default"/>
                <w:lang w:val="en-US" w:eastAsia="zh-CN"/>
              </w:rPr>
            </w:pPr>
            <w:r>
              <w:rPr>
                <w:rFonts w:hint="eastAsia"/>
                <w:lang w:val="en-US" w:eastAsia="zh-CN"/>
              </w:rPr>
              <w:t>2486</w:t>
            </w:r>
          </w:p>
        </w:tc>
        <w:tc>
          <w:tcPr>
            <w:tcW w:w="1594" w:type="dxa"/>
            <w:vAlign w:val="center"/>
          </w:tcPr>
          <w:p>
            <w:pPr>
              <w:pStyle w:val="30"/>
              <w:bidi w:val="0"/>
              <w:rPr>
                <w:rFonts w:hint="default"/>
                <w:lang w:val="en-US" w:eastAsia="zh-CN"/>
              </w:rPr>
            </w:pPr>
            <w:r>
              <w:rPr>
                <w:rFonts w:hint="eastAsia"/>
                <w:lang w:val="en-US" w:eastAsia="zh-CN"/>
              </w:rPr>
              <w:t>1500人</w:t>
            </w:r>
          </w:p>
        </w:tc>
        <w:tc>
          <w:tcPr>
            <w:tcW w:w="1723" w:type="dxa"/>
            <w:vMerge w:val="continue"/>
            <w:vAlign w:val="center"/>
          </w:tcPr>
          <w:p>
            <w:pPr>
              <w:pStyle w:val="30"/>
              <w:bidi w:val="0"/>
            </w:pPr>
          </w:p>
        </w:tc>
      </w:tr>
    </w:tbl>
    <w:p>
      <w:pPr>
        <w:pStyle w:val="4"/>
        <w:bidi w:val="0"/>
        <w:rPr>
          <w:lang w:eastAsia="zh-CN"/>
        </w:rPr>
      </w:pPr>
      <w:r>
        <w:rPr>
          <w:rFonts w:hint="eastAsia"/>
          <w:lang w:val="en-US" w:eastAsia="zh-CN"/>
        </w:rPr>
        <w:t xml:space="preserve">6.8.3 </w:t>
      </w:r>
      <w:r>
        <w:rPr>
          <w:lang w:eastAsia="zh-CN"/>
        </w:rPr>
        <w:t>环境风险识别</w:t>
      </w:r>
      <w:bookmarkEnd w:id="173"/>
      <w:bookmarkEnd w:id="174"/>
    </w:p>
    <w:p>
      <w:pPr>
        <w:ind w:firstLine="480" w:firstLineChars="200"/>
        <w:jc w:val="left"/>
        <w:rPr>
          <w:rFonts w:ascii="Times New Roman" w:hAnsi="Times New Roman"/>
          <w:color w:val="auto"/>
          <w:sz w:val="24"/>
        </w:rPr>
      </w:pPr>
      <w:r>
        <w:rPr>
          <w:rFonts w:ascii="Times New Roman" w:hAnsi="Times New Roman"/>
          <w:color w:val="auto"/>
          <w:sz w:val="24"/>
        </w:rPr>
        <w:t>1、物质危险性识别</w:t>
      </w:r>
    </w:p>
    <w:p>
      <w:pPr>
        <w:ind w:firstLine="480" w:firstLineChars="200"/>
        <w:jc w:val="left"/>
        <w:rPr>
          <w:rFonts w:ascii="Times New Roman" w:hAnsi="Times New Roman"/>
          <w:color w:val="auto"/>
          <w:sz w:val="24"/>
        </w:rPr>
      </w:pPr>
      <w:r>
        <w:rPr>
          <w:rFonts w:ascii="Times New Roman" w:hAnsi="Times New Roman"/>
          <w:color w:val="auto"/>
          <w:sz w:val="24"/>
        </w:rPr>
        <w:t>根据本项目的特点，按照《建设项目环境风险评价技术导则》（HJ169-2018）中</w:t>
      </w:r>
      <w:r>
        <w:rPr>
          <w:rFonts w:hint="eastAsia"/>
          <w:color w:val="auto"/>
          <w:sz w:val="24"/>
          <w:lang w:eastAsia="zh-CN"/>
        </w:rPr>
        <w:t>“</w:t>
      </w:r>
      <w:r>
        <w:rPr>
          <w:rFonts w:ascii="Times New Roman" w:hAnsi="Times New Roman"/>
          <w:color w:val="auto"/>
          <w:sz w:val="24"/>
        </w:rPr>
        <w:t>物质危险性标准</w:t>
      </w:r>
      <w:r>
        <w:rPr>
          <w:rFonts w:hint="eastAsia"/>
          <w:color w:val="auto"/>
          <w:sz w:val="24"/>
          <w:lang w:eastAsia="zh-CN"/>
        </w:rPr>
        <w:t>”</w:t>
      </w:r>
      <w:r>
        <w:rPr>
          <w:rFonts w:ascii="Times New Roman" w:hAnsi="Times New Roman"/>
          <w:color w:val="auto"/>
          <w:sz w:val="24"/>
        </w:rPr>
        <w:t>对本项目原辅料进行危险性识别。本项目使用的废旧塑料原料</w:t>
      </w:r>
      <w:r>
        <w:rPr>
          <w:rFonts w:hint="eastAsia"/>
          <w:color w:val="auto"/>
          <w:sz w:val="24"/>
          <w:lang w:val="en-US" w:eastAsia="zh-CN"/>
        </w:rPr>
        <w:t>ABS</w:t>
      </w:r>
      <w:r>
        <w:rPr>
          <w:rFonts w:ascii="Times New Roman" w:hAnsi="Times New Roman"/>
          <w:color w:val="auto"/>
          <w:sz w:val="24"/>
        </w:rPr>
        <w:t>、P</w:t>
      </w:r>
      <w:r>
        <w:rPr>
          <w:rFonts w:hint="eastAsia"/>
          <w:color w:val="auto"/>
          <w:sz w:val="24"/>
          <w:lang w:val="en-US" w:eastAsia="zh-CN"/>
        </w:rPr>
        <w:t>S</w:t>
      </w:r>
      <w:r>
        <w:rPr>
          <w:rFonts w:ascii="Times New Roman" w:hAnsi="Times New Roman"/>
          <w:color w:val="auto"/>
          <w:sz w:val="24"/>
        </w:rPr>
        <w:t>为高分子材料，属于可燃固体，易发生火灾，将会产生有毒有害气体。这将对项目造成一定的经济损失，危及周边的企业和居民，且可能引发一系列的次生环境问题。</w:t>
      </w:r>
    </w:p>
    <w:p>
      <w:pPr>
        <w:ind w:firstLine="480" w:firstLineChars="200"/>
        <w:jc w:val="left"/>
        <w:rPr>
          <w:rFonts w:ascii="Times New Roman" w:hAnsi="Times New Roman"/>
          <w:color w:val="auto"/>
          <w:sz w:val="24"/>
        </w:rPr>
      </w:pPr>
      <w:r>
        <w:rPr>
          <w:rFonts w:ascii="Times New Roman" w:hAnsi="Times New Roman"/>
          <w:color w:val="auto"/>
          <w:sz w:val="24"/>
        </w:rPr>
        <w:t>2、生产工艺风险识别</w:t>
      </w:r>
    </w:p>
    <w:p>
      <w:pPr>
        <w:ind w:firstLine="480" w:firstLineChars="200"/>
        <w:rPr>
          <w:rFonts w:ascii="Times New Roman" w:hAnsi="Times New Roman"/>
          <w:color w:val="auto"/>
          <w:sz w:val="24"/>
        </w:rPr>
      </w:pPr>
      <w:r>
        <w:rPr>
          <w:rFonts w:ascii="Times New Roman" w:hAnsi="Times New Roman"/>
          <w:color w:val="auto"/>
          <w:sz w:val="24"/>
        </w:rPr>
        <w:t>塑料在生产过程中潜在的危险主要为火灾，并伴随大量的CO等污染物的产生，将威胁作业人员的生命安全，造成重大生命、财产损失，并对周围环境产生影响。</w:t>
      </w:r>
    </w:p>
    <w:p>
      <w:pPr>
        <w:ind w:firstLine="480" w:firstLineChars="200"/>
        <w:rPr>
          <w:rFonts w:ascii="Times New Roman" w:hAnsi="Times New Roman"/>
          <w:color w:val="auto"/>
          <w:sz w:val="24"/>
        </w:rPr>
      </w:pPr>
      <w:r>
        <w:rPr>
          <w:rFonts w:ascii="Times New Roman" w:hAnsi="Times New Roman"/>
          <w:color w:val="auto"/>
          <w:sz w:val="24"/>
        </w:rPr>
        <w:t>项目生产设施风险识别见表</w:t>
      </w:r>
      <w:r>
        <w:rPr>
          <w:rFonts w:hint="eastAsia"/>
          <w:color w:val="auto"/>
          <w:sz w:val="24"/>
          <w:lang w:val="en-US" w:eastAsia="zh-CN"/>
        </w:rPr>
        <w:t>6.8</w:t>
      </w:r>
      <w:r>
        <w:rPr>
          <w:rFonts w:ascii="Times New Roman" w:hAnsi="Times New Roman"/>
          <w:color w:val="auto"/>
          <w:sz w:val="24"/>
        </w:rPr>
        <w:t>-4。</w:t>
      </w:r>
    </w:p>
    <w:p>
      <w:pPr>
        <w:widowControl/>
        <w:spacing w:line="240" w:lineRule="auto"/>
        <w:jc w:val="center"/>
        <w:rPr>
          <w:rFonts w:ascii="Times New Roman" w:hAnsi="Times New Roman"/>
          <w:b/>
          <w:color w:val="auto"/>
          <w:kern w:val="0"/>
          <w:szCs w:val="21"/>
        </w:rPr>
      </w:pPr>
      <w:r>
        <w:rPr>
          <w:rFonts w:ascii="Times New Roman" w:hAnsi="Times New Roman"/>
          <w:b/>
          <w:color w:val="auto"/>
          <w:kern w:val="0"/>
          <w:szCs w:val="21"/>
        </w:rPr>
        <w:t>表</w:t>
      </w:r>
      <w:r>
        <w:rPr>
          <w:rFonts w:hint="eastAsia"/>
          <w:b/>
          <w:bCs/>
          <w:color w:val="auto"/>
          <w:kern w:val="0"/>
          <w:szCs w:val="21"/>
          <w:lang w:val="en-US" w:eastAsia="zh-CN"/>
        </w:rPr>
        <w:t>6.8-4</w:t>
      </w:r>
      <w:r>
        <w:rPr>
          <w:rFonts w:ascii="Times New Roman" w:hAnsi="Times New Roman"/>
          <w:b/>
          <w:bCs/>
          <w:color w:val="auto"/>
          <w:kern w:val="0"/>
          <w:szCs w:val="21"/>
        </w:rPr>
        <w:t xml:space="preserve">  </w:t>
      </w:r>
      <w:r>
        <w:rPr>
          <w:rFonts w:ascii="Times New Roman" w:hAnsi="Times New Roman"/>
          <w:b/>
          <w:color w:val="auto"/>
          <w:kern w:val="0"/>
          <w:szCs w:val="21"/>
        </w:rPr>
        <w:t>项目生产设施环境风险因素识别</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4458"/>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序号</w:t>
            </w:r>
          </w:p>
        </w:tc>
        <w:tc>
          <w:tcPr>
            <w:tcW w:w="4458"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生产场所</w:t>
            </w:r>
          </w:p>
        </w:tc>
        <w:tc>
          <w:tcPr>
            <w:tcW w:w="3097"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1</w:t>
            </w:r>
          </w:p>
        </w:tc>
        <w:tc>
          <w:tcPr>
            <w:tcW w:w="4458"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储存场所（原料库和成品库）</w:t>
            </w:r>
          </w:p>
        </w:tc>
        <w:tc>
          <w:tcPr>
            <w:tcW w:w="3097"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3"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2</w:t>
            </w:r>
          </w:p>
        </w:tc>
        <w:tc>
          <w:tcPr>
            <w:tcW w:w="4458"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生产车间</w:t>
            </w:r>
          </w:p>
        </w:tc>
        <w:tc>
          <w:tcPr>
            <w:tcW w:w="3097" w:type="dxa"/>
            <w:noWrap w:val="0"/>
            <w:vAlign w:val="center"/>
          </w:tcPr>
          <w:p>
            <w:pPr>
              <w:widowControl/>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火灾</w:t>
            </w:r>
          </w:p>
        </w:tc>
      </w:tr>
    </w:tbl>
    <w:p>
      <w:pPr>
        <w:ind w:firstLine="480" w:firstLineChars="200"/>
        <w:rPr>
          <w:rFonts w:ascii="Times New Roman" w:hAnsi="Times New Roman"/>
          <w:color w:val="auto"/>
          <w:kern w:val="0"/>
          <w:sz w:val="24"/>
        </w:rPr>
      </w:pPr>
      <w:r>
        <w:rPr>
          <w:rFonts w:ascii="Times New Roman" w:hAnsi="Times New Roman"/>
          <w:color w:val="auto"/>
          <w:kern w:val="0"/>
          <w:sz w:val="24"/>
        </w:rPr>
        <w:t>在正常情况下，采取合理有效的防范措施，发生污染的风险很小，因此，本项目涉及的生产设施风险识别不属于重大危险源。</w:t>
      </w:r>
    </w:p>
    <w:p>
      <w:pPr>
        <w:ind w:firstLine="480" w:firstLineChars="200"/>
        <w:rPr>
          <w:rFonts w:ascii="Times New Roman" w:hAnsi="Times New Roman"/>
          <w:color w:val="auto"/>
          <w:sz w:val="24"/>
        </w:rPr>
      </w:pPr>
      <w:r>
        <w:rPr>
          <w:rFonts w:ascii="Times New Roman" w:hAnsi="Times New Roman"/>
          <w:color w:val="auto"/>
          <w:kern w:val="0"/>
          <w:sz w:val="24"/>
        </w:rPr>
        <w:t>3、风险识别结果</w:t>
      </w:r>
    </w:p>
    <w:p>
      <w:pPr>
        <w:ind w:firstLine="480" w:firstLineChars="200"/>
        <w:rPr>
          <w:rFonts w:ascii="Times New Roman" w:hAnsi="Times New Roman"/>
          <w:color w:val="auto"/>
          <w:sz w:val="24"/>
        </w:rPr>
      </w:pPr>
      <w:r>
        <w:rPr>
          <w:rFonts w:ascii="Times New Roman" w:hAnsi="Times New Roman"/>
          <w:color w:val="auto"/>
          <w:sz w:val="24"/>
        </w:rPr>
        <w:t>建设项目的环境风险类型为原料及产品的火灾。</w:t>
      </w:r>
    </w:p>
    <w:p>
      <w:pPr>
        <w:pStyle w:val="4"/>
        <w:bidi w:val="0"/>
        <w:rPr>
          <w:lang w:eastAsia="zh-CN"/>
        </w:rPr>
      </w:pPr>
      <w:bookmarkStart w:id="175" w:name="_Toc8551"/>
      <w:bookmarkStart w:id="176" w:name="_Toc5888499"/>
      <w:r>
        <w:rPr>
          <w:rFonts w:hint="eastAsia"/>
          <w:lang w:val="en-US" w:eastAsia="zh-CN"/>
        </w:rPr>
        <w:t xml:space="preserve">6.8.4 </w:t>
      </w:r>
      <w:r>
        <w:rPr>
          <w:lang w:eastAsia="zh-CN"/>
        </w:rPr>
        <w:t>环境风险分析</w:t>
      </w:r>
      <w:bookmarkEnd w:id="175"/>
      <w:bookmarkEnd w:id="176"/>
    </w:p>
    <w:p>
      <w:pPr>
        <w:ind w:firstLine="480" w:firstLineChars="200"/>
        <w:rPr>
          <w:rFonts w:ascii="Times New Roman" w:hAnsi="Times New Roman"/>
          <w:color w:val="auto"/>
          <w:sz w:val="24"/>
        </w:rPr>
      </w:pPr>
      <w:r>
        <w:rPr>
          <w:rFonts w:ascii="Times New Roman" w:hAnsi="Times New Roman"/>
          <w:color w:val="auto"/>
          <w:sz w:val="24"/>
        </w:rPr>
        <w:t>1、大气环境影响分析</w:t>
      </w:r>
    </w:p>
    <w:p>
      <w:pPr>
        <w:ind w:firstLine="480"/>
        <w:rPr>
          <w:rFonts w:ascii="Times New Roman" w:hAnsi="Times New Roman"/>
          <w:color w:val="auto"/>
          <w:sz w:val="24"/>
          <w:szCs w:val="28"/>
        </w:rPr>
      </w:pPr>
      <w:r>
        <w:rPr>
          <w:rFonts w:ascii="Times New Roman" w:hAnsi="Times New Roman"/>
          <w:color w:val="auto"/>
          <w:sz w:val="24"/>
          <w:szCs w:val="28"/>
        </w:rPr>
        <w:t>项目原料及产品均为塑料类，属于可燃物品，在输送、储存等过程中可能遇明火而发生火灾事故。当材料发生火灾时将放出大量辐射热，同时还散发出大量的浓烟，浓烟是由燃烧物质释放出的高温蒸汽和毒气、被分解和凝聚的未燃烧物质、被火焰加热而带入上升气流中的大量空气等多种物质组成。它不但含有大量的热量，而且含有毒气体和弥散的固体微粒，对周围的大气环境质量造成一定影响。</w:t>
      </w:r>
    </w:p>
    <w:p>
      <w:pPr>
        <w:ind w:firstLine="480"/>
        <w:rPr>
          <w:rFonts w:ascii="Times New Roman" w:hAnsi="Times New Roman"/>
          <w:color w:val="auto"/>
          <w:sz w:val="24"/>
          <w:szCs w:val="28"/>
        </w:rPr>
      </w:pPr>
      <w:r>
        <w:rPr>
          <w:rFonts w:ascii="Times New Roman" w:hAnsi="Times New Roman"/>
          <w:color w:val="auto"/>
          <w:sz w:val="24"/>
          <w:szCs w:val="28"/>
        </w:rPr>
        <w:t>2、地表水环境影响</w:t>
      </w:r>
    </w:p>
    <w:p>
      <w:pPr>
        <w:ind w:firstLine="480"/>
        <w:rPr>
          <w:rFonts w:ascii="Times New Roman" w:hAnsi="Times New Roman"/>
          <w:color w:val="auto"/>
          <w:sz w:val="24"/>
          <w:szCs w:val="28"/>
        </w:rPr>
      </w:pPr>
      <w:r>
        <w:rPr>
          <w:rFonts w:ascii="Times New Roman" w:hAnsi="Times New Roman"/>
          <w:color w:val="auto"/>
          <w:sz w:val="24"/>
          <w:szCs w:val="28"/>
        </w:rPr>
        <w:t>当发生火灾救火时会产生大量消防水，消防水如若未及时进行收集处理，将会随地表径流进入地表水体，对周围地表水环境产生一定影响。</w:t>
      </w:r>
    </w:p>
    <w:p>
      <w:pPr>
        <w:ind w:firstLine="480"/>
        <w:rPr>
          <w:rFonts w:ascii="Times New Roman" w:hAnsi="Times New Roman"/>
          <w:color w:val="auto"/>
          <w:sz w:val="24"/>
          <w:szCs w:val="28"/>
        </w:rPr>
      </w:pPr>
      <w:r>
        <w:rPr>
          <w:rFonts w:ascii="Times New Roman" w:hAnsi="Times New Roman"/>
          <w:color w:val="auto"/>
          <w:sz w:val="24"/>
          <w:szCs w:val="28"/>
        </w:rPr>
        <w:t>3、人群健康</w:t>
      </w:r>
    </w:p>
    <w:p>
      <w:pPr>
        <w:ind w:firstLine="480"/>
        <w:rPr>
          <w:rFonts w:ascii="Times New Roman" w:hAnsi="Times New Roman"/>
          <w:color w:val="auto"/>
          <w:sz w:val="24"/>
          <w:szCs w:val="28"/>
        </w:rPr>
      </w:pPr>
      <w:r>
        <w:rPr>
          <w:rFonts w:ascii="Times New Roman" w:hAnsi="Times New Roman"/>
          <w:color w:val="auto"/>
          <w:sz w:val="24"/>
          <w:szCs w:val="28"/>
        </w:rPr>
        <w:t>当发生火灾时将放出大量辐射热，同时释放出大量CO等有毒气体，会造成人群中毒等，对火场周围居民的生命安全造成危害，另外，燃烧时的强烈热辐射还可能造成厂房变形坍塌等事故。</w:t>
      </w:r>
    </w:p>
    <w:p>
      <w:pPr>
        <w:pStyle w:val="4"/>
        <w:rPr>
          <w:rFonts w:ascii="Times New Roman" w:hAnsi="Times New Roman"/>
          <w:color w:val="auto"/>
          <w:lang w:eastAsia="zh-CN"/>
        </w:rPr>
      </w:pPr>
      <w:bookmarkStart w:id="177" w:name="_Toc24746"/>
      <w:bookmarkStart w:id="178" w:name="_Toc5888500"/>
      <w:r>
        <w:rPr>
          <w:rFonts w:hint="eastAsia"/>
          <w:color w:val="auto"/>
          <w:lang w:val="en-US" w:eastAsia="zh-CN"/>
        </w:rPr>
        <w:t xml:space="preserve">6.8.5 </w:t>
      </w:r>
      <w:r>
        <w:rPr>
          <w:rFonts w:ascii="Times New Roman" w:hAnsi="Times New Roman"/>
          <w:color w:val="auto"/>
          <w:lang w:eastAsia="zh-CN"/>
        </w:rPr>
        <w:t>环境风险防范措施</w:t>
      </w:r>
      <w:r>
        <w:rPr>
          <w:rFonts w:hint="eastAsia"/>
          <w:color w:val="auto"/>
          <w:lang w:eastAsia="zh-CN"/>
        </w:rPr>
        <w:t>及</w:t>
      </w:r>
      <w:r>
        <w:rPr>
          <w:rFonts w:ascii="Times New Roman" w:hAnsi="Times New Roman"/>
          <w:color w:val="auto"/>
          <w:lang w:eastAsia="zh-CN"/>
        </w:rPr>
        <w:t>应急要求</w:t>
      </w:r>
      <w:bookmarkEnd w:id="177"/>
      <w:bookmarkEnd w:id="178"/>
    </w:p>
    <w:p>
      <w:pPr>
        <w:ind w:firstLine="482" w:firstLineChars="200"/>
        <w:rPr>
          <w:rFonts w:ascii="Times New Roman" w:hAnsi="Times New Roman"/>
          <w:b/>
          <w:bCs/>
          <w:color w:val="auto"/>
          <w:sz w:val="24"/>
          <w:u w:val="single"/>
        </w:rPr>
      </w:pPr>
      <w:bookmarkStart w:id="179" w:name="_Toc224388117"/>
      <w:bookmarkStart w:id="180" w:name="_Toc238356298"/>
      <w:bookmarkStart w:id="181" w:name="_Toc236720818"/>
      <w:bookmarkStart w:id="182" w:name="_Toc381650456"/>
      <w:bookmarkStart w:id="183" w:name="_Toc243824003"/>
      <w:bookmarkStart w:id="184" w:name="_Toc343699402"/>
      <w:r>
        <w:rPr>
          <w:rFonts w:ascii="Times New Roman" w:hAnsi="Times New Roman"/>
          <w:b/>
          <w:bCs/>
          <w:color w:val="auto"/>
          <w:sz w:val="24"/>
          <w:u w:val="single"/>
        </w:rPr>
        <w:t>1、总图布置和建筑安全防范措施</w:t>
      </w:r>
    </w:p>
    <w:p>
      <w:pPr>
        <w:ind w:firstLine="480" w:firstLineChars="200"/>
        <w:rPr>
          <w:rFonts w:ascii="Times New Roman" w:hAnsi="Times New Roman"/>
          <w:color w:val="auto"/>
          <w:sz w:val="24"/>
          <w:u w:val="single"/>
        </w:rPr>
      </w:pPr>
      <w:r>
        <w:rPr>
          <w:rFonts w:ascii="Times New Roman" w:hAnsi="Times New Roman"/>
          <w:color w:val="auto"/>
          <w:sz w:val="24"/>
          <w:u w:val="single"/>
        </w:rPr>
        <w:t>（1）项目生产车间、原料库、产品库周边均应为硬化地面，并在四周设废水收集沟，收集沟与事故水池相连。确保发生事故时，灭火时产生的废水可完全被收集处理，不会通过渗透和地表径流污染地下水和地表水。</w:t>
      </w:r>
    </w:p>
    <w:p>
      <w:pPr>
        <w:ind w:firstLine="480" w:firstLineChars="200"/>
        <w:rPr>
          <w:rFonts w:ascii="Times New Roman" w:hAnsi="Times New Roman"/>
          <w:color w:val="auto"/>
          <w:sz w:val="24"/>
          <w:u w:val="single"/>
        </w:rPr>
      </w:pPr>
      <w:r>
        <w:rPr>
          <w:rFonts w:ascii="Times New Roman" w:hAnsi="Times New Roman"/>
          <w:color w:val="auto"/>
          <w:sz w:val="24"/>
          <w:u w:val="single"/>
        </w:rPr>
        <w:t>（2）整个厂区内交通方便，各主要建筑物四周均设环形道路，道路为混凝土路面，满足检修及消防的要求。</w:t>
      </w:r>
    </w:p>
    <w:p>
      <w:pPr>
        <w:ind w:firstLine="482" w:firstLineChars="200"/>
        <w:rPr>
          <w:rFonts w:ascii="Times New Roman" w:hAnsi="Times New Roman" w:eastAsia="宋体"/>
          <w:b/>
          <w:bCs/>
          <w:color w:val="auto"/>
          <w:sz w:val="24"/>
          <w:u w:val="single"/>
        </w:rPr>
      </w:pPr>
      <w:r>
        <w:rPr>
          <w:rFonts w:ascii="Times New Roman" w:hAnsi="Times New Roman" w:eastAsia="宋体"/>
          <w:b/>
          <w:bCs/>
          <w:color w:val="auto"/>
          <w:sz w:val="24"/>
          <w:u w:val="single"/>
        </w:rPr>
        <w:t>2、工艺技术装备和自动控制安全防范措施</w:t>
      </w:r>
    </w:p>
    <w:p>
      <w:pPr>
        <w:ind w:firstLine="480" w:firstLineChars="200"/>
        <w:rPr>
          <w:rFonts w:ascii="Times New Roman" w:hAnsi="Times New Roman"/>
          <w:color w:val="auto"/>
          <w:sz w:val="24"/>
          <w:u w:val="single"/>
        </w:rPr>
      </w:pPr>
      <w:r>
        <w:rPr>
          <w:rFonts w:ascii="Times New Roman" w:hAnsi="Times New Roman"/>
          <w:color w:val="auto"/>
          <w:sz w:val="24"/>
          <w:u w:val="single"/>
        </w:rPr>
        <w:t>（1）厂房内加强通风，分析室设局部排风，加强排风排毒。装置排出废气集中排放，排放口高于操作面。</w:t>
      </w:r>
    </w:p>
    <w:p>
      <w:pPr>
        <w:ind w:firstLine="480" w:firstLineChars="200"/>
        <w:rPr>
          <w:rFonts w:ascii="Times New Roman" w:hAnsi="Times New Roman"/>
          <w:color w:val="auto"/>
          <w:sz w:val="24"/>
          <w:u w:val="single"/>
        </w:rPr>
      </w:pPr>
      <w:r>
        <w:rPr>
          <w:rFonts w:ascii="Times New Roman" w:hAnsi="Times New Roman"/>
          <w:color w:val="auto"/>
          <w:sz w:val="24"/>
          <w:u w:val="single"/>
        </w:rPr>
        <w:t>（2）设备、机泵、阀门、管道等选用先进、可靠的产品。同时应加强生产过程中设备与管道系统的管理与维修，使生产系统处于密闭化，严禁生产废气跑、冒、滴、漏现象的发生。</w:t>
      </w:r>
    </w:p>
    <w:p>
      <w:pPr>
        <w:ind w:firstLine="480" w:firstLineChars="200"/>
        <w:rPr>
          <w:rFonts w:ascii="Times New Roman" w:hAnsi="Times New Roman"/>
          <w:color w:val="auto"/>
          <w:sz w:val="24"/>
          <w:u w:val="single"/>
        </w:rPr>
      </w:pPr>
      <w:r>
        <w:rPr>
          <w:rFonts w:ascii="Times New Roman" w:hAnsi="Times New Roman"/>
          <w:color w:val="auto"/>
          <w:sz w:val="24"/>
          <w:u w:val="single"/>
        </w:rPr>
        <w:t>（3）工人操作休息室与工艺生产设备隔离，除少数岗位外，工人除短时在生产现场巡回检查外，大多数时间在操作室停留，改善工人的劳动条件。</w:t>
      </w:r>
    </w:p>
    <w:p>
      <w:pPr>
        <w:ind w:firstLine="480"/>
        <w:rPr>
          <w:rFonts w:ascii="Times New Roman" w:hAnsi="Times New Roman"/>
          <w:color w:val="auto"/>
          <w:sz w:val="24"/>
          <w:u w:val="single"/>
        </w:rPr>
      </w:pPr>
      <w:r>
        <w:rPr>
          <w:rFonts w:ascii="Times New Roman" w:hAnsi="Times New Roman"/>
          <w:color w:val="auto"/>
          <w:sz w:val="24"/>
          <w:u w:val="single"/>
        </w:rPr>
        <w:t>（4）在厂区配备泡沫灭火器、消防栓、喷淋系统等，一旦发生起火事故，及时</w:t>
      </w:r>
      <w:r>
        <w:rPr>
          <w:rFonts w:hint="eastAsia"/>
          <w:color w:val="auto"/>
          <w:sz w:val="24"/>
          <w:u w:val="single"/>
          <w:lang w:eastAsia="zh-CN"/>
        </w:rPr>
        <w:t>有效地进行</w:t>
      </w:r>
      <w:r>
        <w:rPr>
          <w:rFonts w:ascii="Times New Roman" w:hAnsi="Times New Roman"/>
          <w:color w:val="auto"/>
          <w:sz w:val="24"/>
          <w:u w:val="single"/>
        </w:rPr>
        <w:t>扑灭。当火势较小时，启动泡沫灭火器；当火势较大时采用喷淋灭火；消防水池容积=喷淋系统用水量（10L/S）</w:t>
      </w:r>
      <w:r>
        <w:rPr>
          <w:rFonts w:hint="eastAsia" w:ascii="宋体" w:hAnsi="宋体" w:cs="宋体"/>
          <w:color w:val="auto"/>
          <w:sz w:val="24"/>
          <w:u w:val="single"/>
        </w:rPr>
        <w:t>※</w:t>
      </w:r>
      <w:r>
        <w:rPr>
          <w:rFonts w:ascii="Times New Roman" w:hAnsi="Times New Roman"/>
          <w:color w:val="auto"/>
          <w:sz w:val="24"/>
          <w:u w:val="single"/>
        </w:rPr>
        <w:t>有效灭火时间（30</w:t>
      </w:r>
      <w:r>
        <w:rPr>
          <w:rFonts w:hint="eastAsia" w:ascii="宋体" w:hAnsi="宋体" w:cs="宋体"/>
          <w:color w:val="auto"/>
          <w:sz w:val="24"/>
          <w:u w:val="single"/>
        </w:rPr>
        <w:t>※</w:t>
      </w:r>
      <w:r>
        <w:rPr>
          <w:rFonts w:ascii="Times New Roman" w:hAnsi="Times New Roman"/>
          <w:color w:val="auto"/>
          <w:sz w:val="24"/>
          <w:u w:val="single"/>
        </w:rPr>
        <w:t>60）=18m</w:t>
      </w:r>
      <w:r>
        <w:rPr>
          <w:rFonts w:ascii="Times New Roman" w:hAnsi="Times New Roman"/>
          <w:color w:val="auto"/>
          <w:sz w:val="24"/>
          <w:u w:val="single"/>
          <w:vertAlign w:val="superscript"/>
        </w:rPr>
        <w:t>3</w:t>
      </w:r>
      <w:r>
        <w:rPr>
          <w:rFonts w:ascii="Times New Roman" w:hAnsi="Times New Roman"/>
          <w:color w:val="auto"/>
          <w:sz w:val="24"/>
          <w:u w:val="single"/>
        </w:rPr>
        <w:t>。</w:t>
      </w:r>
    </w:p>
    <w:p>
      <w:pPr>
        <w:ind w:firstLine="480" w:firstLineChars="200"/>
        <w:rPr>
          <w:rFonts w:ascii="Times New Roman" w:hAnsi="Times New Roman"/>
          <w:color w:val="auto"/>
          <w:sz w:val="24"/>
          <w:u w:val="single"/>
        </w:rPr>
      </w:pPr>
      <w:r>
        <w:rPr>
          <w:rFonts w:ascii="Times New Roman" w:hAnsi="Times New Roman"/>
          <w:color w:val="auto"/>
          <w:sz w:val="24"/>
          <w:u w:val="single"/>
        </w:rPr>
        <w:t>（5）自控设计中对重要参数设置越限报警系统，调节系统在紧急状态下均可手动操作。</w:t>
      </w:r>
    </w:p>
    <w:p>
      <w:pPr>
        <w:ind w:firstLine="482" w:firstLineChars="200"/>
        <w:rPr>
          <w:rFonts w:ascii="Times New Roman" w:hAnsi="Times New Roman" w:eastAsia="宋体"/>
          <w:b/>
          <w:bCs/>
          <w:color w:val="auto"/>
          <w:sz w:val="24"/>
          <w:u w:val="single"/>
        </w:rPr>
      </w:pPr>
      <w:r>
        <w:rPr>
          <w:rFonts w:hint="eastAsia" w:ascii="Times New Roman" w:hAnsi="Times New Roman" w:eastAsia="宋体"/>
          <w:b/>
          <w:bCs/>
          <w:color w:val="auto"/>
          <w:sz w:val="24"/>
          <w:u w:val="single"/>
          <w:lang w:val="en-US" w:eastAsia="zh-CN"/>
        </w:rPr>
        <w:t>3</w:t>
      </w:r>
      <w:r>
        <w:rPr>
          <w:rFonts w:ascii="Times New Roman" w:hAnsi="Times New Roman" w:eastAsia="宋体"/>
          <w:b/>
          <w:bCs/>
          <w:color w:val="auto"/>
          <w:sz w:val="24"/>
          <w:u w:val="single"/>
        </w:rPr>
        <w:t>、次生/伴生</w:t>
      </w:r>
      <w:r>
        <w:rPr>
          <w:rFonts w:hint="eastAsia" w:ascii="Times New Roman" w:hAnsi="Times New Roman" w:eastAsia="宋体"/>
          <w:b/>
          <w:bCs/>
          <w:color w:val="auto"/>
          <w:sz w:val="24"/>
          <w:u w:val="single"/>
          <w:lang w:eastAsia="zh-CN"/>
        </w:rPr>
        <w:t>废水、废气</w:t>
      </w:r>
      <w:r>
        <w:rPr>
          <w:rFonts w:ascii="Times New Roman" w:hAnsi="Times New Roman" w:eastAsia="宋体"/>
          <w:b/>
          <w:bCs/>
          <w:color w:val="auto"/>
          <w:sz w:val="24"/>
          <w:u w:val="single"/>
        </w:rPr>
        <w:t>风险防范措施</w:t>
      </w:r>
    </w:p>
    <w:p>
      <w:pPr>
        <w:ind w:firstLine="480"/>
        <w:rPr>
          <w:rFonts w:ascii="Times New Roman" w:hAnsi="Times New Roman" w:eastAsia="宋体"/>
          <w:color w:val="auto"/>
          <w:sz w:val="24"/>
          <w:u w:val="single"/>
        </w:rPr>
      </w:pPr>
      <w:r>
        <w:rPr>
          <w:rFonts w:ascii="Times New Roman" w:hAnsi="Times New Roman" w:eastAsia="宋体"/>
          <w:color w:val="auto"/>
          <w:sz w:val="24"/>
          <w:u w:val="single"/>
        </w:rPr>
        <w:t>发生火灾爆炸事故往往伴随着次生/伴生污染事故的发生，该类事故发生后：</w:t>
      </w:r>
    </w:p>
    <w:p>
      <w:pPr>
        <w:numPr>
          <w:ilvl w:val="0"/>
          <w:numId w:val="8"/>
        </w:numPr>
        <w:ind w:firstLine="480"/>
        <w:rPr>
          <w:rFonts w:ascii="Times New Roman" w:hAnsi="Times New Roman" w:eastAsia="宋体"/>
          <w:color w:val="auto"/>
          <w:sz w:val="24"/>
          <w:u w:val="single"/>
        </w:rPr>
      </w:pPr>
      <w:r>
        <w:rPr>
          <w:rFonts w:ascii="Times New Roman" w:hAnsi="Times New Roman" w:eastAsia="宋体"/>
          <w:color w:val="auto"/>
          <w:sz w:val="24"/>
          <w:u w:val="single"/>
        </w:rPr>
        <w:t>应首先进行灭火，迅速移走火灾区边界易燃可燃物尤其是危险化学品，降低着火时间，控制火灾区域，减少燃烧次生、伴生物质一氧化碳对环境空气造成的影响。</w:t>
      </w:r>
    </w:p>
    <w:p>
      <w:pPr>
        <w:numPr>
          <w:ilvl w:val="0"/>
          <w:numId w:val="0"/>
        </w:numPr>
        <w:ind w:firstLine="480" w:firstLineChars="200"/>
        <w:rPr>
          <w:rFonts w:ascii="Times New Roman" w:hAnsi="Times New Roman" w:eastAsia="宋体"/>
          <w:color w:val="auto"/>
          <w:sz w:val="24"/>
          <w:u w:val="single"/>
        </w:rPr>
      </w:pPr>
      <w:r>
        <w:rPr>
          <w:rFonts w:ascii="Times New Roman" w:hAnsi="Times New Roman" w:eastAsia="宋体"/>
          <w:color w:val="auto"/>
          <w:sz w:val="24"/>
          <w:u w:val="single"/>
        </w:rPr>
        <w:t>（2）灭火产生的消防废水要收集至事故池暂存。</w:t>
      </w:r>
    </w:p>
    <w:p>
      <w:pPr>
        <w:ind w:firstLine="480"/>
        <w:rPr>
          <w:rFonts w:ascii="Times New Roman" w:hAnsi="Times New Roman" w:eastAsia="宋体"/>
          <w:color w:val="auto"/>
          <w:sz w:val="24"/>
          <w:u w:val="single"/>
        </w:rPr>
      </w:pPr>
      <w:r>
        <w:rPr>
          <w:rFonts w:ascii="Times New Roman" w:hAnsi="Times New Roman" w:eastAsia="宋体"/>
          <w:color w:val="auto"/>
          <w:sz w:val="24"/>
          <w:u w:val="single"/>
        </w:rPr>
        <w:t>（3）事故产生的其它废灭火剂、拦截、堵漏材料等在事故排放后统一收集送有资质单位进行处理。</w:t>
      </w:r>
    </w:p>
    <w:p>
      <w:pPr>
        <w:ind w:firstLine="480"/>
        <w:rPr>
          <w:rFonts w:ascii="Times New Roman" w:hAnsi="Times New Roman" w:eastAsia="宋体"/>
          <w:color w:val="auto"/>
          <w:sz w:val="24"/>
          <w:u w:val="single"/>
        </w:rPr>
      </w:pPr>
      <w:r>
        <w:rPr>
          <w:rFonts w:ascii="Times New Roman" w:hAnsi="Times New Roman" w:eastAsia="宋体"/>
          <w:color w:val="auto"/>
          <w:sz w:val="24"/>
          <w:u w:val="single"/>
        </w:rPr>
        <w:t>（4）当发生火灾后，应迅速撤离泄漏污染区人员至上风向处，并立即隔离事故点，严格限制出入。建议应急处理人员佩戴自给正压式呼吸器，穿消防防护服。合理通风，加速扩散。</w:t>
      </w:r>
    </w:p>
    <w:p>
      <w:pPr>
        <w:ind w:firstLine="482" w:firstLineChars="200"/>
        <w:rPr>
          <w:rFonts w:hint="eastAsia" w:ascii="Times New Roman" w:hAnsi="Times New Roman" w:eastAsia="宋体"/>
          <w:b/>
          <w:bCs/>
          <w:color w:val="auto"/>
          <w:sz w:val="24"/>
          <w:u w:val="single"/>
          <w:lang w:val="en-US" w:eastAsia="zh-CN"/>
        </w:rPr>
      </w:pPr>
      <w:r>
        <w:rPr>
          <w:rFonts w:hint="eastAsia" w:ascii="Times New Roman" w:hAnsi="Times New Roman" w:eastAsia="宋体"/>
          <w:b/>
          <w:bCs/>
          <w:color w:val="auto"/>
          <w:sz w:val="24"/>
          <w:u w:val="single"/>
          <w:lang w:val="en-US" w:eastAsia="zh-CN"/>
        </w:rPr>
        <w:t>4、事故废水设置及收集措施</w:t>
      </w:r>
    </w:p>
    <w:p>
      <w:pPr>
        <w:ind w:firstLine="560"/>
        <w:jc w:val="both"/>
        <w:rPr>
          <w:rFonts w:cs="Times New Roman"/>
          <w:u w:val="single"/>
        </w:rPr>
      </w:pPr>
      <w:r>
        <w:rPr>
          <w:rFonts w:cs="Times New Roman"/>
          <w:u w:val="single"/>
        </w:rPr>
        <w:t>参照《化工建设项目环境保护</w:t>
      </w:r>
      <w:r>
        <w:rPr>
          <w:rFonts w:hint="eastAsia" w:cs="Times New Roman"/>
          <w:u w:val="single"/>
        </w:rPr>
        <w:t>工程设计标准</w:t>
      </w:r>
      <w:r>
        <w:rPr>
          <w:rFonts w:cs="Times New Roman"/>
          <w:u w:val="single"/>
        </w:rPr>
        <w:t>》（GB/T50483-2019）和《水体污染防控紧急措施设计导则》（中国石化建标</w:t>
      </w:r>
      <w:r>
        <w:rPr>
          <w:rFonts w:hint="eastAsia" w:ascii="宋体" w:hAnsi="宋体" w:eastAsia="宋体" w:cs="宋体"/>
          <w:u w:val="single"/>
        </w:rPr>
        <w:t>〔</w:t>
      </w:r>
      <w:r>
        <w:rPr>
          <w:rFonts w:cs="Times New Roman"/>
          <w:u w:val="single"/>
        </w:rPr>
        <w:t>2006</w:t>
      </w:r>
      <w:r>
        <w:rPr>
          <w:rFonts w:hint="eastAsia" w:ascii="宋体" w:hAnsi="宋体" w:eastAsia="宋体" w:cs="宋体"/>
          <w:u w:val="single"/>
        </w:rPr>
        <w:t>〕</w:t>
      </w:r>
      <w:r>
        <w:rPr>
          <w:rFonts w:cs="Times New Roman"/>
          <w:u w:val="single"/>
        </w:rPr>
        <w:t>43号）事故应急池计算公式如下：</w:t>
      </w:r>
    </w:p>
    <w:p>
      <w:pPr>
        <w:ind w:firstLine="560"/>
        <w:jc w:val="both"/>
        <w:rPr>
          <w:rFonts w:cs="Times New Roman"/>
          <w:u w:val="single"/>
        </w:rPr>
      </w:pPr>
      <w:r>
        <w:rPr>
          <w:rFonts w:hint="eastAsia" w:ascii="宋体" w:hAnsi="宋体" w:eastAsia="宋体" w:cs="宋体"/>
          <w:u w:val="single"/>
        </w:rPr>
        <w:t>①</w:t>
      </w:r>
      <w:r>
        <w:rPr>
          <w:rFonts w:cs="Times New Roman"/>
          <w:u w:val="single"/>
        </w:rPr>
        <w:t>V</w:t>
      </w:r>
      <w:r>
        <w:rPr>
          <w:rFonts w:cs="Times New Roman"/>
          <w:u w:val="single"/>
          <w:vertAlign w:val="subscript"/>
        </w:rPr>
        <w:t>总</w:t>
      </w:r>
    </w:p>
    <w:p>
      <w:pPr>
        <w:ind w:firstLine="0" w:firstLineChars="0"/>
        <w:jc w:val="center"/>
        <w:rPr>
          <w:rFonts w:cs="Times New Roman"/>
          <w:u w:val="single"/>
        </w:rPr>
      </w:pPr>
      <w:r>
        <w:rPr>
          <w:rFonts w:cs="Times New Roman"/>
          <w:u w:val="single"/>
        </w:rPr>
        <w:t>V</w:t>
      </w:r>
      <w:r>
        <w:rPr>
          <w:rFonts w:cs="Times New Roman"/>
          <w:u w:val="single"/>
          <w:vertAlign w:val="subscript"/>
        </w:rPr>
        <w:t>总</w:t>
      </w:r>
      <w:r>
        <w:rPr>
          <w:rFonts w:cs="Times New Roman"/>
          <w:u w:val="single"/>
        </w:rPr>
        <w:t>＝（V</w:t>
      </w:r>
      <w:r>
        <w:rPr>
          <w:rFonts w:cs="Times New Roman"/>
          <w:u w:val="single"/>
          <w:vertAlign w:val="subscript"/>
        </w:rPr>
        <w:t>1</w:t>
      </w:r>
      <w:r>
        <w:rPr>
          <w:rFonts w:cs="Times New Roman"/>
          <w:u w:val="single"/>
        </w:rPr>
        <w:t>＋V</w:t>
      </w:r>
      <w:r>
        <w:rPr>
          <w:rFonts w:cs="Times New Roman"/>
          <w:u w:val="single"/>
          <w:vertAlign w:val="subscript"/>
        </w:rPr>
        <w:t>2</w:t>
      </w:r>
      <w:r>
        <w:rPr>
          <w:rFonts w:cs="Times New Roman"/>
          <w:u w:val="single"/>
        </w:rPr>
        <w:t>－V</w:t>
      </w:r>
      <w:r>
        <w:rPr>
          <w:rFonts w:cs="Times New Roman"/>
          <w:u w:val="single"/>
          <w:vertAlign w:val="subscript"/>
        </w:rPr>
        <w:t>3</w:t>
      </w:r>
      <w:r>
        <w:rPr>
          <w:rFonts w:cs="Times New Roman"/>
          <w:u w:val="single"/>
        </w:rPr>
        <w:t>）</w:t>
      </w:r>
      <w:r>
        <w:rPr>
          <w:rFonts w:cs="Times New Roman"/>
          <w:u w:val="single"/>
          <w:vertAlign w:val="subscript"/>
        </w:rPr>
        <w:t>max</w:t>
      </w:r>
      <w:r>
        <w:rPr>
          <w:rFonts w:cs="Times New Roman"/>
          <w:u w:val="single"/>
        </w:rPr>
        <w:t>＋V</w:t>
      </w:r>
      <w:r>
        <w:rPr>
          <w:rFonts w:cs="Times New Roman"/>
          <w:u w:val="single"/>
          <w:vertAlign w:val="subscript"/>
        </w:rPr>
        <w:t>4</w:t>
      </w:r>
      <w:r>
        <w:rPr>
          <w:rFonts w:cs="Times New Roman"/>
          <w:u w:val="single"/>
        </w:rPr>
        <w:t>+V</w:t>
      </w:r>
      <w:r>
        <w:rPr>
          <w:rFonts w:cs="Times New Roman"/>
          <w:u w:val="single"/>
          <w:vertAlign w:val="subscript"/>
        </w:rPr>
        <w:t>5</w:t>
      </w:r>
    </w:p>
    <w:p>
      <w:pPr>
        <w:ind w:firstLine="560"/>
        <w:jc w:val="both"/>
        <w:rPr>
          <w:rFonts w:cs="Times New Roman"/>
          <w:u w:val="single"/>
        </w:rPr>
      </w:pPr>
      <w:r>
        <w:rPr>
          <w:rFonts w:cs="Times New Roman"/>
          <w:u w:val="single"/>
        </w:rPr>
        <w:t>注：（V</w:t>
      </w:r>
      <w:r>
        <w:rPr>
          <w:rFonts w:cs="Times New Roman"/>
          <w:u w:val="single"/>
          <w:vertAlign w:val="subscript"/>
        </w:rPr>
        <w:t>1</w:t>
      </w:r>
      <w:r>
        <w:rPr>
          <w:rFonts w:cs="Times New Roman"/>
          <w:u w:val="single"/>
        </w:rPr>
        <w:t>＋V</w:t>
      </w:r>
      <w:r>
        <w:rPr>
          <w:rFonts w:cs="Times New Roman"/>
          <w:u w:val="single"/>
          <w:vertAlign w:val="subscript"/>
        </w:rPr>
        <w:t>2</w:t>
      </w:r>
      <w:r>
        <w:rPr>
          <w:rFonts w:cs="Times New Roman"/>
          <w:u w:val="single"/>
        </w:rPr>
        <w:t>-V</w:t>
      </w:r>
      <w:r>
        <w:rPr>
          <w:rFonts w:cs="Times New Roman"/>
          <w:u w:val="single"/>
          <w:vertAlign w:val="subscript"/>
        </w:rPr>
        <w:t>3</w:t>
      </w:r>
      <w:r>
        <w:rPr>
          <w:rFonts w:cs="Times New Roman"/>
          <w:u w:val="single"/>
        </w:rPr>
        <w:t>）</w:t>
      </w:r>
      <w:r>
        <w:rPr>
          <w:rFonts w:cs="Times New Roman"/>
          <w:u w:val="single"/>
          <w:vertAlign w:val="subscript"/>
        </w:rPr>
        <w:t>max</w:t>
      </w:r>
      <w:r>
        <w:rPr>
          <w:rFonts w:cs="Times New Roman"/>
          <w:u w:val="single"/>
        </w:rPr>
        <w:t>是指对收集系统范围内不同罐组或装置分别计算V</w:t>
      </w:r>
      <w:r>
        <w:rPr>
          <w:rFonts w:cs="Times New Roman"/>
          <w:u w:val="single"/>
          <w:vertAlign w:val="subscript"/>
        </w:rPr>
        <w:t>1</w:t>
      </w:r>
      <w:r>
        <w:rPr>
          <w:rFonts w:cs="Times New Roman"/>
          <w:u w:val="single"/>
        </w:rPr>
        <w:t>＋V</w:t>
      </w:r>
      <w:r>
        <w:rPr>
          <w:rFonts w:cs="Times New Roman"/>
          <w:u w:val="single"/>
          <w:vertAlign w:val="subscript"/>
        </w:rPr>
        <w:t>2</w:t>
      </w:r>
      <w:r>
        <w:rPr>
          <w:rFonts w:cs="Times New Roman"/>
          <w:u w:val="single"/>
        </w:rPr>
        <w:t>－V</w:t>
      </w:r>
      <w:r>
        <w:rPr>
          <w:rFonts w:cs="Times New Roman"/>
          <w:u w:val="single"/>
          <w:vertAlign w:val="subscript"/>
        </w:rPr>
        <w:t>3</w:t>
      </w:r>
      <w:r>
        <w:rPr>
          <w:rFonts w:cs="Times New Roman"/>
          <w:u w:val="single"/>
        </w:rPr>
        <w:t>，取其中最大值。</w:t>
      </w:r>
    </w:p>
    <w:p>
      <w:pPr>
        <w:ind w:firstLine="560"/>
        <w:jc w:val="both"/>
        <w:rPr>
          <w:rFonts w:cs="Times New Roman"/>
          <w:u w:val="single"/>
        </w:rPr>
      </w:pPr>
      <w:r>
        <w:rPr>
          <w:rFonts w:cs="Times New Roman"/>
          <w:u w:val="single"/>
        </w:rPr>
        <w:t>V</w:t>
      </w:r>
      <w:r>
        <w:rPr>
          <w:rFonts w:cs="Times New Roman"/>
          <w:u w:val="single"/>
          <w:vertAlign w:val="subscript"/>
        </w:rPr>
        <w:t>1</w:t>
      </w:r>
      <w:r>
        <w:rPr>
          <w:rFonts w:cs="Times New Roman"/>
          <w:u w:val="single"/>
        </w:rPr>
        <w:t>——收集系统范围内发生事故的一个罐组或一套装置的物料量。拟建项目单个储罐最大贮存量为0m</w:t>
      </w:r>
      <w:r>
        <w:rPr>
          <w:rFonts w:cs="Times New Roman"/>
          <w:u w:val="single"/>
          <w:vertAlign w:val="superscript"/>
        </w:rPr>
        <w:t>3</w:t>
      </w:r>
      <w:r>
        <w:rPr>
          <w:rFonts w:cs="Times New Roman"/>
          <w:u w:val="single"/>
        </w:rPr>
        <w:t>。</w:t>
      </w:r>
    </w:p>
    <w:p>
      <w:pPr>
        <w:ind w:firstLine="560"/>
        <w:jc w:val="both"/>
        <w:rPr>
          <w:rFonts w:cs="Times New Roman"/>
          <w:u w:val="single"/>
        </w:rPr>
      </w:pPr>
      <w:r>
        <w:rPr>
          <w:rFonts w:cs="Times New Roman"/>
          <w:u w:val="single"/>
        </w:rPr>
        <w:t>V</w:t>
      </w:r>
      <w:r>
        <w:rPr>
          <w:rFonts w:cs="Times New Roman"/>
          <w:u w:val="single"/>
          <w:vertAlign w:val="subscript"/>
        </w:rPr>
        <w:t>2</w:t>
      </w:r>
      <w:r>
        <w:rPr>
          <w:rFonts w:cs="Times New Roman"/>
          <w:u w:val="single"/>
        </w:rPr>
        <w:t>——发生事故的储罐或装置的消防水量，m</w:t>
      </w:r>
      <w:r>
        <w:rPr>
          <w:rFonts w:cs="Times New Roman"/>
          <w:u w:val="single"/>
          <w:vertAlign w:val="superscript"/>
        </w:rPr>
        <w:t>3</w:t>
      </w:r>
      <w:r>
        <w:rPr>
          <w:rFonts w:cs="Times New Roman"/>
          <w:u w:val="single"/>
        </w:rPr>
        <w:t>；参考《建筑设计防火规范》及《消防给水及消火栓系统技术规范》：消防用水量按不低于30L/s计，持续时间不低于3h，则消防总水量约324m</w:t>
      </w:r>
      <w:r>
        <w:rPr>
          <w:rFonts w:cs="Times New Roman"/>
          <w:u w:val="single"/>
          <w:vertAlign w:val="superscript"/>
        </w:rPr>
        <w:t>3</w:t>
      </w:r>
      <w:r>
        <w:rPr>
          <w:rFonts w:cs="Times New Roman"/>
          <w:u w:val="single"/>
        </w:rPr>
        <w:t>，即V</w:t>
      </w:r>
      <w:r>
        <w:rPr>
          <w:rFonts w:cs="Times New Roman"/>
          <w:u w:val="single"/>
          <w:vertAlign w:val="subscript"/>
        </w:rPr>
        <w:t>2</w:t>
      </w:r>
      <w:r>
        <w:rPr>
          <w:rFonts w:cs="Times New Roman"/>
          <w:u w:val="single"/>
        </w:rPr>
        <w:t>=324m</w:t>
      </w:r>
      <w:r>
        <w:rPr>
          <w:rFonts w:cs="Times New Roman"/>
          <w:u w:val="single"/>
          <w:vertAlign w:val="superscript"/>
        </w:rPr>
        <w:t>3</w:t>
      </w:r>
      <w:r>
        <w:rPr>
          <w:rFonts w:cs="Times New Roman"/>
          <w:u w:val="single"/>
        </w:rPr>
        <w:t>。</w:t>
      </w:r>
    </w:p>
    <w:p>
      <w:pPr>
        <w:ind w:firstLine="560"/>
        <w:jc w:val="both"/>
        <w:rPr>
          <w:rFonts w:cs="Times New Roman"/>
          <w:u w:val="single"/>
        </w:rPr>
      </w:pPr>
      <w:r>
        <w:rPr>
          <w:rFonts w:cs="Times New Roman"/>
          <w:u w:val="single"/>
        </w:rPr>
        <w:t>V</w:t>
      </w:r>
      <w:r>
        <w:rPr>
          <w:rFonts w:cs="Times New Roman"/>
          <w:u w:val="single"/>
          <w:vertAlign w:val="subscript"/>
        </w:rPr>
        <w:t>3</w:t>
      </w:r>
      <w:r>
        <w:rPr>
          <w:rFonts w:cs="Times New Roman"/>
          <w:u w:val="single"/>
        </w:rPr>
        <w:t>——发生事故时可以转输到其他储存或处理设施的物料量，m</w:t>
      </w:r>
      <w:r>
        <w:rPr>
          <w:rFonts w:cs="Times New Roman"/>
          <w:u w:val="single"/>
          <w:vertAlign w:val="superscript"/>
        </w:rPr>
        <w:t>3</w:t>
      </w:r>
      <w:r>
        <w:rPr>
          <w:rFonts w:cs="Times New Roman"/>
          <w:u w:val="single"/>
        </w:rPr>
        <w:t>；拟建项目不考虑移走的量。</w:t>
      </w:r>
    </w:p>
    <w:p>
      <w:pPr>
        <w:ind w:firstLine="560"/>
        <w:jc w:val="both"/>
        <w:rPr>
          <w:rFonts w:cs="Times New Roman"/>
          <w:u w:val="single"/>
        </w:rPr>
      </w:pPr>
      <w:r>
        <w:rPr>
          <w:rFonts w:cs="Times New Roman"/>
          <w:u w:val="single"/>
        </w:rPr>
        <w:t>V</w:t>
      </w:r>
      <w:r>
        <w:rPr>
          <w:rFonts w:cs="Times New Roman"/>
          <w:u w:val="single"/>
          <w:vertAlign w:val="subscript"/>
        </w:rPr>
        <w:t>4</w:t>
      </w:r>
      <w:r>
        <w:rPr>
          <w:rFonts w:cs="Times New Roman"/>
          <w:u w:val="single"/>
        </w:rPr>
        <w:t>——发生事故时仍必须进入该收集系统的生产废水量，拟建项目运营产生的污水均为间歇排水，事故情况下不考虑生产废水的产生。</w:t>
      </w:r>
    </w:p>
    <w:p>
      <w:pPr>
        <w:ind w:firstLine="560"/>
        <w:jc w:val="both"/>
        <w:rPr>
          <w:rFonts w:cs="Times New Roman"/>
          <w:u w:val="single"/>
        </w:rPr>
      </w:pPr>
      <w:r>
        <w:rPr>
          <w:rFonts w:cs="Times New Roman"/>
          <w:u w:val="single"/>
        </w:rPr>
        <w:t>V</w:t>
      </w:r>
      <w:r>
        <w:rPr>
          <w:rFonts w:cs="Times New Roman"/>
          <w:u w:val="single"/>
          <w:vertAlign w:val="subscript"/>
        </w:rPr>
        <w:t>5</w:t>
      </w:r>
      <w:r>
        <w:rPr>
          <w:rFonts w:cs="Times New Roman"/>
          <w:u w:val="single"/>
        </w:rPr>
        <w:t>——发生事故时可能进入该收集系统的降雨量，m</w:t>
      </w:r>
      <w:r>
        <w:rPr>
          <w:rFonts w:cs="Times New Roman"/>
          <w:u w:val="single"/>
          <w:vertAlign w:val="superscript"/>
        </w:rPr>
        <w:t>3</w:t>
      </w:r>
      <w:r>
        <w:rPr>
          <w:rFonts w:cs="Times New Roman"/>
          <w:u w:val="single"/>
        </w:rPr>
        <w:t>；</w:t>
      </w:r>
    </w:p>
    <w:p>
      <w:pPr>
        <w:ind w:firstLine="0" w:firstLineChars="0"/>
        <w:jc w:val="center"/>
        <w:rPr>
          <w:rFonts w:cs="Times New Roman"/>
          <w:u w:val="single"/>
        </w:rPr>
      </w:pPr>
      <w:r>
        <w:rPr>
          <w:rFonts w:cs="Times New Roman"/>
          <w:u w:val="single"/>
        </w:rPr>
        <w:t>V</w:t>
      </w:r>
      <w:r>
        <w:rPr>
          <w:rFonts w:cs="Times New Roman"/>
          <w:u w:val="single"/>
          <w:vertAlign w:val="subscript"/>
        </w:rPr>
        <w:t>5</w:t>
      </w:r>
      <w:r>
        <w:rPr>
          <w:rFonts w:cs="Times New Roman"/>
          <w:u w:val="single"/>
        </w:rPr>
        <w:t>＝10qF</w:t>
      </w:r>
    </w:p>
    <w:p>
      <w:pPr>
        <w:ind w:firstLine="560"/>
        <w:jc w:val="both"/>
        <w:rPr>
          <w:rFonts w:cs="Times New Roman"/>
          <w:u w:val="single"/>
        </w:rPr>
      </w:pPr>
      <w:r>
        <w:rPr>
          <w:rFonts w:cs="Times New Roman"/>
          <w:u w:val="single"/>
        </w:rPr>
        <w:t>q——降雨强度，mm；按平均日降雨量；</w:t>
      </w:r>
    </w:p>
    <w:p>
      <w:pPr>
        <w:ind w:firstLine="0" w:firstLineChars="0"/>
        <w:jc w:val="both"/>
        <w:rPr>
          <w:rFonts w:cs="Times New Roman"/>
          <w:u w:val="single"/>
        </w:rPr>
      </w:pPr>
      <w:r>
        <w:rPr>
          <w:rFonts w:cs="Times New Roman"/>
          <w:u w:val="single"/>
        </w:rPr>
        <w:t>q=q</w:t>
      </w:r>
      <w:r>
        <w:rPr>
          <w:rFonts w:cs="Times New Roman"/>
          <w:u w:val="single"/>
          <w:vertAlign w:val="subscript"/>
        </w:rPr>
        <w:t>a</w:t>
      </w:r>
      <w:r>
        <w:rPr>
          <w:rFonts w:cs="Times New Roman"/>
          <w:u w:val="single"/>
        </w:rPr>
        <w:t>/n</w:t>
      </w:r>
    </w:p>
    <w:p>
      <w:pPr>
        <w:ind w:firstLine="560"/>
        <w:jc w:val="both"/>
        <w:rPr>
          <w:rFonts w:cs="Times New Roman"/>
          <w:u w:val="single"/>
        </w:rPr>
      </w:pPr>
      <w:r>
        <w:rPr>
          <w:rFonts w:cs="Times New Roman"/>
          <w:u w:val="single"/>
        </w:rPr>
        <w:t>q</w:t>
      </w:r>
      <w:r>
        <w:rPr>
          <w:rFonts w:cs="Times New Roman"/>
          <w:u w:val="single"/>
          <w:vertAlign w:val="subscript"/>
        </w:rPr>
        <w:t>a</w:t>
      </w:r>
      <w:r>
        <w:rPr>
          <w:rFonts w:cs="Times New Roman"/>
          <w:u w:val="single"/>
        </w:rPr>
        <w:t>——年平均降雨量，mm；</w:t>
      </w:r>
    </w:p>
    <w:p>
      <w:pPr>
        <w:ind w:firstLine="560"/>
        <w:jc w:val="both"/>
        <w:rPr>
          <w:rFonts w:cs="Times New Roman"/>
          <w:u w:val="single"/>
        </w:rPr>
      </w:pPr>
      <w:r>
        <w:rPr>
          <w:rFonts w:cs="Times New Roman"/>
          <w:u w:val="single"/>
        </w:rPr>
        <w:t>n——年平均降雨日数。</w:t>
      </w:r>
    </w:p>
    <w:p>
      <w:pPr>
        <w:ind w:firstLine="560"/>
        <w:jc w:val="both"/>
        <w:rPr>
          <w:rFonts w:cs="Times New Roman"/>
          <w:u w:val="single"/>
        </w:rPr>
      </w:pPr>
      <w:r>
        <w:rPr>
          <w:rFonts w:cs="Times New Roman"/>
          <w:u w:val="single"/>
        </w:rPr>
        <w:t>F——必须进入事故废水收集系统的雨水汇水面积，hm</w:t>
      </w:r>
      <w:r>
        <w:rPr>
          <w:rFonts w:cs="Times New Roman"/>
          <w:u w:val="single"/>
          <w:vertAlign w:val="superscript"/>
        </w:rPr>
        <w:t>2</w:t>
      </w:r>
      <w:r>
        <w:rPr>
          <w:rFonts w:cs="Times New Roman"/>
          <w:u w:val="single"/>
        </w:rPr>
        <w:t>。</w:t>
      </w:r>
    </w:p>
    <w:p>
      <w:pPr>
        <w:ind w:firstLine="560"/>
        <w:jc w:val="both"/>
        <w:rPr>
          <w:rFonts w:cs="Times New Roman"/>
          <w:u w:val="single"/>
        </w:rPr>
      </w:pPr>
      <w:r>
        <w:rPr>
          <w:rFonts w:cs="Times New Roman"/>
          <w:u w:val="single"/>
        </w:rPr>
        <w:t>项目所在地年平均降雨量</w:t>
      </w:r>
      <w:r>
        <w:rPr>
          <w:rFonts w:hint="eastAsia" w:cs="Times New Roman"/>
          <w:u w:val="single"/>
          <w:lang w:val="en-US" w:eastAsia="zh-CN"/>
        </w:rPr>
        <w:t>723.7</w:t>
      </w:r>
      <w:r>
        <w:rPr>
          <w:rFonts w:cs="Times New Roman"/>
          <w:u w:val="single"/>
        </w:rPr>
        <w:t>mm，降雨次数按20次核算，一次降雨量约</w:t>
      </w:r>
      <w:r>
        <w:rPr>
          <w:rFonts w:hint="eastAsia" w:cs="Times New Roman"/>
          <w:u w:val="single"/>
          <w:lang w:val="en-US" w:eastAsia="zh-CN"/>
        </w:rPr>
        <w:t>36.19</w:t>
      </w:r>
      <w:r>
        <w:rPr>
          <w:rFonts w:cs="Times New Roman"/>
          <w:u w:val="single"/>
        </w:rPr>
        <w:t>mm，项目污染区主要考虑车间周边地面和装卸区域，根据企业提供的资料，此部分汇水面积约</w:t>
      </w:r>
      <w:r>
        <w:rPr>
          <w:rFonts w:hint="eastAsia" w:cs="Times New Roman"/>
          <w:u w:val="single"/>
          <w:lang w:val="en-US" w:eastAsia="zh-CN"/>
        </w:rPr>
        <w:t>2000</w:t>
      </w:r>
      <w:r>
        <w:rPr>
          <w:rFonts w:cs="Times New Roman"/>
          <w:u w:val="single"/>
        </w:rPr>
        <w:t>m</w:t>
      </w:r>
      <w:r>
        <w:rPr>
          <w:rFonts w:cs="Times New Roman"/>
          <w:u w:val="single"/>
          <w:vertAlign w:val="superscript"/>
        </w:rPr>
        <w:t>2</w:t>
      </w:r>
      <w:r>
        <w:rPr>
          <w:rFonts w:cs="Times New Roman"/>
          <w:u w:val="single"/>
        </w:rPr>
        <w:t>。则一次降雨污染水量V</w:t>
      </w:r>
      <w:r>
        <w:rPr>
          <w:rFonts w:cs="Times New Roman"/>
          <w:u w:val="single"/>
          <w:vertAlign w:val="subscript"/>
        </w:rPr>
        <w:t>5</w:t>
      </w:r>
      <w:r>
        <w:rPr>
          <w:rFonts w:cs="Times New Roman"/>
          <w:u w:val="single"/>
        </w:rPr>
        <w:t>=</w:t>
      </w:r>
      <w:r>
        <w:rPr>
          <w:rFonts w:hint="eastAsia" w:cs="Times New Roman"/>
          <w:u w:val="single"/>
          <w:lang w:val="en-US" w:eastAsia="zh-CN"/>
        </w:rPr>
        <w:t>72.38</w:t>
      </w:r>
      <w:r>
        <w:rPr>
          <w:rFonts w:cs="Times New Roman"/>
          <w:u w:val="single"/>
        </w:rPr>
        <w:t>m</w:t>
      </w:r>
      <w:r>
        <w:rPr>
          <w:rFonts w:cs="Times New Roman"/>
          <w:u w:val="single"/>
          <w:vertAlign w:val="superscript"/>
        </w:rPr>
        <w:t>3</w:t>
      </w:r>
      <w:r>
        <w:rPr>
          <w:rFonts w:cs="Times New Roman"/>
          <w:u w:val="single"/>
        </w:rPr>
        <w:t>。</w:t>
      </w:r>
    </w:p>
    <w:p>
      <w:pPr>
        <w:ind w:firstLine="560"/>
        <w:jc w:val="both"/>
        <w:rPr>
          <w:rFonts w:cs="Times New Roman"/>
          <w:u w:val="single"/>
        </w:rPr>
      </w:pPr>
      <w:r>
        <w:rPr>
          <w:rFonts w:cs="Times New Roman"/>
          <w:u w:val="single"/>
        </w:rPr>
        <w:t>根据事故存储设施总有效容积计算公式，V</w:t>
      </w:r>
      <w:r>
        <w:rPr>
          <w:rFonts w:cs="Times New Roman"/>
          <w:u w:val="single"/>
          <w:vertAlign w:val="subscript"/>
        </w:rPr>
        <w:t>总</w:t>
      </w:r>
      <w:r>
        <w:rPr>
          <w:rFonts w:cs="Times New Roman"/>
          <w:u w:val="single"/>
        </w:rPr>
        <w:t>＝（V</w:t>
      </w:r>
      <w:r>
        <w:rPr>
          <w:rFonts w:cs="Times New Roman"/>
          <w:u w:val="single"/>
          <w:vertAlign w:val="subscript"/>
        </w:rPr>
        <w:t>1</w:t>
      </w:r>
      <w:r>
        <w:rPr>
          <w:rFonts w:cs="Times New Roman"/>
          <w:u w:val="single"/>
        </w:rPr>
        <w:t>＋V</w:t>
      </w:r>
      <w:r>
        <w:rPr>
          <w:rFonts w:cs="Times New Roman"/>
          <w:u w:val="single"/>
          <w:vertAlign w:val="subscript"/>
        </w:rPr>
        <w:t>2</w:t>
      </w:r>
      <w:r>
        <w:rPr>
          <w:rFonts w:cs="Times New Roman"/>
          <w:u w:val="single"/>
        </w:rPr>
        <w:t>－V</w:t>
      </w:r>
      <w:r>
        <w:rPr>
          <w:rFonts w:cs="Times New Roman"/>
          <w:u w:val="single"/>
          <w:vertAlign w:val="subscript"/>
        </w:rPr>
        <w:t>3</w:t>
      </w:r>
      <w:r>
        <w:rPr>
          <w:rFonts w:cs="Times New Roman"/>
          <w:u w:val="single"/>
        </w:rPr>
        <w:t>）</w:t>
      </w:r>
      <w:r>
        <w:rPr>
          <w:rFonts w:cs="Times New Roman"/>
          <w:u w:val="single"/>
          <w:vertAlign w:val="subscript"/>
        </w:rPr>
        <w:t>max</w:t>
      </w:r>
      <w:r>
        <w:rPr>
          <w:rFonts w:cs="Times New Roman"/>
          <w:u w:val="single"/>
        </w:rPr>
        <w:t>＋V</w:t>
      </w:r>
      <w:r>
        <w:rPr>
          <w:rFonts w:cs="Times New Roman"/>
          <w:u w:val="single"/>
          <w:vertAlign w:val="subscript"/>
        </w:rPr>
        <w:t>4</w:t>
      </w:r>
      <w:r>
        <w:rPr>
          <w:rFonts w:cs="Times New Roman"/>
          <w:u w:val="single"/>
        </w:rPr>
        <w:t>+V</w:t>
      </w:r>
      <w:r>
        <w:rPr>
          <w:rFonts w:cs="Times New Roman"/>
          <w:u w:val="single"/>
          <w:vertAlign w:val="subscript"/>
        </w:rPr>
        <w:t>5</w:t>
      </w:r>
      <w:r>
        <w:rPr>
          <w:rFonts w:cs="Times New Roman"/>
          <w:u w:val="single"/>
        </w:rPr>
        <w:t>＝324+</w:t>
      </w:r>
      <w:r>
        <w:rPr>
          <w:rFonts w:hint="eastAsia" w:cs="Times New Roman"/>
          <w:u w:val="single"/>
          <w:lang w:val="en-US" w:eastAsia="zh-CN"/>
        </w:rPr>
        <w:t>72.38</w:t>
      </w:r>
      <w:r>
        <w:rPr>
          <w:rFonts w:cs="Times New Roman"/>
          <w:u w:val="single"/>
        </w:rPr>
        <w:t>=</w:t>
      </w:r>
      <w:r>
        <w:rPr>
          <w:rFonts w:hint="eastAsia" w:cs="Times New Roman"/>
          <w:u w:val="single"/>
          <w:lang w:val="en-US" w:eastAsia="zh-CN"/>
        </w:rPr>
        <w:t>396.38</w:t>
      </w:r>
      <w:r>
        <w:rPr>
          <w:rFonts w:cs="Times New Roman"/>
          <w:u w:val="single"/>
        </w:rPr>
        <w:t>m</w:t>
      </w:r>
      <w:r>
        <w:rPr>
          <w:rFonts w:cs="Times New Roman"/>
          <w:u w:val="single"/>
          <w:vertAlign w:val="superscript"/>
        </w:rPr>
        <w:t>3</w:t>
      </w:r>
      <w:r>
        <w:rPr>
          <w:rFonts w:cs="Times New Roman"/>
          <w:u w:val="single"/>
        </w:rPr>
        <w:t>。</w:t>
      </w:r>
    </w:p>
    <w:p>
      <w:pPr>
        <w:ind w:firstLine="560"/>
        <w:jc w:val="both"/>
        <w:rPr>
          <w:rFonts w:cs="Times New Roman"/>
          <w:u w:val="single"/>
        </w:rPr>
      </w:pPr>
      <w:r>
        <w:rPr>
          <w:rFonts w:hint="eastAsia" w:ascii="宋体" w:hAnsi="宋体" w:eastAsia="宋体" w:cs="宋体"/>
          <w:u w:val="single"/>
        </w:rPr>
        <w:t>②</w:t>
      </w:r>
      <w:r>
        <w:rPr>
          <w:rFonts w:cs="Times New Roman"/>
          <w:u w:val="single"/>
        </w:rPr>
        <w:t>V</w:t>
      </w:r>
      <w:r>
        <w:rPr>
          <w:rFonts w:cs="Times New Roman"/>
          <w:u w:val="single"/>
          <w:vertAlign w:val="subscript"/>
        </w:rPr>
        <w:t>现有</w:t>
      </w:r>
    </w:p>
    <w:p>
      <w:pPr>
        <w:ind w:firstLine="560"/>
        <w:jc w:val="both"/>
        <w:rPr>
          <w:rFonts w:cs="Times New Roman"/>
          <w:u w:val="single"/>
        </w:rPr>
      </w:pPr>
      <w:r>
        <w:rPr>
          <w:rFonts w:cs="Times New Roman"/>
          <w:u w:val="single"/>
        </w:rPr>
        <w:t>V</w:t>
      </w:r>
      <w:r>
        <w:rPr>
          <w:rFonts w:cs="Times New Roman"/>
          <w:u w:val="single"/>
          <w:vertAlign w:val="subscript"/>
        </w:rPr>
        <w:t>现有</w:t>
      </w:r>
      <w:r>
        <w:rPr>
          <w:rFonts w:cs="Times New Roman"/>
          <w:u w:val="single"/>
        </w:rPr>
        <w:t>=0m</w:t>
      </w:r>
      <w:r>
        <w:rPr>
          <w:rFonts w:cs="Times New Roman"/>
          <w:u w:val="single"/>
          <w:vertAlign w:val="superscript"/>
        </w:rPr>
        <w:t>3</w:t>
      </w:r>
      <w:r>
        <w:rPr>
          <w:rFonts w:cs="Times New Roman"/>
          <w:u w:val="single"/>
        </w:rPr>
        <w:t>。</w:t>
      </w:r>
    </w:p>
    <w:p>
      <w:pPr>
        <w:ind w:firstLine="560"/>
        <w:jc w:val="both"/>
        <w:rPr>
          <w:rFonts w:cs="Times New Roman"/>
          <w:u w:val="single"/>
        </w:rPr>
      </w:pPr>
      <w:r>
        <w:rPr>
          <w:rFonts w:hint="eastAsia" w:ascii="宋体" w:hAnsi="宋体" w:eastAsia="宋体" w:cs="宋体"/>
          <w:u w:val="single"/>
        </w:rPr>
        <w:t>③</w:t>
      </w:r>
      <w:r>
        <w:rPr>
          <w:rFonts w:cs="Times New Roman"/>
          <w:u w:val="single"/>
        </w:rPr>
        <w:t>V</w:t>
      </w:r>
      <w:r>
        <w:rPr>
          <w:rFonts w:cs="Times New Roman"/>
          <w:u w:val="single"/>
          <w:vertAlign w:val="subscript"/>
        </w:rPr>
        <w:t>事故池</w:t>
      </w:r>
    </w:p>
    <w:p>
      <w:pPr>
        <w:ind w:firstLine="560"/>
        <w:jc w:val="both"/>
        <w:rPr>
          <w:rFonts w:cs="Times New Roman"/>
          <w:u w:val="single"/>
        </w:rPr>
      </w:pPr>
      <w:r>
        <w:rPr>
          <w:rFonts w:cs="Times New Roman"/>
          <w:u w:val="single"/>
        </w:rPr>
        <w:t>事故水池容积应满足不小于V</w:t>
      </w:r>
      <w:r>
        <w:rPr>
          <w:rFonts w:cs="Times New Roman"/>
          <w:u w:val="single"/>
          <w:vertAlign w:val="subscript"/>
        </w:rPr>
        <w:t>总</w:t>
      </w:r>
      <w:r>
        <w:rPr>
          <w:rFonts w:cs="Times New Roman"/>
          <w:u w:val="single"/>
        </w:rPr>
        <w:t>-V</w:t>
      </w:r>
      <w:r>
        <w:rPr>
          <w:rFonts w:cs="Times New Roman"/>
          <w:u w:val="single"/>
          <w:vertAlign w:val="subscript"/>
        </w:rPr>
        <w:t>现有</w:t>
      </w:r>
      <w:r>
        <w:rPr>
          <w:rFonts w:cs="Times New Roman"/>
          <w:u w:val="single"/>
        </w:rPr>
        <w:t>=</w:t>
      </w:r>
      <w:r>
        <w:rPr>
          <w:rFonts w:hint="eastAsia" w:cs="Times New Roman"/>
          <w:u w:val="single"/>
          <w:lang w:val="en-US" w:eastAsia="zh-CN"/>
        </w:rPr>
        <w:t>396.38</w:t>
      </w:r>
      <w:r>
        <w:rPr>
          <w:rFonts w:cs="Times New Roman"/>
          <w:u w:val="single"/>
        </w:rPr>
        <w:t>m</w:t>
      </w:r>
      <w:r>
        <w:rPr>
          <w:rFonts w:cs="Times New Roman"/>
          <w:u w:val="single"/>
          <w:vertAlign w:val="superscript"/>
        </w:rPr>
        <w:t>3</w:t>
      </w:r>
      <w:r>
        <w:rPr>
          <w:rFonts w:cs="Times New Roman"/>
          <w:u w:val="single"/>
        </w:rPr>
        <w:t>。拟建项目设置一座容积为</w:t>
      </w:r>
      <w:r>
        <w:rPr>
          <w:rFonts w:cs="Times New Roman"/>
          <w:spacing w:val="-4"/>
          <w:szCs w:val="28"/>
          <w:u w:val="single"/>
        </w:rPr>
        <w:t>500m</w:t>
      </w:r>
      <w:r>
        <w:rPr>
          <w:rFonts w:cs="Times New Roman"/>
          <w:spacing w:val="-4"/>
          <w:szCs w:val="28"/>
          <w:u w:val="single"/>
          <w:vertAlign w:val="superscript"/>
        </w:rPr>
        <w:t>3</w:t>
      </w:r>
      <w:r>
        <w:rPr>
          <w:rFonts w:cs="Times New Roman"/>
          <w:u w:val="single"/>
        </w:rPr>
        <w:t>的事故水池，正常生产时保持事故池空置状态，当发生事故时关闭雨水排放阀，并开启事故池进水阀。</w:t>
      </w:r>
    </w:p>
    <w:p>
      <w:pPr>
        <w:ind w:firstLine="482" w:firstLineChars="200"/>
        <w:rPr>
          <w:rFonts w:hint="eastAsia" w:ascii="Times New Roman" w:hAnsi="Times New Roman" w:eastAsia="宋体"/>
          <w:b/>
          <w:bCs/>
          <w:color w:val="auto"/>
          <w:sz w:val="24"/>
          <w:u w:val="single"/>
          <w:lang w:val="en-US" w:eastAsia="zh-CN"/>
        </w:rPr>
      </w:pPr>
      <w:r>
        <w:rPr>
          <w:rFonts w:hint="eastAsia" w:ascii="Times New Roman" w:hAnsi="Times New Roman" w:eastAsia="宋体"/>
          <w:b/>
          <w:bCs/>
          <w:color w:val="auto"/>
          <w:sz w:val="24"/>
          <w:u w:val="single"/>
          <w:lang w:val="en-US" w:eastAsia="zh-CN"/>
        </w:rPr>
        <w:t>5、固体废物环境管理风险防范措施</w:t>
      </w:r>
    </w:p>
    <w:p>
      <w:pPr>
        <w:ind w:firstLine="480" w:firstLineChars="200"/>
        <w:rPr>
          <w:rFonts w:ascii="Times New Roman" w:hAnsi="Times New Roman"/>
          <w:color w:val="auto"/>
          <w:sz w:val="24"/>
          <w:u w:val="single"/>
        </w:rPr>
      </w:pPr>
      <w:r>
        <w:rPr>
          <w:rFonts w:ascii="Times New Roman" w:hAnsi="Times New Roman"/>
          <w:color w:val="auto"/>
          <w:sz w:val="24"/>
          <w:u w:val="single"/>
        </w:rPr>
        <w:t>拟建项目危险废物收集后分类贮存在厂区危废暂存设施内，其储存和管理应采取以下风险防范措施：</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1</w:t>
      </w:r>
      <w:r>
        <w:rPr>
          <w:rFonts w:hint="eastAsia"/>
          <w:color w:val="auto"/>
          <w:sz w:val="24"/>
          <w:u w:val="single"/>
          <w:lang w:eastAsia="zh-CN"/>
        </w:rPr>
        <w:t>）</w:t>
      </w:r>
      <w:r>
        <w:rPr>
          <w:rFonts w:ascii="Times New Roman" w:hAnsi="Times New Roman"/>
          <w:color w:val="auto"/>
          <w:sz w:val="24"/>
          <w:u w:val="single"/>
        </w:rPr>
        <w:t>厂区内危险废物暂存场地必须严格按照《危险废物贮存污染控制》（GB18597-2001）及其修改单的要求设置和管理；</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2</w:t>
      </w:r>
      <w:r>
        <w:rPr>
          <w:rFonts w:hint="eastAsia"/>
          <w:color w:val="auto"/>
          <w:sz w:val="24"/>
          <w:u w:val="single"/>
          <w:lang w:eastAsia="zh-CN"/>
        </w:rPr>
        <w:t>）</w:t>
      </w:r>
      <w:r>
        <w:rPr>
          <w:rFonts w:ascii="Times New Roman" w:hAnsi="Times New Roman"/>
          <w:color w:val="auto"/>
          <w:sz w:val="24"/>
          <w:u w:val="single"/>
        </w:rPr>
        <w:t>建立危险废物台账管理制度，跟踪记录危险废物在企业内部运转的整个流程，与生产记录相结合，建立危险废物台账；</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3</w:t>
      </w:r>
      <w:r>
        <w:rPr>
          <w:rFonts w:hint="eastAsia"/>
          <w:color w:val="auto"/>
          <w:sz w:val="24"/>
          <w:u w:val="single"/>
          <w:lang w:eastAsia="zh-CN"/>
        </w:rPr>
        <w:t>）</w:t>
      </w:r>
      <w:r>
        <w:rPr>
          <w:rFonts w:ascii="Times New Roman" w:hAnsi="Times New Roman"/>
          <w:color w:val="auto"/>
          <w:sz w:val="24"/>
          <w:u w:val="single"/>
        </w:rPr>
        <w:t>对危险废物的容器和包装物以及收集、贮存、运输、处置危险废物的设施、场所，必须设置危险废物识别标志；</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4</w:t>
      </w:r>
      <w:r>
        <w:rPr>
          <w:rFonts w:hint="eastAsia"/>
          <w:color w:val="auto"/>
          <w:sz w:val="24"/>
          <w:u w:val="single"/>
          <w:lang w:eastAsia="zh-CN"/>
        </w:rPr>
        <w:t>）</w:t>
      </w:r>
      <w:r>
        <w:rPr>
          <w:rFonts w:ascii="Times New Roman" w:hAnsi="Times New Roman"/>
          <w:color w:val="auto"/>
          <w:sz w:val="24"/>
          <w:u w:val="single"/>
        </w:rPr>
        <w:t>禁止将性质不相容而未经安全性处置的危险废物混合收集、贮存、运输、处置，禁止将危险废物混入非危险废物中贮存、处置；</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5</w:t>
      </w:r>
      <w:r>
        <w:rPr>
          <w:rFonts w:hint="eastAsia"/>
          <w:color w:val="auto"/>
          <w:sz w:val="24"/>
          <w:u w:val="single"/>
          <w:lang w:eastAsia="zh-CN"/>
        </w:rPr>
        <w:t>）</w:t>
      </w:r>
      <w:r>
        <w:rPr>
          <w:rFonts w:ascii="Times New Roman" w:hAnsi="Times New Roman"/>
          <w:color w:val="auto"/>
          <w:sz w:val="24"/>
          <w:u w:val="single"/>
        </w:rPr>
        <w:t>必须定期对所贮存的危险废物包装容器及贮存设施进行检查，发现破损，应及时采取措施清理更换；</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6</w:t>
      </w:r>
      <w:r>
        <w:rPr>
          <w:rFonts w:hint="eastAsia"/>
          <w:color w:val="auto"/>
          <w:sz w:val="24"/>
          <w:u w:val="single"/>
          <w:lang w:eastAsia="zh-CN"/>
        </w:rPr>
        <w:t>）</w:t>
      </w:r>
      <w:r>
        <w:rPr>
          <w:rFonts w:ascii="Times New Roman" w:hAnsi="Times New Roman"/>
          <w:color w:val="auto"/>
          <w:sz w:val="24"/>
          <w:u w:val="single"/>
        </w:rPr>
        <w:t>运输危险废物必须根据废物特性，采用符合相应标准的包装物、容器和运输工具；</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7</w:t>
      </w:r>
      <w:r>
        <w:rPr>
          <w:rFonts w:hint="eastAsia"/>
          <w:color w:val="auto"/>
          <w:sz w:val="24"/>
          <w:u w:val="single"/>
          <w:lang w:eastAsia="zh-CN"/>
        </w:rPr>
        <w:t>）</w:t>
      </w:r>
      <w:r>
        <w:rPr>
          <w:rFonts w:ascii="Times New Roman" w:hAnsi="Times New Roman"/>
          <w:color w:val="auto"/>
          <w:sz w:val="24"/>
          <w:u w:val="single"/>
        </w:rPr>
        <w:t>收集、贮存、运输、处置危险废物的场所、设施、设备、容器、包装物及其他物品转作他用时，必须经过消除污染的处理，并经检测合格；</w:t>
      </w:r>
    </w:p>
    <w:p>
      <w:pPr>
        <w:ind w:firstLine="480" w:firstLineChars="200"/>
        <w:rPr>
          <w:rFonts w:ascii="Times New Roman" w:hAnsi="Times New Roman"/>
          <w:color w:val="auto"/>
          <w:sz w:val="24"/>
          <w:u w:val="single"/>
        </w:rPr>
      </w:pPr>
      <w:r>
        <w:rPr>
          <w:rFonts w:hint="eastAsia"/>
          <w:color w:val="auto"/>
          <w:sz w:val="24"/>
          <w:u w:val="single"/>
          <w:lang w:eastAsia="zh-CN"/>
        </w:rPr>
        <w:t>（</w:t>
      </w:r>
      <w:r>
        <w:rPr>
          <w:rFonts w:hint="eastAsia"/>
          <w:color w:val="auto"/>
          <w:sz w:val="24"/>
          <w:u w:val="single"/>
          <w:lang w:val="en-US" w:eastAsia="zh-CN"/>
        </w:rPr>
        <w:t>8</w:t>
      </w:r>
      <w:r>
        <w:rPr>
          <w:rFonts w:hint="eastAsia"/>
          <w:color w:val="auto"/>
          <w:sz w:val="24"/>
          <w:u w:val="single"/>
          <w:lang w:eastAsia="zh-CN"/>
        </w:rPr>
        <w:t>）</w:t>
      </w:r>
      <w:r>
        <w:rPr>
          <w:rFonts w:ascii="Times New Roman" w:hAnsi="Times New Roman"/>
          <w:color w:val="auto"/>
          <w:sz w:val="24"/>
          <w:u w:val="single"/>
        </w:rPr>
        <w:t>危险废物转移或外送过程中应委托专业单位进行输送，通过强化管理制度、加强输送管理要求，执行国家要求的危废</w:t>
      </w:r>
      <w:r>
        <w:rPr>
          <w:rFonts w:hint="eastAsia"/>
          <w:color w:val="auto"/>
          <w:sz w:val="24"/>
          <w:u w:val="single"/>
          <w:lang w:eastAsia="zh-CN"/>
        </w:rPr>
        <w:t>“</w:t>
      </w:r>
      <w:r>
        <w:rPr>
          <w:rFonts w:ascii="Times New Roman" w:hAnsi="Times New Roman"/>
          <w:color w:val="auto"/>
          <w:sz w:val="24"/>
          <w:u w:val="single"/>
        </w:rPr>
        <w:t>五联单</w:t>
      </w:r>
      <w:r>
        <w:rPr>
          <w:rFonts w:hint="eastAsia"/>
          <w:color w:val="auto"/>
          <w:sz w:val="24"/>
          <w:u w:val="single"/>
          <w:lang w:eastAsia="zh-CN"/>
        </w:rPr>
        <w:t>”</w:t>
      </w:r>
      <w:r>
        <w:rPr>
          <w:rFonts w:ascii="Times New Roman" w:hAnsi="Times New Roman"/>
          <w:color w:val="auto"/>
          <w:sz w:val="24"/>
          <w:u w:val="single"/>
        </w:rPr>
        <w:t>等措施来避免危险废物随意倾倒等事故的发生。</w:t>
      </w:r>
    </w:p>
    <w:p>
      <w:pPr>
        <w:ind w:firstLine="482" w:firstLineChars="200"/>
        <w:rPr>
          <w:rFonts w:hint="eastAsia" w:ascii="Times New Roman" w:hAnsi="Times New Roman" w:eastAsia="宋体"/>
          <w:b/>
          <w:bCs/>
          <w:color w:val="auto"/>
          <w:sz w:val="24"/>
          <w:lang w:eastAsia="zh-CN"/>
        </w:rPr>
      </w:pPr>
      <w:r>
        <w:rPr>
          <w:rFonts w:hint="eastAsia"/>
          <w:b/>
          <w:bCs/>
          <w:color w:val="auto"/>
          <w:sz w:val="24"/>
          <w:lang w:val="en-US" w:eastAsia="zh-CN"/>
        </w:rPr>
        <w:t>6</w:t>
      </w:r>
      <w:r>
        <w:rPr>
          <w:rFonts w:ascii="Times New Roman" w:hAnsi="Times New Roman"/>
          <w:b/>
          <w:bCs/>
          <w:color w:val="auto"/>
          <w:sz w:val="24"/>
        </w:rPr>
        <w:t>、应急预案</w:t>
      </w:r>
      <w:r>
        <w:rPr>
          <w:rFonts w:hint="eastAsia"/>
          <w:b/>
          <w:bCs/>
          <w:color w:val="auto"/>
          <w:sz w:val="24"/>
          <w:lang w:eastAsia="zh-CN"/>
        </w:rPr>
        <w:t>编制要求</w:t>
      </w:r>
    </w:p>
    <w:p>
      <w:pPr>
        <w:ind w:firstLine="480" w:firstLineChars="200"/>
        <w:rPr>
          <w:rFonts w:ascii="Times New Roman" w:hAnsi="Times New Roman"/>
          <w:color w:val="auto"/>
          <w:sz w:val="24"/>
        </w:rPr>
      </w:pPr>
      <w:r>
        <w:rPr>
          <w:rFonts w:ascii="Times New Roman" w:hAnsi="Times New Roman"/>
          <w:color w:val="auto"/>
          <w:sz w:val="24"/>
        </w:rPr>
        <w:t>事故应急救援预案是企业根据实际情况预计可能发生的事故，为增加对事故的处理能力所预先制定的应急对策。根据本项目的实际情况，本次评价根据初步的重大危险事故分析，给出建议的应急预案。项目运行前必须有经专家论证认可的环境风险应急处置预案。应急预案应在生产过程安全管理中具体化和进一步完善。</w:t>
      </w:r>
    </w:p>
    <w:p>
      <w:pPr>
        <w:ind w:firstLine="480" w:firstLineChars="200"/>
        <w:rPr>
          <w:rFonts w:ascii="Times New Roman" w:hAnsi="Times New Roman"/>
          <w:color w:val="auto"/>
          <w:sz w:val="24"/>
        </w:rPr>
      </w:pPr>
      <w:r>
        <w:rPr>
          <w:rFonts w:ascii="Times New Roman" w:hAnsi="Times New Roman"/>
          <w:color w:val="auto"/>
          <w:sz w:val="24"/>
        </w:rPr>
        <w:t>（1）根据该项目的特点，企业应共同成立应急救援中心，以及生产、安全环保、设备、保卫、卫生等部门领导组成的</w:t>
      </w:r>
      <w:r>
        <w:rPr>
          <w:rFonts w:hint="eastAsia"/>
          <w:color w:val="auto"/>
          <w:sz w:val="24"/>
          <w:lang w:eastAsia="zh-CN"/>
        </w:rPr>
        <w:t>“</w:t>
      </w:r>
      <w:r>
        <w:rPr>
          <w:rFonts w:ascii="Times New Roman" w:hAnsi="Times New Roman"/>
          <w:color w:val="auto"/>
          <w:sz w:val="24"/>
        </w:rPr>
        <w:t>指挥领导小组</w:t>
      </w:r>
      <w:r>
        <w:rPr>
          <w:rFonts w:hint="eastAsia"/>
          <w:color w:val="auto"/>
          <w:sz w:val="24"/>
          <w:lang w:eastAsia="zh-CN"/>
        </w:rPr>
        <w:t>”</w:t>
      </w:r>
      <w:r>
        <w:rPr>
          <w:rFonts w:ascii="Times New Roman" w:hAnsi="Times New Roman"/>
          <w:color w:val="auto"/>
          <w:sz w:val="24"/>
        </w:rPr>
        <w:t>，下设应急救援办公室，管理部门应明确责任分工。</w:t>
      </w:r>
    </w:p>
    <w:p>
      <w:pPr>
        <w:ind w:firstLine="480" w:firstLineChars="200"/>
        <w:rPr>
          <w:rFonts w:ascii="Times New Roman" w:hAnsi="Times New Roman"/>
          <w:color w:val="auto"/>
          <w:sz w:val="24"/>
        </w:rPr>
      </w:pPr>
      <w:r>
        <w:rPr>
          <w:rFonts w:ascii="Times New Roman" w:hAnsi="Times New Roman"/>
          <w:color w:val="auto"/>
          <w:sz w:val="24"/>
        </w:rPr>
        <w:t>负责人应负责重大事故应急预案的制定和修订；组建应急救援专业队伍，并组织实施平时的演练；检查督促事故预防措施和应急救援的准备工作。</w:t>
      </w:r>
    </w:p>
    <w:p>
      <w:pPr>
        <w:ind w:firstLine="480" w:firstLineChars="200"/>
        <w:rPr>
          <w:rFonts w:ascii="Times New Roman" w:hAnsi="Times New Roman"/>
          <w:color w:val="auto"/>
          <w:sz w:val="24"/>
        </w:rPr>
      </w:pPr>
      <w:r>
        <w:rPr>
          <w:rFonts w:ascii="Times New Roman" w:hAnsi="Times New Roman"/>
          <w:color w:val="auto"/>
          <w:sz w:val="24"/>
        </w:rPr>
        <w:t>指挥领导小组负责事故时的救援命令的发布、解除；组织应急救援专业队伍实施救援行动；向上级汇报和向社会救援组织通报事故情况，必要时发出救援请求；对事故应及时总结。</w:t>
      </w:r>
    </w:p>
    <w:p>
      <w:pPr>
        <w:ind w:firstLine="480" w:firstLineChars="200"/>
        <w:rPr>
          <w:rFonts w:ascii="Times New Roman" w:hAnsi="Times New Roman"/>
          <w:color w:val="auto"/>
          <w:sz w:val="24"/>
        </w:rPr>
      </w:pPr>
      <w:r>
        <w:rPr>
          <w:rFonts w:ascii="Times New Roman" w:hAnsi="Times New Roman"/>
          <w:color w:val="auto"/>
          <w:sz w:val="24"/>
        </w:rPr>
        <w:t>安全环保部门的主要职责为协助指挥领导小组</w:t>
      </w:r>
      <w:r>
        <w:rPr>
          <w:rFonts w:hint="eastAsia"/>
          <w:color w:val="auto"/>
          <w:sz w:val="24"/>
          <w:lang w:eastAsia="zh-CN"/>
        </w:rPr>
        <w:t>做好</w:t>
      </w:r>
      <w:r>
        <w:rPr>
          <w:rFonts w:ascii="Times New Roman" w:hAnsi="Times New Roman"/>
          <w:color w:val="auto"/>
          <w:sz w:val="24"/>
        </w:rPr>
        <w:t>事故报警、情况通报、监测及事故处置工作。</w:t>
      </w:r>
    </w:p>
    <w:p>
      <w:pPr>
        <w:ind w:firstLine="480" w:firstLineChars="200"/>
        <w:rPr>
          <w:rFonts w:ascii="Times New Roman" w:hAnsi="Times New Roman"/>
          <w:color w:val="auto"/>
          <w:sz w:val="24"/>
        </w:rPr>
      </w:pPr>
      <w:r>
        <w:rPr>
          <w:rFonts w:ascii="Times New Roman" w:hAnsi="Times New Roman"/>
          <w:color w:val="auto"/>
          <w:sz w:val="24"/>
        </w:rPr>
        <w:t>保卫部门负责警戒、治安保卫、人员疏散、道路管制等工作。</w:t>
      </w:r>
    </w:p>
    <w:p>
      <w:pPr>
        <w:ind w:firstLine="480" w:firstLineChars="200"/>
        <w:rPr>
          <w:rFonts w:ascii="Times New Roman" w:hAnsi="Times New Roman"/>
          <w:color w:val="auto"/>
          <w:sz w:val="24"/>
        </w:rPr>
      </w:pPr>
      <w:r>
        <w:rPr>
          <w:rFonts w:ascii="Times New Roman" w:hAnsi="Times New Roman"/>
          <w:color w:val="auto"/>
          <w:sz w:val="24"/>
        </w:rPr>
        <w:t>设备、生产部门负责事故时的开停车调度、事故现场的联络等工作。</w:t>
      </w:r>
    </w:p>
    <w:p>
      <w:pPr>
        <w:ind w:firstLine="480" w:firstLineChars="200"/>
        <w:rPr>
          <w:rFonts w:ascii="Times New Roman" w:hAnsi="Times New Roman"/>
          <w:color w:val="auto"/>
          <w:sz w:val="24"/>
        </w:rPr>
      </w:pPr>
      <w:r>
        <w:rPr>
          <w:rFonts w:ascii="Times New Roman" w:hAnsi="Times New Roman"/>
          <w:color w:val="auto"/>
          <w:sz w:val="24"/>
        </w:rPr>
        <w:t>（2）救援队伍的组成及分工</w:t>
      </w:r>
    </w:p>
    <w:p>
      <w:pPr>
        <w:ind w:firstLine="480" w:firstLineChars="200"/>
        <w:rPr>
          <w:rFonts w:ascii="Times New Roman" w:hAnsi="Times New Roman"/>
          <w:color w:val="auto"/>
          <w:sz w:val="24"/>
        </w:rPr>
      </w:pPr>
      <w:r>
        <w:rPr>
          <w:rFonts w:ascii="Times New Roman" w:hAnsi="Times New Roman"/>
          <w:color w:val="auto"/>
          <w:sz w:val="24"/>
        </w:rPr>
        <w:t>建议企业根据实际情况组织救援队伍。救援队伍应包括通信联络、治安保卫、消防、抢修、医疗、等相关人员。</w:t>
      </w:r>
    </w:p>
    <w:p>
      <w:pPr>
        <w:ind w:firstLine="480" w:firstLineChars="200"/>
        <w:rPr>
          <w:rFonts w:ascii="Times New Roman" w:hAnsi="Times New Roman"/>
          <w:color w:val="auto"/>
          <w:sz w:val="24"/>
        </w:rPr>
      </w:pPr>
      <w:r>
        <w:rPr>
          <w:rFonts w:ascii="Times New Roman" w:hAnsi="Times New Roman"/>
          <w:color w:val="auto"/>
          <w:sz w:val="24"/>
        </w:rPr>
        <w:t>（3）现场事故处置</w:t>
      </w:r>
    </w:p>
    <w:p>
      <w:pPr>
        <w:ind w:firstLine="480" w:firstLineChars="200"/>
        <w:rPr>
          <w:rFonts w:ascii="Times New Roman" w:hAnsi="Times New Roman"/>
          <w:color w:val="auto"/>
          <w:sz w:val="24"/>
        </w:rPr>
      </w:pPr>
      <w:r>
        <w:rPr>
          <w:rFonts w:ascii="Times New Roman" w:hAnsi="Times New Roman"/>
          <w:color w:val="auto"/>
          <w:sz w:val="24"/>
        </w:rPr>
        <w:t>在发生事故时应根据拟定疏散方案及时疏散事故区人员，禁止无关人员进入事故区。应急人员处理事故时应戴自给式呼吸器，穿消防防护服。</w:t>
      </w:r>
    </w:p>
    <w:p>
      <w:pPr>
        <w:ind w:firstLine="480" w:firstLineChars="200"/>
        <w:rPr>
          <w:rFonts w:ascii="Times New Roman" w:hAnsi="Times New Roman"/>
          <w:color w:val="auto"/>
          <w:sz w:val="24"/>
        </w:rPr>
      </w:pPr>
      <w:r>
        <w:rPr>
          <w:rFonts w:ascii="Times New Roman" w:hAnsi="Times New Roman"/>
          <w:color w:val="auto"/>
          <w:sz w:val="24"/>
        </w:rPr>
        <w:t>（4）社会救援</w:t>
      </w:r>
    </w:p>
    <w:p>
      <w:pPr>
        <w:ind w:firstLine="480" w:firstLineChars="200"/>
        <w:rPr>
          <w:rFonts w:ascii="Times New Roman" w:hAnsi="Times New Roman"/>
          <w:color w:val="auto"/>
          <w:sz w:val="24"/>
        </w:rPr>
      </w:pPr>
      <w:r>
        <w:rPr>
          <w:rFonts w:ascii="Times New Roman" w:hAnsi="Times New Roman"/>
          <w:color w:val="auto"/>
          <w:sz w:val="24"/>
        </w:rPr>
        <w:t>根据事故预测，发生事故后，如果不采取措施，将对环境将造成危害，并且可能发生火灾事故。</w:t>
      </w:r>
    </w:p>
    <w:p>
      <w:pPr>
        <w:ind w:firstLine="480" w:firstLineChars="200"/>
        <w:rPr>
          <w:rFonts w:ascii="Times New Roman" w:hAnsi="Times New Roman"/>
          <w:color w:val="auto"/>
          <w:sz w:val="24"/>
        </w:rPr>
      </w:pPr>
      <w:r>
        <w:rPr>
          <w:rFonts w:ascii="Times New Roman" w:hAnsi="Times New Roman"/>
          <w:color w:val="auto"/>
          <w:sz w:val="24"/>
        </w:rPr>
        <w:t>在制定事故应急救援预案时，应包括社会救援组织的机构、联系方式、报警系统等信息，以保证应急救援指挥能随时与社会救援力量保持联络，请求支援。</w:t>
      </w:r>
    </w:p>
    <w:p>
      <w:pPr>
        <w:ind w:firstLine="480" w:firstLineChars="200"/>
        <w:rPr>
          <w:rFonts w:ascii="Times New Roman" w:hAnsi="Times New Roman"/>
          <w:color w:val="auto"/>
          <w:sz w:val="24"/>
        </w:rPr>
      </w:pPr>
      <w:r>
        <w:rPr>
          <w:rFonts w:ascii="Times New Roman" w:hAnsi="Times New Roman"/>
          <w:color w:val="auto"/>
          <w:sz w:val="24"/>
        </w:rPr>
        <w:t>（5）应急状态的终止和善后计划措施</w:t>
      </w:r>
    </w:p>
    <w:p>
      <w:pPr>
        <w:ind w:firstLine="480" w:firstLineChars="200"/>
        <w:rPr>
          <w:rFonts w:ascii="Times New Roman" w:hAnsi="Times New Roman"/>
          <w:color w:val="auto"/>
          <w:sz w:val="24"/>
        </w:rPr>
      </w:pPr>
      <w:r>
        <w:rPr>
          <w:rFonts w:ascii="Times New Roman" w:hAnsi="Times New Roman"/>
          <w:color w:val="auto"/>
          <w:sz w:val="24"/>
        </w:rPr>
        <w:t>应急状态终止由公司应急指挥中心根据现场情况和专家意见决策并发布。</w:t>
      </w:r>
    </w:p>
    <w:p>
      <w:pPr>
        <w:ind w:firstLine="480" w:firstLineChars="200"/>
        <w:rPr>
          <w:rFonts w:ascii="Times New Roman" w:hAnsi="Times New Roman"/>
          <w:color w:val="auto"/>
          <w:sz w:val="24"/>
        </w:rPr>
      </w:pPr>
      <w:r>
        <w:rPr>
          <w:rFonts w:ascii="Times New Roman" w:hAnsi="Times New Roman"/>
          <w:color w:val="auto"/>
          <w:sz w:val="24"/>
        </w:rPr>
        <w:t>事故现场及受影响区域，根据实际情况采取有效善后措施，包括确认事故状态彻底解除、清理现场、清除污染、恢复生产等现场工作；对处理事故人员的污染检查、医学处理和受伤人员的及时治疗；对事故现场做进一步的安全检查，尤其是由于事故或抢救过程中留下的隐患，是否可能进一步引起新的事故；估算事故损失；分析事故原因和制定防止事故再发生的防范措施，总结教训，写出事故报告，报有关主管部门。</w:t>
      </w:r>
    </w:p>
    <w:p>
      <w:pPr>
        <w:ind w:firstLine="480" w:firstLineChars="200"/>
        <w:rPr>
          <w:rFonts w:ascii="Times New Roman" w:hAnsi="Times New Roman"/>
          <w:color w:val="auto"/>
          <w:sz w:val="24"/>
        </w:rPr>
      </w:pPr>
      <w:r>
        <w:rPr>
          <w:rFonts w:ascii="Times New Roman" w:hAnsi="Times New Roman"/>
          <w:color w:val="auto"/>
          <w:sz w:val="24"/>
        </w:rPr>
        <w:t>（6）事故风险应急预案的编写内容要求</w:t>
      </w:r>
    </w:p>
    <w:p>
      <w:pPr>
        <w:ind w:firstLine="480" w:firstLineChars="200"/>
        <w:rPr>
          <w:rFonts w:ascii="Times New Roman" w:hAnsi="Times New Roman"/>
          <w:color w:val="auto"/>
          <w:sz w:val="24"/>
        </w:rPr>
      </w:pPr>
      <w:r>
        <w:rPr>
          <w:rFonts w:ascii="Times New Roman" w:hAnsi="Times New Roman"/>
          <w:color w:val="auto"/>
          <w:sz w:val="24"/>
        </w:rPr>
        <w:t>应急预案主要编写要求内容见表</w:t>
      </w:r>
      <w:r>
        <w:rPr>
          <w:rFonts w:hint="eastAsia"/>
          <w:color w:val="auto"/>
          <w:sz w:val="24"/>
          <w:lang w:val="en-US" w:eastAsia="zh-CN"/>
        </w:rPr>
        <w:t>6.8</w:t>
      </w:r>
      <w:r>
        <w:rPr>
          <w:rFonts w:ascii="Times New Roman" w:hAnsi="Times New Roman"/>
          <w:color w:val="auto"/>
          <w:sz w:val="24"/>
        </w:rPr>
        <w:t>-5。</w:t>
      </w:r>
    </w:p>
    <w:p>
      <w:pPr>
        <w:pStyle w:val="37"/>
        <w:spacing w:line="240" w:lineRule="auto"/>
        <w:rPr>
          <w:rFonts w:ascii="Times New Roman" w:hAnsi="Times New Roman" w:eastAsia="宋体"/>
          <w:b/>
          <w:color w:val="auto"/>
          <w:szCs w:val="21"/>
        </w:rPr>
      </w:pPr>
      <w:r>
        <w:rPr>
          <w:rFonts w:ascii="Times New Roman" w:hAnsi="Times New Roman" w:eastAsia="宋体"/>
          <w:b/>
          <w:color w:val="auto"/>
          <w:szCs w:val="21"/>
        </w:rPr>
        <w:t>表</w:t>
      </w:r>
      <w:r>
        <w:rPr>
          <w:rFonts w:hint="eastAsia" w:eastAsia="宋体"/>
          <w:b/>
          <w:color w:val="auto"/>
          <w:szCs w:val="21"/>
          <w:lang w:val="en-US" w:eastAsia="zh-CN"/>
        </w:rPr>
        <w:t>6.8-5</w:t>
      </w:r>
      <w:r>
        <w:rPr>
          <w:rFonts w:ascii="Times New Roman" w:hAnsi="Times New Roman" w:eastAsia="宋体"/>
          <w:b/>
          <w:color w:val="auto"/>
          <w:szCs w:val="21"/>
        </w:rPr>
        <w:t xml:space="preserve">  事故风险应急预案编写内容要求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626"/>
        <w:gridCol w:w="5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577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应急计划区</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危险目标：环境保护目标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应急组织机构、人员</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3</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预案分级响应条件</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4</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应急救援保障</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5</w:t>
            </w:r>
          </w:p>
        </w:tc>
        <w:tc>
          <w:tcPr>
            <w:tcW w:w="2626"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报警、通讯方式</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规定应急状态下的报警通讯方式、通知方式和交通保障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6</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应急环境监测、抢险、救援及控制措施</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7</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应急检测、防护措施、清除泄漏措施和器材</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8</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人员紧急撤离、疏散，应急剂量控制、撤离组织计划</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事故现场、邻近区、受事故影响的区域人员及公众撤离组织计划及救护，医疗救护与公众健康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9</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事故应急救援关闭程序与恢复措施</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10</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应急培训计划</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0"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11</w:t>
            </w:r>
          </w:p>
        </w:tc>
        <w:tc>
          <w:tcPr>
            <w:tcW w:w="2626"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公众教育和信息</w:t>
            </w:r>
          </w:p>
        </w:tc>
        <w:tc>
          <w:tcPr>
            <w:tcW w:w="5770" w:type="dxa"/>
            <w:noWrap w:val="0"/>
            <w:vAlign w:val="center"/>
          </w:tcPr>
          <w:p>
            <w:pPr>
              <w:pStyle w:val="29"/>
              <w:keepNext w:val="0"/>
              <w:keepLines w:val="0"/>
              <w:pageBreakBefore w:val="0"/>
              <w:widowControl w:val="0"/>
              <w:kinsoku/>
              <w:wordWrap/>
              <w:overflowPunct/>
              <w:topLinePunct w:val="0"/>
              <w:bidi w:val="0"/>
              <w:snapToGrid/>
              <w:spacing w:line="240" w:lineRule="auto"/>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对工厂邻近地区开展公众教育、培训和发布有关信息</w:t>
            </w:r>
          </w:p>
        </w:tc>
      </w:tr>
    </w:tbl>
    <w:p>
      <w:pPr>
        <w:pStyle w:val="4"/>
        <w:rPr>
          <w:rFonts w:ascii="Times New Roman" w:hAnsi="Times New Roman"/>
          <w:color w:val="auto"/>
          <w:sz w:val="24"/>
        </w:rPr>
      </w:pPr>
      <w:bookmarkStart w:id="185" w:name="_Toc5888501"/>
      <w:bookmarkStart w:id="186" w:name="_Toc27162"/>
      <w:r>
        <w:rPr>
          <w:rFonts w:hint="eastAsia"/>
          <w:color w:val="auto"/>
          <w:lang w:val="en-US" w:eastAsia="zh-CN"/>
        </w:rPr>
        <w:t xml:space="preserve">6.8.6 </w:t>
      </w:r>
      <w:r>
        <w:rPr>
          <w:rFonts w:ascii="Times New Roman" w:hAnsi="Times New Roman"/>
          <w:color w:val="auto"/>
        </w:rPr>
        <w:t>风险评价结论</w:t>
      </w:r>
      <w:bookmarkEnd w:id="185"/>
      <w:bookmarkEnd w:id="186"/>
    </w:p>
    <w:p>
      <w:pPr>
        <w:ind w:firstLine="480" w:firstLineChars="200"/>
        <w:rPr>
          <w:rFonts w:ascii="Times New Roman" w:hAnsi="Times New Roman"/>
          <w:color w:val="auto"/>
          <w:sz w:val="24"/>
        </w:rPr>
      </w:pPr>
      <w:r>
        <w:rPr>
          <w:rFonts w:ascii="Times New Roman" w:hAnsi="Times New Roman"/>
          <w:color w:val="auto"/>
          <w:sz w:val="24"/>
        </w:rPr>
        <w:t>建设项目的环境风险类型为火灾。建设单位应做到思想上高度重视、认识上见微知著，防范上时刻不忘，</w:t>
      </w:r>
      <w:r>
        <w:rPr>
          <w:rFonts w:ascii="Times New Roman" w:hAnsi="Times New Roman"/>
          <w:color w:val="auto"/>
          <w:spacing w:val="10"/>
          <w:sz w:val="24"/>
        </w:rPr>
        <w:t>按国家有关技术规范和本报告书落实相关环境风险防范措施</w:t>
      </w:r>
      <w:r>
        <w:rPr>
          <w:rFonts w:ascii="Times New Roman" w:hAnsi="Times New Roman"/>
          <w:color w:val="auto"/>
          <w:sz w:val="24"/>
        </w:rPr>
        <w:t>，切实加强组织领导，扎实加强应急能力建设，努力规范和完善应急预案，认真组织应急预案演练，不断提高应急处置能力。当事故发生时，建设方应立即启动应急程序，力争在风险发生的最初时间就确保风险源能够得到及时</w:t>
      </w:r>
      <w:r>
        <w:rPr>
          <w:rFonts w:hint="eastAsia"/>
          <w:color w:val="auto"/>
          <w:sz w:val="24"/>
          <w:lang w:eastAsia="zh-CN"/>
        </w:rPr>
        <w:t>有效地控制</w:t>
      </w:r>
      <w:r>
        <w:rPr>
          <w:rFonts w:ascii="Times New Roman" w:hAnsi="Times New Roman"/>
          <w:color w:val="auto"/>
          <w:sz w:val="24"/>
        </w:rPr>
        <w:t>，尽可能避免重大人员伤亡和财产损失事故的发生，同时尽可能减轻对周围环境造成影响。</w:t>
      </w:r>
    </w:p>
    <w:p>
      <w:pPr>
        <w:ind w:firstLine="480" w:firstLineChars="200"/>
        <w:rPr>
          <w:rFonts w:ascii="Times New Roman" w:hAnsi="Times New Roman"/>
          <w:color w:val="auto"/>
          <w:kern w:val="28"/>
        </w:rPr>
      </w:pPr>
      <w:r>
        <w:rPr>
          <w:rFonts w:ascii="Times New Roman" w:hAnsi="Times New Roman"/>
          <w:color w:val="auto"/>
          <w:sz w:val="24"/>
        </w:rPr>
        <w:t>综上所述，本项目环境风险在确保防范措施落实的情况下，是可以接受的。</w:t>
      </w:r>
      <w:bookmarkEnd w:id="179"/>
      <w:bookmarkEnd w:id="180"/>
      <w:bookmarkEnd w:id="181"/>
      <w:bookmarkEnd w:id="182"/>
      <w:bookmarkEnd w:id="183"/>
      <w:bookmarkEnd w:id="184"/>
    </w:p>
    <w:p>
      <w:pPr>
        <w:pStyle w:val="20"/>
        <w:rPr>
          <w:rFonts w:hint="default"/>
          <w:lang w:val="en-US" w:eastAsia="zh-CN"/>
        </w:rPr>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ind w:firstLine="883"/>
      </w:pPr>
      <w:bookmarkStart w:id="187" w:name="_Toc17057"/>
      <w:bookmarkStart w:id="188" w:name="_Toc13684"/>
      <w:bookmarkStart w:id="189" w:name="_Toc15718"/>
      <w:bookmarkStart w:id="190" w:name="_Toc8841"/>
      <w:r>
        <w:t>第七章</w:t>
      </w:r>
      <w:r>
        <w:rPr>
          <w:rFonts w:hint="eastAsia"/>
          <w:lang w:val="en-US"/>
        </w:rPr>
        <w:t xml:space="preserve">  </w:t>
      </w:r>
      <w:r>
        <w:t>污染防治措施及可行性分析</w:t>
      </w:r>
      <w:bookmarkEnd w:id="187"/>
      <w:bookmarkEnd w:id="188"/>
      <w:bookmarkEnd w:id="189"/>
      <w:bookmarkEnd w:id="190"/>
    </w:p>
    <w:p>
      <w:pPr>
        <w:pStyle w:val="3"/>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pPr>
      <w:bookmarkStart w:id="191" w:name="_Toc27953"/>
      <w:bookmarkStart w:id="192" w:name="_Toc24734"/>
      <w:bookmarkStart w:id="193" w:name="_Toc28438"/>
      <w:bookmarkStart w:id="194" w:name="_Toc16795"/>
      <w:r>
        <w:rPr>
          <w:lang w:val="en-US"/>
        </w:rPr>
        <w:t>7.1 施工期污染防治措施</w:t>
      </w:r>
      <w:bookmarkEnd w:id="191"/>
      <w:bookmarkEnd w:id="192"/>
      <w:bookmarkEnd w:id="193"/>
      <w:bookmarkEnd w:id="194"/>
    </w:p>
    <w:p>
      <w:pPr>
        <w:pStyle w:val="4"/>
        <w:ind w:firstLine="602"/>
      </w:pPr>
      <w:bookmarkStart w:id="195" w:name="_Toc22273"/>
      <w:r>
        <w:rPr>
          <w:lang w:val="en-US"/>
        </w:rPr>
        <w:t xml:space="preserve">7.1.1 </w:t>
      </w:r>
      <w:r>
        <w:rPr>
          <w:rFonts w:hint="eastAsia"/>
          <w:lang w:val="en-US"/>
        </w:rPr>
        <w:t>施工废气防治措施</w:t>
      </w:r>
      <w:bookmarkEnd w:id="195"/>
    </w:p>
    <w:p>
      <w:pPr>
        <w:widowControl/>
        <w:ind w:firstLine="480"/>
        <w:rPr>
          <w:color w:val="000000"/>
          <w:szCs w:val="24"/>
          <w:lang w:val="en-US" w:bidi="ar"/>
        </w:rPr>
      </w:pPr>
      <w:r>
        <w:rPr>
          <w:rFonts w:hint="eastAsia"/>
          <w:color w:val="000000"/>
          <w:szCs w:val="24"/>
          <w:lang w:val="en-US" w:bidi="ar"/>
        </w:rPr>
        <w:t>本项目施工期3个月，施工活动对外环境影响较大，因此应采取合理的污染防治措施，减小施工期对周围环境及生态环境的影响程度。</w:t>
      </w:r>
    </w:p>
    <w:p>
      <w:pPr>
        <w:widowControl/>
        <w:ind w:firstLine="482"/>
        <w:rPr>
          <w:b/>
          <w:bCs/>
          <w:color w:val="000000"/>
          <w:szCs w:val="24"/>
          <w:lang w:val="en-US" w:bidi="ar"/>
        </w:rPr>
      </w:pPr>
      <w:r>
        <w:rPr>
          <w:rFonts w:hint="eastAsia"/>
          <w:b/>
          <w:bCs/>
          <w:color w:val="000000"/>
          <w:szCs w:val="24"/>
          <w:lang w:val="en-US" w:bidi="ar"/>
        </w:rPr>
        <w:t>7.1.1.1 施工扬尘污染防治措施分析</w:t>
      </w:r>
    </w:p>
    <w:p>
      <w:pPr>
        <w:widowControl/>
        <w:ind w:firstLine="480"/>
        <w:rPr>
          <w:color w:val="000000"/>
          <w:szCs w:val="24"/>
          <w:lang w:val="en-US" w:bidi="ar"/>
        </w:rPr>
      </w:pPr>
      <w:r>
        <w:rPr>
          <w:rFonts w:hint="eastAsia"/>
          <w:color w:val="000000"/>
          <w:szCs w:val="24"/>
          <w:lang w:val="en-US" w:bidi="ar"/>
        </w:rPr>
        <w:t>扬尘污染是施工期间重要的污染因素，扬尘环节主要来源于土地开挖、打桩、回填、车辆运输、物料和土石方露天堆放、装卸等过程，如遇干旱无雨季节，加上大风，施工扬尘则更为严重。本项目位于</w:t>
      </w:r>
      <w:r>
        <w:rPr>
          <w:rFonts w:hint="eastAsia"/>
          <w:lang w:val="en-US" w:eastAsia="zh-CN"/>
        </w:rPr>
        <w:t>平顶山市叶县廉村镇二郎庙村村北200米路东</w:t>
      </w:r>
      <w:r>
        <w:rPr>
          <w:rFonts w:hint="eastAsia"/>
          <w:color w:val="000000"/>
          <w:szCs w:val="24"/>
          <w:lang w:val="en-US" w:bidi="ar"/>
        </w:rPr>
        <w:t>，距离本项目施工区域最近的敏感目标为</w:t>
      </w:r>
      <w:r>
        <w:rPr>
          <w:rFonts w:hint="eastAsia"/>
          <w:color w:val="000000"/>
          <w:szCs w:val="24"/>
          <w:lang w:val="en-US" w:eastAsia="zh-CN" w:bidi="ar"/>
        </w:rPr>
        <w:t>西</w:t>
      </w:r>
      <w:r>
        <w:rPr>
          <w:rFonts w:hint="eastAsia"/>
          <w:color w:val="000000"/>
          <w:szCs w:val="24"/>
          <w:lang w:val="en-US" w:bidi="ar"/>
        </w:rPr>
        <w:t>南侧</w:t>
      </w:r>
      <w:r>
        <w:rPr>
          <w:rFonts w:hint="eastAsia"/>
          <w:color w:val="000000"/>
          <w:szCs w:val="24"/>
          <w:lang w:val="en-US" w:eastAsia="zh-CN" w:bidi="ar"/>
        </w:rPr>
        <w:t>后王庄120</w:t>
      </w:r>
      <w:r>
        <w:rPr>
          <w:rFonts w:hint="eastAsia"/>
          <w:color w:val="000000"/>
          <w:szCs w:val="24"/>
          <w:lang w:val="en-US" w:bidi="ar"/>
        </w:rPr>
        <w:t>m，所以在施工期间，应采取积极的措施来尽量减少扬尘的产生。</w:t>
      </w:r>
    </w:p>
    <w:p>
      <w:pPr>
        <w:widowControl/>
        <w:ind w:firstLine="480"/>
        <w:rPr>
          <w:color w:val="000000"/>
          <w:szCs w:val="24"/>
          <w:lang w:val="en-US" w:bidi="ar"/>
        </w:rPr>
      </w:pPr>
      <w:r>
        <w:rPr>
          <w:rFonts w:hint="eastAsia"/>
          <w:color w:val="000000"/>
          <w:szCs w:val="24"/>
          <w:lang w:val="en-US" w:bidi="ar"/>
        </w:rPr>
        <w:t>为有效防治施工扬尘，建设单位在施工期应当做到以下几点：</w:t>
      </w:r>
    </w:p>
    <w:p>
      <w:pPr>
        <w:widowControl/>
        <w:ind w:firstLine="480"/>
        <w:rPr>
          <w:color w:val="000000"/>
          <w:szCs w:val="24"/>
          <w:lang w:val="en-US" w:bidi="ar"/>
        </w:rPr>
      </w:pPr>
      <w:r>
        <w:rPr>
          <w:rFonts w:hint="eastAsia"/>
          <w:color w:val="000000"/>
          <w:szCs w:val="24"/>
          <w:lang w:val="en-US" w:bidi="ar"/>
        </w:rPr>
        <w:t>1、场内扬尘污染防治措施</w:t>
      </w:r>
    </w:p>
    <w:p>
      <w:pPr>
        <w:widowControl/>
        <w:ind w:firstLine="480"/>
        <w:rPr>
          <w:color w:val="000000"/>
          <w:szCs w:val="24"/>
          <w:lang w:val="en-US" w:bidi="ar"/>
        </w:rPr>
      </w:pPr>
      <w:r>
        <w:rPr>
          <w:rFonts w:hint="eastAsia"/>
          <w:color w:val="000000"/>
          <w:szCs w:val="24"/>
          <w:lang w:val="en-US" w:bidi="ar"/>
        </w:rPr>
        <w:t>（1）施工期间做到文明施工，在天气干燥、有风等易产生扬尘的情况下，应对沙石临时堆存、土石方、建筑垃圾等处采取清扫、洒水措施，有关试验表明，如果只洒水，可使扬尘量减少70～80%，如果清扫后洒水，抑尘效率能达90%以上；扬尘造成的TSP污染距离可缩小到50m范围。</w:t>
      </w:r>
    </w:p>
    <w:p>
      <w:pPr>
        <w:widowControl/>
        <w:ind w:firstLine="480"/>
        <w:rPr>
          <w:color w:val="000000"/>
          <w:szCs w:val="24"/>
          <w:lang w:val="en-US" w:bidi="ar"/>
        </w:rPr>
      </w:pPr>
      <w:r>
        <w:rPr>
          <w:rFonts w:hint="eastAsia"/>
          <w:color w:val="000000"/>
          <w:szCs w:val="24"/>
          <w:lang w:val="en-US" w:bidi="ar"/>
        </w:rPr>
        <w:t>（2）建筑工地实行围挡全封闭施工，施工现场四周边界设置不低于2.5米的围挡，围挡由金属、混凝土、塑料等硬质材料制作，围挡下方设置不低于20cm高的防溢座以防止粉尘流失；任意两块围挡以及围挡与防溢座的拼接处都不能有大于0.5cm的缝隙，围挡不得有明显破损的漏洞。</w:t>
      </w:r>
    </w:p>
    <w:p>
      <w:pPr>
        <w:widowControl/>
        <w:ind w:firstLine="480"/>
        <w:rPr>
          <w:color w:val="000000"/>
          <w:szCs w:val="24"/>
          <w:lang w:val="en-US" w:bidi="ar"/>
        </w:rPr>
      </w:pPr>
      <w:r>
        <w:rPr>
          <w:rFonts w:hint="eastAsia"/>
          <w:color w:val="000000"/>
          <w:szCs w:val="24"/>
          <w:lang w:val="en-US" w:bidi="ar"/>
        </w:rPr>
        <w:t>（3）建筑施工现场出入口必须设置车辆冲洗池和定型化车辆自动冲洗装置，对进出施工场地的车辆进行清理或清洗以保证车辆清洁上路；洗车喷嘴静水压不低于0.5Mpa；洗车污水经沉淀后回用于抑尘，回用率100%；施工场所车辆入口和出口30m以内的路面上不应有明显泥印，以及砂石、灰土等易扬尘物料。</w:t>
      </w:r>
    </w:p>
    <w:p>
      <w:pPr>
        <w:widowControl/>
        <w:ind w:firstLine="480"/>
        <w:rPr>
          <w:color w:val="000000"/>
          <w:szCs w:val="24"/>
          <w:lang w:val="en-US" w:bidi="ar"/>
        </w:rPr>
      </w:pPr>
      <w:r>
        <w:rPr>
          <w:rFonts w:hint="eastAsia"/>
          <w:color w:val="000000"/>
          <w:szCs w:val="24"/>
          <w:lang w:val="en-US" w:bidi="ar"/>
        </w:rPr>
        <w:t>（4）道路硬化与管理：施工场地内80%以上车行道面积必须硬化；清扫时必须洒水抑尘，任何时候行车道路上都不能有明显的尘土。</w:t>
      </w:r>
    </w:p>
    <w:p>
      <w:pPr>
        <w:widowControl/>
        <w:ind w:firstLine="480"/>
        <w:rPr>
          <w:color w:val="000000"/>
          <w:szCs w:val="24"/>
          <w:lang w:val="en-US" w:bidi="ar"/>
        </w:rPr>
      </w:pPr>
      <w:r>
        <w:rPr>
          <w:rFonts w:hint="eastAsia"/>
          <w:color w:val="000000"/>
          <w:szCs w:val="24"/>
          <w:lang w:val="en-US" w:bidi="ar"/>
        </w:rPr>
        <w:t>（5）土石方、建筑材料不得露天堆放，应覆盖防风抑尘网等，并加强喷淋洒水等措施，以提高物料堆的含水率，进而起到抑尘的效果。</w:t>
      </w:r>
    </w:p>
    <w:p>
      <w:pPr>
        <w:widowControl/>
        <w:ind w:firstLine="480"/>
        <w:rPr>
          <w:color w:val="000000"/>
          <w:szCs w:val="24"/>
          <w:lang w:val="en-US" w:bidi="ar"/>
        </w:rPr>
      </w:pPr>
      <w:r>
        <w:rPr>
          <w:rFonts w:hint="eastAsia"/>
          <w:color w:val="000000"/>
          <w:szCs w:val="24"/>
          <w:lang w:val="en-US" w:bidi="ar"/>
        </w:rPr>
        <w:t>（6）弃土应及时清运。当出现五级及以上大风天气，必须采取防扬尘应急措施，且不得进行土方开挖、回填、转运作业及工程拆除等作业。</w:t>
      </w:r>
    </w:p>
    <w:p>
      <w:pPr>
        <w:widowControl/>
        <w:ind w:firstLine="480"/>
        <w:rPr>
          <w:color w:val="000000"/>
          <w:szCs w:val="24"/>
          <w:lang w:val="en-US" w:bidi="ar"/>
        </w:rPr>
      </w:pPr>
      <w:r>
        <w:rPr>
          <w:rFonts w:hint="eastAsia"/>
          <w:color w:val="000000"/>
          <w:szCs w:val="24"/>
          <w:lang w:val="en-US" w:bidi="ar"/>
        </w:rPr>
        <w:t>（7）在建工程外脚手架必须采用符合标准要求的密目网进行全面封闭，并保持严密整洁；楼层内清理施工垃圾，应采取先洒水降尘后清扫的作业方法。并使用封闭式管道或装袋（或容器）使用垂直升降机械清运，严禁高处随意抛撒。房屋拆除工地必须酒水或喷淋压尘，采取湿法作业。</w:t>
      </w:r>
    </w:p>
    <w:p>
      <w:pPr>
        <w:widowControl/>
        <w:ind w:firstLine="480"/>
        <w:rPr>
          <w:color w:val="000000"/>
          <w:szCs w:val="24"/>
          <w:lang w:val="en-US" w:bidi="ar"/>
        </w:rPr>
      </w:pPr>
      <w:r>
        <w:rPr>
          <w:rFonts w:hint="eastAsia"/>
          <w:color w:val="000000"/>
          <w:szCs w:val="24"/>
          <w:lang w:val="en-US" w:bidi="ar"/>
        </w:rPr>
        <w:t>（</w:t>
      </w:r>
      <w:r>
        <w:rPr>
          <w:rFonts w:hint="eastAsia"/>
          <w:color w:val="000000"/>
          <w:szCs w:val="24"/>
          <w:lang w:val="en-US" w:eastAsia="zh-CN" w:bidi="ar"/>
        </w:rPr>
        <w:t>8</w:t>
      </w:r>
      <w:r>
        <w:rPr>
          <w:rFonts w:hint="eastAsia"/>
          <w:color w:val="000000"/>
          <w:szCs w:val="24"/>
          <w:lang w:val="en-US" w:bidi="ar"/>
        </w:rPr>
        <w:t>）应按相关规定使用散装水泥。在施工工地主要扬尘产生点安装视频监控装置，实行施工全过程监控。</w:t>
      </w:r>
    </w:p>
    <w:p>
      <w:pPr>
        <w:widowControl/>
        <w:ind w:firstLine="480"/>
        <w:rPr>
          <w:color w:val="000000"/>
          <w:szCs w:val="24"/>
          <w:lang w:val="en-US" w:bidi="ar"/>
        </w:rPr>
      </w:pPr>
      <w:r>
        <w:rPr>
          <w:rFonts w:hint="eastAsia"/>
          <w:color w:val="000000"/>
          <w:szCs w:val="24"/>
          <w:lang w:val="en-US" w:bidi="ar"/>
        </w:rPr>
        <w:t>（11）对施工期大气污染防治管理要做到目标责任制，具体到个人，一旦发现有对周围居民生活造成影响的环境问题，责任人应第一时间进行协调，及时解决问题，保证施工期扬尘等大气污染不会对周围居民生活造成影响。</w:t>
      </w:r>
    </w:p>
    <w:p>
      <w:pPr>
        <w:widowControl/>
        <w:ind w:firstLine="480"/>
        <w:rPr>
          <w:color w:val="000000"/>
          <w:szCs w:val="24"/>
          <w:lang w:val="en-US" w:bidi="ar"/>
        </w:rPr>
      </w:pPr>
      <w:r>
        <w:rPr>
          <w:rFonts w:hint="eastAsia"/>
          <w:color w:val="000000"/>
          <w:szCs w:val="24"/>
          <w:lang w:val="en-US" w:bidi="ar"/>
        </w:rPr>
        <w:t>2、场外材料运输扬尘污染防治措施</w:t>
      </w:r>
    </w:p>
    <w:p>
      <w:pPr>
        <w:widowControl/>
        <w:ind w:firstLine="480"/>
        <w:rPr>
          <w:color w:val="000000"/>
          <w:szCs w:val="24"/>
          <w:lang w:val="en-US" w:bidi="ar"/>
        </w:rPr>
      </w:pPr>
      <w:r>
        <w:rPr>
          <w:rFonts w:hint="eastAsia"/>
          <w:color w:val="000000"/>
          <w:szCs w:val="24"/>
          <w:lang w:val="en-US" w:bidi="ar"/>
        </w:rPr>
        <w:t>（1）建筑施工现场出入口必须设置车辆冲洗池和定型化车辆自动冲洗装置，运输车辆驶出工地前，应对车轮、车身、车槽帮等部位进行清理或清洗以保证车辆清洁上路；施工场所车辆入口和出口30m以内的路面上不应有明显泥印，以及砂石、灰土等易扬尘物料。</w:t>
      </w:r>
    </w:p>
    <w:p>
      <w:pPr>
        <w:widowControl/>
        <w:ind w:firstLine="480"/>
        <w:rPr>
          <w:color w:val="000000"/>
          <w:szCs w:val="24"/>
          <w:lang w:val="en-US" w:bidi="ar"/>
        </w:rPr>
      </w:pPr>
      <w:r>
        <w:rPr>
          <w:rFonts w:hint="eastAsia"/>
          <w:color w:val="000000"/>
          <w:szCs w:val="24"/>
          <w:lang w:val="en-US" w:bidi="ar"/>
        </w:rPr>
        <w:t>（2）运载建筑材料以及建筑垃圾的车辆要</w:t>
      </w:r>
      <w:r>
        <w:rPr>
          <w:rFonts w:hint="eastAsia"/>
          <w:color w:val="000000"/>
          <w:szCs w:val="24"/>
          <w:lang w:val="en-US" w:eastAsia="zh-CN" w:bidi="ar"/>
        </w:rPr>
        <w:t>加盖篷布</w:t>
      </w:r>
      <w:r>
        <w:rPr>
          <w:rFonts w:hint="eastAsia"/>
          <w:color w:val="000000"/>
          <w:szCs w:val="24"/>
          <w:lang w:val="en-US" w:bidi="ar"/>
        </w:rPr>
        <w:t>减少散落，做到运输密闭化；运输车辆</w:t>
      </w:r>
      <w:r>
        <w:rPr>
          <w:rFonts w:hint="eastAsia"/>
          <w:color w:val="000000"/>
          <w:szCs w:val="24"/>
          <w:lang w:val="en-US" w:eastAsia="zh-CN" w:bidi="ar"/>
        </w:rPr>
        <w:t>行驶路线</w:t>
      </w:r>
      <w:r>
        <w:rPr>
          <w:rFonts w:hint="eastAsia"/>
          <w:color w:val="000000"/>
          <w:szCs w:val="24"/>
          <w:lang w:val="en-US" w:bidi="ar"/>
        </w:rPr>
        <w:t>应避免穿越城市中心区，尽量避开居民点和环境敏感点。</w:t>
      </w:r>
    </w:p>
    <w:p>
      <w:pPr>
        <w:widowControl/>
        <w:ind w:firstLine="480"/>
        <w:rPr>
          <w:color w:val="000000"/>
          <w:szCs w:val="24"/>
          <w:lang w:val="en-US" w:bidi="ar"/>
        </w:rPr>
      </w:pPr>
      <w:r>
        <w:rPr>
          <w:rFonts w:hint="eastAsia"/>
          <w:color w:val="000000"/>
          <w:szCs w:val="24"/>
          <w:lang w:val="en-US" w:bidi="ar"/>
        </w:rPr>
        <w:t>（3）应选用车况较好的车辆，以避免因车辆本身振动而造成土方或物料散落地面，从而产生扬尘污染。</w:t>
      </w:r>
    </w:p>
    <w:p>
      <w:pPr>
        <w:widowControl/>
        <w:ind w:firstLine="480"/>
        <w:rPr>
          <w:color w:val="000000"/>
          <w:szCs w:val="24"/>
          <w:lang w:val="en-US" w:bidi="ar"/>
        </w:rPr>
      </w:pPr>
      <w:r>
        <w:rPr>
          <w:rFonts w:hint="eastAsia"/>
          <w:color w:val="000000"/>
          <w:szCs w:val="24"/>
          <w:lang w:val="en-US" w:bidi="ar"/>
        </w:rPr>
        <w:t>（4）车辆限速：建议行驶车速不大于5km/h，据资料显示：此时的扬尘量可减少为一般行驶速度（10km/h计）情况下的1/2。</w:t>
      </w:r>
    </w:p>
    <w:p>
      <w:pPr>
        <w:widowControl/>
        <w:ind w:firstLine="480"/>
        <w:rPr>
          <w:color w:val="000000"/>
          <w:szCs w:val="24"/>
          <w:lang w:val="en-US" w:bidi="ar"/>
        </w:rPr>
      </w:pPr>
      <w:r>
        <w:rPr>
          <w:rFonts w:hint="eastAsia"/>
          <w:color w:val="000000"/>
          <w:szCs w:val="24"/>
          <w:lang w:val="en-US" w:bidi="ar"/>
        </w:rPr>
        <w:t>（5）运输时间应选在人流较小的时间段，避开市区交通高峰期。</w:t>
      </w:r>
    </w:p>
    <w:p>
      <w:pPr>
        <w:widowControl/>
        <w:ind w:firstLine="480"/>
        <w:rPr>
          <w:color w:val="000000"/>
          <w:szCs w:val="24"/>
          <w:lang w:val="en-US" w:bidi="ar"/>
        </w:rPr>
      </w:pPr>
      <w:r>
        <w:rPr>
          <w:rFonts w:hint="eastAsia"/>
          <w:color w:val="000000"/>
          <w:szCs w:val="24"/>
          <w:lang w:val="en-US" w:bidi="ar"/>
        </w:rPr>
        <w:t>（6）项目承包者应严格按照渣土管理有关规定，运输车辆不得超载，被运渣土不得含水太多，造成沿途泥浆滴漏，从而影响城市道路整洁，渣土必须及时清运并按照制定的运输路线行驶，运往</w:t>
      </w:r>
      <w:r>
        <w:rPr>
          <w:rFonts w:hint="eastAsia"/>
          <w:color w:val="000000"/>
          <w:szCs w:val="24"/>
          <w:lang w:val="en-US" w:eastAsia="zh-CN" w:bidi="ar"/>
        </w:rPr>
        <w:t>指定</w:t>
      </w:r>
      <w:r>
        <w:rPr>
          <w:rFonts w:hint="eastAsia"/>
          <w:color w:val="000000"/>
          <w:szCs w:val="24"/>
          <w:lang w:val="en-US" w:bidi="ar"/>
        </w:rPr>
        <w:t>的倾倒地点，以减少由于渣土产生的扬尘对环境空气质量的影响。</w:t>
      </w:r>
    </w:p>
    <w:p>
      <w:pPr>
        <w:widowControl/>
        <w:ind w:firstLine="480"/>
        <w:rPr>
          <w:color w:val="000000"/>
          <w:szCs w:val="24"/>
          <w:lang w:val="en-US" w:bidi="ar"/>
        </w:rPr>
      </w:pPr>
      <w:r>
        <w:rPr>
          <w:rFonts w:hint="eastAsia"/>
          <w:color w:val="000000"/>
          <w:szCs w:val="24"/>
          <w:lang w:val="en-US" w:bidi="ar"/>
        </w:rPr>
        <w:t>项目施工单位需严格落实以上措施，施工过程中做到</w:t>
      </w:r>
      <w:r>
        <w:rPr>
          <w:rFonts w:hint="eastAsia"/>
          <w:color w:val="000000"/>
          <w:szCs w:val="24"/>
          <w:lang w:val="en-US" w:eastAsia="zh-CN" w:bidi="ar"/>
        </w:rPr>
        <w:t>“</w:t>
      </w:r>
      <w:r>
        <w:rPr>
          <w:rFonts w:hint="eastAsia"/>
          <w:color w:val="000000"/>
          <w:szCs w:val="24"/>
          <w:lang w:val="en-US" w:bidi="ar"/>
        </w:rPr>
        <w:t>施工文明化、运输密闭化、进出冲洗化、物料覆盖化、场地全硬化、工地</w:t>
      </w:r>
      <w:r>
        <w:rPr>
          <w:rFonts w:hint="eastAsia"/>
          <w:color w:val="000000"/>
          <w:szCs w:val="24"/>
          <w:lang w:val="en-US" w:eastAsia="zh-CN" w:bidi="ar"/>
        </w:rPr>
        <w:t>围挡</w:t>
      </w:r>
      <w:r>
        <w:rPr>
          <w:rFonts w:hint="eastAsia"/>
          <w:color w:val="000000"/>
          <w:szCs w:val="24"/>
          <w:lang w:val="en-US" w:bidi="ar"/>
        </w:rPr>
        <w:t>化"的要求，建筑施工过程全面达到防扬尘标准，并做好周围居民的安抚工作，一旦出现扰民现象，须立即停止施工，并及时与周围居民进行沟通，尽量将施工扬尘的影响降至最低。</w:t>
      </w:r>
    </w:p>
    <w:p>
      <w:pPr>
        <w:widowControl/>
        <w:ind w:firstLine="482"/>
        <w:rPr>
          <w:b/>
          <w:bCs/>
          <w:color w:val="000000"/>
          <w:szCs w:val="24"/>
          <w:lang w:val="en-US" w:bidi="ar"/>
        </w:rPr>
      </w:pPr>
      <w:r>
        <w:rPr>
          <w:rFonts w:hint="eastAsia"/>
          <w:b/>
          <w:bCs/>
          <w:color w:val="000000"/>
          <w:szCs w:val="24"/>
          <w:lang w:val="en-US" w:bidi="ar"/>
        </w:rPr>
        <w:t>7.1.1.2 机械及运输车辆燃油废气污染防治措施分析</w:t>
      </w:r>
    </w:p>
    <w:p>
      <w:pPr>
        <w:widowControl/>
        <w:ind w:firstLine="480"/>
        <w:rPr>
          <w:color w:val="000000"/>
          <w:szCs w:val="24"/>
          <w:lang w:val="en-US" w:bidi="ar"/>
        </w:rPr>
      </w:pPr>
      <w:r>
        <w:rPr>
          <w:rFonts w:hint="eastAsia"/>
          <w:color w:val="000000"/>
          <w:szCs w:val="24"/>
          <w:lang w:val="en-US" w:bidi="ar"/>
        </w:rPr>
        <w:t>施工阶段运输车辆会产生一定量的燃油尾气，废气污染物为CO、NOx、THC等，由于车辆为非连续行驶状态，污染物排放时间及排放量相对较少，汽车尾气通过当地风力扩散后对周围环境影响不大。</w:t>
      </w:r>
    </w:p>
    <w:p>
      <w:pPr>
        <w:widowControl/>
        <w:ind w:firstLine="480"/>
        <w:rPr>
          <w:color w:val="000000"/>
          <w:szCs w:val="24"/>
          <w:lang w:val="en-US" w:bidi="ar"/>
        </w:rPr>
      </w:pPr>
      <w:r>
        <w:rPr>
          <w:rFonts w:hint="eastAsia"/>
          <w:color w:val="000000"/>
          <w:szCs w:val="24"/>
          <w:lang w:val="en-US" w:bidi="ar"/>
        </w:rPr>
        <w:t>建设方施工场地内的运输车辆应禁止超载，不得使用劣质燃料；对车辆的尾气排放应进行监督管理。严格执行汽车监管办法的相关规定，避免排放黑烟，同时要注意车辆的维修与维护，使其保证在良好的状态下工作，以减小汽车尾气的排放量。</w:t>
      </w:r>
    </w:p>
    <w:p>
      <w:pPr>
        <w:widowControl/>
        <w:ind w:firstLine="482"/>
        <w:rPr>
          <w:b/>
          <w:bCs/>
          <w:color w:val="000000"/>
          <w:szCs w:val="24"/>
          <w:lang w:val="en-US" w:bidi="ar"/>
        </w:rPr>
      </w:pPr>
      <w:r>
        <w:rPr>
          <w:rFonts w:hint="eastAsia"/>
          <w:b/>
          <w:bCs/>
          <w:color w:val="000000"/>
          <w:szCs w:val="24"/>
          <w:lang w:val="en-US" w:bidi="ar"/>
        </w:rPr>
        <w:t>7.1.1.</w:t>
      </w:r>
      <w:r>
        <w:rPr>
          <w:rFonts w:hint="eastAsia"/>
          <w:b/>
          <w:bCs/>
          <w:color w:val="000000"/>
          <w:szCs w:val="24"/>
          <w:lang w:val="en-US" w:eastAsia="zh-CN" w:bidi="ar"/>
        </w:rPr>
        <w:t>3</w:t>
      </w:r>
      <w:r>
        <w:rPr>
          <w:rFonts w:hint="eastAsia"/>
          <w:b/>
          <w:bCs/>
          <w:color w:val="000000"/>
          <w:szCs w:val="24"/>
          <w:lang w:val="en-US" w:bidi="ar"/>
        </w:rPr>
        <w:t xml:space="preserve"> 食堂废气污染防治措施分析</w:t>
      </w:r>
    </w:p>
    <w:p>
      <w:pPr>
        <w:widowControl/>
        <w:ind w:firstLine="480"/>
        <w:rPr>
          <w:color w:val="000000"/>
          <w:szCs w:val="24"/>
          <w:lang w:val="en-US" w:bidi="ar"/>
        </w:rPr>
      </w:pPr>
      <w:r>
        <w:rPr>
          <w:rFonts w:hint="eastAsia"/>
          <w:color w:val="000000"/>
          <w:szCs w:val="24"/>
          <w:lang w:val="en-US" w:bidi="ar"/>
        </w:rPr>
        <w:t>施工期因在驻地内设简易食堂供建筑工人就餐，因此会有少量饮食油烟及燃料废气产生。食堂燃料使用石油液化气，为清洁能源，污染物产生量较少。在简易食堂内安装抽油烟机，燃料废气与油烟废气一起经抽油烟机引至室外房顶排放，对周围环境空气质量影响很小。</w:t>
      </w:r>
    </w:p>
    <w:p>
      <w:pPr>
        <w:widowControl/>
        <w:ind w:firstLine="480"/>
        <w:rPr>
          <w:color w:val="000000"/>
          <w:szCs w:val="24"/>
          <w:lang w:val="en-US" w:bidi="ar"/>
        </w:rPr>
      </w:pPr>
      <w:r>
        <w:rPr>
          <w:rFonts w:hint="eastAsia"/>
          <w:color w:val="000000"/>
          <w:szCs w:val="24"/>
          <w:lang w:val="en-US" w:bidi="ar"/>
        </w:rPr>
        <w:t>综上所述，本评价认为上述施工期大气污染防治措施有效可行，采取上述防治措施后，可以有效地减小施工期废气的污染影响。</w:t>
      </w:r>
    </w:p>
    <w:p>
      <w:pPr>
        <w:pStyle w:val="4"/>
        <w:ind w:firstLine="602"/>
        <w:rPr>
          <w:lang w:val="en-US"/>
        </w:rPr>
      </w:pPr>
      <w:bookmarkStart w:id="196" w:name="_Toc28325"/>
      <w:r>
        <w:rPr>
          <w:rFonts w:hint="eastAsia"/>
          <w:lang w:val="en-US"/>
        </w:rPr>
        <w:t>7.1.2 水污染防治措施</w:t>
      </w:r>
      <w:bookmarkEnd w:id="196"/>
    </w:p>
    <w:p>
      <w:pPr>
        <w:widowControl/>
        <w:ind w:firstLine="480"/>
        <w:rPr>
          <w:color w:val="000000"/>
          <w:szCs w:val="24"/>
          <w:lang w:val="en-US" w:bidi="ar"/>
        </w:rPr>
      </w:pPr>
      <w:r>
        <w:rPr>
          <w:rFonts w:hint="eastAsia"/>
          <w:color w:val="000000"/>
          <w:szCs w:val="24"/>
          <w:lang w:val="en-US" w:bidi="ar"/>
        </w:rPr>
        <w:t>施工期废水主要为施工生产废水和施工人员的生活污水，施工单位应采取合理的减缓措施，使施工活动对水环境的影响减少到最小限度。</w:t>
      </w:r>
    </w:p>
    <w:p>
      <w:pPr>
        <w:widowControl/>
        <w:ind w:firstLine="482"/>
        <w:rPr>
          <w:b/>
          <w:bCs/>
          <w:color w:val="000000"/>
          <w:szCs w:val="24"/>
          <w:lang w:val="en-US" w:bidi="ar"/>
        </w:rPr>
      </w:pPr>
      <w:r>
        <w:rPr>
          <w:rFonts w:hint="eastAsia"/>
          <w:b/>
          <w:bCs/>
          <w:color w:val="000000"/>
          <w:szCs w:val="24"/>
          <w:lang w:val="en-US" w:bidi="ar"/>
        </w:rPr>
        <w:t>7.1.2.1 生活污水污染防治措施分析</w:t>
      </w:r>
    </w:p>
    <w:p>
      <w:pPr>
        <w:widowControl/>
        <w:ind w:firstLine="480"/>
        <w:rPr>
          <w:color w:val="000000"/>
          <w:szCs w:val="24"/>
          <w:lang w:val="en-US" w:bidi="ar"/>
        </w:rPr>
      </w:pPr>
      <w:r>
        <w:rPr>
          <w:rFonts w:hint="eastAsia"/>
          <w:color w:val="000000"/>
          <w:szCs w:val="24"/>
          <w:lang w:val="en-US" w:bidi="ar"/>
        </w:rPr>
        <w:t>施工人员生活污水经化粪池处理后</w:t>
      </w:r>
      <w:r>
        <w:rPr>
          <w:rFonts w:hint="eastAsia"/>
          <w:color w:val="000000"/>
          <w:szCs w:val="24"/>
          <w:lang w:val="en-US" w:eastAsia="zh-CN" w:bidi="ar"/>
        </w:rPr>
        <w:t>定期清掏肥田</w:t>
      </w:r>
      <w:r>
        <w:rPr>
          <w:rFonts w:hint="eastAsia"/>
          <w:color w:val="000000"/>
          <w:szCs w:val="24"/>
          <w:lang w:val="en-US" w:bidi="ar"/>
        </w:rPr>
        <w:t>。</w:t>
      </w:r>
    </w:p>
    <w:p>
      <w:pPr>
        <w:widowControl/>
        <w:ind w:firstLine="482"/>
        <w:rPr>
          <w:b/>
          <w:bCs/>
          <w:color w:val="000000"/>
          <w:szCs w:val="24"/>
          <w:lang w:val="en-US" w:bidi="ar"/>
        </w:rPr>
      </w:pPr>
      <w:r>
        <w:rPr>
          <w:rFonts w:hint="eastAsia"/>
          <w:b/>
          <w:bCs/>
          <w:color w:val="000000"/>
          <w:szCs w:val="24"/>
          <w:lang w:val="en-US" w:bidi="ar"/>
        </w:rPr>
        <w:t>7.1.2.2 施工废水污染防治措施分析</w:t>
      </w:r>
    </w:p>
    <w:p>
      <w:pPr>
        <w:widowControl/>
        <w:ind w:firstLine="480"/>
        <w:rPr>
          <w:color w:val="000000"/>
          <w:szCs w:val="24"/>
          <w:lang w:val="en-US" w:bidi="ar"/>
        </w:rPr>
      </w:pPr>
      <w:r>
        <w:rPr>
          <w:rFonts w:hint="eastAsia"/>
          <w:color w:val="000000"/>
          <w:szCs w:val="24"/>
          <w:lang w:val="en-US" w:bidi="ar"/>
        </w:rPr>
        <w:t>施工期生产废水主要是施工过程中混凝土养护、墙面冲洗等过程产生的冲洗水，施工单位应做好以下</w:t>
      </w:r>
      <w:r>
        <w:rPr>
          <w:rFonts w:hint="eastAsia"/>
          <w:color w:val="000000"/>
          <w:szCs w:val="24"/>
          <w:lang w:val="en-US" w:eastAsia="zh-CN" w:bidi="ar"/>
        </w:rPr>
        <w:t>防治措施</w:t>
      </w:r>
      <w:r>
        <w:rPr>
          <w:rFonts w:hint="eastAsia"/>
          <w:color w:val="000000"/>
          <w:szCs w:val="24"/>
          <w:lang w:val="en-US" w:bidi="ar"/>
        </w:rPr>
        <w:t>：</w:t>
      </w:r>
    </w:p>
    <w:p>
      <w:pPr>
        <w:widowControl/>
        <w:ind w:firstLine="480"/>
        <w:rPr>
          <w:color w:val="000000"/>
          <w:szCs w:val="24"/>
          <w:lang w:val="en-US" w:bidi="ar"/>
        </w:rPr>
      </w:pPr>
      <w:r>
        <w:rPr>
          <w:rFonts w:hint="eastAsia"/>
          <w:color w:val="000000"/>
          <w:szCs w:val="24"/>
          <w:lang w:val="en-US" w:bidi="ar"/>
        </w:rPr>
        <w:t>1、严禁施工废水乱排、乱流，不得随意排放，对周围其它地表水质造成影响。</w:t>
      </w:r>
    </w:p>
    <w:p>
      <w:pPr>
        <w:widowControl/>
        <w:ind w:firstLine="480"/>
        <w:rPr>
          <w:color w:val="000000"/>
          <w:szCs w:val="24"/>
          <w:lang w:val="en-US" w:bidi="ar"/>
        </w:rPr>
      </w:pPr>
      <w:r>
        <w:rPr>
          <w:rFonts w:hint="eastAsia"/>
          <w:color w:val="000000"/>
          <w:szCs w:val="24"/>
          <w:lang w:val="en-US" w:bidi="ar"/>
        </w:rPr>
        <w:t>2、施工场地应及时清理，施工废水由于SS含量较高，不能直接排放，经临时沉淀池处理后回用于施工现场。</w:t>
      </w:r>
    </w:p>
    <w:p>
      <w:pPr>
        <w:widowControl/>
        <w:ind w:firstLine="480"/>
        <w:rPr>
          <w:color w:val="000000"/>
          <w:szCs w:val="24"/>
          <w:lang w:val="en-US" w:bidi="ar"/>
        </w:rPr>
      </w:pPr>
      <w:r>
        <w:rPr>
          <w:rFonts w:hint="eastAsia"/>
          <w:color w:val="000000"/>
          <w:szCs w:val="24"/>
          <w:lang w:val="en-US" w:bidi="ar"/>
        </w:rPr>
        <w:t>3、加强管理，节约用水，提高施工人员的环保意识，不得随意排放废水，对周围环境造成影响。</w:t>
      </w:r>
    </w:p>
    <w:p>
      <w:pPr>
        <w:widowControl/>
        <w:ind w:firstLine="480"/>
        <w:rPr>
          <w:color w:val="000000"/>
          <w:szCs w:val="24"/>
          <w:lang w:val="en-US" w:bidi="ar"/>
        </w:rPr>
      </w:pPr>
      <w:r>
        <w:rPr>
          <w:rFonts w:hint="eastAsia"/>
          <w:color w:val="000000"/>
          <w:szCs w:val="24"/>
          <w:lang w:val="en-US" w:bidi="ar"/>
        </w:rPr>
        <w:t>4、加强对机械设备的检修，以防止设备漏油现象的发生；施工机械设备的维修应在专业厂家进行，防止施工现场地表油类污染，以减小初期雨水的油类污染物负荷。</w:t>
      </w:r>
    </w:p>
    <w:p>
      <w:pPr>
        <w:widowControl/>
        <w:ind w:firstLine="480"/>
        <w:rPr>
          <w:color w:val="000000"/>
          <w:szCs w:val="24"/>
          <w:lang w:val="en-US" w:bidi="ar"/>
        </w:rPr>
      </w:pPr>
      <w:r>
        <w:rPr>
          <w:rFonts w:hint="eastAsia"/>
          <w:color w:val="000000"/>
          <w:szCs w:val="24"/>
          <w:lang w:val="en-US" w:bidi="ar"/>
        </w:rPr>
        <w:t>5、施工场地内设沉淀池，施工废水经沉淀后可用于场地内洒水抑尘，不外排；沉淀池淤泥定期清理，运往碴场堆放。</w:t>
      </w:r>
    </w:p>
    <w:p>
      <w:pPr>
        <w:widowControl/>
        <w:ind w:firstLine="480"/>
        <w:rPr>
          <w:color w:val="000000"/>
          <w:szCs w:val="24"/>
          <w:lang w:val="en-US" w:bidi="ar"/>
        </w:rPr>
      </w:pPr>
      <w:r>
        <w:rPr>
          <w:rFonts w:hint="eastAsia"/>
          <w:color w:val="000000"/>
          <w:szCs w:val="24"/>
          <w:lang w:val="en-US" w:bidi="ar"/>
        </w:rPr>
        <w:t>6、施工场地内要设置一定的集水沟渠，收集施工现场的混凝土养护水、渗漏水等施工废水，经沉淀后回用于施工现场。</w:t>
      </w:r>
    </w:p>
    <w:p>
      <w:pPr>
        <w:widowControl/>
        <w:ind w:firstLine="482"/>
        <w:rPr>
          <w:b/>
          <w:bCs/>
          <w:color w:val="000000"/>
          <w:szCs w:val="24"/>
          <w:lang w:val="en-US" w:bidi="ar"/>
        </w:rPr>
      </w:pPr>
      <w:r>
        <w:rPr>
          <w:rFonts w:hint="eastAsia"/>
          <w:b/>
          <w:bCs/>
          <w:color w:val="000000"/>
          <w:szCs w:val="24"/>
          <w:lang w:val="en-US" w:bidi="ar"/>
        </w:rPr>
        <w:t>7.1.2.3 雨水污染防治措施分析</w:t>
      </w:r>
    </w:p>
    <w:p>
      <w:pPr>
        <w:widowControl/>
        <w:ind w:firstLine="480"/>
        <w:rPr>
          <w:color w:val="000000"/>
          <w:szCs w:val="24"/>
          <w:lang w:val="en-US" w:bidi="ar"/>
        </w:rPr>
      </w:pPr>
      <w:r>
        <w:rPr>
          <w:rFonts w:hint="eastAsia"/>
          <w:color w:val="000000"/>
          <w:szCs w:val="24"/>
          <w:lang w:val="en-US" w:bidi="ar"/>
        </w:rPr>
        <w:t>建设单位应在施工场地四周设置导流渠，场区设置简易沉淀池，雨水经沉淀池处理后排入雨水管网，防止因雨水对施工进度及施工质量造成影响。</w:t>
      </w:r>
    </w:p>
    <w:p>
      <w:pPr>
        <w:widowControl/>
        <w:ind w:firstLine="480"/>
        <w:rPr>
          <w:color w:val="000000"/>
          <w:szCs w:val="24"/>
          <w:lang w:val="en-US" w:bidi="ar"/>
        </w:rPr>
      </w:pPr>
      <w:r>
        <w:rPr>
          <w:rFonts w:hint="eastAsia"/>
          <w:color w:val="000000"/>
          <w:szCs w:val="24"/>
          <w:lang w:val="en-US" w:bidi="ar"/>
        </w:rPr>
        <w:t>综上所述，本评价认为上述施工期废水污染防治措施有效可行，采取上述防治措施后，可以有效地减小施工期废水的污染影响。</w:t>
      </w:r>
    </w:p>
    <w:p>
      <w:pPr>
        <w:pStyle w:val="4"/>
        <w:ind w:firstLine="602"/>
        <w:rPr>
          <w:lang w:val="en-US"/>
        </w:rPr>
      </w:pPr>
      <w:bookmarkStart w:id="197" w:name="_Toc20785"/>
      <w:r>
        <w:rPr>
          <w:rFonts w:hint="eastAsia"/>
          <w:lang w:val="en-US"/>
        </w:rPr>
        <w:t>7.1.3 噪声污染防治措施</w:t>
      </w:r>
      <w:bookmarkEnd w:id="197"/>
    </w:p>
    <w:p>
      <w:pPr>
        <w:widowControl/>
        <w:ind w:firstLine="480"/>
        <w:rPr>
          <w:color w:val="000000"/>
          <w:szCs w:val="24"/>
          <w:lang w:val="en-US" w:bidi="ar"/>
        </w:rPr>
      </w:pPr>
      <w:r>
        <w:rPr>
          <w:rFonts w:hint="eastAsia"/>
          <w:color w:val="000000"/>
          <w:szCs w:val="24"/>
          <w:lang w:val="en-US" w:bidi="ar"/>
        </w:rPr>
        <w:t>在施工过程中，施工单位应尽量采用低噪声的施工机械，减少同时作业的高噪施工机械数量，尽可能减轻声源叠加影响；同时应严格执行《建筑施工场界环境噪声排放标准》（GB12523-2011）的规定，避免和减少施工扰民事件的发生。</w:t>
      </w:r>
    </w:p>
    <w:p>
      <w:pPr>
        <w:widowControl/>
        <w:ind w:firstLine="480"/>
        <w:rPr>
          <w:color w:val="000000"/>
          <w:szCs w:val="24"/>
          <w:lang w:val="en-US" w:bidi="ar"/>
        </w:rPr>
      </w:pPr>
      <w:r>
        <w:rPr>
          <w:rFonts w:hint="eastAsia"/>
          <w:color w:val="000000"/>
          <w:szCs w:val="24"/>
          <w:lang w:val="en-US" w:bidi="ar"/>
        </w:rPr>
        <w:t>本项目位于</w:t>
      </w:r>
      <w:r>
        <w:rPr>
          <w:rFonts w:hint="eastAsia"/>
          <w:lang w:val="en-US" w:eastAsia="zh-CN"/>
        </w:rPr>
        <w:t>平顶山市叶县廉村镇二郎庙村村北200米路东</w:t>
      </w:r>
      <w:r>
        <w:rPr>
          <w:rFonts w:hint="eastAsia"/>
          <w:color w:val="000000"/>
          <w:szCs w:val="24"/>
          <w:lang w:val="en-US" w:bidi="ar"/>
        </w:rPr>
        <w:t>，周边环境</w:t>
      </w:r>
      <w:r>
        <w:rPr>
          <w:rFonts w:hint="eastAsia"/>
          <w:color w:val="000000"/>
          <w:szCs w:val="24"/>
          <w:lang w:val="en-US" w:eastAsia="zh-CN" w:bidi="ar"/>
        </w:rPr>
        <w:t>存在村庄</w:t>
      </w:r>
      <w:r>
        <w:rPr>
          <w:rFonts w:hint="eastAsia"/>
          <w:color w:val="000000"/>
          <w:szCs w:val="24"/>
          <w:lang w:val="en-US" w:bidi="ar"/>
        </w:rPr>
        <w:t>。针对本项目施工期噪声影响及周边的环境特性，拟采取的污染防治措施如下：</w:t>
      </w:r>
    </w:p>
    <w:p>
      <w:pPr>
        <w:widowControl/>
        <w:ind w:firstLine="480"/>
        <w:rPr>
          <w:color w:val="000000"/>
          <w:szCs w:val="24"/>
          <w:lang w:val="en-US" w:bidi="ar"/>
        </w:rPr>
      </w:pPr>
      <w:r>
        <w:rPr>
          <w:rFonts w:hint="eastAsia"/>
          <w:color w:val="000000"/>
          <w:szCs w:val="24"/>
          <w:lang w:val="en-US" w:bidi="ar"/>
        </w:rPr>
        <w:t>1、设备噪声污染防治措施</w:t>
      </w:r>
    </w:p>
    <w:p>
      <w:pPr>
        <w:widowControl/>
        <w:ind w:firstLine="480"/>
        <w:rPr>
          <w:color w:val="000000"/>
          <w:szCs w:val="24"/>
          <w:lang w:val="en-US" w:bidi="ar"/>
        </w:rPr>
      </w:pPr>
      <w:r>
        <w:rPr>
          <w:rFonts w:hint="eastAsia"/>
          <w:color w:val="000000"/>
          <w:szCs w:val="24"/>
          <w:lang w:val="en-US" w:bidi="ar"/>
        </w:rPr>
        <w:t>①首先从噪声源强进行控制：建设单位在与施工单位签订合同时，应要求其使用的主要机械设备为低噪声设备作为合同内容的一部分。尽量选低噪声液压施工机械替代气压机械，如采用液压挖掘机；不使用汽锤打桩机，采用长螺旋钻机；使用商品混凝土，不使用混凝土搅拌机。</w:t>
      </w:r>
    </w:p>
    <w:p>
      <w:pPr>
        <w:widowControl/>
        <w:ind w:firstLine="480"/>
        <w:rPr>
          <w:color w:val="000000"/>
          <w:szCs w:val="24"/>
          <w:lang w:val="en-US" w:bidi="ar"/>
        </w:rPr>
      </w:pPr>
      <w:r>
        <w:rPr>
          <w:rFonts w:hint="eastAsia"/>
          <w:color w:val="000000"/>
          <w:szCs w:val="24"/>
          <w:lang w:val="en-US" w:bidi="ar"/>
        </w:rPr>
        <w:t>②降低设备声级，采用较先进、噪声较低的施工设备；流动机械设备与挖土、运土设备如挖土机、推土机等，可通过排气管消音器和隔离发动机振动部件的方法降低噪声；可通过在打桩机、搅拌机，锯木机等高噪声施工机械附近设置吸声屏，能降低噪声15dB（A）。</w:t>
      </w:r>
    </w:p>
    <w:p>
      <w:pPr>
        <w:widowControl/>
        <w:ind w:firstLine="480"/>
        <w:rPr>
          <w:color w:val="000000"/>
          <w:szCs w:val="24"/>
          <w:lang w:val="en-US" w:bidi="ar"/>
        </w:rPr>
      </w:pPr>
      <w:r>
        <w:rPr>
          <w:rFonts w:hint="eastAsia"/>
          <w:color w:val="000000"/>
          <w:szCs w:val="24"/>
          <w:lang w:val="en-US" w:bidi="ar"/>
        </w:rPr>
        <w:t>③在施工过程中施工单位应设专人对设备进行定期保养和维护，并负责对现场工作人员进行培训，严格按操作规范使用各类机械对动力机械设备定期进行维修和养护，避免因松动部件振动或消声器损坏而加大设备工作时的声级。</w:t>
      </w:r>
    </w:p>
    <w:p>
      <w:pPr>
        <w:widowControl/>
        <w:ind w:firstLine="480"/>
        <w:rPr>
          <w:color w:val="000000"/>
          <w:szCs w:val="24"/>
          <w:lang w:val="en-US" w:bidi="ar"/>
        </w:rPr>
      </w:pPr>
      <w:r>
        <w:rPr>
          <w:rFonts w:hint="eastAsia"/>
          <w:color w:val="000000"/>
          <w:szCs w:val="24"/>
          <w:lang w:val="en-US" w:bidi="ar"/>
        </w:rPr>
        <w:t>④隔声降噪：用隔声性能好的隔声构件将形体较小施工机械噪声源与周围环境隔离，使施工噪声控制在隔声构件内，以减小环境噪声污染范围与污染程度。如在钢板外表用阻尼层、内表用吸声层处理，隔声量会提高10dB（A）。</w:t>
      </w:r>
    </w:p>
    <w:p>
      <w:pPr>
        <w:widowControl/>
        <w:ind w:firstLine="480"/>
        <w:rPr>
          <w:color w:val="000000"/>
          <w:szCs w:val="24"/>
          <w:lang w:val="en-US" w:bidi="ar"/>
        </w:rPr>
      </w:pPr>
      <w:r>
        <w:rPr>
          <w:rFonts w:hint="eastAsia"/>
          <w:color w:val="000000"/>
          <w:szCs w:val="24"/>
          <w:lang w:val="en-US" w:bidi="ar"/>
        </w:rPr>
        <w:t>⑤在临近</w:t>
      </w:r>
      <w:r>
        <w:rPr>
          <w:rFonts w:hint="eastAsia"/>
          <w:color w:val="000000"/>
          <w:szCs w:val="24"/>
          <w:lang w:val="en-US" w:eastAsia="zh-CN" w:bidi="ar"/>
        </w:rPr>
        <w:t>后王庄</w:t>
      </w:r>
      <w:r>
        <w:rPr>
          <w:rFonts w:hint="eastAsia"/>
          <w:color w:val="000000"/>
          <w:szCs w:val="24"/>
          <w:lang w:val="en-US" w:bidi="ar"/>
        </w:rPr>
        <w:t>的一侧采取围挡，在建筑物外施工时设置移动式声屏障，长度不小于15m，宽度不低于3m，以减轻施工噪声对外环境及环境敏感点的影响。</w:t>
      </w:r>
    </w:p>
    <w:p>
      <w:pPr>
        <w:widowControl/>
        <w:ind w:firstLine="480"/>
        <w:rPr>
          <w:color w:val="000000"/>
          <w:szCs w:val="24"/>
          <w:lang w:val="en-US" w:bidi="ar"/>
        </w:rPr>
      </w:pPr>
      <w:r>
        <w:rPr>
          <w:rFonts w:hint="eastAsia"/>
          <w:color w:val="000000"/>
          <w:szCs w:val="24"/>
          <w:lang w:val="en-US" w:bidi="ar"/>
        </w:rPr>
        <w:t>⑥采用距离防护措施，在不影响施工情况下将强噪声设备尽量置于西北侧，远离环境敏感点；同时对相对固定的机械设备尽量入棚操作，以减缓对环境的影响。</w:t>
      </w:r>
    </w:p>
    <w:p>
      <w:pPr>
        <w:widowControl/>
        <w:ind w:firstLine="480"/>
        <w:rPr>
          <w:color w:val="000000"/>
          <w:szCs w:val="24"/>
          <w:lang w:val="en-US" w:bidi="ar"/>
        </w:rPr>
      </w:pPr>
      <w:r>
        <w:rPr>
          <w:rFonts w:hint="eastAsia"/>
          <w:color w:val="000000"/>
          <w:szCs w:val="24"/>
          <w:lang w:val="en-US" w:bidi="ar"/>
        </w:rPr>
        <w:t>⑦闲置不用的设备应立即关闭，运输车辆进入现场应减速慢行，并禁止各种车辆在施工场地鸣笛。</w:t>
      </w:r>
    </w:p>
    <w:p>
      <w:pPr>
        <w:widowControl/>
        <w:ind w:firstLine="480"/>
        <w:rPr>
          <w:color w:val="000000"/>
          <w:szCs w:val="24"/>
          <w:lang w:val="en-US" w:bidi="ar"/>
        </w:rPr>
      </w:pPr>
      <w:r>
        <w:rPr>
          <w:rFonts w:hint="eastAsia"/>
          <w:color w:val="000000"/>
          <w:szCs w:val="24"/>
          <w:lang w:val="en-US" w:bidi="ar"/>
        </w:rPr>
        <w:t>2、合理安排施工时间</w:t>
      </w:r>
    </w:p>
    <w:p>
      <w:pPr>
        <w:widowControl/>
        <w:ind w:firstLine="480"/>
        <w:rPr>
          <w:color w:val="000000"/>
          <w:szCs w:val="24"/>
          <w:lang w:val="en-US" w:bidi="ar"/>
        </w:rPr>
      </w:pPr>
      <w:r>
        <w:rPr>
          <w:rFonts w:hint="eastAsia"/>
          <w:color w:val="000000"/>
          <w:szCs w:val="24"/>
          <w:lang w:val="en-US" w:bidi="ar"/>
        </w:rPr>
        <w:t>①合理安排施工时间，将噪声级大的工作尽量安排在白天，禁止夜间施工，禁止在午间12：00～14：00，若必须夜间施工，须先向环保部门申报并征得许可，同时事先取得周围居民的同意，以取得谅解。</w:t>
      </w:r>
    </w:p>
    <w:p>
      <w:pPr>
        <w:widowControl/>
        <w:ind w:firstLine="480"/>
        <w:rPr>
          <w:color w:val="000000"/>
          <w:szCs w:val="24"/>
          <w:lang w:val="en-US" w:bidi="ar"/>
        </w:rPr>
      </w:pPr>
      <w:r>
        <w:rPr>
          <w:rFonts w:hint="eastAsia"/>
          <w:color w:val="000000"/>
          <w:szCs w:val="24"/>
          <w:lang w:val="en-US" w:bidi="ar"/>
        </w:rPr>
        <w:t>②禁止在高考、中考等考试期间施工。</w:t>
      </w:r>
    </w:p>
    <w:p>
      <w:pPr>
        <w:widowControl/>
        <w:ind w:firstLine="480"/>
        <w:rPr>
          <w:color w:val="000000"/>
          <w:szCs w:val="24"/>
          <w:lang w:val="en-US" w:bidi="ar"/>
        </w:rPr>
      </w:pPr>
      <w:r>
        <w:rPr>
          <w:rFonts w:hint="eastAsia"/>
          <w:color w:val="000000"/>
          <w:szCs w:val="24"/>
          <w:lang w:val="en-US" w:bidi="ar"/>
        </w:rPr>
        <w:t>3、合理布局施工场地</w:t>
      </w:r>
    </w:p>
    <w:p>
      <w:pPr>
        <w:widowControl/>
        <w:ind w:firstLine="480"/>
        <w:rPr>
          <w:color w:val="000000"/>
          <w:szCs w:val="24"/>
          <w:lang w:val="en-US" w:bidi="ar"/>
        </w:rPr>
      </w:pPr>
      <w:r>
        <w:rPr>
          <w:rFonts w:hint="eastAsia"/>
          <w:color w:val="000000"/>
          <w:szCs w:val="24"/>
          <w:lang w:val="en-US" w:bidi="ar"/>
        </w:rPr>
        <w:t>合理布置施工现场，应尽量避免在施工现场的同一地点安排大量的高噪声设备，造成局部声级过高。将有固定工作地点的施工机械尽量设置在距居民区较远的位置，并采取适当的封闭和隔声措施。</w:t>
      </w:r>
    </w:p>
    <w:p>
      <w:pPr>
        <w:widowControl/>
        <w:ind w:firstLine="480"/>
        <w:rPr>
          <w:color w:val="000000"/>
          <w:szCs w:val="24"/>
          <w:lang w:val="en-US" w:bidi="ar"/>
        </w:rPr>
      </w:pPr>
      <w:r>
        <w:rPr>
          <w:rFonts w:hint="eastAsia"/>
          <w:color w:val="000000"/>
          <w:szCs w:val="24"/>
          <w:lang w:val="en-US" w:bidi="ar"/>
        </w:rPr>
        <w:t>4、降低人为噪声</w:t>
      </w:r>
    </w:p>
    <w:p>
      <w:pPr>
        <w:widowControl/>
        <w:ind w:firstLine="480"/>
        <w:rPr>
          <w:color w:val="000000"/>
          <w:szCs w:val="24"/>
          <w:lang w:val="en-US" w:bidi="ar"/>
        </w:rPr>
      </w:pPr>
      <w:r>
        <w:rPr>
          <w:rFonts w:hint="eastAsia"/>
          <w:color w:val="000000"/>
          <w:szCs w:val="24"/>
          <w:lang w:val="en-US" w:bidi="ar"/>
        </w:rPr>
        <w:t>减少模板、支架拆卸过程中产生的噪声，应遵守作业规定，减少建材装卸时偶发和频发噪音；禁止用哨子、高音喇叭等指挥作业，减少人为噪声。</w:t>
      </w:r>
    </w:p>
    <w:p>
      <w:pPr>
        <w:widowControl/>
        <w:ind w:firstLine="480"/>
        <w:rPr>
          <w:color w:val="000000"/>
          <w:szCs w:val="24"/>
          <w:lang w:val="en-US" w:bidi="ar"/>
        </w:rPr>
      </w:pPr>
      <w:r>
        <w:rPr>
          <w:rFonts w:hint="eastAsia"/>
          <w:color w:val="000000"/>
          <w:szCs w:val="24"/>
          <w:lang w:val="en-US" w:bidi="ar"/>
        </w:rPr>
        <w:t>5、建立声屏障</w:t>
      </w:r>
    </w:p>
    <w:p>
      <w:pPr>
        <w:widowControl/>
        <w:ind w:firstLine="480"/>
        <w:rPr>
          <w:color w:val="000000"/>
          <w:szCs w:val="24"/>
          <w:lang w:val="en-US" w:bidi="ar"/>
        </w:rPr>
      </w:pPr>
      <w:r>
        <w:rPr>
          <w:rFonts w:hint="eastAsia"/>
          <w:color w:val="000000"/>
          <w:szCs w:val="24"/>
          <w:lang w:val="en-US" w:bidi="ar"/>
        </w:rPr>
        <w:t>对位置相对固定的设备，能于室内操作的尽量进入操作间，不能入操作间的，可适当建立声障；施工场地四周建2.5m高的</w:t>
      </w:r>
      <w:r>
        <w:rPr>
          <w:rFonts w:hint="eastAsia"/>
          <w:color w:val="000000"/>
          <w:szCs w:val="24"/>
          <w:lang w:val="en-US" w:eastAsia="zh-CN" w:bidi="ar"/>
        </w:rPr>
        <w:t>围栏</w:t>
      </w:r>
      <w:r>
        <w:rPr>
          <w:rFonts w:hint="eastAsia"/>
          <w:color w:val="000000"/>
          <w:szCs w:val="24"/>
          <w:lang w:val="en-US" w:bidi="ar"/>
        </w:rPr>
        <w:t>。</w:t>
      </w:r>
    </w:p>
    <w:p>
      <w:pPr>
        <w:widowControl/>
        <w:ind w:firstLine="480"/>
        <w:rPr>
          <w:color w:val="000000"/>
          <w:szCs w:val="24"/>
          <w:lang w:val="en-US" w:bidi="ar"/>
        </w:rPr>
      </w:pPr>
      <w:r>
        <w:rPr>
          <w:rFonts w:hint="eastAsia"/>
          <w:color w:val="000000"/>
          <w:szCs w:val="24"/>
          <w:lang w:val="en-US" w:bidi="ar"/>
        </w:rPr>
        <w:t>6、减少交通噪声</w:t>
      </w:r>
    </w:p>
    <w:p>
      <w:pPr>
        <w:widowControl/>
        <w:ind w:firstLine="480"/>
        <w:rPr>
          <w:color w:val="000000"/>
          <w:szCs w:val="24"/>
          <w:lang w:val="en-US" w:bidi="ar"/>
        </w:rPr>
      </w:pPr>
      <w:r>
        <w:rPr>
          <w:rFonts w:hint="eastAsia"/>
          <w:color w:val="000000"/>
          <w:szCs w:val="24"/>
          <w:lang w:val="en-US" w:bidi="ar"/>
        </w:rPr>
        <w:t>进出车辆和经过敏感点的车辆应限速、禁鸣，禁止超载。</w:t>
      </w:r>
    </w:p>
    <w:p>
      <w:pPr>
        <w:widowControl/>
        <w:ind w:firstLine="480"/>
        <w:rPr>
          <w:color w:val="000000"/>
          <w:szCs w:val="24"/>
          <w:lang w:val="en-US" w:bidi="ar"/>
        </w:rPr>
      </w:pPr>
      <w:r>
        <w:rPr>
          <w:rFonts w:hint="eastAsia"/>
          <w:color w:val="000000"/>
          <w:szCs w:val="24"/>
          <w:lang w:val="en-US" w:bidi="ar"/>
        </w:rPr>
        <w:t>7、制定施工噪声控制备用应急方案，重视噪声源头的治理工作。当常规噪声控制措施不能满足要求，出现噪声扰民情况，应及时对产生噪声的设备和施工工艺停止施工，并检查噪声防治措施的可靠性。</w:t>
      </w:r>
    </w:p>
    <w:p>
      <w:pPr>
        <w:widowControl/>
        <w:ind w:firstLine="480"/>
        <w:rPr>
          <w:color w:val="000000"/>
          <w:szCs w:val="24"/>
          <w:lang w:val="en-US" w:bidi="ar"/>
        </w:rPr>
      </w:pPr>
      <w:r>
        <w:rPr>
          <w:rFonts w:hint="eastAsia"/>
          <w:color w:val="000000"/>
          <w:szCs w:val="24"/>
          <w:lang w:val="en-US" w:bidi="ar"/>
        </w:rPr>
        <w:t>综上所述，本评价认为上述施工期噪声污染防治措施有效可行，采取上述防治措施后，可以有效地减小施工期噪声的污染影响。</w:t>
      </w:r>
    </w:p>
    <w:p>
      <w:pPr>
        <w:pStyle w:val="4"/>
        <w:ind w:firstLine="602"/>
        <w:rPr>
          <w:lang w:val="en-US"/>
        </w:rPr>
      </w:pPr>
      <w:bookmarkStart w:id="198" w:name="_Toc29458"/>
      <w:r>
        <w:rPr>
          <w:rFonts w:hint="eastAsia"/>
          <w:lang w:val="en-US"/>
        </w:rPr>
        <w:t>7.1.4 固体废物污染防治措施</w:t>
      </w:r>
      <w:bookmarkEnd w:id="198"/>
    </w:p>
    <w:p>
      <w:pPr>
        <w:widowControl/>
        <w:ind w:firstLine="480"/>
        <w:rPr>
          <w:color w:val="000000"/>
          <w:szCs w:val="24"/>
          <w:lang w:val="en-US" w:bidi="ar"/>
        </w:rPr>
      </w:pPr>
      <w:r>
        <w:rPr>
          <w:rFonts w:hint="eastAsia"/>
          <w:color w:val="000000"/>
          <w:szCs w:val="24"/>
          <w:lang w:val="en-US" w:bidi="ar"/>
        </w:rPr>
        <w:t>施工期固体废物主要为土石方及生活垃圾等。</w:t>
      </w:r>
    </w:p>
    <w:p>
      <w:pPr>
        <w:widowControl/>
        <w:ind w:firstLine="482"/>
        <w:rPr>
          <w:b/>
          <w:bCs/>
          <w:color w:val="000000"/>
          <w:szCs w:val="24"/>
          <w:lang w:val="en-US" w:bidi="ar"/>
        </w:rPr>
      </w:pPr>
      <w:r>
        <w:rPr>
          <w:rFonts w:hint="eastAsia"/>
          <w:b/>
          <w:bCs/>
          <w:color w:val="000000"/>
          <w:szCs w:val="24"/>
          <w:lang w:val="en-US" w:bidi="ar"/>
        </w:rPr>
        <w:t>7.1.4.1 土石方污染防治措施分析</w:t>
      </w:r>
    </w:p>
    <w:p>
      <w:pPr>
        <w:widowControl/>
        <w:ind w:firstLine="480"/>
        <w:rPr>
          <w:color w:val="000000"/>
          <w:szCs w:val="24"/>
          <w:lang w:val="en-US" w:bidi="ar"/>
        </w:rPr>
      </w:pPr>
      <w:r>
        <w:rPr>
          <w:rFonts w:hint="eastAsia"/>
          <w:color w:val="000000"/>
          <w:szCs w:val="24"/>
          <w:lang w:val="en-US" w:eastAsia="zh-CN" w:bidi="ar"/>
        </w:rPr>
        <w:t>施工期土方石</w:t>
      </w:r>
      <w:r>
        <w:rPr>
          <w:rFonts w:hint="eastAsia"/>
          <w:color w:val="000000"/>
          <w:szCs w:val="24"/>
          <w:lang w:val="en-US" w:bidi="ar"/>
        </w:rPr>
        <w:t>必须及时清运并按照制定的运输路线行驶，运往</w:t>
      </w:r>
      <w:r>
        <w:rPr>
          <w:rFonts w:hint="eastAsia"/>
          <w:color w:val="000000"/>
          <w:szCs w:val="24"/>
          <w:lang w:val="en-US" w:eastAsia="zh-CN" w:bidi="ar"/>
        </w:rPr>
        <w:t>指定</w:t>
      </w:r>
      <w:r>
        <w:rPr>
          <w:rFonts w:hint="eastAsia"/>
          <w:color w:val="000000"/>
          <w:szCs w:val="24"/>
          <w:lang w:val="en-US" w:bidi="ar"/>
        </w:rPr>
        <w:t>的倾倒地点</w:t>
      </w:r>
      <w:r>
        <w:rPr>
          <w:rFonts w:hint="eastAsia"/>
          <w:color w:val="000000"/>
          <w:szCs w:val="24"/>
          <w:lang w:val="en-US" w:eastAsia="zh-CN" w:bidi="ar"/>
        </w:rPr>
        <w:t>。</w:t>
      </w:r>
      <w:r>
        <w:rPr>
          <w:rFonts w:hint="eastAsia"/>
          <w:color w:val="000000"/>
          <w:szCs w:val="24"/>
          <w:lang w:val="en-US" w:bidi="ar"/>
        </w:rPr>
        <w:t>施工期生活垃圾产生量较小，垃圾箱集中收集后，由专人定时清理，进入城市垃圾中转站，最终由环卫部门运送至</w:t>
      </w:r>
      <w:r>
        <w:rPr>
          <w:rFonts w:hint="eastAsia"/>
          <w:color w:val="000000"/>
          <w:szCs w:val="24"/>
          <w:lang w:val="en-US" w:eastAsia="zh-CN" w:bidi="ar"/>
        </w:rPr>
        <w:t>叶县</w:t>
      </w:r>
      <w:r>
        <w:rPr>
          <w:rFonts w:hint="eastAsia"/>
          <w:color w:val="000000"/>
          <w:szCs w:val="24"/>
          <w:lang w:val="en-US" w:bidi="ar"/>
        </w:rPr>
        <w:t>生活垃圾填埋场处理。</w:t>
      </w:r>
    </w:p>
    <w:p>
      <w:pPr>
        <w:widowControl/>
        <w:ind w:firstLine="480"/>
        <w:rPr>
          <w:color w:val="000000"/>
          <w:szCs w:val="24"/>
          <w:lang w:val="en-US" w:bidi="ar"/>
        </w:rPr>
      </w:pPr>
      <w:r>
        <w:rPr>
          <w:rFonts w:hint="eastAsia"/>
          <w:color w:val="000000"/>
          <w:szCs w:val="24"/>
          <w:lang w:val="en-US" w:bidi="ar"/>
        </w:rPr>
        <w:t>综上所述，评价认为施工期的土石方</w:t>
      </w:r>
      <w:r>
        <w:rPr>
          <w:rFonts w:hint="eastAsia"/>
          <w:color w:val="000000"/>
          <w:szCs w:val="24"/>
          <w:lang w:val="en-US" w:eastAsia="zh-CN" w:bidi="ar"/>
        </w:rPr>
        <w:t>、</w:t>
      </w:r>
      <w:r>
        <w:rPr>
          <w:rFonts w:hint="eastAsia"/>
          <w:color w:val="000000"/>
          <w:szCs w:val="24"/>
          <w:lang w:val="en-US" w:bidi="ar"/>
        </w:rPr>
        <w:t>生活垃圾均有合适的处置方式，按照要求进行运输处理，对周围环境影响不大。</w:t>
      </w:r>
    </w:p>
    <w:p>
      <w:pPr>
        <w:pStyle w:val="4"/>
        <w:ind w:firstLine="602"/>
        <w:rPr>
          <w:lang w:val="en-US"/>
        </w:rPr>
      </w:pPr>
      <w:bookmarkStart w:id="199" w:name="_Toc7949"/>
      <w:r>
        <w:rPr>
          <w:rFonts w:hint="eastAsia"/>
          <w:lang w:val="en-US"/>
        </w:rPr>
        <w:t>7.1.5 生态环境影响污染防治措施</w:t>
      </w:r>
      <w:bookmarkEnd w:id="199"/>
    </w:p>
    <w:p>
      <w:pPr>
        <w:widowControl/>
        <w:ind w:firstLine="480"/>
        <w:rPr>
          <w:color w:val="000000"/>
          <w:szCs w:val="24"/>
          <w:lang w:val="en-US" w:bidi="ar"/>
        </w:rPr>
      </w:pPr>
      <w:r>
        <w:rPr>
          <w:rFonts w:hint="eastAsia"/>
          <w:color w:val="000000"/>
          <w:szCs w:val="24"/>
          <w:lang w:val="en-US" w:bidi="ar"/>
        </w:rPr>
        <w:t>本项目施工过程中应尽量减少植被破坏量，最大程度降低生态影响，同时做好水保工作。可采取以下措施进一步降低生态影响：</w:t>
      </w:r>
    </w:p>
    <w:p>
      <w:pPr>
        <w:widowControl/>
        <w:ind w:firstLine="480"/>
        <w:rPr>
          <w:color w:val="000000"/>
          <w:szCs w:val="24"/>
          <w:lang w:val="en-US" w:bidi="ar"/>
        </w:rPr>
      </w:pPr>
      <w:r>
        <w:rPr>
          <w:rFonts w:hint="eastAsia"/>
          <w:color w:val="000000"/>
          <w:szCs w:val="24"/>
          <w:lang w:val="en-US" w:bidi="ar"/>
        </w:rPr>
        <w:t>1、施工单位应采取降低水土流失的措施</w:t>
      </w:r>
    </w:p>
    <w:p>
      <w:pPr>
        <w:widowControl/>
        <w:ind w:firstLine="480"/>
        <w:rPr>
          <w:color w:val="000000"/>
          <w:szCs w:val="24"/>
          <w:lang w:val="en-US" w:bidi="ar"/>
        </w:rPr>
      </w:pPr>
      <w:r>
        <w:rPr>
          <w:rFonts w:hint="eastAsia"/>
          <w:color w:val="000000"/>
          <w:szCs w:val="24"/>
          <w:lang w:val="en-US" w:bidi="ar"/>
        </w:rPr>
        <w:t>（1）及时</w:t>
      </w:r>
      <w:r>
        <w:rPr>
          <w:rFonts w:hint="eastAsia"/>
          <w:color w:val="000000"/>
          <w:szCs w:val="24"/>
          <w:lang w:val="en-US" w:eastAsia="zh-CN" w:bidi="ar"/>
        </w:rPr>
        <w:t>做好</w:t>
      </w:r>
      <w:r>
        <w:rPr>
          <w:rFonts w:hint="eastAsia"/>
          <w:color w:val="000000"/>
          <w:szCs w:val="24"/>
          <w:lang w:val="en-US" w:bidi="ar"/>
        </w:rPr>
        <w:t>现场场地平整，即使在雨季，也能控制现场不积水，有积水的地方及时沙土回填。</w:t>
      </w:r>
    </w:p>
    <w:p>
      <w:pPr>
        <w:widowControl/>
        <w:ind w:firstLine="480"/>
        <w:rPr>
          <w:color w:val="000000"/>
          <w:szCs w:val="24"/>
          <w:lang w:val="en-US" w:bidi="ar"/>
        </w:rPr>
      </w:pPr>
      <w:r>
        <w:rPr>
          <w:rFonts w:hint="eastAsia"/>
          <w:color w:val="000000"/>
          <w:szCs w:val="24"/>
          <w:lang w:val="en-US" w:bidi="ar"/>
        </w:rPr>
        <w:t>（2）现场</w:t>
      </w:r>
      <w:r>
        <w:rPr>
          <w:rFonts w:hint="eastAsia"/>
          <w:color w:val="000000"/>
          <w:szCs w:val="24"/>
          <w:lang w:val="en-US" w:eastAsia="zh-CN" w:bidi="ar"/>
        </w:rPr>
        <w:t>做好</w:t>
      </w:r>
      <w:r>
        <w:rPr>
          <w:rFonts w:hint="eastAsia"/>
          <w:color w:val="000000"/>
          <w:szCs w:val="24"/>
          <w:lang w:val="en-US" w:bidi="ar"/>
        </w:rPr>
        <w:t>排水措施，保证现场的雨水顺利排放。雨季雨水可疏导至施工场地沉淀池内储存，可用于施工场地。</w:t>
      </w:r>
    </w:p>
    <w:p>
      <w:pPr>
        <w:widowControl/>
        <w:ind w:firstLine="480"/>
        <w:rPr>
          <w:color w:val="000000"/>
          <w:szCs w:val="24"/>
          <w:lang w:val="en-US" w:bidi="ar"/>
        </w:rPr>
      </w:pPr>
      <w:r>
        <w:rPr>
          <w:rFonts w:hint="eastAsia"/>
          <w:color w:val="000000"/>
          <w:szCs w:val="24"/>
          <w:lang w:val="en-US" w:bidi="ar"/>
        </w:rPr>
        <w:t>（3）</w:t>
      </w:r>
      <w:r>
        <w:rPr>
          <w:rFonts w:hint="eastAsia"/>
          <w:color w:val="000000"/>
          <w:szCs w:val="24"/>
          <w:lang w:val="en-US" w:eastAsia="zh-CN" w:bidi="ar"/>
        </w:rPr>
        <w:t>做好</w:t>
      </w:r>
      <w:r>
        <w:rPr>
          <w:rFonts w:hint="eastAsia"/>
          <w:color w:val="000000"/>
          <w:szCs w:val="24"/>
          <w:lang w:val="en-US" w:bidi="ar"/>
        </w:rPr>
        <w:t>路面硬化措施，防止车辆碾压造成土质疏松。天气干燥时，派专人洒水，防止扬尘。</w:t>
      </w:r>
    </w:p>
    <w:p>
      <w:pPr>
        <w:widowControl/>
        <w:ind w:firstLine="480"/>
        <w:rPr>
          <w:color w:val="000000"/>
          <w:szCs w:val="24"/>
          <w:lang w:val="en-US" w:bidi="ar"/>
        </w:rPr>
      </w:pPr>
      <w:r>
        <w:rPr>
          <w:rFonts w:hint="eastAsia"/>
          <w:color w:val="000000"/>
          <w:szCs w:val="24"/>
          <w:lang w:val="en-US" w:bidi="ar"/>
        </w:rPr>
        <w:t>（4）对基坑标高不一的地方，堆放沙袋，</w:t>
      </w:r>
      <w:r>
        <w:rPr>
          <w:rFonts w:hint="eastAsia"/>
          <w:color w:val="000000"/>
          <w:szCs w:val="24"/>
          <w:lang w:val="en-US" w:eastAsia="zh-CN" w:bidi="ar"/>
        </w:rPr>
        <w:t>做好</w:t>
      </w:r>
      <w:r>
        <w:rPr>
          <w:rFonts w:hint="eastAsia"/>
          <w:color w:val="000000"/>
          <w:szCs w:val="24"/>
          <w:lang w:val="en-US" w:bidi="ar"/>
        </w:rPr>
        <w:t>水土保持工作。</w:t>
      </w:r>
    </w:p>
    <w:p>
      <w:pPr>
        <w:widowControl/>
        <w:ind w:firstLine="480"/>
        <w:rPr>
          <w:color w:val="000000"/>
          <w:szCs w:val="24"/>
          <w:lang w:val="en-US" w:bidi="ar"/>
        </w:rPr>
      </w:pPr>
      <w:r>
        <w:rPr>
          <w:rFonts w:hint="eastAsia"/>
          <w:color w:val="000000"/>
          <w:szCs w:val="24"/>
          <w:lang w:val="en-US" w:bidi="ar"/>
        </w:rPr>
        <w:t>（5）基坑开挖施工时，挖出的土方及时运往土方堆积场，不在现场堆放，施工现场车辆行驶的过程中也应当进行酒水压尘。每天收车后，派专人清扫马路，并适量洒水压尘，达到环卫要求。</w:t>
      </w:r>
    </w:p>
    <w:p>
      <w:pPr>
        <w:widowControl/>
        <w:ind w:firstLine="480"/>
        <w:rPr>
          <w:color w:val="000000"/>
          <w:szCs w:val="24"/>
          <w:lang w:val="en-US" w:bidi="ar"/>
        </w:rPr>
      </w:pPr>
      <w:r>
        <w:rPr>
          <w:rFonts w:hint="eastAsia"/>
          <w:color w:val="000000"/>
          <w:szCs w:val="24"/>
          <w:lang w:val="en-US" w:bidi="ar"/>
        </w:rPr>
        <w:t>（6）钢筋加工棚、木工棚、露天仓库或封闭仓库地面</w:t>
      </w:r>
      <w:r>
        <w:rPr>
          <w:rFonts w:hint="eastAsia"/>
          <w:color w:val="000000"/>
          <w:szCs w:val="24"/>
          <w:lang w:val="en-US" w:eastAsia="zh-CN" w:bidi="ar"/>
        </w:rPr>
        <w:t>做好</w:t>
      </w:r>
      <w:r>
        <w:rPr>
          <w:rFonts w:hint="eastAsia"/>
          <w:color w:val="000000"/>
          <w:szCs w:val="24"/>
          <w:lang w:val="en-US" w:bidi="ar"/>
        </w:rPr>
        <w:t>地面硬化措施，并做到每天清扫，经常</w:t>
      </w:r>
      <w:r>
        <w:rPr>
          <w:rFonts w:hint="eastAsia"/>
          <w:color w:val="000000"/>
          <w:szCs w:val="24"/>
          <w:lang w:val="en-US" w:eastAsia="zh-CN" w:bidi="ar"/>
        </w:rPr>
        <w:t>洒水</w:t>
      </w:r>
      <w:r>
        <w:rPr>
          <w:rFonts w:hint="eastAsia"/>
          <w:color w:val="000000"/>
          <w:szCs w:val="24"/>
          <w:lang w:val="en-US" w:bidi="ar"/>
        </w:rPr>
        <w:t>降尘。</w:t>
      </w:r>
    </w:p>
    <w:p>
      <w:pPr>
        <w:widowControl/>
        <w:ind w:firstLine="480"/>
        <w:rPr>
          <w:color w:val="000000"/>
          <w:szCs w:val="24"/>
          <w:lang w:val="en-US" w:bidi="ar"/>
        </w:rPr>
      </w:pPr>
      <w:r>
        <w:rPr>
          <w:rFonts w:hint="eastAsia"/>
          <w:color w:val="000000"/>
          <w:szCs w:val="24"/>
          <w:lang w:val="en-US" w:bidi="ar"/>
        </w:rPr>
        <w:t>（7）施工现场主要施工道路每天设专人用洒水车随时进行洒水压尘。</w:t>
      </w:r>
    </w:p>
    <w:p>
      <w:pPr>
        <w:widowControl/>
        <w:ind w:firstLine="480"/>
        <w:rPr>
          <w:color w:val="000000"/>
          <w:szCs w:val="24"/>
          <w:lang w:val="en-US" w:bidi="ar"/>
        </w:rPr>
      </w:pPr>
      <w:r>
        <w:rPr>
          <w:rFonts w:hint="eastAsia"/>
          <w:color w:val="000000"/>
          <w:szCs w:val="24"/>
          <w:lang w:val="en-US" w:bidi="ar"/>
        </w:rPr>
        <w:t>（8）施工现场进行分区管理，责任到人。</w:t>
      </w:r>
    </w:p>
    <w:p>
      <w:pPr>
        <w:widowControl/>
        <w:ind w:firstLine="480"/>
        <w:rPr>
          <w:color w:val="000000"/>
          <w:szCs w:val="24"/>
          <w:lang w:val="en-US" w:bidi="ar"/>
        </w:rPr>
      </w:pPr>
      <w:r>
        <w:rPr>
          <w:rFonts w:hint="eastAsia"/>
          <w:color w:val="000000"/>
          <w:szCs w:val="24"/>
          <w:lang w:val="en-US" w:bidi="ar"/>
        </w:rPr>
        <w:t>2、施工单位应加强的水土保持措施</w:t>
      </w:r>
    </w:p>
    <w:p>
      <w:pPr>
        <w:widowControl/>
        <w:ind w:firstLine="480"/>
        <w:rPr>
          <w:color w:val="000000"/>
          <w:szCs w:val="24"/>
          <w:lang w:val="en-US" w:bidi="ar"/>
        </w:rPr>
      </w:pPr>
      <w:r>
        <w:rPr>
          <w:rFonts w:hint="eastAsia"/>
          <w:color w:val="000000"/>
          <w:szCs w:val="24"/>
          <w:lang w:val="en-US" w:bidi="ar"/>
        </w:rPr>
        <w:t>（1）在签订施工承包合同时，明确有关环境保护的条款，并在施工监理过程中予以全过程监督。施工期的环境管理措施由施工部门组织实施。</w:t>
      </w:r>
    </w:p>
    <w:p>
      <w:pPr>
        <w:widowControl/>
        <w:ind w:firstLine="480"/>
        <w:rPr>
          <w:color w:val="000000"/>
          <w:szCs w:val="24"/>
          <w:lang w:val="en-US" w:bidi="ar"/>
        </w:rPr>
      </w:pPr>
      <w:r>
        <w:rPr>
          <w:rFonts w:hint="eastAsia"/>
          <w:color w:val="000000"/>
          <w:szCs w:val="24"/>
          <w:lang w:val="en-US" w:bidi="ar"/>
        </w:rPr>
        <w:t>（2）对施工中产生的废弃渣，包括剥离覆盖层产生的废弃渣专门堆放，并设拦挡工程，不得随意倾倒；修建拦渣坝、挡渣墙等临时工程，防止水土流失影响周边地区；在场区四周修建排水沟，防止雨季的冲刷造成严重的水土流失现象。</w:t>
      </w:r>
    </w:p>
    <w:p>
      <w:pPr>
        <w:widowControl/>
        <w:ind w:firstLine="480"/>
        <w:rPr>
          <w:color w:val="000000"/>
          <w:szCs w:val="24"/>
          <w:lang w:val="en-US" w:bidi="ar"/>
        </w:rPr>
      </w:pPr>
      <w:r>
        <w:rPr>
          <w:rFonts w:hint="eastAsia"/>
          <w:color w:val="000000"/>
          <w:szCs w:val="24"/>
          <w:lang w:val="en-US" w:bidi="ar"/>
        </w:rPr>
        <w:t>（3）优化单项工程的施工时序，避免暴雨天气进行场地、道路的平整、地基开挖。</w:t>
      </w:r>
    </w:p>
    <w:p>
      <w:pPr>
        <w:widowControl/>
        <w:ind w:firstLine="480"/>
        <w:rPr>
          <w:color w:val="000000"/>
          <w:szCs w:val="24"/>
          <w:lang w:val="en-US" w:bidi="ar"/>
        </w:rPr>
      </w:pPr>
      <w:r>
        <w:rPr>
          <w:rFonts w:hint="eastAsia"/>
          <w:color w:val="000000"/>
          <w:szCs w:val="24"/>
          <w:lang w:val="en-US" w:bidi="ar"/>
        </w:rPr>
        <w:t>（4）主体工程要选择合适的季节施工。应避开风季大风及夏季暴雨季进行作业，减少水土流失。</w:t>
      </w:r>
    </w:p>
    <w:p>
      <w:pPr>
        <w:widowControl/>
        <w:ind w:firstLine="480"/>
        <w:rPr>
          <w:color w:val="000000"/>
          <w:szCs w:val="24"/>
          <w:lang w:val="en-US" w:bidi="ar"/>
        </w:rPr>
      </w:pPr>
      <w:r>
        <w:rPr>
          <w:rFonts w:hint="eastAsia"/>
          <w:color w:val="000000"/>
          <w:szCs w:val="24"/>
          <w:lang w:val="en-US" w:bidi="ar"/>
        </w:rPr>
        <w:t>（5）施工结束后应拆除施工区临时设施、清理场地、种植植被，以提高土地利用功能。</w:t>
      </w:r>
    </w:p>
    <w:p>
      <w:pPr>
        <w:widowControl/>
        <w:ind w:firstLine="480"/>
        <w:rPr>
          <w:color w:val="000000"/>
          <w:szCs w:val="24"/>
          <w:lang w:val="en-US" w:bidi="ar"/>
        </w:rPr>
      </w:pPr>
      <w:r>
        <w:rPr>
          <w:rFonts w:hint="eastAsia"/>
          <w:color w:val="000000"/>
          <w:szCs w:val="24"/>
          <w:lang w:val="en-US" w:bidi="ar"/>
        </w:rPr>
        <w:t>（6）加强施工管理，对施工人员进行保护生态教育，最大程度降低施工活动对矿区生态的破坏。</w:t>
      </w:r>
    </w:p>
    <w:p>
      <w:pPr>
        <w:widowControl/>
        <w:ind w:firstLine="480"/>
        <w:rPr>
          <w:color w:val="000000"/>
          <w:szCs w:val="24"/>
          <w:lang w:val="en-US" w:bidi="ar"/>
        </w:rPr>
      </w:pPr>
      <w:r>
        <w:rPr>
          <w:rFonts w:hint="eastAsia"/>
          <w:color w:val="000000"/>
          <w:szCs w:val="24"/>
          <w:lang w:val="en-US" w:bidi="ar"/>
        </w:rPr>
        <w:t>采取上述措施后，施工期对生态的影响很小，施工结束后及时恢复植被，恢复项目区域生态植被，降低生态影响。</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200" w:name="_Toc13590"/>
      <w:bookmarkStart w:id="201" w:name="_Toc21173"/>
      <w:bookmarkStart w:id="202" w:name="_Toc28052"/>
      <w:bookmarkStart w:id="203" w:name="_Toc10640"/>
      <w:r>
        <w:rPr>
          <w:lang w:val="en-US"/>
        </w:rPr>
        <w:t>7.2 营运期污染防治措施</w:t>
      </w:r>
      <w:bookmarkEnd w:id="200"/>
      <w:bookmarkEnd w:id="201"/>
      <w:bookmarkEnd w:id="202"/>
      <w:bookmarkEnd w:id="203"/>
    </w:p>
    <w:p>
      <w:pPr>
        <w:pStyle w:val="4"/>
        <w:pageBreakBefore w:val="0"/>
        <w:widowControl w:val="0"/>
        <w:kinsoku/>
        <w:wordWrap/>
        <w:overflowPunct/>
        <w:topLinePunct w:val="0"/>
        <w:autoSpaceDE/>
        <w:autoSpaceDN/>
        <w:bidi w:val="0"/>
        <w:spacing w:beforeLines="0" w:afterLines="0"/>
        <w:ind w:firstLine="602"/>
        <w:textAlignment w:val="auto"/>
        <w:rPr>
          <w:lang w:val="en-US"/>
        </w:rPr>
      </w:pPr>
      <w:bookmarkStart w:id="204" w:name="_Toc11699"/>
      <w:r>
        <w:rPr>
          <w:lang w:val="en-US"/>
        </w:rPr>
        <w:t xml:space="preserve">7.2.1 </w:t>
      </w:r>
      <w:r>
        <w:rPr>
          <w:rFonts w:hint="eastAsia"/>
          <w:lang w:val="en-US"/>
        </w:rPr>
        <w:t>大气环境保护措施</w:t>
      </w:r>
      <w:bookmarkEnd w:id="204"/>
    </w:p>
    <w:p>
      <w:pPr>
        <w:widowControl/>
        <w:ind w:firstLine="480"/>
        <w:rPr>
          <w:rFonts w:hint="default"/>
          <w:color w:val="000000"/>
          <w:szCs w:val="24"/>
          <w:lang w:val="en-US" w:bidi="ar"/>
        </w:rPr>
      </w:pPr>
      <w:r>
        <w:rPr>
          <w:rFonts w:hint="eastAsia"/>
          <w:color w:val="000000"/>
          <w:szCs w:val="24"/>
          <w:lang w:val="en-US" w:bidi="ar"/>
        </w:rPr>
        <w:t>本</w:t>
      </w:r>
      <w:r>
        <w:rPr>
          <w:rFonts w:hint="default"/>
          <w:color w:val="000000"/>
          <w:szCs w:val="24"/>
          <w:lang w:val="en-US" w:bidi="ar"/>
        </w:rPr>
        <w:t>项目营运后废气主要为</w:t>
      </w:r>
      <w:r>
        <w:rPr>
          <w:rFonts w:hint="eastAsia"/>
          <w:color w:val="000000"/>
          <w:szCs w:val="24"/>
          <w:lang w:val="en-US" w:eastAsia="zh-CN" w:bidi="ar"/>
        </w:rPr>
        <w:t>破碎粉尘</w:t>
      </w:r>
      <w:r>
        <w:rPr>
          <w:rFonts w:hint="default"/>
          <w:color w:val="000000"/>
          <w:szCs w:val="24"/>
          <w:lang w:val="en-US" w:bidi="ar"/>
        </w:rPr>
        <w:t>；</w:t>
      </w:r>
      <w:r>
        <w:rPr>
          <w:rFonts w:hint="eastAsia"/>
          <w:color w:val="000000"/>
          <w:szCs w:val="24"/>
          <w:lang w:val="en-US" w:eastAsia="zh-CN" w:bidi="ar"/>
        </w:rPr>
        <w:t>造粒产生的有机废气非甲烷总烃、苯乙烯；注塑产生的有机废气非甲烷总烃、苯乙烯；污水处理站产生的非甲烷总烃、氨、硫化氢</w:t>
      </w:r>
      <w:r>
        <w:rPr>
          <w:rFonts w:hint="default"/>
          <w:color w:val="000000"/>
          <w:szCs w:val="24"/>
          <w:lang w:val="en-US" w:bidi="ar"/>
        </w:rPr>
        <w:t>和职工食堂油烟</w:t>
      </w:r>
      <w:r>
        <w:rPr>
          <w:rFonts w:hint="eastAsia"/>
          <w:color w:val="000000"/>
          <w:szCs w:val="24"/>
          <w:lang w:val="en-US" w:eastAsia="zh-CN" w:bidi="ar"/>
        </w:rPr>
        <w:t>，项目污染防治设施汇总见表7.2-1</w:t>
      </w:r>
      <w:r>
        <w:rPr>
          <w:rFonts w:hint="default"/>
          <w:color w:val="000000"/>
          <w:szCs w:val="24"/>
          <w:lang w:val="en-US" w:bidi="ar"/>
        </w:rPr>
        <w:t>。</w:t>
      </w:r>
    </w:p>
    <w:p>
      <w:pPr>
        <w:pStyle w:val="31"/>
        <w:autoSpaceDN/>
        <w:ind w:firstLine="482"/>
        <w:rPr>
          <w:rFonts w:hint="default" w:ascii="Times New Roman" w:hAnsi="Times New Roman" w:eastAsia="宋体" w:cs="Times New Roman"/>
          <w:b/>
          <w:bCs/>
          <w:szCs w:val="24"/>
          <w:lang w:val="en-US" w:eastAsia="zh-CN"/>
        </w:rPr>
      </w:pPr>
      <w:r>
        <w:rPr>
          <w:rFonts w:hint="eastAsia" w:ascii="Times New Roman" w:hAnsi="Times New Roman" w:cs="Times New Roman"/>
          <w:b/>
          <w:bCs/>
          <w:szCs w:val="24"/>
          <w:lang w:val="en-US"/>
        </w:rPr>
        <w:t>表</w:t>
      </w:r>
      <w:r>
        <w:rPr>
          <w:rFonts w:hint="eastAsia" w:ascii="Times New Roman" w:hAnsi="Times New Roman" w:cs="Times New Roman"/>
          <w:b/>
          <w:bCs/>
          <w:szCs w:val="24"/>
          <w:lang w:val="en-US" w:eastAsia="zh-CN"/>
        </w:rPr>
        <w:t>7.2-1</w:t>
      </w:r>
      <w:r>
        <w:rPr>
          <w:rFonts w:hint="eastAsia" w:ascii="Times New Roman" w:hAnsi="Times New Roman" w:cs="Times New Roman"/>
          <w:b/>
          <w:bCs/>
          <w:szCs w:val="24"/>
          <w:lang w:val="en-US"/>
        </w:rPr>
        <w:t xml:space="preserve"> </w:t>
      </w:r>
      <w:r>
        <w:rPr>
          <w:rFonts w:ascii="Times New Roman" w:hAnsi="Times New Roman" w:cs="Times New Roman"/>
          <w:b/>
          <w:bCs/>
          <w:szCs w:val="24"/>
          <w:lang w:val="en-US"/>
        </w:rPr>
        <w:t xml:space="preserve"> </w:t>
      </w:r>
      <w:r>
        <w:rPr>
          <w:rFonts w:hint="eastAsia" w:ascii="Times New Roman" w:hAnsi="Times New Roman" w:cs="Times New Roman"/>
          <w:b/>
          <w:bCs/>
          <w:szCs w:val="24"/>
          <w:lang w:val="en-US"/>
        </w:rPr>
        <w:t>本项目</w:t>
      </w:r>
      <w:r>
        <w:rPr>
          <w:rFonts w:hint="eastAsia" w:ascii="Times New Roman" w:hAnsi="Times New Roman" w:cs="Times New Roman"/>
          <w:b/>
          <w:bCs/>
          <w:szCs w:val="24"/>
          <w:lang w:val="en-US" w:eastAsia="zh-CN"/>
        </w:rPr>
        <w:t>污染防治设施汇总</w:t>
      </w:r>
      <w:r>
        <w:rPr>
          <w:rFonts w:hint="eastAsia" w:ascii="Times New Roman" w:hAnsi="Times New Roman" w:cs="Times New Roman"/>
          <w:b/>
          <w:bCs/>
          <w:szCs w:val="24"/>
          <w:lang w:val="en-US"/>
        </w:rPr>
        <w:t>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1619"/>
        <w:gridCol w:w="1456"/>
        <w:gridCol w:w="4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9" w:type="pct"/>
            <w:vMerge w:val="restart"/>
            <w:vAlign w:val="center"/>
          </w:tcPr>
          <w:p>
            <w:pPr>
              <w:pStyle w:val="30"/>
              <w:rPr>
                <w:rFonts w:hint="eastAsia" w:eastAsia="宋体"/>
                <w:lang w:eastAsia="zh-CN"/>
              </w:rPr>
            </w:pPr>
            <w:r>
              <w:rPr>
                <w:rFonts w:hint="eastAsia"/>
                <w:lang w:eastAsia="zh-CN"/>
              </w:rPr>
              <w:t>产污环节</w:t>
            </w:r>
          </w:p>
        </w:tc>
        <w:tc>
          <w:tcPr>
            <w:tcW w:w="872" w:type="pct"/>
            <w:vMerge w:val="restart"/>
            <w:vAlign w:val="center"/>
          </w:tcPr>
          <w:p>
            <w:pPr>
              <w:pStyle w:val="30"/>
              <w:rPr>
                <w:rFonts w:hint="default"/>
              </w:rPr>
            </w:pPr>
            <w:r>
              <w:t>污染物名称</w:t>
            </w:r>
          </w:p>
        </w:tc>
        <w:tc>
          <w:tcPr>
            <w:tcW w:w="784" w:type="pct"/>
            <w:vMerge w:val="restart"/>
            <w:vAlign w:val="center"/>
          </w:tcPr>
          <w:p>
            <w:pPr>
              <w:pStyle w:val="30"/>
              <w:rPr>
                <w:rFonts w:hint="default"/>
              </w:rPr>
            </w:pPr>
            <w:r>
              <w:rPr>
                <w:rFonts w:hint="eastAsia"/>
                <w:lang w:eastAsia="zh-CN"/>
              </w:rPr>
              <w:t>配套风机</w:t>
            </w:r>
            <w:r>
              <w:t>m</w:t>
            </w:r>
            <w:r>
              <w:rPr>
                <w:rFonts w:hint="default"/>
                <w:vertAlign w:val="superscript"/>
              </w:rPr>
              <w:t>3</w:t>
            </w:r>
            <w:r>
              <w:rPr>
                <w:rFonts w:hint="default"/>
              </w:rPr>
              <w:t>/h</w:t>
            </w:r>
          </w:p>
        </w:tc>
        <w:tc>
          <w:tcPr>
            <w:tcW w:w="2473" w:type="pct"/>
            <w:vMerge w:val="restart"/>
            <w:vAlign w:val="center"/>
          </w:tcPr>
          <w:p>
            <w:pPr>
              <w:pStyle w:val="30"/>
              <w:rPr>
                <w:rFonts w:hint="eastAsia" w:eastAsia="宋体"/>
                <w:lang w:eastAsia="zh-CN"/>
              </w:rPr>
            </w:pPr>
            <w:r>
              <w:rPr>
                <w:rFonts w:hint="eastAsia"/>
                <w:lang w:eastAsia="zh-CN"/>
              </w:rPr>
              <w:t>污染防治设施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9" w:type="pct"/>
            <w:vMerge w:val="continue"/>
            <w:vAlign w:val="center"/>
          </w:tcPr>
          <w:p>
            <w:pPr>
              <w:pStyle w:val="30"/>
              <w:rPr>
                <w:rFonts w:hint="default"/>
              </w:rPr>
            </w:pPr>
          </w:p>
        </w:tc>
        <w:tc>
          <w:tcPr>
            <w:tcW w:w="872" w:type="pct"/>
            <w:vMerge w:val="continue"/>
            <w:vAlign w:val="center"/>
          </w:tcPr>
          <w:p>
            <w:pPr>
              <w:pStyle w:val="30"/>
              <w:rPr>
                <w:rFonts w:hint="default"/>
              </w:rPr>
            </w:pPr>
          </w:p>
        </w:tc>
        <w:tc>
          <w:tcPr>
            <w:tcW w:w="784" w:type="pct"/>
            <w:vMerge w:val="continue"/>
            <w:vAlign w:val="center"/>
          </w:tcPr>
          <w:p>
            <w:pPr>
              <w:pStyle w:val="30"/>
              <w:rPr>
                <w:rFonts w:hint="default"/>
              </w:rPr>
            </w:pPr>
          </w:p>
        </w:tc>
        <w:tc>
          <w:tcPr>
            <w:tcW w:w="2473" w:type="pct"/>
            <w:vMerge w:val="continue"/>
            <w:vAlign w:val="center"/>
          </w:tcPr>
          <w:p>
            <w:pPr>
              <w:pStyle w:val="3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Align w:val="center"/>
          </w:tcPr>
          <w:p>
            <w:pPr>
              <w:pStyle w:val="30"/>
              <w:rPr>
                <w:rFonts w:hint="eastAsia" w:eastAsia="宋体"/>
                <w:lang w:eastAsia="zh-CN"/>
              </w:rPr>
            </w:pPr>
            <w:r>
              <w:rPr>
                <w:rFonts w:hint="eastAsia"/>
                <w:lang w:eastAsia="zh-CN"/>
              </w:rPr>
              <w:t>粉碎</w:t>
            </w:r>
          </w:p>
        </w:tc>
        <w:tc>
          <w:tcPr>
            <w:tcW w:w="872" w:type="pct"/>
            <w:vAlign w:val="center"/>
          </w:tcPr>
          <w:p>
            <w:pPr>
              <w:pStyle w:val="30"/>
              <w:rPr>
                <w:rFonts w:hint="eastAsia" w:eastAsia="宋体"/>
                <w:lang w:eastAsia="zh-CN"/>
              </w:rPr>
            </w:pPr>
            <w:r>
              <w:rPr>
                <w:rFonts w:hint="eastAsia"/>
                <w:lang w:eastAsia="zh-CN"/>
              </w:rPr>
              <w:t>颗粒物</w:t>
            </w:r>
          </w:p>
        </w:tc>
        <w:tc>
          <w:tcPr>
            <w:tcW w:w="784" w:type="pct"/>
            <w:vAlign w:val="center"/>
          </w:tcPr>
          <w:p>
            <w:pPr>
              <w:pStyle w:val="30"/>
              <w:rPr>
                <w:rFonts w:hint="default" w:eastAsia="宋体"/>
                <w:lang w:val="en-US" w:eastAsia="zh-CN"/>
              </w:rPr>
            </w:pPr>
            <w:r>
              <w:rPr>
                <w:rFonts w:hint="eastAsia"/>
                <w:lang w:val="en-US" w:eastAsia="zh-CN"/>
              </w:rPr>
              <w:t>10000</w:t>
            </w:r>
          </w:p>
        </w:tc>
        <w:tc>
          <w:tcPr>
            <w:tcW w:w="2473" w:type="pct"/>
            <w:vAlign w:val="center"/>
          </w:tcPr>
          <w:p>
            <w:pPr>
              <w:pStyle w:val="30"/>
              <w:rPr>
                <w:rFonts w:hint="default"/>
                <w:lang w:val="en-US"/>
              </w:rPr>
            </w:pPr>
            <w:r>
              <w:rPr>
                <w:rFonts w:hint="eastAsia"/>
                <w:lang w:val="en-US" w:eastAsia="zh-CN"/>
              </w:rPr>
              <w:t>袋式除尘器+15m高排气筒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vAlign w:val="center"/>
          </w:tcPr>
          <w:p>
            <w:pPr>
              <w:pStyle w:val="30"/>
              <w:rPr>
                <w:rFonts w:hint="eastAsia" w:eastAsia="宋体"/>
                <w:u w:val="single"/>
                <w:lang w:eastAsia="zh-CN"/>
              </w:rPr>
            </w:pPr>
            <w:r>
              <w:rPr>
                <w:rFonts w:hint="eastAsia"/>
                <w:u w:val="single"/>
                <w:lang w:eastAsia="zh-CN"/>
              </w:rPr>
              <w:t>造粒</w:t>
            </w:r>
          </w:p>
        </w:tc>
        <w:tc>
          <w:tcPr>
            <w:tcW w:w="872" w:type="pct"/>
            <w:vAlign w:val="center"/>
          </w:tcPr>
          <w:p>
            <w:pPr>
              <w:pStyle w:val="30"/>
              <w:rPr>
                <w:rFonts w:hint="eastAsia" w:eastAsia="宋体"/>
                <w:u w:val="single"/>
                <w:lang w:eastAsia="zh-CN"/>
              </w:rPr>
            </w:pPr>
            <w:r>
              <w:rPr>
                <w:rFonts w:hint="eastAsia"/>
                <w:u w:val="single"/>
                <w:lang w:eastAsia="zh-CN"/>
              </w:rPr>
              <w:t>非甲烷总烃</w:t>
            </w:r>
          </w:p>
        </w:tc>
        <w:tc>
          <w:tcPr>
            <w:tcW w:w="784" w:type="pct"/>
            <w:vMerge w:val="restart"/>
            <w:vAlign w:val="center"/>
          </w:tcPr>
          <w:p>
            <w:pPr>
              <w:pStyle w:val="30"/>
              <w:rPr>
                <w:rFonts w:hint="default" w:eastAsia="宋体"/>
                <w:u w:val="single"/>
                <w:lang w:val="en-US" w:eastAsia="zh-CN"/>
              </w:rPr>
            </w:pPr>
            <w:r>
              <w:rPr>
                <w:rFonts w:hint="eastAsia"/>
                <w:u w:val="single"/>
                <w:lang w:val="en-US" w:eastAsia="zh-CN"/>
              </w:rPr>
              <w:t>10000</w:t>
            </w:r>
          </w:p>
        </w:tc>
        <w:tc>
          <w:tcPr>
            <w:tcW w:w="2473" w:type="pct"/>
            <w:vMerge w:val="restart"/>
            <w:vAlign w:val="center"/>
          </w:tcPr>
          <w:p>
            <w:pPr>
              <w:pStyle w:val="30"/>
              <w:rPr>
                <w:rFonts w:hint="default" w:eastAsia="宋体"/>
                <w:u w:val="single"/>
                <w:lang w:val="en-US" w:eastAsia="zh-CN"/>
              </w:rPr>
            </w:pPr>
            <w:r>
              <w:rPr>
                <w:rFonts w:hint="eastAsia"/>
                <w:u w:val="single"/>
                <w:lang w:eastAsia="zh-CN"/>
              </w:rPr>
              <w:t>喷淋塔</w:t>
            </w:r>
            <w:r>
              <w:rPr>
                <w:rFonts w:hint="eastAsia"/>
                <w:u w:val="single"/>
                <w:lang w:val="en-US" w:eastAsia="zh-CN"/>
              </w:rPr>
              <w:t>+吸附浓缩+催化燃烧+15m高排气筒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69" w:type="pct"/>
            <w:vMerge w:val="continue"/>
            <w:vAlign w:val="center"/>
          </w:tcPr>
          <w:p>
            <w:pPr>
              <w:pStyle w:val="30"/>
              <w:rPr>
                <w:rFonts w:hint="eastAsia" w:eastAsia="宋体"/>
                <w:u w:val="single"/>
                <w:lang w:eastAsia="zh-CN"/>
              </w:rPr>
            </w:pPr>
          </w:p>
        </w:tc>
        <w:tc>
          <w:tcPr>
            <w:tcW w:w="872" w:type="pct"/>
            <w:vAlign w:val="center"/>
          </w:tcPr>
          <w:p>
            <w:pPr>
              <w:pStyle w:val="30"/>
              <w:rPr>
                <w:rFonts w:hint="eastAsia" w:eastAsia="宋体"/>
                <w:u w:val="single"/>
                <w:lang w:eastAsia="zh-CN"/>
              </w:rPr>
            </w:pPr>
            <w:r>
              <w:rPr>
                <w:rFonts w:hint="eastAsia"/>
                <w:u w:val="single"/>
                <w:lang w:eastAsia="zh-CN"/>
              </w:rPr>
              <w:t>苯乙烯</w:t>
            </w:r>
          </w:p>
        </w:tc>
        <w:tc>
          <w:tcPr>
            <w:tcW w:w="784" w:type="pct"/>
            <w:vMerge w:val="continue"/>
            <w:vAlign w:val="center"/>
          </w:tcPr>
          <w:p>
            <w:pPr>
              <w:pStyle w:val="30"/>
              <w:rPr>
                <w:rFonts w:hint="default"/>
                <w:u w:val="single"/>
              </w:rPr>
            </w:pPr>
          </w:p>
        </w:tc>
        <w:tc>
          <w:tcPr>
            <w:tcW w:w="2473" w:type="pct"/>
            <w:vMerge w:val="continue"/>
            <w:vAlign w:val="center"/>
          </w:tcPr>
          <w:p>
            <w:pPr>
              <w:pStyle w:val="3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69" w:type="pct"/>
            <w:vMerge w:val="continue"/>
            <w:vAlign w:val="center"/>
          </w:tcPr>
          <w:p>
            <w:pPr>
              <w:pStyle w:val="30"/>
              <w:rPr>
                <w:rFonts w:hint="eastAsia" w:eastAsia="宋体"/>
                <w:u w:val="single"/>
                <w:lang w:eastAsia="zh-CN"/>
              </w:rPr>
            </w:pPr>
          </w:p>
        </w:tc>
        <w:tc>
          <w:tcPr>
            <w:tcW w:w="872" w:type="pct"/>
            <w:vAlign w:val="center"/>
          </w:tcPr>
          <w:p>
            <w:pPr>
              <w:pStyle w:val="30"/>
              <w:rPr>
                <w:rFonts w:hint="eastAsia"/>
                <w:u w:val="single"/>
                <w:lang w:eastAsia="zh-CN"/>
              </w:rPr>
            </w:pPr>
            <w:r>
              <w:rPr>
                <w:rFonts w:hint="eastAsia"/>
                <w:u w:val="single"/>
                <w:lang w:eastAsia="zh-CN"/>
              </w:rPr>
              <w:t>颗粒物</w:t>
            </w:r>
          </w:p>
        </w:tc>
        <w:tc>
          <w:tcPr>
            <w:tcW w:w="784" w:type="pct"/>
            <w:vMerge w:val="continue"/>
            <w:vAlign w:val="center"/>
          </w:tcPr>
          <w:p>
            <w:pPr>
              <w:pStyle w:val="30"/>
              <w:rPr>
                <w:rFonts w:hint="default"/>
                <w:u w:val="single"/>
              </w:rPr>
            </w:pPr>
          </w:p>
        </w:tc>
        <w:tc>
          <w:tcPr>
            <w:tcW w:w="2473" w:type="pct"/>
            <w:vMerge w:val="continue"/>
            <w:vAlign w:val="center"/>
          </w:tcPr>
          <w:p>
            <w:pPr>
              <w:pStyle w:val="30"/>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vAlign w:val="center"/>
          </w:tcPr>
          <w:p>
            <w:pPr>
              <w:pStyle w:val="30"/>
              <w:rPr>
                <w:rFonts w:hint="eastAsia" w:eastAsia="宋体"/>
                <w:u w:val="single"/>
                <w:lang w:eastAsia="zh-CN"/>
              </w:rPr>
            </w:pPr>
            <w:r>
              <w:rPr>
                <w:rFonts w:hint="eastAsia"/>
                <w:u w:val="single"/>
                <w:lang w:eastAsia="zh-CN"/>
              </w:rPr>
              <w:t>注塑</w:t>
            </w:r>
          </w:p>
        </w:tc>
        <w:tc>
          <w:tcPr>
            <w:tcW w:w="872" w:type="pct"/>
            <w:vAlign w:val="center"/>
          </w:tcPr>
          <w:p>
            <w:pPr>
              <w:pStyle w:val="30"/>
              <w:rPr>
                <w:rFonts w:hint="eastAsia" w:eastAsia="宋体"/>
                <w:u w:val="single"/>
                <w:lang w:eastAsia="zh-CN"/>
              </w:rPr>
            </w:pPr>
            <w:r>
              <w:rPr>
                <w:rFonts w:hint="eastAsia"/>
                <w:u w:val="single"/>
                <w:lang w:eastAsia="zh-CN"/>
              </w:rPr>
              <w:t>非甲烷总烃</w:t>
            </w:r>
          </w:p>
        </w:tc>
        <w:tc>
          <w:tcPr>
            <w:tcW w:w="784" w:type="pct"/>
            <w:vMerge w:val="restart"/>
            <w:vAlign w:val="center"/>
          </w:tcPr>
          <w:p>
            <w:pPr>
              <w:pStyle w:val="30"/>
              <w:rPr>
                <w:rFonts w:hint="default" w:eastAsia="宋体"/>
                <w:u w:val="single"/>
                <w:lang w:val="en-US" w:eastAsia="zh-CN"/>
              </w:rPr>
            </w:pPr>
            <w:r>
              <w:rPr>
                <w:rFonts w:hint="eastAsia"/>
                <w:u w:val="single"/>
                <w:lang w:val="en-US" w:eastAsia="zh-CN"/>
              </w:rPr>
              <w:t>60000</w:t>
            </w:r>
          </w:p>
        </w:tc>
        <w:tc>
          <w:tcPr>
            <w:tcW w:w="2473" w:type="pct"/>
            <w:vMerge w:val="restart"/>
            <w:vAlign w:val="center"/>
          </w:tcPr>
          <w:p>
            <w:pPr>
              <w:pStyle w:val="30"/>
              <w:ind w:firstLine="0" w:firstLineChars="0"/>
              <w:rPr>
                <w:rFonts w:hint="default" w:ascii="Times New Roman" w:hAnsi="Times New Roman" w:eastAsia="宋体" w:cstheme="minorBidi"/>
                <w:color w:val="000000"/>
                <w:kern w:val="2"/>
                <w:sz w:val="21"/>
                <w:szCs w:val="21"/>
                <w:u w:val="single"/>
                <w:lang w:val="en-US" w:eastAsia="zh-CN" w:bidi="ar"/>
              </w:rPr>
            </w:pPr>
            <w:r>
              <w:rPr>
                <w:rFonts w:hint="eastAsia"/>
                <w:u w:val="single"/>
                <w:lang w:val="en-US" w:eastAsia="zh-CN"/>
              </w:rPr>
              <w:t>吸附浓缩+催化燃烧+15m高排气筒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vAlign w:val="center"/>
          </w:tcPr>
          <w:p>
            <w:pPr>
              <w:pStyle w:val="30"/>
              <w:rPr>
                <w:rFonts w:hint="eastAsia"/>
                <w:u w:val="single"/>
                <w:lang w:eastAsia="zh-CN"/>
              </w:rPr>
            </w:pPr>
          </w:p>
        </w:tc>
        <w:tc>
          <w:tcPr>
            <w:tcW w:w="872" w:type="pct"/>
            <w:vAlign w:val="center"/>
          </w:tcPr>
          <w:p>
            <w:pPr>
              <w:pStyle w:val="30"/>
              <w:rPr>
                <w:rFonts w:hint="eastAsia"/>
                <w:u w:val="single"/>
                <w:lang w:eastAsia="zh-CN"/>
              </w:rPr>
            </w:pPr>
            <w:r>
              <w:rPr>
                <w:rFonts w:hint="eastAsia"/>
                <w:u w:val="single"/>
                <w:lang w:eastAsia="zh-CN"/>
              </w:rPr>
              <w:t>苯乙烯</w:t>
            </w:r>
          </w:p>
        </w:tc>
        <w:tc>
          <w:tcPr>
            <w:tcW w:w="784" w:type="pct"/>
            <w:vMerge w:val="continue"/>
            <w:vAlign w:val="center"/>
          </w:tcPr>
          <w:p>
            <w:pPr>
              <w:pStyle w:val="30"/>
              <w:rPr>
                <w:rFonts w:hint="eastAsia"/>
                <w:u w:val="single"/>
                <w:lang w:val="en-US" w:eastAsia="zh-CN"/>
              </w:rPr>
            </w:pPr>
          </w:p>
        </w:tc>
        <w:tc>
          <w:tcPr>
            <w:tcW w:w="2473" w:type="pct"/>
            <w:vMerge w:val="continue"/>
            <w:vAlign w:val="center"/>
          </w:tcPr>
          <w:p>
            <w:pPr>
              <w:pStyle w:val="30"/>
              <w:ind w:firstLine="0" w:firstLineChars="0"/>
              <w:rPr>
                <w:rFonts w:hint="eastAsia"/>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restart"/>
            <w:vAlign w:val="center"/>
          </w:tcPr>
          <w:p>
            <w:pPr>
              <w:pStyle w:val="30"/>
            </w:pPr>
            <w:r>
              <w:rPr>
                <w:rFonts w:cs="Times New Roman"/>
                <w:snapToGrid w:val="0"/>
                <w:kern w:val="18"/>
                <w:sz w:val="21"/>
                <w:szCs w:val="21"/>
              </w:rPr>
              <w:t>污水处理站</w:t>
            </w:r>
          </w:p>
        </w:tc>
        <w:tc>
          <w:tcPr>
            <w:tcW w:w="872" w:type="pct"/>
            <w:vAlign w:val="center"/>
          </w:tcPr>
          <w:p>
            <w:pPr>
              <w:adjustRightInd w:val="0"/>
              <w:snapToGrid w:val="0"/>
              <w:spacing w:line="240" w:lineRule="auto"/>
              <w:ind w:firstLine="0" w:firstLineChars="0"/>
              <w:jc w:val="center"/>
            </w:pPr>
            <w:r>
              <w:rPr>
                <w:rFonts w:cs="Times New Roman"/>
                <w:snapToGrid w:val="0"/>
                <w:kern w:val="18"/>
                <w:sz w:val="21"/>
                <w:szCs w:val="21"/>
              </w:rPr>
              <w:t>氨</w:t>
            </w:r>
          </w:p>
        </w:tc>
        <w:tc>
          <w:tcPr>
            <w:tcW w:w="784" w:type="pct"/>
            <w:vMerge w:val="restart"/>
            <w:vAlign w:val="center"/>
          </w:tcPr>
          <w:p>
            <w:pPr>
              <w:pStyle w:val="30"/>
              <w:rPr>
                <w:rFonts w:hint="default"/>
                <w:lang w:val="en-US" w:eastAsia="zh-CN"/>
              </w:rPr>
            </w:pPr>
            <w:r>
              <w:rPr>
                <w:rFonts w:hint="eastAsia"/>
                <w:lang w:val="en-US" w:eastAsia="zh-CN"/>
              </w:rPr>
              <w:t>3000</w:t>
            </w:r>
          </w:p>
        </w:tc>
        <w:tc>
          <w:tcPr>
            <w:tcW w:w="2473" w:type="pct"/>
            <w:vMerge w:val="restart"/>
            <w:vAlign w:val="center"/>
          </w:tcPr>
          <w:p>
            <w:pPr>
              <w:pStyle w:val="30"/>
              <w:rPr>
                <w:rFonts w:hint="eastAsia" w:eastAsia="宋体"/>
                <w:lang w:eastAsia="zh-CN"/>
              </w:rPr>
            </w:pPr>
            <w:r>
              <w:rPr>
                <w:u w:val="single"/>
              </w:rPr>
              <w:t>厂区污水处理站整体加盖密闭，</w:t>
            </w:r>
            <w:r>
              <w:rPr>
                <w:rFonts w:hint="eastAsia"/>
                <w:u w:val="single"/>
                <w:lang w:eastAsia="zh-CN"/>
              </w:rPr>
              <w:t>二级活性炭吸附</w:t>
            </w:r>
            <w:r>
              <w:rPr>
                <w:rFonts w:hint="eastAsia"/>
                <w:u w:val="single"/>
                <w:lang w:val="en-US" w:eastAsia="zh-CN"/>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vAlign w:val="center"/>
          </w:tcPr>
          <w:p>
            <w:pPr>
              <w:pStyle w:val="30"/>
            </w:pPr>
          </w:p>
        </w:tc>
        <w:tc>
          <w:tcPr>
            <w:tcW w:w="872" w:type="pct"/>
            <w:vAlign w:val="center"/>
          </w:tcPr>
          <w:p>
            <w:pPr>
              <w:adjustRightInd w:val="0"/>
              <w:snapToGrid w:val="0"/>
              <w:spacing w:line="240" w:lineRule="auto"/>
              <w:ind w:firstLine="0" w:firstLineChars="0"/>
              <w:jc w:val="center"/>
            </w:pPr>
            <w:r>
              <w:rPr>
                <w:rFonts w:cs="Times New Roman"/>
                <w:snapToGrid w:val="0"/>
                <w:kern w:val="18"/>
                <w:sz w:val="21"/>
                <w:szCs w:val="21"/>
              </w:rPr>
              <w:t>硫化氢</w:t>
            </w:r>
          </w:p>
        </w:tc>
        <w:tc>
          <w:tcPr>
            <w:tcW w:w="784" w:type="pct"/>
            <w:vMerge w:val="continue"/>
            <w:vAlign w:val="center"/>
          </w:tcPr>
          <w:p>
            <w:pPr>
              <w:pStyle w:val="30"/>
              <w:rPr>
                <w:rFonts w:hint="eastAsia"/>
                <w:lang w:val="en-US" w:eastAsia="zh-CN"/>
              </w:rPr>
            </w:pPr>
          </w:p>
        </w:tc>
        <w:tc>
          <w:tcPr>
            <w:tcW w:w="2473" w:type="pct"/>
            <w:vMerge w:val="continue"/>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Merge w:val="continue"/>
            <w:vAlign w:val="center"/>
          </w:tcPr>
          <w:p>
            <w:pPr>
              <w:pStyle w:val="30"/>
            </w:pPr>
          </w:p>
        </w:tc>
        <w:tc>
          <w:tcPr>
            <w:tcW w:w="872" w:type="pct"/>
            <w:vAlign w:val="center"/>
          </w:tcPr>
          <w:p>
            <w:pPr>
              <w:adjustRightInd w:val="0"/>
              <w:snapToGrid w:val="0"/>
              <w:spacing w:line="240" w:lineRule="auto"/>
              <w:ind w:firstLine="0" w:firstLineChars="0"/>
              <w:jc w:val="center"/>
            </w:pPr>
            <w:r>
              <w:rPr>
                <w:rFonts w:cs="Times New Roman"/>
                <w:snapToGrid w:val="0"/>
                <w:kern w:val="18"/>
                <w:sz w:val="21"/>
                <w:szCs w:val="21"/>
              </w:rPr>
              <w:t>非甲烷总烃</w:t>
            </w:r>
          </w:p>
        </w:tc>
        <w:tc>
          <w:tcPr>
            <w:tcW w:w="784" w:type="pct"/>
            <w:vMerge w:val="continue"/>
            <w:vAlign w:val="center"/>
          </w:tcPr>
          <w:p>
            <w:pPr>
              <w:pStyle w:val="30"/>
              <w:rPr>
                <w:rFonts w:hint="eastAsia"/>
                <w:lang w:val="en-US" w:eastAsia="zh-CN"/>
              </w:rPr>
            </w:pPr>
          </w:p>
        </w:tc>
        <w:tc>
          <w:tcPr>
            <w:tcW w:w="2473" w:type="pct"/>
            <w:vMerge w:val="continue"/>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69" w:type="pct"/>
            <w:vAlign w:val="center"/>
          </w:tcPr>
          <w:p>
            <w:pPr>
              <w:pStyle w:val="30"/>
              <w:ind w:firstLine="0" w:firstLineChars="0"/>
            </w:pPr>
            <w:r>
              <w:t>食堂</w:t>
            </w:r>
          </w:p>
        </w:tc>
        <w:tc>
          <w:tcPr>
            <w:tcW w:w="872" w:type="pct"/>
            <w:vAlign w:val="center"/>
          </w:tcPr>
          <w:p>
            <w:pPr>
              <w:pStyle w:val="30"/>
              <w:ind w:firstLine="0" w:firstLineChars="0"/>
              <w:rPr>
                <w:rFonts w:cs="Times New Roman"/>
                <w:snapToGrid w:val="0"/>
                <w:kern w:val="18"/>
                <w:sz w:val="21"/>
                <w:szCs w:val="21"/>
              </w:rPr>
            </w:pPr>
            <w:r>
              <w:t>饮食业油烟</w:t>
            </w:r>
          </w:p>
        </w:tc>
        <w:tc>
          <w:tcPr>
            <w:tcW w:w="784" w:type="pct"/>
            <w:vAlign w:val="center"/>
          </w:tcPr>
          <w:p>
            <w:pPr>
              <w:pStyle w:val="30"/>
              <w:ind w:firstLine="0" w:firstLineChars="0"/>
              <w:rPr>
                <w:rFonts w:hint="eastAsia"/>
                <w:lang w:val="en-US" w:eastAsia="zh-CN"/>
              </w:rPr>
            </w:pPr>
            <w:r>
              <w:rPr>
                <w:rFonts w:hint="eastAsia"/>
                <w:lang w:val="en-US" w:eastAsia="zh-CN"/>
              </w:rPr>
              <w:t>2000</w:t>
            </w:r>
          </w:p>
        </w:tc>
        <w:tc>
          <w:tcPr>
            <w:tcW w:w="2473" w:type="pct"/>
            <w:vAlign w:val="center"/>
          </w:tcPr>
          <w:p>
            <w:pPr>
              <w:pStyle w:val="30"/>
              <w:ind w:firstLine="0" w:firstLineChars="0"/>
            </w:pPr>
            <w:r>
              <w:t>油烟净化器</w:t>
            </w:r>
          </w:p>
        </w:tc>
      </w:tr>
    </w:tbl>
    <w:p>
      <w:pPr>
        <w:widowControl/>
        <w:numPr>
          <w:ilvl w:val="0"/>
          <w:numId w:val="9"/>
        </w:numPr>
        <w:ind w:firstLine="480"/>
        <w:rPr>
          <w:rFonts w:hint="eastAsia"/>
          <w:b/>
          <w:bCs/>
          <w:color w:val="000000"/>
          <w:szCs w:val="24"/>
          <w:lang w:val="en-US" w:eastAsia="zh-CN" w:bidi="ar"/>
        </w:rPr>
      </w:pPr>
      <w:r>
        <w:rPr>
          <w:rFonts w:hint="eastAsia"/>
          <w:b/>
          <w:bCs/>
          <w:color w:val="000000"/>
          <w:szCs w:val="24"/>
          <w:lang w:val="en-US" w:eastAsia="zh-CN" w:bidi="ar"/>
        </w:rPr>
        <w:t>破碎粉尘</w:t>
      </w:r>
    </w:p>
    <w:p>
      <w:pPr>
        <w:widowControl/>
        <w:ind w:firstLine="480"/>
        <w:rPr>
          <w:rFonts w:hint="default"/>
          <w:color w:val="000000"/>
          <w:szCs w:val="24"/>
          <w:lang w:val="en-US" w:bidi="ar"/>
        </w:rPr>
      </w:pPr>
      <w:r>
        <w:rPr>
          <w:rFonts w:hint="eastAsia"/>
          <w:color w:val="000000"/>
          <w:szCs w:val="24"/>
          <w:lang w:val="en-US" w:bidi="ar"/>
        </w:rPr>
        <w:t>本</w:t>
      </w:r>
      <w:r>
        <w:rPr>
          <w:rFonts w:hint="default"/>
          <w:color w:val="000000"/>
          <w:szCs w:val="24"/>
          <w:lang w:val="en-US" w:bidi="ar"/>
        </w:rPr>
        <w:t>项目含尘废气主要为</w:t>
      </w:r>
      <w:r>
        <w:rPr>
          <w:rFonts w:hint="eastAsia"/>
          <w:color w:val="000000"/>
          <w:szCs w:val="24"/>
          <w:lang w:val="en-US" w:eastAsia="zh-CN" w:bidi="ar"/>
        </w:rPr>
        <w:t>废塑料破碎产生的颗粒物</w:t>
      </w:r>
      <w:r>
        <w:rPr>
          <w:rFonts w:hint="default"/>
          <w:color w:val="000000"/>
          <w:szCs w:val="24"/>
          <w:lang w:val="en-US" w:bidi="ar"/>
        </w:rPr>
        <w:t>。粉尘处理方式有很多，如喷淋法、静电除尘法、旋风除尘法、布袋除尘法等。喷淋法适用于烟尘的处理和有机废气的处理，其产物可溶于喷淋介质，并形成沉淀以便清除</w:t>
      </w:r>
      <w:r>
        <w:rPr>
          <w:rFonts w:hint="eastAsia"/>
          <w:color w:val="000000"/>
          <w:szCs w:val="24"/>
          <w:lang w:val="en-US" w:eastAsia="zh-CN" w:bidi="ar"/>
        </w:rPr>
        <w:t>；</w:t>
      </w:r>
      <w:r>
        <w:rPr>
          <w:rFonts w:hint="default"/>
          <w:color w:val="000000"/>
          <w:szCs w:val="24"/>
          <w:lang w:val="en-US" w:bidi="ar"/>
        </w:rPr>
        <w:t>静电除尘效果好，运行稳定，但一次性投资较高，适用于大型粉尘污染的处理。袋式除尘器及旋风除尘器能够回收粉尘，同时处理效果好，运行操作简单方便，比较适合中小型粉尘污染的治理。由于本项目需对粉尘进行回收利用，因此，本次评价仅将袋式除尘及旋风除尘进行对比分析。</w:t>
      </w:r>
    </w:p>
    <w:p>
      <w:pPr>
        <w:widowControl/>
        <w:numPr>
          <w:ilvl w:val="0"/>
          <w:numId w:val="10"/>
        </w:numPr>
        <w:ind w:firstLine="480"/>
        <w:rPr>
          <w:rFonts w:hint="default"/>
          <w:color w:val="000000"/>
          <w:szCs w:val="24"/>
          <w:lang w:val="en-US" w:bidi="ar"/>
        </w:rPr>
      </w:pPr>
      <w:r>
        <w:rPr>
          <w:rFonts w:hint="default"/>
          <w:color w:val="000000"/>
          <w:szCs w:val="24"/>
          <w:lang w:val="en-US" w:bidi="ar"/>
        </w:rPr>
        <w:t>袋式除尘器袋式除尘是一种干式除尘装置。它适用于捕集细小、干燥、非纤维性粉尘。滤袋采用纺织的滤布或非纺织的毡制成，利用纤维织物的过滤作用对含尘气体进行过滤，当含尘气体进入布袋除尘器，颗粒大、比重大的粉尘，由于重力的作用沉降下来，落入灰斗，含有较细小粉尘的气体在通过滤料时，粉尘被阻留，使气体得到净化。</w:t>
      </w:r>
    </w:p>
    <w:p>
      <w:pPr>
        <w:widowControl/>
        <w:numPr>
          <w:ilvl w:val="0"/>
          <w:numId w:val="10"/>
        </w:numPr>
        <w:ind w:left="0" w:leftChars="0" w:firstLine="480" w:firstLineChars="200"/>
        <w:rPr>
          <w:rFonts w:hint="default"/>
          <w:color w:val="000000"/>
          <w:szCs w:val="24"/>
          <w:lang w:val="en-US" w:bidi="ar"/>
        </w:rPr>
      </w:pPr>
      <w:r>
        <w:rPr>
          <w:rFonts w:hint="eastAsia"/>
          <w:color w:val="000000"/>
          <w:szCs w:val="24"/>
          <w:lang w:val="en-US" w:eastAsia="zh-CN" w:bidi="ar"/>
        </w:rPr>
        <w:t>旋风除尘器</w:t>
      </w:r>
      <w:r>
        <w:rPr>
          <w:rFonts w:hint="default"/>
          <w:color w:val="000000"/>
          <w:szCs w:val="24"/>
          <w:lang w:val="en-US" w:bidi="ar"/>
        </w:rPr>
        <w:t>也属于干式除尘器，除尘机理是使含尘气流作旋转运动，借助于离心力将尘粒从气流中分离并捕集于器壁，再借助重力作用使尘粒落入灰斗。主要用于处理粒径相对较大的粉尘。</w:t>
      </w:r>
    </w:p>
    <w:p>
      <w:pPr>
        <w:widowControl/>
        <w:numPr>
          <w:ilvl w:val="0"/>
          <w:numId w:val="0"/>
        </w:numPr>
        <w:ind w:firstLine="480" w:firstLineChars="200"/>
        <w:rPr>
          <w:rFonts w:hint="default"/>
          <w:color w:val="000000"/>
          <w:szCs w:val="24"/>
          <w:lang w:val="en-US" w:bidi="ar"/>
        </w:rPr>
      </w:pPr>
      <w:r>
        <w:rPr>
          <w:rFonts w:hint="default"/>
          <w:color w:val="000000"/>
          <w:szCs w:val="24"/>
          <w:lang w:val="en-US" w:bidi="ar"/>
        </w:rPr>
        <w:t>本项目除尘工艺选择：本项目进料废气粉尘主要为</w:t>
      </w:r>
      <w:r>
        <w:rPr>
          <w:rFonts w:hint="eastAsia"/>
          <w:color w:val="000000"/>
          <w:szCs w:val="24"/>
          <w:lang w:val="en-US" w:eastAsia="zh-CN" w:bidi="ar"/>
        </w:rPr>
        <w:t>塑料颗粒</w:t>
      </w:r>
      <w:r>
        <w:rPr>
          <w:rFonts w:hint="default"/>
          <w:color w:val="000000"/>
          <w:szCs w:val="24"/>
          <w:lang w:val="en-US" w:bidi="ar"/>
        </w:rPr>
        <w:t>，粉尘粒径较小，因此评价建议直接采用脉冲袋式除尘器进行处理。</w:t>
      </w:r>
    </w:p>
    <w:p>
      <w:pPr>
        <w:pStyle w:val="20"/>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left="0" w:leftChars="0" w:firstLine="482" w:firstLineChars="200"/>
        <w:textAlignment w:val="auto"/>
        <w:rPr>
          <w:rFonts w:hint="eastAsia"/>
          <w:b/>
          <w:bCs/>
          <w:color w:val="000000"/>
          <w:szCs w:val="24"/>
          <w:lang w:val="en-US" w:eastAsia="zh-CN" w:bidi="ar"/>
        </w:rPr>
      </w:pPr>
      <w:r>
        <w:rPr>
          <w:rFonts w:hint="eastAsia"/>
          <w:b/>
          <w:bCs/>
          <w:color w:val="000000"/>
          <w:szCs w:val="24"/>
          <w:lang w:val="en-US" w:eastAsia="zh-CN" w:bidi="ar"/>
        </w:rPr>
        <w:t>造粒废气、注塑废气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lang w:val="en-US" w:eastAsia="zh-CN"/>
        </w:rPr>
      </w:pPr>
      <w:r>
        <w:rPr>
          <w:rFonts w:hint="eastAsia"/>
          <w:lang w:val="en-US" w:eastAsia="zh-CN"/>
        </w:rPr>
        <w:t>（1）污染防治设施比选：项目造粒过程中塑料熔化会产生有机废气非甲烷总烃，注塑过程塑料熔化产生有机废气非甲烷总烃。</w:t>
      </w:r>
    </w:p>
    <w:p>
      <w:pPr>
        <w:bidi w:val="0"/>
        <w:rPr>
          <w:rFonts w:hint="eastAsia"/>
          <w:lang w:val="en-US" w:eastAsia="zh-CN"/>
        </w:rPr>
      </w:pPr>
      <w:r>
        <w:rPr>
          <w:rFonts w:hint="eastAsia"/>
          <w:lang w:val="en-US" w:eastAsia="zh-CN"/>
        </w:rPr>
        <w:t>有机废气处理方法有以下几种：</w:t>
      </w:r>
    </w:p>
    <w:p>
      <w:pPr>
        <w:numPr>
          <w:ilvl w:val="0"/>
          <w:numId w:val="0"/>
        </w:numPr>
        <w:bidi w:val="0"/>
        <w:ind w:firstLine="482" w:firstLineChars="200"/>
        <w:jc w:val="center"/>
        <w:rPr>
          <w:rFonts w:hint="default"/>
          <w:b/>
          <w:bCs/>
        </w:rPr>
      </w:pPr>
      <w:r>
        <w:rPr>
          <w:rFonts w:hint="default"/>
          <w:b/>
          <w:bCs/>
        </w:rPr>
        <w:t>表</w:t>
      </w:r>
      <w:r>
        <w:rPr>
          <w:rFonts w:hint="eastAsia"/>
          <w:b/>
          <w:bCs/>
          <w:lang w:val="en-US" w:eastAsia="zh-CN"/>
        </w:rPr>
        <w:t>7.2</w:t>
      </w:r>
      <w:r>
        <w:rPr>
          <w:rFonts w:hint="default"/>
          <w:b/>
          <w:bCs/>
        </w:rPr>
        <w:t>-</w:t>
      </w:r>
      <w:r>
        <w:rPr>
          <w:rFonts w:hint="eastAsia"/>
          <w:b/>
          <w:bCs/>
          <w:lang w:val="en-US" w:eastAsia="zh-CN"/>
        </w:rPr>
        <w:t>2</w:t>
      </w:r>
      <w:r>
        <w:rPr>
          <w:rFonts w:hint="default"/>
          <w:b/>
          <w:bCs/>
        </w:rPr>
        <w:t>有机废气净化方法一览表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54"/>
        <w:gridCol w:w="3168"/>
        <w:gridCol w:w="657"/>
        <w:gridCol w:w="258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sz w:val="21"/>
                <w:szCs w:val="21"/>
              </w:rPr>
              <w:t>序</w:t>
            </w:r>
            <w:r>
              <w:rPr>
                <w:rFonts w:hint="default"/>
                <w:sz w:val="21"/>
                <w:szCs w:val="21"/>
              </w:rPr>
              <w:t>号</w:t>
            </w:r>
          </w:p>
        </w:tc>
        <w:tc>
          <w:tcPr>
            <w:tcW w:w="1154" w:type="dxa"/>
            <w:vAlign w:val="center"/>
          </w:tcPr>
          <w:p>
            <w:pPr>
              <w:pStyle w:val="30"/>
              <w:bidi w:val="0"/>
              <w:jc w:val="center"/>
              <w:rPr>
                <w:rFonts w:hint="default"/>
                <w:sz w:val="21"/>
                <w:szCs w:val="21"/>
                <w:lang w:val="en-US" w:eastAsia="zh-CN"/>
              </w:rPr>
            </w:pPr>
            <w:r>
              <w:rPr>
                <w:sz w:val="21"/>
                <w:szCs w:val="21"/>
              </w:rPr>
              <w:t>净</w:t>
            </w:r>
            <w:r>
              <w:rPr>
                <w:rFonts w:hint="default"/>
                <w:sz w:val="21"/>
                <w:szCs w:val="21"/>
              </w:rPr>
              <w:t>化方法</w:t>
            </w:r>
          </w:p>
        </w:tc>
        <w:tc>
          <w:tcPr>
            <w:tcW w:w="3168" w:type="dxa"/>
            <w:vAlign w:val="center"/>
          </w:tcPr>
          <w:p>
            <w:pPr>
              <w:pStyle w:val="30"/>
              <w:bidi w:val="0"/>
              <w:jc w:val="center"/>
              <w:rPr>
                <w:rFonts w:hint="default"/>
                <w:sz w:val="21"/>
                <w:szCs w:val="21"/>
                <w:lang w:val="en-US" w:eastAsia="zh-CN"/>
              </w:rPr>
            </w:pPr>
            <w:r>
              <w:rPr>
                <w:rFonts w:hint="eastAsia"/>
                <w:sz w:val="21"/>
                <w:szCs w:val="21"/>
                <w:lang w:val="en-US" w:eastAsia="zh-CN"/>
              </w:rPr>
              <w:t>方法要点</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投资</w:t>
            </w:r>
          </w:p>
        </w:tc>
        <w:tc>
          <w:tcPr>
            <w:tcW w:w="2587" w:type="dxa"/>
            <w:vAlign w:val="center"/>
          </w:tcPr>
          <w:p>
            <w:pPr>
              <w:pStyle w:val="30"/>
              <w:bidi w:val="0"/>
              <w:jc w:val="center"/>
              <w:rPr>
                <w:rFonts w:hint="default"/>
                <w:sz w:val="21"/>
                <w:szCs w:val="21"/>
                <w:lang w:val="en-US" w:eastAsia="zh-CN"/>
              </w:rPr>
            </w:pPr>
            <w:r>
              <w:rPr>
                <w:rFonts w:hint="eastAsia"/>
                <w:sz w:val="21"/>
                <w:szCs w:val="21"/>
                <w:lang w:val="en-US" w:eastAsia="zh-CN"/>
              </w:rPr>
              <w:t>适用范围</w:t>
            </w:r>
          </w:p>
        </w:tc>
        <w:tc>
          <w:tcPr>
            <w:tcW w:w="1086" w:type="dxa"/>
            <w:vAlign w:val="center"/>
          </w:tcPr>
          <w:p>
            <w:pPr>
              <w:pStyle w:val="30"/>
              <w:bidi w:val="0"/>
              <w:jc w:val="center"/>
              <w:rPr>
                <w:rFonts w:hint="default"/>
                <w:sz w:val="21"/>
                <w:szCs w:val="21"/>
                <w:lang w:val="en-US" w:eastAsia="zh-CN"/>
              </w:rPr>
            </w:pPr>
            <w:r>
              <w:rPr>
                <w:rFonts w:hint="eastAsia"/>
                <w:sz w:val="21"/>
                <w:szCs w:val="21"/>
                <w:lang w:val="en-US" w:eastAsia="zh-CN"/>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1</w:t>
            </w:r>
          </w:p>
        </w:tc>
        <w:tc>
          <w:tcPr>
            <w:tcW w:w="1154" w:type="dxa"/>
            <w:vAlign w:val="center"/>
          </w:tcPr>
          <w:p>
            <w:pPr>
              <w:pStyle w:val="30"/>
              <w:bidi w:val="0"/>
              <w:jc w:val="center"/>
              <w:rPr>
                <w:rFonts w:hint="default"/>
                <w:sz w:val="21"/>
                <w:szCs w:val="21"/>
                <w:lang w:val="en-US" w:eastAsia="zh-CN"/>
              </w:rPr>
            </w:pPr>
            <w:r>
              <w:rPr>
                <w:rFonts w:hint="default"/>
                <w:sz w:val="21"/>
                <w:szCs w:val="21"/>
              </w:rPr>
              <w:t>冷凝法</w:t>
            </w:r>
          </w:p>
        </w:tc>
        <w:tc>
          <w:tcPr>
            <w:tcW w:w="3168" w:type="dxa"/>
            <w:vAlign w:val="center"/>
          </w:tcPr>
          <w:p>
            <w:pPr>
              <w:pStyle w:val="30"/>
              <w:bidi w:val="0"/>
              <w:jc w:val="center"/>
              <w:rPr>
                <w:rFonts w:hint="default"/>
                <w:sz w:val="21"/>
                <w:szCs w:val="21"/>
                <w:lang w:val="en-US" w:eastAsia="zh-CN"/>
              </w:rPr>
            </w:pPr>
            <w:r>
              <w:rPr>
                <w:sz w:val="21"/>
                <w:szCs w:val="21"/>
              </w:rPr>
              <w:t>采</w:t>
            </w:r>
            <w:r>
              <w:rPr>
                <w:rFonts w:hint="default"/>
                <w:sz w:val="21"/>
                <w:szCs w:val="21"/>
              </w:rPr>
              <w:t>用低温，使有机物组分冷却至露点以下回收</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中</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用于有回收利用价值的高浓度废气净化</w:t>
            </w:r>
          </w:p>
        </w:tc>
        <w:tc>
          <w:tcPr>
            <w:tcW w:w="1086" w:type="dxa"/>
            <w:vAlign w:val="center"/>
          </w:tcPr>
          <w:p>
            <w:pPr>
              <w:pStyle w:val="30"/>
              <w:bidi w:val="0"/>
              <w:jc w:val="center"/>
              <w:rPr>
                <w:rFonts w:hint="default"/>
                <w:sz w:val="21"/>
                <w:szCs w:val="21"/>
                <w:lang w:val="en-US" w:eastAsia="zh-CN"/>
              </w:rPr>
            </w:pPr>
            <w:r>
              <w:rPr>
                <w:sz w:val="21"/>
                <w:szCs w:val="21"/>
              </w:rPr>
              <w:t>较</w:t>
            </w:r>
            <w:r>
              <w:rPr>
                <w:rFonts w:hint="default"/>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2</w:t>
            </w:r>
          </w:p>
        </w:tc>
        <w:tc>
          <w:tcPr>
            <w:tcW w:w="1154" w:type="dxa"/>
            <w:vAlign w:val="center"/>
          </w:tcPr>
          <w:p>
            <w:pPr>
              <w:pStyle w:val="30"/>
              <w:bidi w:val="0"/>
              <w:jc w:val="center"/>
              <w:rPr>
                <w:rFonts w:hint="default"/>
                <w:sz w:val="21"/>
                <w:szCs w:val="21"/>
                <w:lang w:val="en-US" w:eastAsia="zh-CN"/>
              </w:rPr>
            </w:pPr>
            <w:r>
              <w:rPr>
                <w:rFonts w:hint="eastAsia"/>
                <w:sz w:val="21"/>
                <w:szCs w:val="21"/>
                <w:lang w:val="en-US" w:eastAsia="zh-CN"/>
              </w:rPr>
              <w:t>吸收法</w:t>
            </w:r>
          </w:p>
        </w:tc>
        <w:tc>
          <w:tcPr>
            <w:tcW w:w="3168" w:type="dxa"/>
            <w:vAlign w:val="center"/>
          </w:tcPr>
          <w:p>
            <w:pPr>
              <w:pStyle w:val="30"/>
              <w:bidi w:val="0"/>
              <w:jc w:val="center"/>
              <w:rPr>
                <w:rFonts w:hint="default"/>
                <w:sz w:val="21"/>
                <w:szCs w:val="21"/>
                <w:lang w:val="en-US" w:eastAsia="zh-CN"/>
              </w:rPr>
            </w:pPr>
            <w:r>
              <w:rPr>
                <w:sz w:val="21"/>
                <w:szCs w:val="21"/>
              </w:rPr>
              <w:t>用</w:t>
            </w:r>
            <w:r>
              <w:rPr>
                <w:rFonts w:hint="default"/>
                <w:sz w:val="21"/>
                <w:szCs w:val="21"/>
              </w:rPr>
              <w:t>适当的化学吸收剂对废气中有机物组分进行物理吸收，温度为常温</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中</w:t>
            </w:r>
          </w:p>
        </w:tc>
        <w:tc>
          <w:tcPr>
            <w:tcW w:w="2587" w:type="dxa"/>
            <w:vAlign w:val="center"/>
          </w:tcPr>
          <w:p>
            <w:pPr>
              <w:pStyle w:val="30"/>
              <w:bidi w:val="0"/>
              <w:jc w:val="center"/>
              <w:rPr>
                <w:rFonts w:hint="default"/>
                <w:sz w:val="21"/>
                <w:szCs w:val="21"/>
                <w:lang w:val="en-US" w:eastAsia="zh-CN"/>
              </w:rPr>
            </w:pPr>
            <w:r>
              <w:rPr>
                <w:sz w:val="21"/>
                <w:szCs w:val="21"/>
              </w:rPr>
              <w:t>大</w:t>
            </w:r>
            <w:r>
              <w:rPr>
                <w:rFonts w:hint="default"/>
                <w:sz w:val="21"/>
                <w:szCs w:val="21"/>
              </w:rPr>
              <w:t>气量、中等浓度的含</w:t>
            </w:r>
            <w:r>
              <w:rPr>
                <w:sz w:val="21"/>
                <w:szCs w:val="21"/>
              </w:rPr>
              <w:t>V</w:t>
            </w:r>
            <w:r>
              <w:rPr>
                <w:rFonts w:hint="default"/>
                <w:sz w:val="21"/>
                <w:szCs w:val="21"/>
              </w:rPr>
              <w:t>OCs废气的处理</w:t>
            </w:r>
          </w:p>
        </w:tc>
        <w:tc>
          <w:tcPr>
            <w:tcW w:w="1086" w:type="dxa"/>
            <w:vAlign w:val="center"/>
          </w:tcPr>
          <w:p>
            <w:pPr>
              <w:pStyle w:val="30"/>
              <w:bidi w:val="0"/>
              <w:jc w:val="center"/>
              <w:rPr>
                <w:rFonts w:hint="default"/>
                <w:sz w:val="21"/>
                <w:szCs w:val="21"/>
                <w:lang w:val="en-US" w:eastAsia="zh-CN"/>
              </w:rPr>
            </w:pPr>
            <w:r>
              <w:rPr>
                <w:rFonts w:hint="eastAsia"/>
                <w:sz w:val="21"/>
                <w:szCs w:val="21"/>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3</w:t>
            </w:r>
          </w:p>
        </w:tc>
        <w:tc>
          <w:tcPr>
            <w:tcW w:w="1154" w:type="dxa"/>
            <w:vAlign w:val="center"/>
          </w:tcPr>
          <w:p>
            <w:pPr>
              <w:pStyle w:val="30"/>
              <w:bidi w:val="0"/>
              <w:jc w:val="center"/>
              <w:rPr>
                <w:rFonts w:hint="eastAsia"/>
                <w:sz w:val="21"/>
                <w:szCs w:val="21"/>
                <w:lang w:val="en-US" w:eastAsia="zh-CN"/>
              </w:rPr>
            </w:pPr>
            <w:r>
              <w:rPr>
                <w:rFonts w:hint="eastAsia"/>
                <w:sz w:val="21"/>
                <w:szCs w:val="21"/>
                <w:lang w:eastAsia="zh-CN"/>
              </w:rPr>
              <w:t>吸附法</w:t>
            </w:r>
          </w:p>
        </w:tc>
        <w:tc>
          <w:tcPr>
            <w:tcW w:w="3168" w:type="dxa"/>
            <w:vAlign w:val="center"/>
          </w:tcPr>
          <w:p>
            <w:pPr>
              <w:pStyle w:val="30"/>
              <w:bidi w:val="0"/>
              <w:jc w:val="center"/>
              <w:rPr>
                <w:rFonts w:hint="default"/>
                <w:sz w:val="21"/>
                <w:szCs w:val="21"/>
                <w:lang w:val="en-US" w:eastAsia="zh-CN"/>
              </w:rPr>
            </w:pPr>
            <w:r>
              <w:rPr>
                <w:sz w:val="21"/>
                <w:szCs w:val="21"/>
              </w:rPr>
              <w:t>用</w:t>
            </w:r>
            <w:r>
              <w:rPr>
                <w:rFonts w:hint="default"/>
                <w:sz w:val="21"/>
                <w:szCs w:val="21"/>
              </w:rPr>
              <w:t>适当的吸附剂对废气中有机物组分进行物理吸附，温度为常温</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中</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用于低浓度废气的净化</w:t>
            </w:r>
          </w:p>
        </w:tc>
        <w:tc>
          <w:tcPr>
            <w:tcW w:w="1086" w:type="dxa"/>
            <w:vAlign w:val="center"/>
          </w:tcPr>
          <w:p>
            <w:pPr>
              <w:pStyle w:val="30"/>
              <w:bidi w:val="0"/>
              <w:jc w:val="center"/>
              <w:rPr>
                <w:rFonts w:hint="default"/>
                <w:sz w:val="21"/>
                <w:szCs w:val="21"/>
                <w:lang w:val="en-US" w:eastAsia="zh-CN"/>
              </w:rPr>
            </w:pPr>
            <w:r>
              <w:rPr>
                <w:sz w:val="21"/>
                <w:szCs w:val="21"/>
              </w:rPr>
              <w:t>较</w:t>
            </w:r>
            <w:r>
              <w:rPr>
                <w:rFonts w:hint="default"/>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4</w:t>
            </w:r>
          </w:p>
        </w:tc>
        <w:tc>
          <w:tcPr>
            <w:tcW w:w="1154" w:type="dxa"/>
            <w:vAlign w:val="center"/>
          </w:tcPr>
          <w:p>
            <w:pPr>
              <w:pStyle w:val="30"/>
              <w:bidi w:val="0"/>
              <w:jc w:val="center"/>
              <w:rPr>
                <w:rFonts w:hint="default"/>
                <w:sz w:val="21"/>
                <w:szCs w:val="21"/>
                <w:lang w:val="en-US" w:eastAsia="zh-CN"/>
              </w:rPr>
            </w:pPr>
            <w:r>
              <w:rPr>
                <w:sz w:val="21"/>
                <w:szCs w:val="21"/>
              </w:rPr>
              <w:t>光</w:t>
            </w:r>
            <w:r>
              <w:rPr>
                <w:rFonts w:hint="default"/>
                <w:sz w:val="21"/>
                <w:szCs w:val="21"/>
              </w:rPr>
              <w:t>氧催化法</w:t>
            </w:r>
          </w:p>
        </w:tc>
        <w:tc>
          <w:tcPr>
            <w:tcW w:w="3168" w:type="dxa"/>
            <w:vAlign w:val="center"/>
          </w:tcPr>
          <w:p>
            <w:pPr>
              <w:pStyle w:val="30"/>
              <w:bidi w:val="0"/>
              <w:jc w:val="center"/>
              <w:rPr>
                <w:rFonts w:hint="default"/>
                <w:sz w:val="21"/>
                <w:szCs w:val="21"/>
                <w:lang w:val="en-US" w:eastAsia="zh-CN"/>
              </w:rPr>
            </w:pPr>
            <w:r>
              <w:rPr>
                <w:sz w:val="21"/>
                <w:szCs w:val="21"/>
              </w:rPr>
              <w:t>利</w:t>
            </w:r>
            <w:r>
              <w:rPr>
                <w:rFonts w:hint="default"/>
                <w:sz w:val="21"/>
                <w:szCs w:val="21"/>
              </w:rPr>
              <w:t>用紫外光产生臭氧、自由基等活性粒子，将有机物氧化分解</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中</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用于大气量中、低浓度废气的净化</w:t>
            </w:r>
          </w:p>
        </w:tc>
        <w:tc>
          <w:tcPr>
            <w:tcW w:w="1086" w:type="dxa"/>
            <w:vAlign w:val="center"/>
          </w:tcPr>
          <w:p>
            <w:pPr>
              <w:pStyle w:val="30"/>
              <w:bidi w:val="0"/>
              <w:jc w:val="center"/>
              <w:rPr>
                <w:rFonts w:hint="default"/>
                <w:sz w:val="21"/>
                <w:szCs w:val="21"/>
                <w:lang w:val="en-US" w:eastAsia="zh-CN"/>
              </w:rPr>
            </w:pPr>
            <w:r>
              <w:rPr>
                <w:sz w:val="21"/>
                <w:szCs w:val="21"/>
              </w:rPr>
              <w:t>较</w:t>
            </w:r>
            <w:r>
              <w:rPr>
                <w:rFonts w:hint="default"/>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5</w:t>
            </w:r>
          </w:p>
        </w:tc>
        <w:tc>
          <w:tcPr>
            <w:tcW w:w="1154" w:type="dxa"/>
            <w:vAlign w:val="center"/>
          </w:tcPr>
          <w:p>
            <w:pPr>
              <w:pStyle w:val="30"/>
              <w:bidi w:val="0"/>
              <w:jc w:val="center"/>
              <w:rPr>
                <w:rFonts w:hint="default"/>
                <w:sz w:val="21"/>
                <w:szCs w:val="21"/>
                <w:lang w:val="en-US" w:eastAsia="zh-CN"/>
              </w:rPr>
            </w:pPr>
            <w:r>
              <w:rPr>
                <w:sz w:val="21"/>
                <w:szCs w:val="21"/>
              </w:rPr>
              <w:t>低</w:t>
            </w:r>
            <w:r>
              <w:rPr>
                <w:rFonts w:hint="default"/>
                <w:sz w:val="21"/>
                <w:szCs w:val="21"/>
              </w:rPr>
              <w:t>温等离子法</w:t>
            </w:r>
          </w:p>
        </w:tc>
        <w:tc>
          <w:tcPr>
            <w:tcW w:w="3168" w:type="dxa"/>
            <w:vAlign w:val="center"/>
          </w:tcPr>
          <w:p>
            <w:pPr>
              <w:pStyle w:val="30"/>
              <w:bidi w:val="0"/>
              <w:jc w:val="center"/>
              <w:rPr>
                <w:rFonts w:hint="default"/>
                <w:sz w:val="21"/>
                <w:szCs w:val="21"/>
                <w:lang w:val="en-US" w:eastAsia="zh-CN"/>
              </w:rPr>
            </w:pPr>
            <w:r>
              <w:rPr>
                <w:sz w:val="21"/>
                <w:szCs w:val="21"/>
              </w:rPr>
              <w:t>利</w:t>
            </w:r>
            <w:r>
              <w:rPr>
                <w:rFonts w:hint="default"/>
                <w:sz w:val="21"/>
                <w:szCs w:val="21"/>
              </w:rPr>
              <w:t>用电场产生高能电子、自由基等活性粒子，将有机物氧化分解</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中</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用于大气量中、低浓度废气的净化</w:t>
            </w:r>
          </w:p>
        </w:tc>
        <w:tc>
          <w:tcPr>
            <w:tcW w:w="1086" w:type="dxa"/>
            <w:vAlign w:val="center"/>
          </w:tcPr>
          <w:p>
            <w:pPr>
              <w:pStyle w:val="30"/>
              <w:bidi w:val="0"/>
              <w:jc w:val="center"/>
              <w:rPr>
                <w:rFonts w:hint="default"/>
                <w:sz w:val="21"/>
                <w:szCs w:val="21"/>
                <w:lang w:val="en-US" w:eastAsia="zh-CN"/>
              </w:rPr>
            </w:pPr>
            <w:r>
              <w:rPr>
                <w:sz w:val="21"/>
                <w:szCs w:val="21"/>
              </w:rPr>
              <w:t>较</w:t>
            </w:r>
            <w:r>
              <w:rPr>
                <w:rFonts w:hint="default"/>
                <w:sz w:val="21"/>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6</w:t>
            </w:r>
          </w:p>
        </w:tc>
        <w:tc>
          <w:tcPr>
            <w:tcW w:w="1154" w:type="dxa"/>
            <w:vAlign w:val="center"/>
          </w:tcPr>
          <w:p>
            <w:pPr>
              <w:pStyle w:val="30"/>
              <w:bidi w:val="0"/>
              <w:jc w:val="center"/>
              <w:rPr>
                <w:rFonts w:hint="default"/>
                <w:sz w:val="21"/>
                <w:szCs w:val="21"/>
                <w:lang w:val="en-US" w:eastAsia="zh-CN"/>
              </w:rPr>
            </w:pPr>
            <w:r>
              <w:rPr>
                <w:sz w:val="21"/>
                <w:szCs w:val="21"/>
              </w:rPr>
              <w:t>直</w:t>
            </w:r>
            <w:r>
              <w:rPr>
                <w:rFonts w:hint="default"/>
                <w:sz w:val="21"/>
                <w:szCs w:val="21"/>
              </w:rPr>
              <w:t>接燃烧法</w:t>
            </w:r>
          </w:p>
        </w:tc>
        <w:tc>
          <w:tcPr>
            <w:tcW w:w="3168" w:type="dxa"/>
            <w:vAlign w:val="center"/>
          </w:tcPr>
          <w:p>
            <w:pPr>
              <w:pStyle w:val="30"/>
              <w:bidi w:val="0"/>
              <w:jc w:val="center"/>
              <w:rPr>
                <w:rFonts w:hint="default"/>
                <w:sz w:val="21"/>
                <w:szCs w:val="21"/>
                <w:lang w:val="en-US" w:eastAsia="zh-CN"/>
              </w:rPr>
            </w:pPr>
            <w:r>
              <w:rPr>
                <w:sz w:val="21"/>
                <w:szCs w:val="21"/>
              </w:rPr>
              <w:t>将</w:t>
            </w:r>
            <w:r>
              <w:rPr>
                <w:rFonts w:hint="default"/>
                <w:sz w:val="21"/>
                <w:szCs w:val="21"/>
              </w:rPr>
              <w:t>废气中的有机物作为燃料烧掉或将其在高温下进行氧化，分解温度范围为</w:t>
            </w:r>
            <w:r>
              <w:rPr>
                <w:sz w:val="21"/>
                <w:szCs w:val="21"/>
              </w:rPr>
              <w:t>6</w:t>
            </w:r>
            <w:r>
              <w:rPr>
                <w:rFonts w:hint="default"/>
                <w:sz w:val="21"/>
                <w:szCs w:val="21"/>
              </w:rPr>
              <w:t>00～1100°C</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高</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用于风量相对较小，回收价值不大，浓度适中的有机废气</w:t>
            </w:r>
          </w:p>
        </w:tc>
        <w:tc>
          <w:tcPr>
            <w:tcW w:w="1086" w:type="dxa"/>
            <w:vAlign w:val="center"/>
          </w:tcPr>
          <w:p>
            <w:pPr>
              <w:pStyle w:val="30"/>
              <w:bidi w:val="0"/>
              <w:jc w:val="center"/>
              <w:rPr>
                <w:rFonts w:hint="default"/>
                <w:sz w:val="21"/>
                <w:szCs w:val="21"/>
                <w:lang w:val="en-US" w:eastAsia="zh-CN"/>
              </w:rPr>
            </w:pPr>
            <w:r>
              <w:rPr>
                <w:rFonts w:hint="eastAsia"/>
                <w:sz w:val="21"/>
                <w:szCs w:val="21"/>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pStyle w:val="30"/>
              <w:bidi w:val="0"/>
              <w:jc w:val="center"/>
              <w:rPr>
                <w:rFonts w:hint="default"/>
                <w:sz w:val="21"/>
                <w:szCs w:val="21"/>
                <w:lang w:val="en-US" w:eastAsia="zh-CN"/>
              </w:rPr>
            </w:pPr>
            <w:r>
              <w:rPr>
                <w:rFonts w:hint="eastAsia"/>
                <w:sz w:val="21"/>
                <w:szCs w:val="21"/>
                <w:lang w:val="en-US" w:eastAsia="zh-CN"/>
              </w:rPr>
              <w:t>7</w:t>
            </w:r>
          </w:p>
        </w:tc>
        <w:tc>
          <w:tcPr>
            <w:tcW w:w="1154" w:type="dxa"/>
            <w:vAlign w:val="center"/>
          </w:tcPr>
          <w:p>
            <w:pPr>
              <w:pStyle w:val="30"/>
              <w:bidi w:val="0"/>
              <w:jc w:val="center"/>
              <w:rPr>
                <w:rFonts w:hint="default"/>
                <w:sz w:val="21"/>
                <w:szCs w:val="21"/>
                <w:lang w:val="en-US" w:eastAsia="zh-CN"/>
              </w:rPr>
            </w:pPr>
            <w:r>
              <w:rPr>
                <w:sz w:val="21"/>
                <w:szCs w:val="21"/>
              </w:rPr>
              <w:t>催</w:t>
            </w:r>
            <w:r>
              <w:rPr>
                <w:rFonts w:hint="default"/>
                <w:sz w:val="21"/>
                <w:szCs w:val="21"/>
              </w:rPr>
              <w:t>化燃烧法</w:t>
            </w:r>
          </w:p>
        </w:tc>
        <w:tc>
          <w:tcPr>
            <w:tcW w:w="3168" w:type="dxa"/>
            <w:vAlign w:val="center"/>
          </w:tcPr>
          <w:p>
            <w:pPr>
              <w:pStyle w:val="30"/>
              <w:bidi w:val="0"/>
              <w:jc w:val="center"/>
              <w:rPr>
                <w:rFonts w:hint="default"/>
                <w:sz w:val="21"/>
                <w:szCs w:val="21"/>
                <w:lang w:val="en-US" w:eastAsia="zh-CN"/>
              </w:rPr>
            </w:pPr>
            <w:r>
              <w:rPr>
                <w:sz w:val="21"/>
                <w:szCs w:val="21"/>
              </w:rPr>
              <w:t>在</w:t>
            </w:r>
            <w:r>
              <w:rPr>
                <w:rFonts w:hint="default"/>
                <w:sz w:val="21"/>
                <w:szCs w:val="21"/>
              </w:rPr>
              <w:t>氧化催化剂作用下将碳氢化合物氧化为</w:t>
            </w:r>
            <w:r>
              <w:rPr>
                <w:sz w:val="21"/>
                <w:szCs w:val="21"/>
              </w:rPr>
              <w:t>C</w:t>
            </w:r>
            <w:r>
              <w:rPr>
                <w:rFonts w:hint="default"/>
                <w:sz w:val="21"/>
                <w:szCs w:val="21"/>
              </w:rPr>
              <w:t>O</w:t>
            </w:r>
            <w:r>
              <w:rPr>
                <w:rFonts w:hint="default"/>
                <w:sz w:val="21"/>
                <w:szCs w:val="21"/>
                <w:vertAlign w:val="subscript"/>
              </w:rPr>
              <w:t>2</w:t>
            </w:r>
            <w:r>
              <w:rPr>
                <w:rFonts w:hint="default"/>
                <w:sz w:val="21"/>
                <w:szCs w:val="21"/>
              </w:rPr>
              <w:t>和H</w:t>
            </w:r>
            <w:r>
              <w:rPr>
                <w:rFonts w:hint="default"/>
                <w:sz w:val="21"/>
                <w:szCs w:val="21"/>
                <w:vertAlign w:val="subscript"/>
              </w:rPr>
              <w:t>2</w:t>
            </w:r>
            <w:r>
              <w:rPr>
                <w:rFonts w:hint="default"/>
                <w:sz w:val="21"/>
                <w:szCs w:val="21"/>
              </w:rPr>
              <w:t>O，温度范围为200～400°C</w:t>
            </w:r>
          </w:p>
        </w:tc>
        <w:tc>
          <w:tcPr>
            <w:tcW w:w="657" w:type="dxa"/>
            <w:vAlign w:val="center"/>
          </w:tcPr>
          <w:p>
            <w:pPr>
              <w:pStyle w:val="30"/>
              <w:bidi w:val="0"/>
              <w:jc w:val="center"/>
              <w:rPr>
                <w:rFonts w:hint="default"/>
                <w:sz w:val="21"/>
                <w:szCs w:val="21"/>
                <w:lang w:val="en-US" w:eastAsia="zh-CN"/>
              </w:rPr>
            </w:pPr>
            <w:r>
              <w:rPr>
                <w:rFonts w:hint="eastAsia"/>
                <w:sz w:val="21"/>
                <w:szCs w:val="21"/>
                <w:lang w:val="en-US" w:eastAsia="zh-CN"/>
              </w:rPr>
              <w:t>较高</w:t>
            </w:r>
          </w:p>
        </w:tc>
        <w:tc>
          <w:tcPr>
            <w:tcW w:w="2587" w:type="dxa"/>
            <w:vAlign w:val="center"/>
          </w:tcPr>
          <w:p>
            <w:pPr>
              <w:pStyle w:val="30"/>
              <w:bidi w:val="0"/>
              <w:jc w:val="center"/>
              <w:rPr>
                <w:rFonts w:hint="default"/>
                <w:sz w:val="21"/>
                <w:szCs w:val="21"/>
                <w:lang w:val="en-US" w:eastAsia="zh-CN"/>
              </w:rPr>
            </w:pPr>
            <w:r>
              <w:rPr>
                <w:sz w:val="21"/>
                <w:szCs w:val="21"/>
              </w:rPr>
              <w:t>适</w:t>
            </w:r>
            <w:r>
              <w:rPr>
                <w:rFonts w:hint="default"/>
                <w:sz w:val="21"/>
                <w:szCs w:val="21"/>
              </w:rPr>
              <w:t>用于各种浓度的废气净化，适用于连续排气的场合</w:t>
            </w:r>
          </w:p>
        </w:tc>
        <w:tc>
          <w:tcPr>
            <w:tcW w:w="1086" w:type="dxa"/>
            <w:vAlign w:val="center"/>
          </w:tcPr>
          <w:p>
            <w:pPr>
              <w:pStyle w:val="30"/>
              <w:bidi w:val="0"/>
              <w:jc w:val="center"/>
              <w:rPr>
                <w:rFonts w:hint="default"/>
                <w:sz w:val="21"/>
                <w:szCs w:val="21"/>
                <w:lang w:val="en-US" w:eastAsia="zh-CN"/>
              </w:rPr>
            </w:pPr>
            <w:r>
              <w:rPr>
                <w:sz w:val="21"/>
                <w:szCs w:val="21"/>
              </w:rPr>
              <w:t>较</w:t>
            </w:r>
            <w:r>
              <w:rPr>
                <w:rFonts w:hint="default"/>
                <w:sz w:val="21"/>
                <w:szCs w:val="21"/>
              </w:rPr>
              <w:t>高</w:t>
            </w:r>
          </w:p>
        </w:tc>
      </w:tr>
    </w:tbl>
    <w:p>
      <w:pPr>
        <w:bidi w:val="0"/>
        <w:rPr>
          <w:rFonts w:hint="eastAsia"/>
          <w:lang w:val="en-US" w:eastAsia="zh-CN"/>
        </w:rPr>
      </w:pPr>
      <w:r>
        <w:rPr>
          <w:rFonts w:hint="eastAsia"/>
          <w:lang w:eastAsia="zh-CN"/>
        </w:rPr>
        <w:t>经比选本项目造粒、注塑</w:t>
      </w:r>
      <w:r>
        <w:rPr>
          <w:rFonts w:hint="default"/>
        </w:rPr>
        <w:t>废气处理工艺选择：</w:t>
      </w:r>
      <w:r>
        <w:rPr>
          <w:rFonts w:hint="eastAsia"/>
          <w:lang w:eastAsia="zh-CN"/>
        </w:rPr>
        <w:t>造粒</w:t>
      </w:r>
      <w:r>
        <w:rPr>
          <w:rFonts w:hint="default"/>
        </w:rPr>
        <w:t>工艺产生的废气主要污染物为</w:t>
      </w:r>
      <w:r>
        <w:rPr>
          <w:rFonts w:hint="eastAsia"/>
          <w:lang w:eastAsia="zh-CN"/>
        </w:rPr>
        <w:t>非甲烷总烃和苯乙烯</w:t>
      </w:r>
      <w:r>
        <w:rPr>
          <w:rFonts w:hint="default"/>
        </w:rPr>
        <w:t>，</w:t>
      </w:r>
      <w:r>
        <w:rPr>
          <w:rFonts w:hint="eastAsia"/>
          <w:lang w:eastAsia="zh-CN"/>
        </w:rPr>
        <w:t>注塑</w:t>
      </w:r>
      <w:r>
        <w:rPr>
          <w:rFonts w:hint="default"/>
        </w:rPr>
        <w:t>工艺产生的废气主要污染物为</w:t>
      </w:r>
      <w:r>
        <w:rPr>
          <w:rFonts w:hint="eastAsia"/>
          <w:lang w:eastAsia="zh-CN"/>
        </w:rPr>
        <w:t>非甲烷总烃、苯乙烯。</w:t>
      </w:r>
      <w:r>
        <w:rPr>
          <w:rFonts w:hint="default"/>
        </w:rPr>
        <w:t>由于</w:t>
      </w:r>
      <w:r>
        <w:rPr>
          <w:rFonts w:hint="eastAsia"/>
          <w:lang w:eastAsia="zh-CN"/>
        </w:rPr>
        <w:t>非甲烷总烃源强较大</w:t>
      </w:r>
      <w:r>
        <w:rPr>
          <w:rFonts w:hint="default"/>
        </w:rPr>
        <w:t>，因此</w:t>
      </w:r>
      <w:r>
        <w:rPr>
          <w:rFonts w:hint="eastAsia"/>
          <w:lang w:eastAsia="zh-CN"/>
        </w:rPr>
        <w:t>需选择处理效率较高的工艺</w:t>
      </w:r>
      <w:r>
        <w:rPr>
          <w:rFonts w:hint="default"/>
        </w:rPr>
        <w:t>，因此采用吸附</w:t>
      </w:r>
      <w:r>
        <w:rPr>
          <w:rFonts w:hint="eastAsia"/>
          <w:lang w:eastAsia="zh-CN"/>
        </w:rPr>
        <w:t>浓缩</w:t>
      </w:r>
      <w:r>
        <w:rPr>
          <w:rFonts w:hint="default"/>
        </w:rPr>
        <w:t>法+催化燃烧法进行处理</w:t>
      </w:r>
      <w:r>
        <w:rPr>
          <w:rFonts w:hint="eastAsia"/>
          <w:lang w:val="en-US" w:eastAsia="zh-CN"/>
        </w:rPr>
        <w:t>。</w:t>
      </w:r>
    </w:p>
    <w:p>
      <w:pPr>
        <w:widowControl/>
        <w:numPr>
          <w:ilvl w:val="0"/>
          <w:numId w:val="0"/>
        </w:numPr>
        <w:ind w:firstLine="480" w:firstLineChars="200"/>
        <w:rPr>
          <w:rFonts w:hint="eastAsia"/>
          <w:color w:val="000000"/>
          <w:szCs w:val="24"/>
          <w:lang w:val="en-US" w:eastAsia="zh-CN" w:bidi="ar"/>
        </w:rPr>
      </w:pPr>
      <w:r>
        <w:rPr>
          <w:rFonts w:hint="eastAsia"/>
          <w:lang w:eastAsia="zh-CN"/>
        </w:rPr>
        <w:t>（</w:t>
      </w:r>
      <w:r>
        <w:rPr>
          <w:rFonts w:hint="eastAsia"/>
          <w:lang w:val="en-US" w:eastAsia="zh-CN"/>
        </w:rPr>
        <w:t>2）</w:t>
      </w:r>
      <w:r>
        <w:t>催</w:t>
      </w:r>
      <w:r>
        <w:rPr>
          <w:rFonts w:hint="default"/>
        </w:rPr>
        <w:t>化燃烧法</w:t>
      </w:r>
      <w:r>
        <w:rPr>
          <w:rFonts w:hint="eastAsia"/>
          <w:lang w:eastAsia="zh-CN"/>
        </w:rPr>
        <w:t>原理</w:t>
      </w:r>
      <w:r>
        <w:rPr>
          <w:rFonts w:hint="eastAsia"/>
          <w:color w:val="000000"/>
          <w:szCs w:val="24"/>
          <w:lang w:val="en-US" w:eastAsia="zh-CN" w:bidi="ar"/>
        </w:rPr>
        <w:t>：催化燃烧设备是典型的气-固相催化燃烧反应，它借助催化剂降低了反应的活化能，使其在较低的起燃温度200～300℃下进行无焰燃烧，有机物质氧化发生在固体催化剂表面，同时产生CO</w:t>
      </w:r>
      <w:r>
        <w:rPr>
          <w:rFonts w:hint="eastAsia"/>
          <w:color w:val="000000"/>
          <w:szCs w:val="24"/>
          <w:vertAlign w:val="subscript"/>
          <w:lang w:val="en-US" w:eastAsia="zh-CN" w:bidi="ar"/>
        </w:rPr>
        <w:t>2</w:t>
      </w:r>
      <w:r>
        <w:rPr>
          <w:rFonts w:hint="eastAsia"/>
          <w:color w:val="000000"/>
          <w:szCs w:val="24"/>
          <w:lang w:val="en-US" w:eastAsia="zh-CN" w:bidi="ar"/>
        </w:rPr>
        <w:t>和H</w:t>
      </w:r>
      <w:r>
        <w:rPr>
          <w:rFonts w:hint="eastAsia"/>
          <w:color w:val="000000"/>
          <w:szCs w:val="24"/>
          <w:vertAlign w:val="subscript"/>
          <w:lang w:val="en-US" w:eastAsia="zh-CN" w:bidi="ar"/>
        </w:rPr>
        <w:t>2</w:t>
      </w:r>
      <w:r>
        <w:rPr>
          <w:rFonts w:hint="eastAsia"/>
          <w:color w:val="000000"/>
          <w:szCs w:val="24"/>
          <w:lang w:val="en-US" w:eastAsia="zh-CN" w:bidi="ar"/>
        </w:rPr>
        <w:t>O，并放出大量的热量，因其氧化反应温度低，所以大大地抑制了空气中的N</w:t>
      </w:r>
      <w:r>
        <w:rPr>
          <w:rFonts w:hint="eastAsia"/>
          <w:color w:val="000000"/>
          <w:szCs w:val="24"/>
          <w:vertAlign w:val="subscript"/>
          <w:lang w:val="en-US" w:eastAsia="zh-CN" w:bidi="ar"/>
        </w:rPr>
        <w:t>2</w:t>
      </w:r>
      <w:r>
        <w:rPr>
          <w:rFonts w:hint="eastAsia"/>
          <w:color w:val="000000"/>
          <w:szCs w:val="24"/>
          <w:lang w:val="en-US" w:eastAsia="zh-CN" w:bidi="ar"/>
        </w:rPr>
        <w:t>形成高温NOx。而且由于催化剂有选择性催化作用，有可能限制燃料中含氮化合物（RNH）的氧化过程，使其多数形成分子氮（N</w:t>
      </w:r>
      <w:r>
        <w:rPr>
          <w:rFonts w:hint="eastAsia"/>
          <w:color w:val="000000"/>
          <w:szCs w:val="24"/>
          <w:vertAlign w:val="subscript"/>
          <w:lang w:val="en-US" w:eastAsia="zh-CN" w:bidi="ar"/>
        </w:rPr>
        <w:t>2</w:t>
      </w:r>
      <w:r>
        <w:rPr>
          <w:rFonts w:hint="eastAsia"/>
          <w:color w:val="000000"/>
          <w:szCs w:val="24"/>
          <w:lang w:val="en-US" w:eastAsia="zh-CN" w:bidi="ar"/>
        </w:rPr>
        <w:t>）。</w:t>
      </w:r>
    </w:p>
    <w:p>
      <w:pPr>
        <w:pStyle w:val="20"/>
        <w:numPr>
          <w:ilvl w:val="0"/>
          <w:numId w:val="9"/>
        </w:numPr>
        <w:ind w:left="0" w:leftChars="0" w:firstLine="482" w:firstLineChars="200"/>
        <w:rPr>
          <w:rFonts w:hint="eastAsia"/>
          <w:b/>
          <w:bCs/>
          <w:lang w:val="en-US" w:eastAsia="zh-CN"/>
        </w:rPr>
      </w:pPr>
      <w:r>
        <w:rPr>
          <w:rFonts w:hint="eastAsia"/>
          <w:b/>
          <w:bCs/>
          <w:lang w:val="en-US" w:eastAsia="zh-CN"/>
        </w:rPr>
        <w:t>造粒颗粒物废气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color w:val="000000"/>
          <w:sz w:val="24"/>
          <w:u w:val="single"/>
        </w:rPr>
      </w:pPr>
      <w:r>
        <w:rPr>
          <w:b w:val="0"/>
          <w:bCs/>
          <w:color w:val="000000"/>
          <w:sz w:val="24"/>
          <w:u w:val="single"/>
        </w:rPr>
        <w:t>喷淋洗涤塔工作原理：本项目每条塑料颗粒生产线在车间内配置一套水喷淋装置。洗涤塔内洗涤液通过喷嘴雾化成细小液滴均匀地向下喷淋，含尘气体和由喷淋塔下部进入，自下向上流动，两者逆流接触，利用尘粒与水滴的接触碰撞而相互凝聚或尘粒间团聚，使其重量大大增加，靠重力作用而沉降下来。被捕集的粉尘及油粒（有机废气的冷凝液，以非甲烷总烃考虑）被截留在喷淋塔内，定期清理的油污作为危废交有资质单位处理。部分澄清液可循环使用，与少量的补充清液一起经循环泵从塔顶喷嘴进入喷淋塔进行喷淋洗涤。从而减少了液体的耗量以及二次污水的处理量，喷淋水定期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color w:val="000000"/>
          <w:sz w:val="24"/>
          <w:u w:val="single"/>
        </w:rPr>
      </w:pPr>
      <w:r>
        <w:rPr>
          <w:b w:val="0"/>
          <w:bCs/>
          <w:color w:val="000000"/>
          <w:sz w:val="24"/>
          <w:u w:val="single"/>
        </w:rPr>
        <w:t>喷淋塔内设置填料层作为气液两相间接触构件的传质设备。</w:t>
      </w:r>
      <w:r>
        <w:rPr>
          <w:b w:val="0"/>
          <w:bCs/>
          <w:color w:val="000000"/>
          <w:sz w:val="24"/>
          <w:u w:val="single"/>
        </w:rPr>
        <w:fldChar w:fldCharType="begin"/>
      </w:r>
      <w:r>
        <w:rPr>
          <w:b w:val="0"/>
          <w:bCs/>
          <w:color w:val="000000"/>
          <w:sz w:val="24"/>
          <w:u w:val="single"/>
        </w:rPr>
        <w:instrText xml:space="preserve"> HYPERLINK "http://baike.sogou.com/lemma/ShowInnerLink.htm?lemmaId=512881&amp;ss_c=ssc.citiao.link" \t "_blank" </w:instrText>
      </w:r>
      <w:r>
        <w:rPr>
          <w:b w:val="0"/>
          <w:bCs/>
          <w:color w:val="000000"/>
          <w:sz w:val="24"/>
          <w:u w:val="single"/>
        </w:rPr>
        <w:fldChar w:fldCharType="separate"/>
      </w:r>
      <w:r>
        <w:rPr>
          <w:b w:val="0"/>
          <w:bCs/>
          <w:color w:val="000000"/>
          <w:sz w:val="24"/>
          <w:u w:val="single"/>
        </w:rPr>
        <w:t>填料塔</w:t>
      </w:r>
      <w:r>
        <w:rPr>
          <w:b w:val="0"/>
          <w:bCs/>
          <w:color w:val="000000"/>
          <w:sz w:val="24"/>
          <w:u w:val="single"/>
        </w:rPr>
        <w:fldChar w:fldCharType="end"/>
      </w:r>
      <w:r>
        <w:rPr>
          <w:b w:val="0"/>
          <w:bCs/>
          <w:color w:val="000000"/>
          <w:sz w:val="24"/>
          <w:u w:val="single"/>
        </w:rPr>
        <w:t>底部装有填料支承板，填料以乱堆方式放置在支承板上。填料的上方安装填料压板，以防被</w:t>
      </w:r>
      <w:r>
        <w:rPr>
          <w:b w:val="0"/>
          <w:bCs/>
          <w:color w:val="000000"/>
          <w:sz w:val="24"/>
          <w:u w:val="single"/>
        </w:rPr>
        <w:fldChar w:fldCharType="begin"/>
      </w:r>
      <w:r>
        <w:rPr>
          <w:b w:val="0"/>
          <w:bCs/>
          <w:color w:val="000000"/>
          <w:sz w:val="24"/>
          <w:u w:val="single"/>
        </w:rPr>
        <w:instrText xml:space="preserve"> HYPERLINK "http://baike.sogou.com/lemma/ShowInnerLink.htm?lemmaId=41674223&amp;ss_c=ssc.citiao.link" \t "_blank" </w:instrText>
      </w:r>
      <w:r>
        <w:rPr>
          <w:b w:val="0"/>
          <w:bCs/>
          <w:color w:val="000000"/>
          <w:sz w:val="24"/>
          <w:u w:val="single"/>
        </w:rPr>
        <w:fldChar w:fldCharType="separate"/>
      </w:r>
      <w:r>
        <w:rPr>
          <w:b w:val="0"/>
          <w:bCs/>
          <w:color w:val="000000"/>
          <w:sz w:val="24"/>
          <w:u w:val="single"/>
        </w:rPr>
        <w:t>上升气流</w:t>
      </w:r>
      <w:r>
        <w:rPr>
          <w:b w:val="0"/>
          <w:bCs/>
          <w:color w:val="000000"/>
          <w:sz w:val="24"/>
          <w:u w:val="single"/>
        </w:rPr>
        <w:fldChar w:fldCharType="end"/>
      </w:r>
      <w:r>
        <w:rPr>
          <w:b w:val="0"/>
          <w:bCs/>
          <w:color w:val="000000"/>
          <w:sz w:val="24"/>
          <w:u w:val="single"/>
        </w:rPr>
        <w:t>吹动。喷淋塔喷淋液从塔顶经</w:t>
      </w:r>
      <w:r>
        <w:rPr>
          <w:b w:val="0"/>
          <w:bCs/>
          <w:color w:val="000000"/>
          <w:sz w:val="24"/>
          <w:u w:val="single"/>
        </w:rPr>
        <w:fldChar w:fldCharType="begin"/>
      </w:r>
      <w:r>
        <w:rPr>
          <w:b w:val="0"/>
          <w:bCs/>
          <w:color w:val="000000"/>
          <w:sz w:val="24"/>
          <w:u w:val="single"/>
        </w:rPr>
        <w:instrText xml:space="preserve"> HYPERLINK "http://baike.sogou.com/lemma/ShowInnerLink.htm?lemmaId=59488309&amp;ss_c=ssc.citiao.link" \t "_blank" </w:instrText>
      </w:r>
      <w:r>
        <w:rPr>
          <w:b w:val="0"/>
          <w:bCs/>
          <w:color w:val="000000"/>
          <w:sz w:val="24"/>
          <w:u w:val="single"/>
        </w:rPr>
        <w:fldChar w:fldCharType="separate"/>
      </w:r>
      <w:r>
        <w:rPr>
          <w:b w:val="0"/>
          <w:bCs/>
          <w:color w:val="000000"/>
          <w:sz w:val="24"/>
          <w:u w:val="single"/>
        </w:rPr>
        <w:t>液体分布器</w:t>
      </w:r>
      <w:r>
        <w:rPr>
          <w:b w:val="0"/>
          <w:bCs/>
          <w:color w:val="000000"/>
          <w:sz w:val="24"/>
          <w:u w:val="single"/>
        </w:rPr>
        <w:fldChar w:fldCharType="end"/>
      </w:r>
      <w:r>
        <w:rPr>
          <w:b w:val="0"/>
          <w:bCs/>
          <w:color w:val="000000"/>
          <w:sz w:val="24"/>
          <w:u w:val="single"/>
        </w:rPr>
        <w:t>喷淋到填料上，并沿填料表面流下。气体从塔底送入，经气体分布装置分布后，与液体呈逆流连续通过填料层的空隙，在填料表面上，气液两相密切接触进行传质。当液体沿填料层向下流动时，有时会出现壁流现象，壁流效应造成气液两相在填料层中分布不均，从而使传质效率下降。喷淋系统能使浆液在吸收塔内均匀分布，流经每个喷淋层的流量相等，具有流量大，喷淋均匀，喷淋面积大，不堵塞等特点，去除烟尘效果好。</w:t>
      </w:r>
    </w:p>
    <w:p>
      <w:pPr>
        <w:pStyle w:val="20"/>
        <w:numPr>
          <w:ilvl w:val="0"/>
          <w:numId w:val="9"/>
        </w:numPr>
        <w:ind w:left="0" w:leftChars="0" w:firstLine="482" w:firstLineChars="200"/>
        <w:rPr>
          <w:rFonts w:hint="eastAsia"/>
          <w:b/>
          <w:bCs/>
          <w:lang w:val="en-US" w:eastAsia="zh-CN"/>
        </w:rPr>
      </w:pPr>
      <w:r>
        <w:rPr>
          <w:rFonts w:hint="eastAsia"/>
          <w:b/>
          <w:bCs/>
          <w:lang w:val="en-US" w:eastAsia="zh-CN"/>
        </w:rPr>
        <w:t>食堂油烟</w:t>
      </w:r>
    </w:p>
    <w:p>
      <w:pPr>
        <w:widowControl/>
        <w:ind w:firstLine="480"/>
        <w:rPr>
          <w:color w:val="000000"/>
          <w:szCs w:val="24"/>
          <w:lang w:val="en-US" w:bidi="ar"/>
        </w:rPr>
      </w:pPr>
      <w:r>
        <w:rPr>
          <w:rFonts w:hint="eastAsia"/>
          <w:color w:val="000000"/>
          <w:szCs w:val="24"/>
          <w:lang w:val="en-US" w:bidi="ar"/>
        </w:rPr>
        <w:t>项目营运后，食堂采用天然气为燃料，属于</w:t>
      </w:r>
      <w:r>
        <w:rPr>
          <w:rFonts w:hint="eastAsia"/>
          <w:color w:val="000000"/>
          <w:szCs w:val="24"/>
          <w:lang w:val="en-US" w:eastAsia="zh-CN" w:bidi="ar"/>
        </w:rPr>
        <w:t>小型</w:t>
      </w:r>
      <w:r>
        <w:rPr>
          <w:rFonts w:hint="eastAsia"/>
          <w:color w:val="000000"/>
          <w:szCs w:val="24"/>
          <w:lang w:val="en-US" w:bidi="ar"/>
        </w:rPr>
        <w:t>食堂。天然气为清洁能源，燃烧产生的一氧化碳、二氧化碳、烟尘、氮氧化物等污染物，通过食堂油烟净化器同净化后的油烟废气一起外排，对外环境影响不大。其主要污染为厨房烹饪产生的油烟。</w:t>
      </w:r>
    </w:p>
    <w:p>
      <w:pPr>
        <w:widowControl/>
        <w:ind w:firstLine="480"/>
        <w:rPr>
          <w:color w:val="000000"/>
          <w:szCs w:val="24"/>
          <w:lang w:val="en-US" w:bidi="ar"/>
        </w:rPr>
      </w:pPr>
      <w:r>
        <w:rPr>
          <w:rFonts w:hint="eastAsia"/>
          <w:color w:val="000000"/>
          <w:szCs w:val="24"/>
          <w:lang w:val="en-US" w:bidi="ar"/>
        </w:rPr>
        <w:t>食堂产生的油烟经油烟净化器处理后通过内置式烟管道引至楼顶排放。油烟净化器内部安装独特的油类碰吸单元，油烟经过净化器，在高压等离子电场的作用下，将微小的油颗粒与气体进行电离荷电，带电的微小离子（油颗粒）被吸附单元所收集，并流入和沉积到净化器的储油箱内，烟尘内有害气体被电场内所产生的臭氧所杀菌并去除异味，有害气体被除掉。</w:t>
      </w:r>
    </w:p>
    <w:p>
      <w:pPr>
        <w:widowControl/>
        <w:ind w:firstLine="480"/>
        <w:rPr>
          <w:color w:val="000000"/>
          <w:szCs w:val="24"/>
          <w:lang w:val="en-US" w:bidi="ar"/>
        </w:rPr>
      </w:pPr>
      <w:r>
        <w:rPr>
          <w:rFonts w:hint="eastAsia"/>
          <w:color w:val="000000"/>
          <w:szCs w:val="24"/>
          <w:lang w:val="en-US" w:bidi="ar"/>
        </w:rPr>
        <w:t>为解决该项目厨房废气污染，改善操作人员工作环境，本项目采取如下措施：</w:t>
      </w:r>
    </w:p>
    <w:p>
      <w:pPr>
        <w:widowControl/>
        <w:ind w:firstLine="480"/>
        <w:rPr>
          <w:color w:val="000000"/>
          <w:szCs w:val="24"/>
          <w:lang w:val="en-US" w:bidi="ar"/>
        </w:rPr>
      </w:pPr>
      <w:r>
        <w:rPr>
          <w:rFonts w:hint="eastAsia"/>
          <w:color w:val="000000"/>
          <w:szCs w:val="24"/>
          <w:lang w:val="en-US" w:bidi="ar"/>
        </w:rPr>
        <w:t>①采用油烟去除率不低于9</w:t>
      </w:r>
      <w:r>
        <w:rPr>
          <w:rFonts w:hint="eastAsia"/>
          <w:color w:val="000000"/>
          <w:szCs w:val="24"/>
          <w:lang w:val="en-US" w:eastAsia="zh-CN" w:bidi="ar"/>
        </w:rPr>
        <w:t>0</w:t>
      </w:r>
      <w:r>
        <w:rPr>
          <w:rFonts w:hint="eastAsia"/>
          <w:color w:val="000000"/>
          <w:szCs w:val="24"/>
          <w:lang w:val="en-US" w:bidi="ar"/>
        </w:rPr>
        <w:t>%，风量为</w:t>
      </w:r>
      <w:r>
        <w:rPr>
          <w:rFonts w:hint="eastAsia"/>
          <w:color w:val="000000"/>
          <w:szCs w:val="24"/>
          <w:lang w:val="en-US" w:eastAsia="zh-CN" w:bidi="ar"/>
        </w:rPr>
        <w:t>2000</w:t>
      </w:r>
      <w:r>
        <w:rPr>
          <w:rFonts w:hint="eastAsia"/>
          <w:color w:val="000000"/>
          <w:szCs w:val="24"/>
          <w:lang w:val="en-US" w:bidi="ar"/>
        </w:rPr>
        <w:t>m³/h的油烟净化装置，食堂油烟经净化处理后，满足《餐饮业油烟污染物排放标准》（D</w:t>
      </w:r>
      <w:r>
        <w:rPr>
          <w:color w:val="000000"/>
          <w:szCs w:val="24"/>
          <w:lang w:val="en-US" w:bidi="ar"/>
        </w:rPr>
        <w:t>B</w:t>
      </w:r>
      <w:r>
        <w:rPr>
          <w:rFonts w:hint="eastAsia"/>
          <w:color w:val="000000"/>
          <w:szCs w:val="24"/>
          <w:lang w:val="en-US" w:bidi="ar"/>
        </w:rPr>
        <w:t>41/1604</w:t>
      </w:r>
      <w:r>
        <w:rPr>
          <w:color w:val="000000"/>
          <w:szCs w:val="24"/>
          <w:lang w:val="en-US" w:bidi="ar"/>
        </w:rPr>
        <w:t>-20</w:t>
      </w:r>
      <w:r>
        <w:rPr>
          <w:rFonts w:hint="eastAsia"/>
          <w:color w:val="000000"/>
          <w:szCs w:val="24"/>
          <w:lang w:val="en-US" w:bidi="ar"/>
        </w:rPr>
        <w:t>18）要求，达标排放，对周围环境影响不大。</w:t>
      </w:r>
    </w:p>
    <w:p>
      <w:pPr>
        <w:widowControl/>
        <w:ind w:firstLine="480"/>
        <w:rPr>
          <w:color w:val="000000"/>
          <w:szCs w:val="24"/>
          <w:lang w:val="en-US" w:bidi="ar"/>
        </w:rPr>
      </w:pPr>
      <w:r>
        <w:rPr>
          <w:rFonts w:hint="eastAsia"/>
          <w:color w:val="000000"/>
          <w:szCs w:val="24"/>
          <w:lang w:val="en-US" w:bidi="ar"/>
        </w:rPr>
        <w:t>②加大厨房通风量，保证厨房内的适当负压，防止污染物外逸。</w:t>
      </w:r>
    </w:p>
    <w:p>
      <w:pPr>
        <w:ind w:firstLine="480"/>
        <w:rPr>
          <w:lang w:val="en-US"/>
        </w:rPr>
      </w:pPr>
      <w:r>
        <w:rPr>
          <w:rFonts w:hint="eastAsia"/>
          <w:lang w:val="en-US"/>
        </w:rPr>
        <w:t>③为改善厨师等操作人员的工作环境，采用局部空调送风方式：在夏季利用空调向工作点送凉风，冬季则直接向工作点送室外风。</w:t>
      </w:r>
    </w:p>
    <w:p>
      <w:pPr>
        <w:ind w:firstLine="480"/>
        <w:rPr>
          <w:lang w:val="en-US"/>
        </w:rPr>
      </w:pPr>
      <w:r>
        <w:rPr>
          <w:rFonts w:hint="eastAsia"/>
          <w:lang w:val="en-US"/>
        </w:rPr>
        <w:t>④定期对油烟净化器进行维护，使之在最佳工况下运行。</w:t>
      </w:r>
    </w:p>
    <w:p>
      <w:pPr>
        <w:ind w:firstLine="480"/>
        <w:rPr>
          <w:u w:val="single"/>
          <w:lang w:val="en-US"/>
        </w:rPr>
      </w:pPr>
      <w:r>
        <w:rPr>
          <w:rFonts w:hint="eastAsia"/>
          <w:lang w:val="en-US"/>
        </w:rPr>
        <w:t>技术可行性分析</w:t>
      </w:r>
      <w:r>
        <w:rPr>
          <w:rFonts w:hint="eastAsia"/>
          <w:lang w:val="en-US" w:eastAsia="zh-CN"/>
        </w:rPr>
        <w:t>：</w:t>
      </w:r>
      <w:r>
        <w:rPr>
          <w:rFonts w:hint="eastAsia"/>
          <w:u w:val="single"/>
          <w:lang w:val="en-US"/>
        </w:rPr>
        <w:t>现阶段油烟净化装置为成套成熟去除工艺。本项目</w:t>
      </w:r>
      <w:r>
        <w:rPr>
          <w:rFonts w:hint="eastAsia"/>
          <w:u w:val="single"/>
          <w:lang w:val="en-US" w:eastAsia="zh-CN"/>
        </w:rPr>
        <w:t>设置1个灶头，</w:t>
      </w:r>
      <w:r>
        <w:rPr>
          <w:rFonts w:hint="eastAsia"/>
          <w:u w:val="single"/>
          <w:lang w:val="en-US"/>
        </w:rPr>
        <w:t>选用的油烟净化装置排气罩灶面投影面积</w:t>
      </w:r>
      <w:r>
        <w:rPr>
          <w:rFonts w:hint="eastAsia"/>
          <w:u w:val="single"/>
          <w:lang w:val="en-US" w:eastAsia="zh-CN"/>
        </w:rPr>
        <w:t>＜3.3</w:t>
      </w:r>
      <w:r>
        <w:rPr>
          <w:rFonts w:hint="eastAsia"/>
          <w:u w:val="single"/>
          <w:lang w:val="en-US"/>
        </w:rPr>
        <w:t>m²；排气筒出口段的长度至少有4.5倍直径的平直管段，要求引至室外楼顶排放，保证油烟去除率不低于9</w:t>
      </w:r>
      <w:r>
        <w:rPr>
          <w:rFonts w:hint="eastAsia"/>
          <w:u w:val="single"/>
          <w:lang w:val="en-US" w:eastAsia="zh-CN"/>
        </w:rPr>
        <w:t>0</w:t>
      </w:r>
      <w:r>
        <w:rPr>
          <w:rFonts w:hint="eastAsia"/>
          <w:u w:val="single"/>
          <w:lang w:val="en-US"/>
        </w:rPr>
        <w:t>%，油烟经净化后，符合《餐饮业油烟污染物排放标准》（D</w:t>
      </w:r>
      <w:r>
        <w:rPr>
          <w:u w:val="single"/>
          <w:lang w:val="en-US"/>
        </w:rPr>
        <w:t>B</w:t>
      </w:r>
      <w:r>
        <w:rPr>
          <w:rFonts w:hint="eastAsia"/>
          <w:u w:val="single"/>
          <w:lang w:val="en-US"/>
        </w:rPr>
        <w:t>41/1604</w:t>
      </w:r>
      <w:r>
        <w:rPr>
          <w:u w:val="single"/>
          <w:lang w:val="en-US"/>
        </w:rPr>
        <w:t>-20</w:t>
      </w:r>
      <w:r>
        <w:rPr>
          <w:rFonts w:hint="eastAsia"/>
          <w:u w:val="single"/>
          <w:lang w:val="en-US"/>
        </w:rPr>
        <w:t>18），技术可行。</w:t>
      </w:r>
    </w:p>
    <w:p>
      <w:pPr>
        <w:widowControl/>
        <w:ind w:firstLine="480"/>
        <w:rPr>
          <w:rFonts w:hint="eastAsia"/>
          <w:color w:val="000000"/>
          <w:szCs w:val="24"/>
          <w:lang w:val="en-US" w:bidi="ar"/>
        </w:rPr>
      </w:pPr>
      <w:r>
        <w:rPr>
          <w:rFonts w:hint="eastAsia"/>
          <w:color w:val="000000"/>
          <w:szCs w:val="24"/>
          <w:lang w:val="en-US" w:bidi="ar"/>
        </w:rPr>
        <w:t>处理效果</w:t>
      </w:r>
      <w:r>
        <w:rPr>
          <w:rFonts w:hint="eastAsia"/>
          <w:color w:val="000000"/>
          <w:szCs w:val="24"/>
          <w:lang w:val="en-US" w:eastAsia="zh-CN" w:bidi="ar"/>
        </w:rPr>
        <w:t>：</w:t>
      </w:r>
      <w:r>
        <w:rPr>
          <w:rFonts w:hint="eastAsia"/>
          <w:color w:val="000000"/>
          <w:szCs w:val="24"/>
          <w:lang w:val="en-US" w:bidi="ar"/>
        </w:rPr>
        <w:t>按照《餐饮业油烟污染物排放标准》（D</w:t>
      </w:r>
      <w:r>
        <w:rPr>
          <w:color w:val="000000"/>
          <w:szCs w:val="24"/>
          <w:lang w:val="en-US" w:bidi="ar"/>
        </w:rPr>
        <w:t>B</w:t>
      </w:r>
      <w:r>
        <w:rPr>
          <w:rFonts w:hint="eastAsia"/>
          <w:color w:val="000000"/>
          <w:szCs w:val="24"/>
          <w:lang w:val="en-US" w:bidi="ar"/>
        </w:rPr>
        <w:t>41/1604</w:t>
      </w:r>
      <w:r>
        <w:rPr>
          <w:color w:val="000000"/>
          <w:szCs w:val="24"/>
          <w:lang w:val="en-US" w:bidi="ar"/>
        </w:rPr>
        <w:t>-20</w:t>
      </w:r>
      <w:r>
        <w:rPr>
          <w:rFonts w:hint="eastAsia"/>
          <w:color w:val="000000"/>
          <w:szCs w:val="24"/>
          <w:lang w:val="en-US" w:bidi="ar"/>
        </w:rPr>
        <w:t>18），油烟去除率不低于9</w:t>
      </w:r>
      <w:r>
        <w:rPr>
          <w:rFonts w:hint="eastAsia"/>
          <w:color w:val="000000"/>
          <w:szCs w:val="24"/>
          <w:lang w:val="en-US" w:eastAsia="zh-CN" w:bidi="ar"/>
        </w:rPr>
        <w:t>0</w:t>
      </w:r>
      <w:r>
        <w:rPr>
          <w:rFonts w:hint="eastAsia"/>
          <w:color w:val="000000"/>
          <w:szCs w:val="24"/>
          <w:lang w:val="en-US" w:bidi="ar"/>
        </w:rPr>
        <w:t>%，出口油烟浓度≤1.</w:t>
      </w:r>
      <w:r>
        <w:rPr>
          <w:rFonts w:hint="eastAsia"/>
          <w:color w:val="000000"/>
          <w:szCs w:val="24"/>
          <w:lang w:val="en-US" w:eastAsia="zh-CN" w:bidi="ar"/>
        </w:rPr>
        <w:t>5</w:t>
      </w:r>
      <w:r>
        <w:rPr>
          <w:rFonts w:hint="eastAsia"/>
          <w:color w:val="000000"/>
          <w:szCs w:val="24"/>
          <w:lang w:val="en-US" w:bidi="ar"/>
        </w:rPr>
        <w:t>mg/m³。</w:t>
      </w:r>
    </w:p>
    <w:p>
      <w:pPr>
        <w:pStyle w:val="20"/>
        <w:numPr>
          <w:ilvl w:val="0"/>
          <w:numId w:val="9"/>
        </w:numPr>
        <w:ind w:left="0" w:leftChars="0" w:firstLine="482" w:firstLineChars="200"/>
        <w:rPr>
          <w:rFonts w:hint="eastAsia"/>
          <w:b/>
          <w:bCs/>
          <w:lang w:val="en-US" w:eastAsia="zh-CN"/>
        </w:rPr>
      </w:pPr>
      <w:r>
        <w:rPr>
          <w:rFonts w:hint="eastAsia"/>
          <w:b/>
          <w:bCs/>
          <w:lang w:val="en-US" w:eastAsia="zh-CN"/>
        </w:rPr>
        <w:t>污水站废气</w:t>
      </w:r>
    </w:p>
    <w:p>
      <w:pPr>
        <w:widowControl/>
        <w:ind w:firstLine="480"/>
        <w:rPr>
          <w:rFonts w:hint="eastAsia"/>
          <w:color w:val="000000"/>
          <w:szCs w:val="24"/>
          <w:lang w:val="en-US" w:bidi="ar"/>
        </w:rPr>
      </w:pPr>
      <w:r>
        <w:rPr>
          <w:rFonts w:hint="eastAsia"/>
          <w:color w:val="000000"/>
          <w:szCs w:val="24"/>
          <w:lang w:val="en-US" w:eastAsia="zh-CN" w:bidi="ar"/>
        </w:rPr>
        <w:t>本环节废气采用“二级活性炭吸附装置”进行处理后高空排放。</w:t>
      </w:r>
    </w:p>
    <w:p>
      <w:pPr>
        <w:widowControl/>
        <w:ind w:firstLine="480"/>
        <w:rPr>
          <w:lang w:val="en-US"/>
        </w:rPr>
      </w:pPr>
      <w:r>
        <w:rPr>
          <w:rFonts w:hint="eastAsia"/>
          <w:lang w:val="en-US" w:eastAsia="zh-CN"/>
        </w:rPr>
        <w:t>吸附法处理废气效率的关键是吸附剂，对吸附剂的要求是具有密集的细孔结构，内表面积大，吸附性能好，化学性质稳定，耐酸碱、耐水、耐高温高压，不易破碎，对空气阻力小。常用的吸附材料为颗粒状活性炭和活性炭纤维，吸附法主要用于低浓度高风量有机废气净化，技术成熟，且具有较高的吸附效率。</w:t>
      </w:r>
    </w:p>
    <w:p>
      <w:pPr>
        <w:widowControl/>
        <w:ind w:firstLine="480"/>
        <w:rPr>
          <w:lang w:val="en-US"/>
        </w:rPr>
      </w:pPr>
      <w:r>
        <w:rPr>
          <w:rFonts w:hint="eastAsia"/>
          <w:lang w:val="en-US" w:eastAsia="zh-CN"/>
        </w:rPr>
        <w:t>本环节废气采用“二级活性炭吸附装置”，该装置风机风量3</w:t>
      </w:r>
      <w:r>
        <w:rPr>
          <w:rFonts w:hint="default"/>
          <w:lang w:val="en-US" w:eastAsia="zh-CN"/>
        </w:rPr>
        <w:t>000m</w:t>
      </w:r>
      <w:r>
        <w:rPr>
          <w:rFonts w:hint="default"/>
          <w:vertAlign w:val="superscript"/>
          <w:lang w:val="en-US" w:eastAsia="zh-CN"/>
        </w:rPr>
        <w:t>3</w:t>
      </w:r>
      <w:r>
        <w:rPr>
          <w:rFonts w:hint="default"/>
          <w:lang w:val="en-US" w:eastAsia="zh-CN"/>
        </w:rPr>
        <w:t>/h</w:t>
      </w:r>
      <w:r>
        <w:rPr>
          <w:rFonts w:hint="eastAsia"/>
          <w:lang w:val="en-US" w:eastAsia="zh-CN"/>
        </w:rPr>
        <w:t>，该装置对酸性气体（</w:t>
      </w:r>
      <w:r>
        <w:rPr>
          <w:rFonts w:hint="default"/>
          <w:lang w:val="en-US" w:eastAsia="zh-CN"/>
        </w:rPr>
        <w:t>NH</w:t>
      </w:r>
      <w:r>
        <w:rPr>
          <w:rFonts w:hint="default"/>
          <w:vertAlign w:val="subscript"/>
          <w:lang w:val="en-US" w:eastAsia="zh-CN"/>
        </w:rPr>
        <w:t>3</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）去除效率达60</w:t>
      </w:r>
      <w:r>
        <w:rPr>
          <w:rFonts w:hint="default"/>
          <w:lang w:val="en-US" w:eastAsia="zh-CN"/>
        </w:rPr>
        <w:t>%</w:t>
      </w:r>
      <w:r>
        <w:rPr>
          <w:rFonts w:hint="eastAsia"/>
          <w:lang w:val="en-US" w:eastAsia="zh-CN"/>
        </w:rPr>
        <w:t>，对有机废气去除效率达70</w:t>
      </w:r>
      <w:r>
        <w:rPr>
          <w:rFonts w:hint="default"/>
          <w:lang w:val="en-US" w:eastAsia="zh-CN"/>
        </w:rPr>
        <w:t>%</w:t>
      </w:r>
      <w:r>
        <w:rPr>
          <w:rFonts w:hint="eastAsia"/>
          <w:lang w:val="en-US" w:eastAsia="zh-CN"/>
        </w:rPr>
        <w:t>，废气最终通过</w:t>
      </w:r>
      <w:r>
        <w:rPr>
          <w:rFonts w:hint="default"/>
          <w:lang w:val="en-US" w:eastAsia="zh-CN"/>
        </w:rPr>
        <w:t>15m</w:t>
      </w:r>
      <w:r>
        <w:rPr>
          <w:rFonts w:hint="eastAsia"/>
          <w:lang w:val="en-US" w:eastAsia="zh-CN"/>
        </w:rPr>
        <w:t>排气筒排放，经预测能达标排放。</w:t>
      </w:r>
    </w:p>
    <w:p>
      <w:pPr>
        <w:pStyle w:val="4"/>
        <w:bidi w:val="0"/>
      </w:pPr>
      <w:bookmarkStart w:id="205" w:name="_Toc9421"/>
      <w:bookmarkStart w:id="206" w:name="_Toc5888504"/>
      <w:r>
        <w:rPr>
          <w:rFonts w:hint="eastAsia"/>
          <w:lang w:val="en-US" w:eastAsia="zh-CN"/>
        </w:rPr>
        <w:t xml:space="preserve">7.2.2 </w:t>
      </w:r>
      <w:r>
        <w:t>运营期地表水污染防治措施</w:t>
      </w:r>
      <w:bookmarkEnd w:id="205"/>
      <w:bookmarkEnd w:id="206"/>
    </w:p>
    <w:p>
      <w:pPr>
        <w:ind w:firstLine="480" w:firstLineChars="200"/>
        <w:rPr>
          <w:rFonts w:ascii="Times New Roman" w:hAnsi="Times New Roman"/>
          <w:color w:val="auto"/>
          <w:sz w:val="24"/>
        </w:rPr>
      </w:pPr>
      <w:r>
        <w:rPr>
          <w:rFonts w:ascii="Times New Roman" w:hAnsi="Times New Roman"/>
          <w:color w:val="auto"/>
          <w:sz w:val="24"/>
        </w:rPr>
        <w:t>1、废水治理对象</w:t>
      </w:r>
    </w:p>
    <w:p>
      <w:pPr>
        <w:ind w:firstLine="480" w:firstLineChars="200"/>
        <w:rPr>
          <w:rFonts w:ascii="Times New Roman" w:hAnsi="Times New Roman"/>
          <w:color w:val="auto"/>
          <w:sz w:val="24"/>
        </w:rPr>
      </w:pPr>
      <w:r>
        <w:rPr>
          <w:rFonts w:ascii="Times New Roman" w:hAnsi="Times New Roman"/>
          <w:color w:val="auto"/>
          <w:sz w:val="24"/>
        </w:rPr>
        <w:t>治理对象为</w:t>
      </w:r>
      <w:r>
        <w:rPr>
          <w:rFonts w:hint="eastAsia"/>
          <w:color w:val="auto"/>
          <w:sz w:val="24"/>
          <w:lang w:eastAsia="zh-CN"/>
        </w:rPr>
        <w:t>物料清洗废水、冷却循环水，</w:t>
      </w:r>
      <w:r>
        <w:rPr>
          <w:rFonts w:ascii="Times New Roman" w:hAnsi="Times New Roman"/>
          <w:color w:val="auto"/>
          <w:sz w:val="24"/>
        </w:rPr>
        <w:t>其主要废水污染物主要为SS、COD、NH</w:t>
      </w:r>
      <w:r>
        <w:rPr>
          <w:rFonts w:ascii="Times New Roman" w:hAnsi="Times New Roman"/>
          <w:color w:val="auto"/>
          <w:sz w:val="24"/>
          <w:vertAlign w:val="subscript"/>
        </w:rPr>
        <w:t>3</w:t>
      </w:r>
      <w:r>
        <w:rPr>
          <w:rFonts w:ascii="Times New Roman" w:hAnsi="Times New Roman"/>
          <w:color w:val="auto"/>
          <w:sz w:val="24"/>
        </w:rPr>
        <w:t>-N、TP</w:t>
      </w:r>
      <w:r>
        <w:rPr>
          <w:rFonts w:hint="eastAsia"/>
          <w:color w:val="auto"/>
          <w:sz w:val="24"/>
          <w:lang w:eastAsia="zh-CN"/>
        </w:rPr>
        <w:t>、苯乙烯等</w:t>
      </w:r>
      <w:r>
        <w:rPr>
          <w:rFonts w:ascii="Times New Roman" w:hAnsi="Times New Roman"/>
          <w:color w:val="auto"/>
          <w:sz w:val="24"/>
        </w:rPr>
        <w:t>。</w:t>
      </w:r>
    </w:p>
    <w:p>
      <w:pPr>
        <w:ind w:firstLine="480" w:firstLineChars="200"/>
        <w:rPr>
          <w:rFonts w:ascii="Times New Roman" w:hAnsi="Times New Roman"/>
          <w:color w:val="auto"/>
          <w:sz w:val="24"/>
        </w:rPr>
      </w:pPr>
      <w:r>
        <w:rPr>
          <w:rFonts w:ascii="Times New Roman" w:hAnsi="Times New Roman"/>
          <w:color w:val="auto"/>
          <w:sz w:val="24"/>
        </w:rPr>
        <w:t>2、废水治理目标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u w:val="single"/>
        </w:rPr>
      </w:pPr>
      <w:r>
        <w:rPr>
          <w:rFonts w:ascii="Times New Roman" w:hAnsi="Times New Roman"/>
          <w:color w:val="auto"/>
          <w:sz w:val="24"/>
        </w:rPr>
        <w:t>根据现场调查，项目所在地的市政污水管网</w:t>
      </w:r>
      <w:r>
        <w:rPr>
          <w:rFonts w:hint="eastAsia" w:ascii="Times New Roman" w:hAnsi="Times New Roman"/>
          <w:color w:val="auto"/>
          <w:sz w:val="24"/>
          <w:lang w:eastAsia="zh-CN"/>
        </w:rPr>
        <w:t>尚</w:t>
      </w:r>
      <w:r>
        <w:rPr>
          <w:rFonts w:ascii="Times New Roman" w:hAnsi="Times New Roman"/>
          <w:color w:val="auto"/>
          <w:sz w:val="24"/>
        </w:rPr>
        <w:t>未铺设。生产</w:t>
      </w:r>
      <w:r>
        <w:rPr>
          <w:rFonts w:hint="eastAsia"/>
          <w:color w:val="auto"/>
          <w:sz w:val="24"/>
          <w:lang w:eastAsia="zh-CN"/>
        </w:rPr>
        <w:t>清洗</w:t>
      </w:r>
      <w:r>
        <w:rPr>
          <w:rFonts w:ascii="Times New Roman" w:hAnsi="Times New Roman"/>
          <w:color w:val="auto"/>
          <w:sz w:val="24"/>
        </w:rPr>
        <w:t>废水</w:t>
      </w:r>
      <w:r>
        <w:rPr>
          <w:rFonts w:hint="eastAsia"/>
          <w:color w:val="auto"/>
          <w:sz w:val="24"/>
          <w:lang w:eastAsia="zh-CN"/>
        </w:rPr>
        <w:t>、循环冷却水和喷淋塔废水</w:t>
      </w:r>
      <w:r>
        <w:rPr>
          <w:rFonts w:ascii="Times New Roman" w:hAnsi="Times New Roman"/>
          <w:color w:val="auto"/>
          <w:sz w:val="24"/>
        </w:rPr>
        <w:t>经厂内废水处</w:t>
      </w:r>
      <w:r>
        <w:rPr>
          <w:rFonts w:ascii="Times New Roman" w:hAnsi="Times New Roman"/>
          <w:color w:val="auto"/>
          <w:sz w:val="24"/>
          <w:u w:val="single"/>
        </w:rPr>
        <w:t>理系统处理后全部循环回用于生产中</w:t>
      </w:r>
      <w:r>
        <w:rPr>
          <w:rFonts w:hint="eastAsia"/>
          <w:color w:val="auto"/>
          <w:sz w:val="24"/>
          <w:u w:val="single"/>
          <w:lang w:eastAsia="zh-CN"/>
        </w:rPr>
        <w:t>；餐饮废水经隔油池处理后与</w:t>
      </w:r>
      <w:r>
        <w:rPr>
          <w:rFonts w:ascii="Times New Roman" w:hAnsi="Times New Roman"/>
          <w:color w:val="auto"/>
          <w:sz w:val="24"/>
          <w:u w:val="single"/>
        </w:rPr>
        <w:t>生活污水</w:t>
      </w:r>
      <w:r>
        <w:rPr>
          <w:rFonts w:hint="eastAsia"/>
          <w:color w:val="auto"/>
          <w:sz w:val="24"/>
          <w:u w:val="single"/>
          <w:lang w:eastAsia="zh-CN"/>
        </w:rPr>
        <w:t>进入</w:t>
      </w:r>
      <w:r>
        <w:rPr>
          <w:rFonts w:ascii="Times New Roman" w:hAnsi="Times New Roman"/>
          <w:color w:val="auto"/>
          <w:sz w:val="24"/>
          <w:u w:val="single"/>
        </w:rPr>
        <w:t>化粪池，生活污水经化粪池收集后，由专人定期清运。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u w:val="single"/>
        </w:rPr>
      </w:pPr>
      <w:r>
        <w:rPr>
          <w:rFonts w:ascii="Times New Roman" w:hAnsi="Times New Roman"/>
          <w:color w:val="auto"/>
          <w:sz w:val="24"/>
          <w:u w:val="single"/>
        </w:rPr>
        <w:t>项目运营期各类废水均达到合理利用，无外排废水</w:t>
      </w:r>
      <w:r>
        <w:rPr>
          <w:rFonts w:ascii="Times New Roman" w:hAnsi="Times New Roman"/>
          <w:color w:val="auto"/>
          <w:u w:val="single"/>
        </w:rPr>
        <w:t>。</w:t>
      </w:r>
    </w:p>
    <w:p>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520"/>
        <w:textAlignment w:val="auto"/>
        <w:rPr>
          <w:color w:val="auto"/>
          <w:sz w:val="24"/>
          <w:u w:val="single"/>
          <w:lang w:eastAsia="zh-CN"/>
        </w:rPr>
      </w:pPr>
      <w:r>
        <w:rPr>
          <w:color w:val="auto"/>
          <w:sz w:val="24"/>
          <w:u w:val="single"/>
          <w:lang w:eastAsia="zh-CN"/>
        </w:rPr>
        <w:t>3、废水治理工艺</w:t>
      </w:r>
    </w:p>
    <w:p>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520"/>
        <w:textAlignment w:val="auto"/>
        <w:rPr>
          <w:color w:val="auto"/>
          <w:sz w:val="24"/>
          <w:u w:val="single"/>
        </w:rPr>
      </w:pPr>
      <w:r>
        <w:rPr>
          <w:color w:val="auto"/>
          <w:sz w:val="24"/>
          <w:u w:val="single"/>
        </w:rPr>
        <w:t>根据项目运营期废水产生特点，废水处理系统拟选用</w:t>
      </w:r>
      <w:r>
        <w:rPr>
          <w:rFonts w:hint="eastAsia"/>
          <w:color w:val="auto"/>
          <w:sz w:val="24"/>
          <w:u w:val="single"/>
          <w:lang w:eastAsia="zh-CN"/>
        </w:rPr>
        <w:t>“</w:t>
      </w:r>
      <w:r>
        <w:rPr>
          <w:color w:val="auto"/>
          <w:sz w:val="24"/>
          <w:u w:val="single"/>
        </w:rPr>
        <w:t>沉淀+气浮</w:t>
      </w:r>
      <w:r>
        <w:rPr>
          <w:rFonts w:hint="eastAsia"/>
          <w:color w:val="auto"/>
          <w:sz w:val="24"/>
          <w:u w:val="single"/>
          <w:lang w:val="en-US" w:eastAsia="zh-CN"/>
        </w:rPr>
        <w:t>+A/O+二级沉淀</w:t>
      </w:r>
      <w:r>
        <w:rPr>
          <w:rFonts w:hint="eastAsia"/>
          <w:color w:val="auto"/>
          <w:sz w:val="24"/>
          <w:u w:val="single"/>
          <w:lang w:eastAsia="zh-CN"/>
        </w:rPr>
        <w:t>”</w:t>
      </w:r>
      <w:r>
        <w:rPr>
          <w:color w:val="auto"/>
          <w:sz w:val="24"/>
          <w:u w:val="single"/>
        </w:rPr>
        <w:t>工艺对其中的SS、COD、NH</w:t>
      </w:r>
      <w:r>
        <w:rPr>
          <w:color w:val="auto"/>
          <w:sz w:val="24"/>
          <w:u w:val="single"/>
          <w:vertAlign w:val="subscript"/>
        </w:rPr>
        <w:t>3</w:t>
      </w:r>
      <w:r>
        <w:rPr>
          <w:color w:val="auto"/>
          <w:sz w:val="24"/>
          <w:u w:val="single"/>
        </w:rPr>
        <w:t>-N、TP等污染物进行去除，具体工艺路线见图</w:t>
      </w:r>
      <w:r>
        <w:rPr>
          <w:rFonts w:hint="eastAsia"/>
          <w:color w:val="auto"/>
          <w:sz w:val="24"/>
          <w:u w:val="single"/>
          <w:lang w:val="en-US" w:eastAsia="zh-CN"/>
        </w:rPr>
        <w:t>7.</w:t>
      </w:r>
      <w:r>
        <w:rPr>
          <w:color w:val="auto"/>
          <w:sz w:val="24"/>
          <w:u w:val="single"/>
        </w:rPr>
        <w:t>2-1。</w:t>
      </w:r>
    </w:p>
    <w:p>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olor w:val="auto"/>
          <w:lang w:eastAsia="zh-CN"/>
        </w:rPr>
      </w:pPr>
      <w:r>
        <w:drawing>
          <wp:inline distT="0" distB="0" distL="114300" distR="114300">
            <wp:extent cx="2947035" cy="3980815"/>
            <wp:effectExtent l="0" t="0" r="5715" b="635"/>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66"/>
                    <a:stretch>
                      <a:fillRect/>
                    </a:stretch>
                  </pic:blipFill>
                  <pic:spPr>
                    <a:xfrm>
                      <a:off x="0" y="0"/>
                      <a:ext cx="2947035" cy="398081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520"/>
        <w:jc w:val="center"/>
        <w:textAlignment w:val="auto"/>
        <w:rPr>
          <w:b/>
          <w:bCs/>
          <w:color w:val="auto"/>
          <w:sz w:val="24"/>
        </w:rPr>
      </w:pPr>
      <w:r>
        <w:rPr>
          <w:b/>
          <w:bCs/>
          <w:color w:val="auto"/>
          <w:sz w:val="24"/>
        </w:rPr>
        <w:t>图</w:t>
      </w:r>
      <w:r>
        <w:rPr>
          <w:rFonts w:hint="eastAsia"/>
          <w:b/>
          <w:bCs/>
          <w:color w:val="auto"/>
          <w:sz w:val="24"/>
          <w:lang w:val="en-US" w:eastAsia="zh-CN"/>
        </w:rPr>
        <w:t>7.2</w:t>
      </w:r>
      <w:r>
        <w:rPr>
          <w:b/>
          <w:bCs/>
          <w:color w:val="auto"/>
          <w:sz w:val="24"/>
        </w:rPr>
        <w:t>-1  污水处理设施工艺流程图</w:t>
      </w:r>
    </w:p>
    <w:p>
      <w:pPr>
        <w:ind w:firstLine="480" w:firstLineChars="200"/>
        <w:rPr>
          <w:rFonts w:ascii="Times New Roman" w:hAnsi="Times New Roman"/>
          <w:color w:val="auto"/>
          <w:sz w:val="24"/>
          <w:u w:val="single"/>
        </w:rPr>
      </w:pPr>
      <w:r>
        <w:rPr>
          <w:rFonts w:ascii="Times New Roman" w:hAnsi="Times New Roman"/>
          <w:color w:val="auto"/>
          <w:sz w:val="24"/>
          <w:u w:val="single"/>
        </w:rPr>
        <w:t>（1）沉淀池</w:t>
      </w:r>
    </w:p>
    <w:p>
      <w:pPr>
        <w:ind w:firstLine="480" w:firstLineChars="200"/>
        <w:rPr>
          <w:rFonts w:ascii="Times New Roman" w:hAnsi="Times New Roman"/>
          <w:color w:val="auto"/>
          <w:sz w:val="24"/>
          <w:u w:val="single"/>
        </w:rPr>
      </w:pPr>
      <w:r>
        <w:rPr>
          <w:rFonts w:ascii="Times New Roman" w:hAnsi="Times New Roman"/>
          <w:color w:val="auto"/>
          <w:sz w:val="24"/>
          <w:u w:val="single"/>
        </w:rPr>
        <w:t>根据工程分析：项目</w:t>
      </w:r>
      <w:r>
        <w:rPr>
          <w:rFonts w:hint="eastAsia"/>
          <w:color w:val="auto"/>
          <w:sz w:val="24"/>
          <w:u w:val="single"/>
          <w:lang w:eastAsia="zh-CN"/>
        </w:rPr>
        <w:t>清洗</w:t>
      </w:r>
      <w:r>
        <w:rPr>
          <w:rFonts w:ascii="Times New Roman" w:hAnsi="Times New Roman"/>
          <w:color w:val="auto"/>
          <w:sz w:val="24"/>
          <w:u w:val="single"/>
        </w:rPr>
        <w:t>废水产生量为</w:t>
      </w:r>
      <w:r>
        <w:rPr>
          <w:rFonts w:hint="eastAsia"/>
          <w:color w:val="auto"/>
          <w:sz w:val="24"/>
          <w:u w:val="single"/>
          <w:lang w:val="en-US" w:eastAsia="zh-CN"/>
        </w:rPr>
        <w:t>4800</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/a，</w:t>
      </w:r>
      <w:r>
        <w:rPr>
          <w:rFonts w:hint="eastAsia"/>
          <w:color w:val="auto"/>
          <w:sz w:val="24"/>
          <w:u w:val="single"/>
          <w:lang w:val="en-US" w:eastAsia="zh-CN"/>
        </w:rPr>
        <w:t>16</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/d，项目沉淀池设计池容均为</w:t>
      </w:r>
      <w:r>
        <w:rPr>
          <w:rFonts w:hint="eastAsia"/>
          <w:color w:val="auto"/>
          <w:sz w:val="24"/>
          <w:u w:val="single"/>
          <w:lang w:val="en-US" w:eastAsia="zh-CN"/>
        </w:rPr>
        <w:t>50</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左右，满足水力停留时间1h要求。利用重力沉降废水中密度较大的悬浮物，主要为泥土。沉淀后的上部分废水进入旋转过滤机，底部泥浆运输至板框压滤机。</w:t>
      </w:r>
    </w:p>
    <w:p>
      <w:pPr>
        <w:ind w:firstLine="480" w:firstLineChars="200"/>
        <w:rPr>
          <w:rFonts w:ascii="Times New Roman" w:hAnsi="Times New Roman"/>
          <w:color w:val="auto"/>
          <w:sz w:val="24"/>
          <w:u w:val="single"/>
        </w:rPr>
      </w:pPr>
      <w:r>
        <w:rPr>
          <w:rFonts w:ascii="Times New Roman" w:hAnsi="Times New Roman"/>
          <w:color w:val="auto"/>
          <w:sz w:val="24"/>
          <w:u w:val="single"/>
        </w:rPr>
        <w:t>（2）旋转过滤机</w:t>
      </w:r>
    </w:p>
    <w:p>
      <w:pPr>
        <w:ind w:firstLine="480" w:firstLineChars="200"/>
        <w:rPr>
          <w:rFonts w:ascii="Times New Roman" w:hAnsi="Times New Roman"/>
          <w:color w:val="auto"/>
          <w:sz w:val="24"/>
          <w:u w:val="single"/>
        </w:rPr>
      </w:pPr>
      <w:r>
        <w:rPr>
          <w:rFonts w:ascii="Times New Roman" w:hAnsi="Times New Roman"/>
          <w:color w:val="auto"/>
          <w:sz w:val="24"/>
          <w:u w:val="single"/>
        </w:rPr>
        <w:t>废水经沉淀后进入旋转过滤机，主要用于去除水中携带的较大粒径的塑料碎片，对其去除率可达70%。去除的塑料碎片运输至板框压滤机，废水接着进入气浮池。</w:t>
      </w:r>
    </w:p>
    <w:p>
      <w:pPr>
        <w:ind w:firstLine="480" w:firstLineChars="200"/>
        <w:rPr>
          <w:rFonts w:ascii="Times New Roman" w:hAnsi="Times New Roman"/>
          <w:color w:val="auto"/>
          <w:sz w:val="24"/>
          <w:u w:val="single"/>
        </w:rPr>
      </w:pPr>
      <w:r>
        <w:rPr>
          <w:rFonts w:ascii="Times New Roman" w:hAnsi="Times New Roman"/>
          <w:color w:val="auto"/>
          <w:sz w:val="24"/>
          <w:u w:val="single"/>
        </w:rPr>
        <w:t>（3）气浮池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olor w:val="auto"/>
          <w:sz w:val="24"/>
          <w:u w:val="single"/>
        </w:rPr>
      </w:pPr>
      <w:r>
        <w:rPr>
          <w:rFonts w:ascii="Times New Roman" w:hAnsi="Times New Roman"/>
          <w:color w:val="auto"/>
          <w:sz w:val="24"/>
          <w:u w:val="single"/>
        </w:rPr>
        <w:t>根据工程分析：项目生产废水产生量为项目</w:t>
      </w:r>
      <w:r>
        <w:rPr>
          <w:rFonts w:hint="eastAsia"/>
          <w:color w:val="auto"/>
          <w:sz w:val="24"/>
          <w:u w:val="single"/>
          <w:lang w:eastAsia="zh-CN"/>
        </w:rPr>
        <w:t>清洗</w:t>
      </w:r>
      <w:r>
        <w:rPr>
          <w:rFonts w:ascii="Times New Roman" w:hAnsi="Times New Roman"/>
          <w:color w:val="auto"/>
          <w:sz w:val="24"/>
          <w:u w:val="single"/>
        </w:rPr>
        <w:t>废水产生量为</w:t>
      </w:r>
      <w:r>
        <w:rPr>
          <w:rFonts w:hint="eastAsia"/>
          <w:color w:val="auto"/>
          <w:sz w:val="24"/>
          <w:u w:val="single"/>
          <w:lang w:val="en-US" w:eastAsia="zh-CN"/>
        </w:rPr>
        <w:t>4800</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/a，</w:t>
      </w:r>
      <w:r>
        <w:rPr>
          <w:rFonts w:hint="eastAsia"/>
          <w:color w:val="auto"/>
          <w:sz w:val="24"/>
          <w:u w:val="single"/>
          <w:lang w:val="en-US" w:eastAsia="zh-CN"/>
        </w:rPr>
        <w:t>16</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/d，项目气浮池设计池容均为</w:t>
      </w:r>
      <w:r>
        <w:rPr>
          <w:rFonts w:hint="eastAsia"/>
          <w:color w:val="auto"/>
          <w:sz w:val="24"/>
          <w:u w:val="single"/>
          <w:lang w:val="en-US" w:eastAsia="zh-CN"/>
        </w:rPr>
        <w:t>50</w:t>
      </w:r>
      <w:r>
        <w:rPr>
          <w:rFonts w:ascii="Times New Roman" w:hAnsi="Times New Roman"/>
          <w:color w:val="auto"/>
          <w:sz w:val="24"/>
          <w:u w:val="single"/>
        </w:rPr>
        <w:t>m</w:t>
      </w:r>
      <w:r>
        <w:rPr>
          <w:rFonts w:ascii="Times New Roman" w:hAnsi="Times New Roman"/>
          <w:color w:val="auto"/>
          <w:sz w:val="24"/>
          <w:u w:val="single"/>
          <w:vertAlign w:val="superscript"/>
        </w:rPr>
        <w:t>3</w:t>
      </w:r>
      <w:r>
        <w:rPr>
          <w:rFonts w:ascii="Times New Roman" w:hAnsi="Times New Roman"/>
          <w:color w:val="auto"/>
          <w:sz w:val="24"/>
          <w:u w:val="single"/>
        </w:rPr>
        <w:t>，满足水力停留时间为2h要求，上面设置刮渣设施，底部设有曝气设施。处理过程需要投加PAM（0.2%）和PAC（5~8%）。气浮刮渣运输至板框压滤机，处理后的出水进入清水池暂存，回用。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olor w:val="auto"/>
          <w:sz w:val="24"/>
          <w:u w:val="single"/>
        </w:rPr>
      </w:pPr>
      <w:r>
        <w:rPr>
          <w:rFonts w:ascii="Times New Roman" w:hAnsi="Times New Roman"/>
          <w:color w:val="auto"/>
          <w:sz w:val="24"/>
          <w:u w:val="single"/>
        </w:rPr>
        <w:t>（4）板框压滤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olor w:val="auto"/>
          <w:sz w:val="24"/>
          <w:u w:val="single"/>
        </w:rPr>
      </w:pPr>
      <w:r>
        <w:rPr>
          <w:rFonts w:ascii="Times New Roman" w:hAnsi="Times New Roman"/>
          <w:color w:val="auto"/>
          <w:sz w:val="24"/>
          <w:u w:val="single"/>
        </w:rPr>
        <w:t>沉淀池泥浆、旋转过滤的塑料碎片以及气浮刮渣统一运输至板框压滤机进行压滤脱水、风干至含水率低于60%后运至当地垃圾填埋场填埋处置。</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cs="Times New Roman"/>
          <w:szCs w:val="28"/>
          <w:u w:val="single"/>
        </w:rPr>
      </w:pPr>
      <w:r>
        <w:rPr>
          <w:rFonts w:cs="Times New Roman"/>
          <w:szCs w:val="28"/>
          <w:u w:val="single"/>
        </w:rPr>
        <w:t>各污水处理单元效果见表</w:t>
      </w:r>
      <w:r>
        <w:rPr>
          <w:rFonts w:hint="eastAsia" w:cs="Times New Roman"/>
          <w:szCs w:val="28"/>
          <w:u w:val="single"/>
          <w:lang w:val="en-US" w:eastAsia="zh-CN"/>
        </w:rPr>
        <w:t>7.2</w:t>
      </w:r>
      <w:r>
        <w:rPr>
          <w:rFonts w:cs="Times New Roman"/>
          <w:szCs w:val="28"/>
          <w:u w:val="single"/>
        </w:rPr>
        <w:t>-</w:t>
      </w:r>
      <w:r>
        <w:rPr>
          <w:rFonts w:hint="eastAsia" w:cs="Times New Roman"/>
          <w:szCs w:val="28"/>
          <w:u w:val="single"/>
          <w:lang w:val="en-US" w:eastAsia="zh-CN"/>
        </w:rPr>
        <w:t>3</w:t>
      </w:r>
      <w:r>
        <w:rPr>
          <w:rFonts w:cs="Times New Roman"/>
          <w:szCs w:val="28"/>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cs="Times New Roman"/>
          <w:b/>
          <w:bCs/>
          <w:sz w:val="24"/>
          <w:szCs w:val="24"/>
        </w:rPr>
      </w:pPr>
      <w:r>
        <w:rPr>
          <w:rFonts w:cs="Times New Roman"/>
          <w:b/>
          <w:bCs/>
          <w:sz w:val="24"/>
          <w:szCs w:val="24"/>
        </w:rPr>
        <w:t>表</w:t>
      </w:r>
      <w:r>
        <w:rPr>
          <w:rFonts w:hint="eastAsia" w:cs="Times New Roman"/>
          <w:b/>
          <w:bCs/>
          <w:sz w:val="24"/>
          <w:szCs w:val="24"/>
          <w:lang w:val="en-US" w:eastAsia="zh-CN"/>
        </w:rPr>
        <w:t>7.2</w:t>
      </w:r>
      <w:r>
        <w:rPr>
          <w:rFonts w:cs="Times New Roman"/>
          <w:b/>
          <w:bCs/>
          <w:sz w:val="24"/>
          <w:szCs w:val="24"/>
        </w:rPr>
        <w:t>-</w:t>
      </w:r>
      <w:r>
        <w:rPr>
          <w:rFonts w:hint="eastAsia" w:cs="Times New Roman"/>
          <w:b/>
          <w:bCs/>
          <w:sz w:val="24"/>
          <w:szCs w:val="24"/>
          <w:lang w:val="en-US" w:eastAsia="zh-CN"/>
        </w:rPr>
        <w:t>3</w:t>
      </w:r>
      <w:r>
        <w:rPr>
          <w:rFonts w:cs="Times New Roman"/>
          <w:b/>
          <w:bCs/>
          <w:sz w:val="24"/>
          <w:szCs w:val="24"/>
        </w:rPr>
        <w:t>各污水处理单元去除效果</w:t>
      </w:r>
    </w:p>
    <w:tbl>
      <w:tblPr>
        <w:tblStyle w:val="21"/>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884"/>
        <w:gridCol w:w="588"/>
        <w:gridCol w:w="930"/>
        <w:gridCol w:w="536"/>
        <w:gridCol w:w="736"/>
        <w:gridCol w:w="730"/>
        <w:gridCol w:w="877"/>
        <w:gridCol w:w="591"/>
        <w:gridCol w:w="807"/>
        <w:gridCol w:w="661"/>
        <w:gridCol w:w="73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内容</w:t>
            </w:r>
          </w:p>
        </w:tc>
        <w:tc>
          <w:tcPr>
            <w:tcW w:w="80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COD</w:t>
            </w:r>
          </w:p>
        </w:tc>
        <w:tc>
          <w:tcPr>
            <w:tcW w:w="70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BOD</w:t>
            </w:r>
            <w:r>
              <w:rPr>
                <w:rFonts w:cs="Times New Roman"/>
                <w:sz w:val="21"/>
                <w:szCs w:val="21"/>
                <w:u w:val="single"/>
                <w:vertAlign w:val="subscript"/>
              </w:rPr>
              <w:t>5</w:t>
            </w:r>
          </w:p>
        </w:tc>
        <w:tc>
          <w:tcPr>
            <w:tcW w:w="89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SS</w:t>
            </w:r>
          </w:p>
        </w:tc>
        <w:tc>
          <w:tcPr>
            <w:tcW w:w="7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NH</w:t>
            </w:r>
            <w:r>
              <w:rPr>
                <w:rFonts w:cs="Times New Roman"/>
                <w:sz w:val="21"/>
                <w:szCs w:val="21"/>
                <w:u w:val="single"/>
                <w:vertAlign w:val="subscript"/>
              </w:rPr>
              <w:t>3</w:t>
            </w:r>
            <w:r>
              <w:rPr>
                <w:rFonts w:cs="Times New Roman"/>
                <w:sz w:val="21"/>
                <w:szCs w:val="21"/>
                <w:u w:val="single"/>
              </w:rPr>
              <w:t>-N</w:t>
            </w:r>
          </w:p>
        </w:tc>
        <w:tc>
          <w:tcPr>
            <w:tcW w:w="7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TP</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p>
        </w:tc>
        <w:tc>
          <w:tcPr>
            <w:tcW w:w="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浓度</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去除率（%）</w:t>
            </w:r>
          </w:p>
        </w:tc>
        <w:tc>
          <w:tcPr>
            <w:tcW w:w="2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浓度</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去除率（%）</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浓度</w:t>
            </w:r>
          </w:p>
        </w:tc>
        <w:tc>
          <w:tcPr>
            <w:tcW w:w="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去除率（%）</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浓度</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去除率（%）</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浓度</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去除率（%）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进水</w:t>
            </w:r>
          </w:p>
        </w:tc>
        <w:tc>
          <w:tcPr>
            <w:tcW w:w="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101.09</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2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val="en-US" w:eastAsia="zh-CN"/>
              </w:rPr>
            </w:pPr>
            <w:r>
              <w:rPr>
                <w:rFonts w:hint="eastAsia" w:cs="Times New Roman"/>
                <w:sz w:val="21"/>
                <w:szCs w:val="21"/>
                <w:u w:val="single"/>
                <w:lang w:val="en-US" w:eastAsia="zh-CN"/>
              </w:rPr>
              <w:t>0</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1592</w:t>
            </w:r>
          </w:p>
        </w:tc>
        <w:tc>
          <w:tcPr>
            <w:tcW w:w="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34.58</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2.66</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eastAsia="zh-CN"/>
              </w:rPr>
              <w:t>格栅</w:t>
            </w:r>
            <w:r>
              <w:rPr>
                <w:rFonts w:hint="eastAsia" w:cs="Times New Roman"/>
                <w:sz w:val="21"/>
                <w:szCs w:val="21"/>
                <w:u w:val="single"/>
                <w:lang w:val="en-US" w:eastAsia="zh-CN"/>
              </w:rPr>
              <w:t>/气浮+厌氧沉淀</w:t>
            </w:r>
          </w:p>
        </w:tc>
        <w:tc>
          <w:tcPr>
            <w:tcW w:w="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65.71</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35</w:t>
            </w:r>
          </w:p>
        </w:tc>
        <w:tc>
          <w:tcPr>
            <w:tcW w:w="2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val="en-US" w:eastAsia="zh-CN"/>
              </w:rPr>
            </w:pPr>
            <w:r>
              <w:rPr>
                <w:rFonts w:hint="eastAsia" w:cs="Times New Roman"/>
                <w:sz w:val="21"/>
                <w:szCs w:val="21"/>
                <w:u w:val="single"/>
                <w:lang w:val="en-US" w:eastAsia="zh-CN"/>
              </w:rPr>
              <w:t>0</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30</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238.8</w:t>
            </w:r>
          </w:p>
        </w:tc>
        <w:tc>
          <w:tcPr>
            <w:tcW w:w="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85</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31.12</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10</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2.53</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好氧+二沉池</w:t>
            </w:r>
          </w:p>
        </w:tc>
        <w:tc>
          <w:tcPr>
            <w:tcW w:w="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23.66</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65</w:t>
            </w:r>
          </w:p>
        </w:tc>
        <w:tc>
          <w:tcPr>
            <w:tcW w:w="2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val="en-US" w:eastAsia="zh-CN"/>
              </w:rPr>
            </w:pPr>
            <w:r>
              <w:rPr>
                <w:rFonts w:hint="eastAsia" w:cs="Times New Roman"/>
                <w:sz w:val="21"/>
                <w:szCs w:val="21"/>
                <w:u w:val="single"/>
                <w:lang w:val="en-US" w:eastAsia="zh-CN"/>
              </w:rPr>
              <w:t>0</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85</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23.88</w:t>
            </w:r>
          </w:p>
        </w:tc>
        <w:tc>
          <w:tcPr>
            <w:tcW w:w="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90</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6.22</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80</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0.76</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70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10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eastAsia="zh-CN"/>
              </w:rPr>
            </w:pPr>
            <w:r>
              <w:rPr>
                <w:rFonts w:hint="eastAsia" w:cs="Times New Roman"/>
                <w:sz w:val="21"/>
                <w:szCs w:val="21"/>
                <w:u w:val="single"/>
                <w:lang w:eastAsia="zh-CN"/>
              </w:rPr>
              <w:t>回用标准</w:t>
            </w:r>
          </w:p>
        </w:tc>
        <w:tc>
          <w:tcPr>
            <w:tcW w:w="2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30</w:t>
            </w:r>
          </w:p>
        </w:tc>
        <w:tc>
          <w:tcPr>
            <w:tcW w:w="51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2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val="en-US" w:eastAsia="zh-CN"/>
              </w:rPr>
            </w:pPr>
            <w:r>
              <w:rPr>
                <w:rFonts w:hint="eastAsia" w:cs="Times New Roman"/>
                <w:sz w:val="21"/>
                <w:szCs w:val="21"/>
                <w:u w:val="single"/>
                <w:lang w:val="en-US" w:eastAsia="zh-CN"/>
              </w:rPr>
              <w:t>0</w:t>
            </w:r>
          </w:p>
        </w:tc>
        <w:tc>
          <w:tcPr>
            <w:tcW w:w="4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21"/>
                <w:szCs w:val="21"/>
                <w:u w:val="single"/>
                <w:lang w:val="en-US" w:eastAsia="zh-CN"/>
              </w:rPr>
            </w:pPr>
            <w:r>
              <w:rPr>
                <w:rFonts w:hint="eastAsia" w:cs="Times New Roman"/>
                <w:sz w:val="21"/>
                <w:szCs w:val="21"/>
                <w:u w:val="single"/>
                <w:lang w:val="en-US" w:eastAsia="zh-CN"/>
              </w:rPr>
              <w:t>30</w:t>
            </w:r>
          </w:p>
        </w:tc>
        <w:tc>
          <w:tcPr>
            <w:tcW w:w="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eastAsia="zh-CN"/>
              </w:rPr>
            </w:pPr>
            <w:r>
              <w:rPr>
                <w:rFonts w:hint="eastAsia" w:cs="Times New Roman"/>
                <w:sz w:val="21"/>
                <w:szCs w:val="21"/>
                <w:u w:val="single"/>
                <w:lang w:val="en-US" w:eastAsia="zh-CN"/>
              </w:rPr>
              <w:t>-</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sz w:val="21"/>
                <w:szCs w:val="21"/>
                <w:u w:val="single"/>
                <w:lang w:eastAsia="zh-CN"/>
              </w:rPr>
            </w:pPr>
            <w:r>
              <w:rPr>
                <w:rFonts w:hint="eastAsia" w:cs="Times New Roman"/>
                <w:sz w:val="21"/>
                <w:szCs w:val="21"/>
                <w:u w:val="single"/>
                <w:lang w:val="en-US" w:eastAsia="zh-CN"/>
              </w:rPr>
              <w:t>1</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sz w:val="21"/>
                <w:szCs w:val="21"/>
                <w:u w:val="single"/>
              </w:rPr>
            </w:pPr>
            <w:r>
              <w:rPr>
                <w:rFonts w:cs="Times New Roman"/>
                <w:sz w:val="21"/>
                <w:szCs w:val="21"/>
                <w:u w:val="single"/>
              </w:rPr>
              <w:t>-</w:t>
            </w:r>
          </w:p>
        </w:tc>
      </w:tr>
    </w:tbl>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rPr>
      </w:pPr>
      <w:r>
        <w:rPr>
          <w:color w:val="auto"/>
          <w:sz w:val="24"/>
        </w:rPr>
        <w:t>4、方案可行性分析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rPr>
      </w:pPr>
      <w:r>
        <w:rPr>
          <w:rFonts w:ascii="Times New Roman" w:hAnsi="Times New Roman"/>
          <w:color w:val="auto"/>
          <w:sz w:val="24"/>
          <w:u w:val="single"/>
        </w:rPr>
        <w:t>废水中泥土、塑料碎片等悬浮物通过沉淀、旋转过滤以及气浮后可有效去除，去除效率约</w:t>
      </w:r>
      <w:r>
        <w:rPr>
          <w:rFonts w:hint="eastAsia"/>
          <w:color w:val="auto"/>
          <w:sz w:val="24"/>
          <w:u w:val="single"/>
          <w:lang w:val="en-US" w:eastAsia="zh-CN"/>
        </w:rPr>
        <w:t>98.5</w:t>
      </w:r>
      <w:r>
        <w:rPr>
          <w:rFonts w:ascii="Times New Roman" w:hAnsi="Times New Roman"/>
          <w:color w:val="auto"/>
          <w:sz w:val="24"/>
          <w:u w:val="single"/>
        </w:rPr>
        <w:t>%。COD去除途径主要有：通过泥土中携带的微生物，在沉淀池、气浮池对COD约</w:t>
      </w:r>
      <w:r>
        <w:rPr>
          <w:rFonts w:hint="eastAsia"/>
          <w:color w:val="auto"/>
          <w:sz w:val="24"/>
          <w:u w:val="single"/>
          <w:lang w:val="en-US" w:eastAsia="zh-CN"/>
        </w:rPr>
        <w:t>35</w:t>
      </w:r>
      <w:r>
        <w:rPr>
          <w:rFonts w:ascii="Times New Roman" w:hAnsi="Times New Roman"/>
          <w:color w:val="auto"/>
          <w:sz w:val="24"/>
          <w:u w:val="single"/>
        </w:rPr>
        <w:t>%的去除率；废水中含有的少量N、P元素去除途径主要有：P元素与泥土中的钙元素等形成钙盐随泥浆去除，去除率约为</w:t>
      </w:r>
      <w:r>
        <w:rPr>
          <w:rFonts w:hint="eastAsia"/>
          <w:color w:val="auto"/>
          <w:sz w:val="24"/>
          <w:u w:val="single"/>
          <w:lang w:val="en-US" w:eastAsia="zh-CN"/>
        </w:rPr>
        <w:t>70</w:t>
      </w:r>
      <w:r>
        <w:rPr>
          <w:rFonts w:ascii="Times New Roman" w:hAnsi="Times New Roman"/>
          <w:color w:val="auto"/>
          <w:sz w:val="24"/>
          <w:u w:val="single"/>
        </w:rPr>
        <w:t>%；N元素在</w:t>
      </w:r>
      <w:r>
        <w:rPr>
          <w:rFonts w:hint="eastAsia"/>
          <w:color w:val="auto"/>
          <w:sz w:val="24"/>
          <w:u w:val="single"/>
          <w:lang w:val="en-US" w:eastAsia="zh-CN"/>
        </w:rPr>
        <w:t>A/O工艺中</w:t>
      </w:r>
      <w:r>
        <w:rPr>
          <w:rFonts w:ascii="Times New Roman" w:hAnsi="Times New Roman"/>
          <w:color w:val="auto"/>
          <w:sz w:val="24"/>
          <w:u w:val="single"/>
        </w:rPr>
        <w:t>去除，去除率约为70%。根据项目废水污染源强，结合该处理工艺处理效率可估算得清洗线废水经处理后出水中悬浮物的浓度约为</w:t>
      </w:r>
      <w:r>
        <w:rPr>
          <w:rFonts w:hint="eastAsia"/>
          <w:color w:val="auto"/>
          <w:sz w:val="24"/>
          <w:u w:val="single"/>
          <w:lang w:val="en-US" w:eastAsia="zh-CN"/>
        </w:rPr>
        <w:t>23.88</w:t>
      </w:r>
      <w:r>
        <w:rPr>
          <w:rFonts w:ascii="Times New Roman" w:hAnsi="Times New Roman"/>
          <w:color w:val="auto"/>
          <w:sz w:val="24"/>
          <w:u w:val="single"/>
        </w:rPr>
        <w:t>mg/L，COD的浓度约为</w:t>
      </w:r>
      <w:r>
        <w:rPr>
          <w:rFonts w:hint="eastAsia"/>
          <w:color w:val="auto"/>
          <w:sz w:val="24"/>
          <w:u w:val="single"/>
          <w:lang w:val="en-US" w:eastAsia="zh-CN"/>
        </w:rPr>
        <w:t>23.66</w:t>
      </w:r>
      <w:r>
        <w:rPr>
          <w:rFonts w:ascii="Times New Roman" w:hAnsi="Times New Roman"/>
          <w:color w:val="auto"/>
          <w:sz w:val="24"/>
          <w:u w:val="single"/>
        </w:rPr>
        <w:t>mg/L，参照《城市污水再生利用 工业用水水质》（GB/T19923-2005）中洗涤用水水质要求，可循环回用于清洗线。</w:t>
      </w:r>
      <w:r>
        <w:rPr>
          <w:rFonts w:hint="eastAsia" w:ascii="Times New Roman" w:hAnsi="Times New Roman"/>
          <w:color w:val="auto"/>
          <w:sz w:val="24"/>
          <w:u w:val="single"/>
        </w:rPr>
        <w:t>因此，本项目产生的生产废水经</w:t>
      </w:r>
      <w:r>
        <w:rPr>
          <w:rFonts w:hint="eastAsia"/>
          <w:color w:val="auto"/>
          <w:sz w:val="24"/>
          <w:u w:val="single"/>
          <w:lang w:eastAsia="zh-CN"/>
        </w:rPr>
        <w:t>“沉淀+气浮+A/O+二级沉淀”</w:t>
      </w:r>
      <w:r>
        <w:rPr>
          <w:rFonts w:hint="eastAsia" w:ascii="Times New Roman" w:hAnsi="Times New Roman"/>
          <w:color w:val="auto"/>
          <w:sz w:val="24"/>
          <w:u w:val="single"/>
        </w:rPr>
        <w:t>工艺处理后可回用于清洗生产线作为清洗用水，不外排。</w:t>
      </w:r>
      <w:r>
        <w:rPr>
          <w:rFonts w:ascii="Times New Roman" w:hAnsi="Times New Roman"/>
          <w:color w:val="auto"/>
          <w:sz w:val="24"/>
        </w:rPr>
        <w:t>去除的悬浮物、COD以及N、P元素随泥浆、刮渣等经板框压滤、风干后可使其含水率低于60%，满足《生活垃圾填埋场污染控制标准》（GB16889-2008）中相关要求，可运至当地垃圾填埋场处置。</w:t>
      </w:r>
    </w:p>
    <w:p>
      <w:pPr>
        <w:ind w:firstLine="480" w:firstLineChars="200"/>
        <w:rPr>
          <w:rFonts w:ascii="Times New Roman" w:hAnsi="Times New Roman"/>
          <w:color w:val="auto"/>
          <w:sz w:val="24"/>
        </w:rPr>
      </w:pPr>
      <w:r>
        <w:rPr>
          <w:rFonts w:ascii="Times New Roman" w:hAnsi="Times New Roman"/>
          <w:color w:val="auto"/>
          <w:sz w:val="24"/>
        </w:rPr>
        <w:t>根据拟定废水处理方案可知，主要构（建）筑物为沉淀池、气浮池和清水池，需外购的设备为水泵、旋转过滤机、板框压滤机以及常见絮凝混凝药剂。</w:t>
      </w:r>
      <w:r>
        <w:rPr>
          <w:rFonts w:hint="eastAsia"/>
          <w:color w:val="auto"/>
          <w:sz w:val="24"/>
          <w:lang w:eastAsia="zh-CN"/>
        </w:rPr>
        <w:t>拟订方案</w:t>
      </w:r>
      <w:r>
        <w:rPr>
          <w:rFonts w:ascii="Times New Roman" w:hAnsi="Times New Roman"/>
          <w:color w:val="auto"/>
          <w:sz w:val="24"/>
        </w:rPr>
        <w:t>的安装和运行费用合理，经济可行。</w:t>
      </w:r>
    </w:p>
    <w:p>
      <w:pPr>
        <w:ind w:firstLine="480" w:firstLineChars="200"/>
        <w:rPr>
          <w:rFonts w:ascii="Times New Roman" w:hAnsi="Times New Roman"/>
          <w:color w:val="auto"/>
          <w:sz w:val="24"/>
        </w:rPr>
      </w:pPr>
      <w:r>
        <w:rPr>
          <w:rFonts w:ascii="Times New Roman" w:hAnsi="Times New Roman"/>
          <w:color w:val="auto"/>
          <w:sz w:val="24"/>
        </w:rPr>
        <w:t>根据沉淀池和气浮池的水力停留时间，并考虑1.2的不确定系数，沉淀池和气浮池的设计池容满足要求。因此，废水处理系统可稳定运行。</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eastAsia="宋体"/>
          <w:color w:val="auto"/>
          <w:sz w:val="24"/>
          <w:lang w:eastAsia="zh-CN"/>
        </w:rPr>
      </w:pPr>
      <w:r>
        <w:rPr>
          <w:rFonts w:hint="eastAsia"/>
          <w:color w:val="auto"/>
          <w:sz w:val="24"/>
          <w:lang w:val="en-US" w:eastAsia="zh-CN"/>
        </w:rPr>
        <w:t>5</w:t>
      </w:r>
      <w:r>
        <w:rPr>
          <w:color w:val="auto"/>
          <w:sz w:val="24"/>
        </w:rPr>
        <w:t>、</w:t>
      </w:r>
      <w:r>
        <w:rPr>
          <w:rFonts w:hint="eastAsia"/>
          <w:color w:val="auto"/>
          <w:sz w:val="24"/>
          <w:lang w:eastAsia="zh-CN"/>
        </w:rPr>
        <w:t>生活污水处理方案</w:t>
      </w:r>
    </w:p>
    <w:p>
      <w:pPr>
        <w:ind w:firstLine="480" w:firstLineChars="200"/>
        <w:rPr>
          <w:rFonts w:ascii="Times New Roman" w:hAnsi="Times New Roman" w:eastAsia="宋体"/>
          <w:color w:val="auto"/>
          <w:sz w:val="24"/>
          <w:u w:val="single"/>
        </w:rPr>
      </w:pPr>
      <w:r>
        <w:rPr>
          <w:rFonts w:hint="eastAsia" w:eastAsia="宋体"/>
          <w:color w:val="auto"/>
          <w:sz w:val="24"/>
          <w:u w:val="single"/>
          <w:lang w:eastAsia="zh-CN"/>
        </w:rPr>
        <w:t>本项目设置化粪池为标准三级化粪池，其中</w:t>
      </w:r>
      <w:r>
        <w:rPr>
          <w:rFonts w:ascii="Times New Roman" w:hAnsi="Times New Roman" w:eastAsia="宋体"/>
          <w:color w:val="auto"/>
          <w:sz w:val="24"/>
          <w:u w:val="single"/>
        </w:rPr>
        <w:t>第一池和第二池的容积不同，对寄生虫卵沉淀的效果有一定影响。如果第一池的容积过小，粪便贮留的时间短，达不到粪便分解和沉淀的目的，粪便和虫卵可能进入第二池，</w:t>
      </w:r>
      <w:r>
        <w:rPr>
          <w:rFonts w:hint="eastAsia"/>
          <w:color w:val="auto"/>
          <w:sz w:val="24"/>
          <w:u w:val="single"/>
          <w:lang w:eastAsia="zh-CN"/>
        </w:rPr>
        <w:t>不仅</w:t>
      </w:r>
      <w:r>
        <w:rPr>
          <w:rFonts w:ascii="Times New Roman" w:hAnsi="Times New Roman" w:eastAsia="宋体"/>
          <w:color w:val="auto"/>
          <w:sz w:val="24"/>
          <w:u w:val="single"/>
        </w:rPr>
        <w:t>增加了第二池的负担，而且容易造成过粪管堵塞。如果第二池容积相对较小，粪便在第二池停留的时间短，则粪便无害化处理效果就差。三个池的比例一般应为2：1：3，第一池贮存20天，第二池贮存10天，第三池贮存30天。</w:t>
      </w:r>
    </w:p>
    <w:p>
      <w:pPr>
        <w:ind w:firstLine="480" w:firstLineChars="200"/>
        <w:rPr>
          <w:rFonts w:hint="eastAsia" w:ascii="Times New Roman" w:hAnsi="Times New Roman" w:cs="Times New Roman"/>
          <w:b/>
          <w:bCs w:val="0"/>
          <w:kern w:val="2"/>
          <w:sz w:val="24"/>
          <w:u w:val="single"/>
          <w:lang w:val="en-US" w:eastAsia="zh-CN" w:bidi="ar-SA"/>
        </w:rPr>
      </w:pPr>
      <w:r>
        <w:rPr>
          <w:rFonts w:hint="eastAsia"/>
          <w:u w:val="single"/>
          <w:lang w:eastAsia="zh-CN"/>
        </w:rPr>
        <w:t>生活污水和食堂废水排放量合计排放量为</w:t>
      </w:r>
      <w:r>
        <w:rPr>
          <w:rFonts w:hint="eastAsia"/>
          <w:u w:val="single"/>
          <w:lang w:val="en-US" w:eastAsia="zh-CN"/>
        </w:rPr>
        <w:t>1.264m</w:t>
      </w:r>
      <w:r>
        <w:rPr>
          <w:rFonts w:hint="eastAsia"/>
          <w:u w:val="single"/>
          <w:vertAlign w:val="superscript"/>
          <w:lang w:val="en-US" w:eastAsia="zh-CN"/>
        </w:rPr>
        <w:t>3</w:t>
      </w:r>
      <w:r>
        <w:rPr>
          <w:rFonts w:hint="eastAsia"/>
          <w:u w:val="single"/>
          <w:lang w:val="en-US" w:eastAsia="zh-CN"/>
        </w:rPr>
        <w:t>/d，由此核算三级池容分别为</w:t>
      </w:r>
      <w:r>
        <w:rPr>
          <w:rFonts w:ascii="Times New Roman" w:hAnsi="Times New Roman" w:eastAsia="宋体"/>
          <w:color w:val="auto"/>
          <w:sz w:val="24"/>
          <w:u w:val="single"/>
        </w:rPr>
        <w:t>第一池</w:t>
      </w:r>
      <w:r>
        <w:rPr>
          <w:rFonts w:hint="eastAsia" w:eastAsia="宋体"/>
          <w:color w:val="auto"/>
          <w:sz w:val="24"/>
          <w:u w:val="single"/>
          <w:lang w:val="en-US" w:eastAsia="zh-CN"/>
        </w:rPr>
        <w:t>25.28m</w:t>
      </w:r>
      <w:r>
        <w:rPr>
          <w:rFonts w:hint="eastAsia" w:eastAsia="宋体"/>
          <w:color w:val="auto"/>
          <w:sz w:val="24"/>
          <w:u w:val="single"/>
          <w:vertAlign w:val="superscript"/>
          <w:lang w:val="en-US" w:eastAsia="zh-CN"/>
        </w:rPr>
        <w:t>3</w:t>
      </w:r>
      <w:r>
        <w:rPr>
          <w:rFonts w:ascii="Times New Roman" w:hAnsi="Times New Roman" w:eastAsia="宋体"/>
          <w:color w:val="auto"/>
          <w:sz w:val="24"/>
          <w:u w:val="single"/>
        </w:rPr>
        <w:t>，第二池</w:t>
      </w:r>
      <w:r>
        <w:rPr>
          <w:rFonts w:hint="eastAsia" w:eastAsia="宋体"/>
          <w:color w:val="auto"/>
          <w:sz w:val="24"/>
          <w:u w:val="single"/>
          <w:lang w:val="en-US" w:eastAsia="zh-CN"/>
        </w:rPr>
        <w:t>12.64m</w:t>
      </w:r>
      <w:r>
        <w:rPr>
          <w:rFonts w:hint="eastAsia" w:eastAsia="宋体"/>
          <w:color w:val="auto"/>
          <w:sz w:val="24"/>
          <w:u w:val="single"/>
          <w:vertAlign w:val="superscript"/>
          <w:lang w:val="en-US" w:eastAsia="zh-CN"/>
        </w:rPr>
        <w:t>3</w:t>
      </w:r>
      <w:r>
        <w:rPr>
          <w:rFonts w:ascii="Times New Roman" w:hAnsi="Times New Roman" w:eastAsia="宋体"/>
          <w:color w:val="auto"/>
          <w:sz w:val="24"/>
          <w:u w:val="single"/>
        </w:rPr>
        <w:t>，第三池</w:t>
      </w:r>
      <w:r>
        <w:rPr>
          <w:rFonts w:hint="eastAsia" w:eastAsia="宋体"/>
          <w:color w:val="auto"/>
          <w:sz w:val="24"/>
          <w:u w:val="single"/>
          <w:lang w:val="en-US" w:eastAsia="zh-CN"/>
        </w:rPr>
        <w:t>37.92m</w:t>
      </w:r>
      <w:r>
        <w:rPr>
          <w:rFonts w:hint="eastAsia" w:eastAsia="宋体"/>
          <w:color w:val="auto"/>
          <w:sz w:val="24"/>
          <w:u w:val="single"/>
          <w:vertAlign w:val="superscript"/>
          <w:lang w:val="en-US" w:eastAsia="zh-CN"/>
        </w:rPr>
        <w:t>3</w:t>
      </w:r>
      <w:r>
        <w:rPr>
          <w:rFonts w:hint="eastAsia" w:eastAsia="宋体"/>
          <w:color w:val="auto"/>
          <w:sz w:val="24"/>
          <w:u w:val="single"/>
          <w:vertAlign w:val="baseline"/>
          <w:lang w:val="en-US" w:eastAsia="zh-CN"/>
        </w:rPr>
        <w:t>，由此核算项目三级化粪池总容积为75.84</w:t>
      </w:r>
      <w:r>
        <w:rPr>
          <w:rFonts w:hint="eastAsia" w:eastAsia="宋体"/>
          <w:color w:val="auto"/>
          <w:sz w:val="24"/>
          <w:u w:val="single"/>
          <w:lang w:val="en-US" w:eastAsia="zh-CN"/>
        </w:rPr>
        <w:t>m</w:t>
      </w:r>
      <w:r>
        <w:rPr>
          <w:rFonts w:hint="eastAsia" w:eastAsia="宋体"/>
          <w:color w:val="auto"/>
          <w:sz w:val="24"/>
          <w:u w:val="single"/>
          <w:vertAlign w:val="superscript"/>
          <w:lang w:val="en-US" w:eastAsia="zh-CN"/>
        </w:rPr>
        <w:t>3</w:t>
      </w:r>
      <w:r>
        <w:rPr>
          <w:rFonts w:hint="eastAsia" w:eastAsia="宋体"/>
          <w:color w:val="auto"/>
          <w:sz w:val="24"/>
          <w:u w:val="single"/>
          <w:vertAlign w:val="baseline"/>
          <w:lang w:val="en-US" w:eastAsia="zh-CN"/>
        </w:rPr>
        <w:t>，因此企业需要设置不低于75.84</w:t>
      </w:r>
      <w:r>
        <w:rPr>
          <w:rFonts w:hint="eastAsia" w:eastAsia="宋体"/>
          <w:color w:val="auto"/>
          <w:sz w:val="24"/>
          <w:u w:val="single"/>
          <w:lang w:val="en-US" w:eastAsia="zh-CN"/>
        </w:rPr>
        <w:t>m</w:t>
      </w:r>
      <w:r>
        <w:rPr>
          <w:rFonts w:hint="eastAsia" w:eastAsia="宋体"/>
          <w:color w:val="auto"/>
          <w:sz w:val="24"/>
          <w:u w:val="single"/>
          <w:vertAlign w:val="superscript"/>
          <w:lang w:val="en-US" w:eastAsia="zh-CN"/>
        </w:rPr>
        <w:t>3</w:t>
      </w:r>
      <w:r>
        <w:rPr>
          <w:rFonts w:hint="eastAsia" w:eastAsia="宋体"/>
          <w:color w:val="auto"/>
          <w:sz w:val="24"/>
          <w:u w:val="single"/>
          <w:vertAlign w:val="baseline"/>
          <w:lang w:val="en-US" w:eastAsia="zh-CN"/>
        </w:rPr>
        <w:t>化粪池，企业设置80</w:t>
      </w:r>
      <w:r>
        <w:rPr>
          <w:rFonts w:hint="eastAsia" w:eastAsia="宋体"/>
          <w:color w:val="auto"/>
          <w:sz w:val="24"/>
          <w:u w:val="single"/>
          <w:lang w:val="en-US" w:eastAsia="zh-CN"/>
        </w:rPr>
        <w:t>m</w:t>
      </w:r>
      <w:r>
        <w:rPr>
          <w:rFonts w:hint="eastAsia" w:eastAsia="宋体"/>
          <w:color w:val="auto"/>
          <w:sz w:val="24"/>
          <w:u w:val="single"/>
          <w:vertAlign w:val="superscript"/>
          <w:lang w:val="en-US" w:eastAsia="zh-CN"/>
        </w:rPr>
        <w:t>3</w:t>
      </w:r>
      <w:r>
        <w:rPr>
          <w:rFonts w:hint="eastAsia" w:eastAsia="宋体"/>
          <w:color w:val="auto"/>
          <w:sz w:val="24"/>
          <w:u w:val="single"/>
          <w:vertAlign w:val="baseline"/>
          <w:lang w:val="en-US" w:eastAsia="zh-CN"/>
        </w:rPr>
        <w:t>化粪池满足本项目需要，废水需要定期由周边农户拉走肥田。</w:t>
      </w:r>
      <w:r>
        <w:rPr>
          <w:rFonts w:ascii="Times New Roman" w:hAnsi="Times New Roman" w:eastAsia="宋体" w:cs="Times New Roman"/>
          <w:b/>
          <w:bCs w:val="0"/>
          <w:kern w:val="2"/>
          <w:sz w:val="24"/>
          <w:u w:val="single"/>
          <w:lang w:val="en-US" w:eastAsia="zh-CN" w:bidi="ar-SA"/>
        </w:rPr>
        <w:t>项目所在地</w:t>
      </w:r>
      <w:r>
        <w:rPr>
          <w:rFonts w:hint="eastAsia" w:ascii="Times New Roman" w:hAnsi="Times New Roman" w:eastAsia="宋体" w:cs="Times New Roman"/>
          <w:b/>
          <w:bCs w:val="0"/>
          <w:kern w:val="2"/>
          <w:sz w:val="24"/>
          <w:u w:val="single"/>
          <w:lang w:val="en-US" w:eastAsia="zh-CN" w:bidi="ar-SA"/>
        </w:rPr>
        <w:t>北侧和东侧</w:t>
      </w:r>
      <w:r>
        <w:rPr>
          <w:rFonts w:hint="eastAsia" w:ascii="Times New Roman" w:hAnsi="Times New Roman" w:cs="Times New Roman"/>
          <w:b/>
          <w:bCs w:val="0"/>
          <w:kern w:val="2"/>
          <w:sz w:val="24"/>
          <w:u w:val="single"/>
          <w:lang w:val="en-US" w:eastAsia="zh-CN" w:bidi="ar-SA"/>
        </w:rPr>
        <w:t>均为农田</w:t>
      </w:r>
      <w:r>
        <w:rPr>
          <w:rFonts w:hint="eastAsia" w:ascii="Times New Roman" w:hAnsi="Times New Roman" w:eastAsia="宋体" w:cs="Times New Roman"/>
          <w:b/>
          <w:bCs w:val="0"/>
          <w:kern w:val="2"/>
          <w:sz w:val="24"/>
          <w:u w:val="single"/>
          <w:lang w:val="en-US" w:eastAsia="zh-CN" w:bidi="ar-SA"/>
        </w:rPr>
        <w:t>，</w:t>
      </w:r>
      <w:r>
        <w:rPr>
          <w:rFonts w:hint="eastAsia" w:ascii="Times New Roman" w:hAnsi="Times New Roman" w:cs="Times New Roman"/>
          <w:b/>
          <w:bCs w:val="0"/>
          <w:kern w:val="2"/>
          <w:sz w:val="24"/>
          <w:u w:val="single"/>
          <w:lang w:val="en-US" w:eastAsia="zh-CN" w:bidi="ar-SA"/>
        </w:rPr>
        <w:t>能够消纳本项目粪肥。</w:t>
      </w:r>
    </w:p>
    <w:p>
      <w:pPr>
        <w:ind w:firstLine="480" w:firstLineChars="200"/>
        <w:rPr>
          <w:rFonts w:hint="default"/>
          <w:lang w:val="en-US" w:eastAsia="zh-CN"/>
        </w:rPr>
      </w:pPr>
      <w:r>
        <w:rPr>
          <w:rFonts w:hint="eastAsia"/>
          <w:lang w:val="en-US" w:eastAsia="zh-CN"/>
        </w:rPr>
        <w:t>综上所述，本项目废水处理设施合理可行，废水处理后不外排，对周边环境地表水影响较小。</w:t>
      </w:r>
    </w:p>
    <w:p>
      <w:pPr>
        <w:pStyle w:val="4"/>
        <w:bidi w:val="0"/>
      </w:pPr>
      <w:bookmarkStart w:id="207" w:name="_Toc5888505"/>
      <w:bookmarkStart w:id="208" w:name="_Toc28421"/>
      <w:r>
        <w:rPr>
          <w:rFonts w:hint="eastAsia"/>
          <w:lang w:val="en-US" w:eastAsia="zh-CN"/>
        </w:rPr>
        <w:t xml:space="preserve">7.2.3 </w:t>
      </w:r>
      <w:r>
        <w:t>运营期地下水污染防治措施</w:t>
      </w:r>
      <w:bookmarkEnd w:id="207"/>
      <w:bookmarkEnd w:id="208"/>
    </w:p>
    <w:p>
      <w:pPr>
        <w:ind w:firstLine="480" w:firstLineChars="200"/>
        <w:rPr>
          <w:rFonts w:ascii="Times New Roman" w:hAnsi="Times New Roman"/>
          <w:color w:val="auto"/>
          <w:sz w:val="24"/>
        </w:rPr>
      </w:pPr>
      <w:r>
        <w:rPr>
          <w:rFonts w:ascii="Times New Roman" w:hAnsi="Times New Roman"/>
          <w:color w:val="auto"/>
          <w:sz w:val="24"/>
        </w:rPr>
        <w:t>地下水环境保护措施与对策依据《中华人民共和国水污染防治法》和《中华人民共和国环境影响评价法》的相关规定，按照</w:t>
      </w:r>
      <w:r>
        <w:rPr>
          <w:rFonts w:hint="eastAsia"/>
          <w:color w:val="auto"/>
          <w:sz w:val="24"/>
          <w:lang w:eastAsia="zh-CN"/>
        </w:rPr>
        <w:t>“</w:t>
      </w:r>
      <w:r>
        <w:rPr>
          <w:rFonts w:ascii="Times New Roman" w:hAnsi="Times New Roman"/>
          <w:color w:val="auto"/>
          <w:sz w:val="24"/>
        </w:rPr>
        <w:t>源头控制、分区防控、污染监控、应急响应</w:t>
      </w:r>
      <w:r>
        <w:rPr>
          <w:rFonts w:hint="eastAsia"/>
          <w:color w:val="auto"/>
          <w:sz w:val="24"/>
          <w:lang w:eastAsia="zh-CN"/>
        </w:rPr>
        <w:t>”</w:t>
      </w:r>
      <w:r>
        <w:rPr>
          <w:rFonts w:ascii="Times New Roman" w:hAnsi="Times New Roman"/>
          <w:color w:val="auto"/>
          <w:sz w:val="24"/>
        </w:rPr>
        <w:t>且重点突出饮用水水质安全的原则确定。根据建设项目特点、调查评价区和场地环境水文地质条件，在建设项目可行性研究提出的污染防控对策的基础上，根据环境影响预测与评价结果，提出需要增加或完善的地下水环境保护措施和对策。</w:t>
      </w:r>
    </w:p>
    <w:p>
      <w:pPr>
        <w:ind w:firstLine="480" w:firstLineChars="200"/>
        <w:rPr>
          <w:rFonts w:ascii="Times New Roman" w:hAnsi="Times New Roman"/>
          <w:color w:val="auto"/>
          <w:sz w:val="24"/>
        </w:rPr>
      </w:pPr>
      <w:bookmarkStart w:id="209" w:name="_Toc5888506"/>
      <w:bookmarkStart w:id="210" w:name="_Toc4765"/>
      <w:bookmarkStart w:id="211" w:name="_Toc435631704"/>
      <w:bookmarkStart w:id="212" w:name="_Toc428361101"/>
      <w:bookmarkStart w:id="213" w:name="_Toc430698203"/>
      <w:bookmarkStart w:id="214" w:name="_Toc435626186"/>
      <w:bookmarkStart w:id="215" w:name="_Toc428360795"/>
      <w:bookmarkStart w:id="216" w:name="_Toc430697980"/>
      <w:r>
        <w:rPr>
          <w:rFonts w:hint="eastAsia" w:ascii="Times New Roman" w:hAnsi="Times New Roman"/>
          <w:color w:val="auto"/>
          <w:sz w:val="24"/>
          <w:lang w:val="en-US" w:eastAsia="zh-CN"/>
        </w:rPr>
        <w:t>1、</w:t>
      </w:r>
      <w:r>
        <w:rPr>
          <w:rFonts w:ascii="Times New Roman" w:hAnsi="Times New Roman"/>
          <w:color w:val="auto"/>
          <w:sz w:val="24"/>
        </w:rPr>
        <w:t>源头控制措施</w:t>
      </w:r>
      <w:bookmarkEnd w:id="209"/>
      <w:bookmarkEnd w:id="210"/>
    </w:p>
    <w:bookmarkEnd w:id="211"/>
    <w:bookmarkEnd w:id="212"/>
    <w:bookmarkEnd w:id="213"/>
    <w:bookmarkEnd w:id="214"/>
    <w:bookmarkEnd w:id="215"/>
    <w:bookmarkEnd w:id="216"/>
    <w:p>
      <w:pPr>
        <w:bidi w:val="0"/>
      </w:pPr>
      <w:r>
        <w:t>源头控制主要包括在工艺、管道、设备、污水储存及处理构筑物采取相应措施，防止和降低污染物跑、冒、滴、漏，将污染物泄漏的环境风险事故降到最低程度。</w:t>
      </w:r>
    </w:p>
    <w:p>
      <w:pPr>
        <w:bidi w:val="0"/>
      </w:pPr>
      <w:r>
        <w:t>对产生的废水进行合理的处理和综合利用，以先进工艺、管道、设备、污水储存，尽可能从源头上减少可能污染物的产生；严格按照国家相关规范要求，对工艺、管道、设备、污水储存及处理构筑物采取相应的措施，以防止和降低可能污</w:t>
      </w:r>
      <w:r>
        <w:rPr>
          <w:rFonts w:hint="eastAsia"/>
          <w:lang w:eastAsia="zh-CN"/>
        </w:rPr>
        <w:t>染物地跑</w:t>
      </w:r>
      <w:r>
        <w:t>、冒、滴、漏，将废水泄漏的环境风险事故降低到最低程度；优化排水系统设计，工艺废水、地面冲洗废水等在厂区内收集及预处理后通过管线送污水处理站处理；管线铺设尽量采用</w:t>
      </w:r>
      <w:r>
        <w:rPr>
          <w:rFonts w:hint="eastAsia"/>
          <w:lang w:eastAsia="zh-CN"/>
        </w:rPr>
        <w:t>“</w:t>
      </w:r>
      <w:r>
        <w:t>可视化</w:t>
      </w:r>
      <w:r>
        <w:rPr>
          <w:rFonts w:hint="eastAsia"/>
          <w:lang w:eastAsia="zh-CN"/>
        </w:rPr>
        <w:t>”</w:t>
      </w:r>
      <w:r>
        <w:t>原则，即管道尽可能地上铺设，做到污染物</w:t>
      </w:r>
      <w:r>
        <w:rPr>
          <w:rFonts w:hint="eastAsia"/>
          <w:lang w:eastAsia="zh-CN"/>
        </w:rPr>
        <w:t>“</w:t>
      </w:r>
      <w:r>
        <w:t>早发现、早处理</w:t>
      </w:r>
      <w:r>
        <w:rPr>
          <w:rFonts w:hint="eastAsia"/>
          <w:lang w:eastAsia="zh-CN"/>
        </w:rPr>
        <w:t>”</w:t>
      </w:r>
      <w:r>
        <w:t>，以减少由于埋地管道泄漏而可能造成的地下水污染，主装置生产废水管道沿地上的管廊铺设，只有生活污水、雨水等走地下管道。</w:t>
      </w:r>
    </w:p>
    <w:p>
      <w:pPr>
        <w:bidi w:val="0"/>
      </w:pPr>
      <w:bookmarkStart w:id="217" w:name="_Toc15964"/>
      <w:bookmarkStart w:id="218" w:name="_Toc5888507"/>
      <w:r>
        <w:rPr>
          <w:rFonts w:hint="eastAsia"/>
          <w:lang w:val="en-US" w:eastAsia="zh-CN"/>
        </w:rPr>
        <w:t>2、</w:t>
      </w:r>
      <w:r>
        <w:t>分区防渗措施</w:t>
      </w:r>
      <w:bookmarkEnd w:id="217"/>
      <w:bookmarkEnd w:id="218"/>
    </w:p>
    <w:p>
      <w:pPr>
        <w:bidi w:val="0"/>
      </w:pPr>
      <w:r>
        <w:t>根据建设项目场地天然包气带防污性能、污染控制难易程度和污染物特性确定防渗级别。</w:t>
      </w:r>
    </w:p>
    <w:p>
      <w:pPr>
        <w:ind w:firstLine="480" w:firstLineChars="200"/>
        <w:rPr>
          <w:rFonts w:ascii="Times New Roman" w:hAnsi="Times New Roman"/>
          <w:color w:val="auto"/>
          <w:sz w:val="24"/>
        </w:rPr>
      </w:pPr>
      <w:r>
        <w:rPr>
          <w:rFonts w:ascii="Times New Roman" w:hAnsi="Times New Roman"/>
          <w:color w:val="auto"/>
          <w:sz w:val="24"/>
        </w:rPr>
        <w:t>污染控制难易程度分级和天然包气带防污性能分级参照表</w:t>
      </w:r>
      <w:r>
        <w:rPr>
          <w:rFonts w:hint="eastAsia"/>
          <w:color w:val="auto"/>
          <w:sz w:val="24"/>
          <w:lang w:val="en-US" w:eastAsia="zh-CN"/>
        </w:rPr>
        <w:t>7.2-2</w:t>
      </w:r>
      <w:r>
        <w:rPr>
          <w:rFonts w:ascii="Times New Roman" w:hAnsi="Times New Roman"/>
          <w:color w:val="auto"/>
          <w:sz w:val="24"/>
        </w:rPr>
        <w:t>和表</w:t>
      </w:r>
      <w:r>
        <w:rPr>
          <w:rFonts w:hint="eastAsia"/>
          <w:color w:val="auto"/>
          <w:sz w:val="24"/>
          <w:lang w:val="en-US" w:eastAsia="zh-CN"/>
        </w:rPr>
        <w:t>7.2-3</w:t>
      </w:r>
      <w:r>
        <w:rPr>
          <w:rFonts w:ascii="Times New Roman" w:hAnsi="Times New Roman"/>
          <w:color w:val="auto"/>
          <w:sz w:val="24"/>
        </w:rPr>
        <w:t>进行相关等级的确定。参照表</w:t>
      </w:r>
      <w:r>
        <w:rPr>
          <w:rFonts w:hint="eastAsia"/>
          <w:color w:val="auto"/>
          <w:sz w:val="24"/>
          <w:lang w:val="en-US" w:eastAsia="zh-CN"/>
        </w:rPr>
        <w:t>7.2</w:t>
      </w:r>
      <w:r>
        <w:rPr>
          <w:rFonts w:ascii="Times New Roman" w:hAnsi="Times New Roman"/>
          <w:color w:val="auto"/>
          <w:sz w:val="24"/>
        </w:rPr>
        <w:t>-</w:t>
      </w:r>
      <w:r>
        <w:rPr>
          <w:rFonts w:hint="eastAsia"/>
          <w:color w:val="auto"/>
          <w:sz w:val="24"/>
          <w:lang w:val="en-US" w:eastAsia="zh-CN"/>
        </w:rPr>
        <w:t>6</w:t>
      </w:r>
      <w:r>
        <w:rPr>
          <w:rFonts w:ascii="Times New Roman" w:hAnsi="Times New Roman"/>
          <w:color w:val="auto"/>
          <w:sz w:val="24"/>
        </w:rPr>
        <w:t>提出防渗技术要求。</w:t>
      </w:r>
    </w:p>
    <w:p>
      <w:pPr>
        <w:ind w:firstLine="482" w:firstLineChars="200"/>
        <w:jc w:val="center"/>
        <w:rPr>
          <w:rFonts w:ascii="Times New Roman" w:hAnsi="Times New Roman"/>
          <w:b/>
          <w:bCs/>
          <w:color w:val="auto"/>
          <w:sz w:val="24"/>
        </w:rPr>
      </w:pPr>
      <w:r>
        <w:rPr>
          <w:rFonts w:ascii="Times New Roman" w:hAnsi="Times New Roman"/>
          <w:b/>
          <w:bCs/>
          <w:color w:val="auto"/>
          <w:sz w:val="24"/>
        </w:rPr>
        <w:t>表</w:t>
      </w:r>
      <w:r>
        <w:rPr>
          <w:rFonts w:hint="eastAsia" w:ascii="Times New Roman" w:hAnsi="Times New Roman"/>
          <w:b/>
          <w:bCs/>
          <w:color w:val="auto"/>
          <w:sz w:val="24"/>
          <w:lang w:val="en-US" w:eastAsia="zh-CN"/>
        </w:rPr>
        <w:t>7.2-</w:t>
      </w:r>
      <w:r>
        <w:rPr>
          <w:rFonts w:hint="eastAsia"/>
          <w:b/>
          <w:bCs/>
          <w:color w:val="auto"/>
          <w:sz w:val="24"/>
          <w:lang w:val="en-US" w:eastAsia="zh-CN"/>
        </w:rPr>
        <w:t>4</w:t>
      </w:r>
      <w:r>
        <w:rPr>
          <w:rFonts w:ascii="Times New Roman" w:hAnsi="Times New Roman"/>
          <w:b/>
          <w:bCs/>
          <w:color w:val="auto"/>
          <w:sz w:val="24"/>
        </w:rPr>
        <w:t xml:space="preserve">  污染控制难易程度分级参照表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435" w:type="dxa"/>
            <w:noWrap w:val="0"/>
            <w:vAlign w:val="center"/>
          </w:tcPr>
          <w:p>
            <w:pPr>
              <w:pStyle w:val="30"/>
              <w:bidi w:val="0"/>
            </w:pPr>
            <w:r>
              <w:t>污染控制难易程度</w:t>
            </w:r>
          </w:p>
        </w:tc>
        <w:tc>
          <w:tcPr>
            <w:tcW w:w="6851" w:type="dxa"/>
            <w:noWrap w:val="0"/>
            <w:vAlign w:val="center"/>
          </w:tcPr>
          <w:p>
            <w:pPr>
              <w:pStyle w:val="30"/>
              <w:bidi w:val="0"/>
            </w:pPr>
            <w: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435" w:type="dxa"/>
            <w:noWrap w:val="0"/>
            <w:vAlign w:val="center"/>
          </w:tcPr>
          <w:p>
            <w:pPr>
              <w:pStyle w:val="30"/>
              <w:bidi w:val="0"/>
            </w:pPr>
            <w:r>
              <w:t>难</w:t>
            </w:r>
          </w:p>
        </w:tc>
        <w:tc>
          <w:tcPr>
            <w:tcW w:w="6851" w:type="dxa"/>
            <w:noWrap w:val="0"/>
            <w:vAlign w:val="center"/>
          </w:tcPr>
          <w:p>
            <w:pPr>
              <w:pStyle w:val="30"/>
              <w:bidi w:val="0"/>
            </w:pPr>
            <w: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435" w:type="dxa"/>
            <w:noWrap w:val="0"/>
            <w:vAlign w:val="center"/>
          </w:tcPr>
          <w:p>
            <w:pPr>
              <w:pStyle w:val="30"/>
              <w:bidi w:val="0"/>
            </w:pPr>
            <w:r>
              <w:t>易</w:t>
            </w:r>
          </w:p>
        </w:tc>
        <w:tc>
          <w:tcPr>
            <w:tcW w:w="6851" w:type="dxa"/>
            <w:noWrap w:val="0"/>
            <w:vAlign w:val="center"/>
          </w:tcPr>
          <w:p>
            <w:pPr>
              <w:pStyle w:val="30"/>
              <w:bidi w:val="0"/>
            </w:pPr>
            <w:r>
              <w:t>对地下水环境有污染的物料或污染物泄漏后，可及时发现和处理</w:t>
            </w:r>
          </w:p>
        </w:tc>
      </w:tr>
    </w:tbl>
    <w:p>
      <w:pPr>
        <w:ind w:firstLine="482" w:firstLineChars="200"/>
        <w:jc w:val="center"/>
        <w:rPr>
          <w:rFonts w:ascii="Times New Roman" w:hAnsi="Times New Roman"/>
          <w:b/>
          <w:bCs/>
          <w:color w:val="auto"/>
          <w:sz w:val="24"/>
        </w:rPr>
      </w:pPr>
      <w:r>
        <w:rPr>
          <w:rFonts w:ascii="Times New Roman" w:hAnsi="Times New Roman"/>
          <w:b/>
          <w:bCs/>
          <w:color w:val="auto"/>
          <w:sz w:val="24"/>
        </w:rPr>
        <w:t>表</w:t>
      </w:r>
      <w:r>
        <w:rPr>
          <w:rFonts w:hint="eastAsia" w:ascii="Times New Roman" w:hAnsi="Times New Roman"/>
          <w:b/>
          <w:bCs/>
          <w:color w:val="auto"/>
          <w:sz w:val="24"/>
          <w:lang w:val="en-US" w:eastAsia="zh-CN"/>
        </w:rPr>
        <w:t>7.2-</w:t>
      </w:r>
      <w:r>
        <w:rPr>
          <w:rFonts w:hint="eastAsia"/>
          <w:b/>
          <w:bCs/>
          <w:color w:val="auto"/>
          <w:sz w:val="24"/>
          <w:lang w:val="en-US" w:eastAsia="zh-CN"/>
        </w:rPr>
        <w:t>5</w:t>
      </w:r>
      <w:r>
        <w:rPr>
          <w:rFonts w:ascii="Times New Roman" w:hAnsi="Times New Roman"/>
          <w:b/>
          <w:bCs/>
          <w:color w:val="auto"/>
          <w:sz w:val="24"/>
        </w:rPr>
        <w:t xml:space="preserve">  天然包气带防污性能分级参照表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8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2" w:type="dxa"/>
            <w:noWrap w:val="0"/>
            <w:vAlign w:val="center"/>
          </w:tcPr>
          <w:p>
            <w:pPr>
              <w:pStyle w:val="30"/>
              <w:bidi w:val="0"/>
            </w:pPr>
            <w:r>
              <w:t>分级</w:t>
            </w:r>
          </w:p>
        </w:tc>
        <w:tc>
          <w:tcPr>
            <w:tcW w:w="8344" w:type="dxa"/>
            <w:noWrap w:val="0"/>
            <w:vAlign w:val="center"/>
          </w:tcPr>
          <w:p>
            <w:pPr>
              <w:pStyle w:val="30"/>
              <w:bidi w:val="0"/>
            </w:pPr>
            <w: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2" w:type="dxa"/>
            <w:noWrap w:val="0"/>
            <w:vAlign w:val="center"/>
          </w:tcPr>
          <w:p>
            <w:pPr>
              <w:pStyle w:val="30"/>
              <w:bidi w:val="0"/>
            </w:pPr>
            <w:r>
              <w:t>强</w:t>
            </w:r>
          </w:p>
        </w:tc>
        <w:tc>
          <w:tcPr>
            <w:tcW w:w="8344" w:type="dxa"/>
            <w:noWrap w:val="0"/>
            <w:vAlign w:val="center"/>
          </w:tcPr>
          <w:p>
            <w:pPr>
              <w:pStyle w:val="30"/>
              <w:bidi w:val="0"/>
            </w:pPr>
            <w:r>
              <w:t>Mb≥1.0m，K≤1.0×10</w:t>
            </w:r>
            <w:r>
              <w:rPr>
                <w:vertAlign w:val="superscript"/>
              </w:rPr>
              <w:t>-6</w:t>
            </w:r>
            <w: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exact"/>
          <w:jc w:val="center"/>
        </w:trPr>
        <w:tc>
          <w:tcPr>
            <w:tcW w:w="942" w:type="dxa"/>
            <w:noWrap w:val="0"/>
            <w:vAlign w:val="center"/>
          </w:tcPr>
          <w:p>
            <w:pPr>
              <w:pStyle w:val="30"/>
              <w:bidi w:val="0"/>
            </w:pPr>
            <w:r>
              <w:t>中</w:t>
            </w:r>
          </w:p>
        </w:tc>
        <w:tc>
          <w:tcPr>
            <w:tcW w:w="8344" w:type="dxa"/>
            <w:noWrap w:val="0"/>
            <w:vAlign w:val="center"/>
          </w:tcPr>
          <w:p>
            <w:pPr>
              <w:pStyle w:val="30"/>
              <w:bidi w:val="0"/>
            </w:pPr>
            <w:r>
              <w:t>0.5m≤Mb&lt;1.0m，K≤1.0×10</w:t>
            </w:r>
            <w:r>
              <w:rPr>
                <w:vertAlign w:val="superscript"/>
              </w:rPr>
              <w:t>-6</w:t>
            </w:r>
            <w:r>
              <w:t>cm/s，且分布连续、稳定</w:t>
            </w:r>
          </w:p>
          <w:p>
            <w:pPr>
              <w:pStyle w:val="30"/>
              <w:bidi w:val="0"/>
            </w:pPr>
            <w:r>
              <w:t>Mb≥1.0m，1.0×10</w:t>
            </w:r>
            <w:r>
              <w:rPr>
                <w:vertAlign w:val="superscript"/>
              </w:rPr>
              <w:t>-6</w:t>
            </w:r>
            <w:r>
              <w:t>cm/s&lt;K≤1.0×10</w:t>
            </w:r>
            <w:r>
              <w:rPr>
                <w:vertAlign w:val="superscript"/>
              </w:rPr>
              <w:t>-4</w:t>
            </w:r>
            <w: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2" w:type="dxa"/>
            <w:noWrap w:val="0"/>
            <w:vAlign w:val="center"/>
          </w:tcPr>
          <w:p>
            <w:pPr>
              <w:pStyle w:val="30"/>
              <w:bidi w:val="0"/>
            </w:pPr>
            <w:r>
              <w:t>弱</w:t>
            </w:r>
          </w:p>
        </w:tc>
        <w:tc>
          <w:tcPr>
            <w:tcW w:w="8344" w:type="dxa"/>
            <w:noWrap w:val="0"/>
            <w:vAlign w:val="center"/>
          </w:tcPr>
          <w:p>
            <w:pPr>
              <w:pStyle w:val="30"/>
              <w:bidi w:val="0"/>
            </w:pPr>
            <w:r>
              <w:t>岩（土）层不满足上述</w:t>
            </w:r>
            <w:r>
              <w:rPr>
                <w:rFonts w:hint="eastAsia"/>
                <w:lang w:eastAsia="zh-CN"/>
              </w:rPr>
              <w:t>“</w:t>
            </w:r>
            <w:r>
              <w:t>强</w:t>
            </w:r>
            <w:r>
              <w:rPr>
                <w:rFonts w:hint="eastAsia"/>
                <w:lang w:eastAsia="zh-CN"/>
              </w:rPr>
              <w:t>”</w:t>
            </w:r>
            <w:r>
              <w:t>和</w:t>
            </w:r>
            <w:r>
              <w:rPr>
                <w:rFonts w:hint="eastAsia"/>
                <w:lang w:eastAsia="zh-CN"/>
              </w:rPr>
              <w:t>“</w:t>
            </w:r>
            <w:r>
              <w:t>中</w:t>
            </w:r>
            <w:r>
              <w:rPr>
                <w:rFonts w:hint="eastAsia"/>
                <w:lang w:eastAsia="zh-CN"/>
              </w:rPr>
              <w:t>”</w:t>
            </w:r>
            <w: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2"/>
            <w:noWrap w:val="0"/>
            <w:vAlign w:val="center"/>
          </w:tcPr>
          <w:p>
            <w:pPr>
              <w:pStyle w:val="30"/>
              <w:bidi w:val="0"/>
            </w:pPr>
            <w:r>
              <w:t>注: Mb：岩土层单层厚度。K：渗透系数。</w:t>
            </w:r>
          </w:p>
        </w:tc>
      </w:tr>
    </w:tbl>
    <w:p>
      <w:pPr>
        <w:ind w:firstLine="482" w:firstLineChars="200"/>
        <w:jc w:val="center"/>
        <w:rPr>
          <w:rFonts w:ascii="Times New Roman" w:hAnsi="Times New Roman"/>
          <w:b/>
          <w:bCs/>
          <w:color w:val="auto"/>
          <w:sz w:val="24"/>
        </w:rPr>
      </w:pPr>
      <w:r>
        <w:rPr>
          <w:rFonts w:ascii="Times New Roman" w:hAnsi="Times New Roman"/>
          <w:b/>
          <w:bCs/>
          <w:color w:val="auto"/>
          <w:sz w:val="24"/>
        </w:rPr>
        <w:t>表</w:t>
      </w:r>
      <w:r>
        <w:rPr>
          <w:rFonts w:hint="eastAsia" w:ascii="Times New Roman" w:hAnsi="Times New Roman"/>
          <w:b/>
          <w:bCs/>
          <w:color w:val="auto"/>
          <w:sz w:val="24"/>
          <w:lang w:val="en-US" w:eastAsia="zh-CN"/>
        </w:rPr>
        <w:t>7.2-</w:t>
      </w:r>
      <w:r>
        <w:rPr>
          <w:rFonts w:hint="eastAsia"/>
          <w:b/>
          <w:bCs/>
          <w:color w:val="auto"/>
          <w:sz w:val="24"/>
          <w:lang w:val="en-US" w:eastAsia="zh-CN"/>
        </w:rPr>
        <w:t>6</w:t>
      </w:r>
      <w:r>
        <w:rPr>
          <w:rFonts w:ascii="Times New Roman" w:hAnsi="Times New Roman"/>
          <w:b/>
          <w:bCs/>
          <w:color w:val="auto"/>
          <w:sz w:val="24"/>
        </w:rPr>
        <w:t xml:space="preserve">  地下水污染防渗分区参照表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33"/>
        <w:gridCol w:w="1544"/>
        <w:gridCol w:w="1852"/>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30"/>
              <w:bidi w:val="0"/>
            </w:pPr>
            <w:r>
              <w:t>防渗分区</w:t>
            </w:r>
          </w:p>
        </w:tc>
        <w:tc>
          <w:tcPr>
            <w:tcW w:w="1833" w:type="dxa"/>
            <w:noWrap w:val="0"/>
            <w:vAlign w:val="center"/>
          </w:tcPr>
          <w:p>
            <w:pPr>
              <w:pStyle w:val="30"/>
              <w:bidi w:val="0"/>
            </w:pPr>
            <w:r>
              <w:t>天然包气带防污性能</w:t>
            </w:r>
          </w:p>
        </w:tc>
        <w:tc>
          <w:tcPr>
            <w:tcW w:w="1544" w:type="dxa"/>
            <w:noWrap w:val="0"/>
            <w:vAlign w:val="center"/>
          </w:tcPr>
          <w:p>
            <w:pPr>
              <w:pStyle w:val="30"/>
              <w:bidi w:val="0"/>
            </w:pPr>
            <w:r>
              <w:t>污染控制难易程度</w:t>
            </w:r>
          </w:p>
        </w:tc>
        <w:tc>
          <w:tcPr>
            <w:tcW w:w="1852" w:type="dxa"/>
            <w:noWrap w:val="0"/>
            <w:vAlign w:val="center"/>
          </w:tcPr>
          <w:p>
            <w:pPr>
              <w:pStyle w:val="30"/>
              <w:bidi w:val="0"/>
            </w:pPr>
            <w:r>
              <w:t>污染物类型</w:t>
            </w:r>
          </w:p>
        </w:tc>
        <w:tc>
          <w:tcPr>
            <w:tcW w:w="2531" w:type="dxa"/>
            <w:noWrap w:val="0"/>
            <w:vAlign w:val="center"/>
          </w:tcPr>
          <w:p>
            <w:pPr>
              <w:pStyle w:val="30"/>
              <w:bidi w:val="0"/>
            </w:pPr>
            <w: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noWrap w:val="0"/>
            <w:vAlign w:val="center"/>
          </w:tcPr>
          <w:p>
            <w:pPr>
              <w:pStyle w:val="30"/>
              <w:bidi w:val="0"/>
            </w:pPr>
            <w:r>
              <w:t>重点防渗区</w:t>
            </w:r>
          </w:p>
        </w:tc>
        <w:tc>
          <w:tcPr>
            <w:tcW w:w="1833" w:type="dxa"/>
            <w:noWrap w:val="0"/>
            <w:vAlign w:val="center"/>
          </w:tcPr>
          <w:p>
            <w:pPr>
              <w:pStyle w:val="30"/>
              <w:bidi w:val="0"/>
            </w:pPr>
            <w:r>
              <w:t>弱</w:t>
            </w:r>
          </w:p>
        </w:tc>
        <w:tc>
          <w:tcPr>
            <w:tcW w:w="1544" w:type="dxa"/>
            <w:noWrap w:val="0"/>
            <w:vAlign w:val="center"/>
          </w:tcPr>
          <w:p>
            <w:pPr>
              <w:pStyle w:val="30"/>
              <w:bidi w:val="0"/>
            </w:pPr>
            <w:r>
              <w:t>难</w:t>
            </w:r>
          </w:p>
        </w:tc>
        <w:tc>
          <w:tcPr>
            <w:tcW w:w="1852" w:type="dxa"/>
            <w:vMerge w:val="restart"/>
            <w:noWrap w:val="0"/>
            <w:vAlign w:val="center"/>
          </w:tcPr>
          <w:p>
            <w:pPr>
              <w:pStyle w:val="30"/>
              <w:bidi w:val="0"/>
            </w:pPr>
            <w:r>
              <w:t>重金属、持久性有机物污染物</w:t>
            </w:r>
          </w:p>
        </w:tc>
        <w:tc>
          <w:tcPr>
            <w:tcW w:w="2531" w:type="dxa"/>
            <w:vMerge w:val="restart"/>
            <w:noWrap w:val="0"/>
            <w:vAlign w:val="center"/>
          </w:tcPr>
          <w:p>
            <w:pPr>
              <w:pStyle w:val="30"/>
              <w:bidi w:val="0"/>
            </w:pPr>
            <w:r>
              <w:t>等效粘土防渗层Mb≥6.0m，K≤1×10</w:t>
            </w:r>
            <w:r>
              <w:rPr>
                <w:vertAlign w:val="superscript"/>
              </w:rPr>
              <w:t>-7</w:t>
            </w:r>
            <w: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pStyle w:val="30"/>
              <w:bidi w:val="0"/>
            </w:pPr>
          </w:p>
        </w:tc>
        <w:tc>
          <w:tcPr>
            <w:tcW w:w="1833" w:type="dxa"/>
            <w:noWrap w:val="0"/>
            <w:vAlign w:val="center"/>
          </w:tcPr>
          <w:p>
            <w:pPr>
              <w:pStyle w:val="30"/>
              <w:bidi w:val="0"/>
            </w:pPr>
            <w:r>
              <w:t>中-强</w:t>
            </w:r>
          </w:p>
        </w:tc>
        <w:tc>
          <w:tcPr>
            <w:tcW w:w="1544" w:type="dxa"/>
            <w:noWrap w:val="0"/>
            <w:vAlign w:val="center"/>
          </w:tcPr>
          <w:p>
            <w:pPr>
              <w:pStyle w:val="30"/>
              <w:bidi w:val="0"/>
            </w:pPr>
            <w:r>
              <w:t>难</w:t>
            </w:r>
          </w:p>
        </w:tc>
        <w:tc>
          <w:tcPr>
            <w:tcW w:w="1852" w:type="dxa"/>
            <w:vMerge w:val="continue"/>
            <w:noWrap w:val="0"/>
            <w:vAlign w:val="center"/>
          </w:tcPr>
          <w:p>
            <w:pPr>
              <w:pStyle w:val="30"/>
              <w:bidi w:val="0"/>
            </w:pPr>
          </w:p>
        </w:tc>
        <w:tc>
          <w:tcPr>
            <w:tcW w:w="253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pStyle w:val="30"/>
              <w:bidi w:val="0"/>
            </w:pPr>
          </w:p>
        </w:tc>
        <w:tc>
          <w:tcPr>
            <w:tcW w:w="1833" w:type="dxa"/>
            <w:noWrap w:val="0"/>
            <w:vAlign w:val="center"/>
          </w:tcPr>
          <w:p>
            <w:pPr>
              <w:pStyle w:val="30"/>
              <w:bidi w:val="0"/>
            </w:pPr>
            <w:r>
              <w:t>弱</w:t>
            </w:r>
          </w:p>
        </w:tc>
        <w:tc>
          <w:tcPr>
            <w:tcW w:w="1544" w:type="dxa"/>
            <w:noWrap w:val="0"/>
            <w:vAlign w:val="center"/>
          </w:tcPr>
          <w:p>
            <w:pPr>
              <w:pStyle w:val="30"/>
              <w:bidi w:val="0"/>
            </w:pPr>
            <w:r>
              <w:t>易</w:t>
            </w:r>
          </w:p>
        </w:tc>
        <w:tc>
          <w:tcPr>
            <w:tcW w:w="1852" w:type="dxa"/>
            <w:vMerge w:val="continue"/>
            <w:noWrap w:val="0"/>
            <w:vAlign w:val="center"/>
          </w:tcPr>
          <w:p>
            <w:pPr>
              <w:pStyle w:val="30"/>
              <w:bidi w:val="0"/>
            </w:pPr>
          </w:p>
        </w:tc>
        <w:tc>
          <w:tcPr>
            <w:tcW w:w="253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noWrap w:val="0"/>
            <w:vAlign w:val="center"/>
          </w:tcPr>
          <w:p>
            <w:pPr>
              <w:pStyle w:val="30"/>
              <w:bidi w:val="0"/>
            </w:pPr>
            <w:r>
              <w:t>一般防渗区</w:t>
            </w:r>
          </w:p>
        </w:tc>
        <w:tc>
          <w:tcPr>
            <w:tcW w:w="1833" w:type="dxa"/>
            <w:noWrap w:val="0"/>
            <w:vAlign w:val="center"/>
          </w:tcPr>
          <w:p>
            <w:pPr>
              <w:pStyle w:val="30"/>
              <w:bidi w:val="0"/>
            </w:pPr>
            <w:r>
              <w:t>弱</w:t>
            </w:r>
          </w:p>
        </w:tc>
        <w:tc>
          <w:tcPr>
            <w:tcW w:w="1544" w:type="dxa"/>
            <w:noWrap w:val="0"/>
            <w:vAlign w:val="center"/>
          </w:tcPr>
          <w:p>
            <w:pPr>
              <w:pStyle w:val="30"/>
              <w:bidi w:val="0"/>
            </w:pPr>
            <w:r>
              <w:t>易-难</w:t>
            </w:r>
          </w:p>
        </w:tc>
        <w:tc>
          <w:tcPr>
            <w:tcW w:w="1852" w:type="dxa"/>
            <w:vMerge w:val="restart"/>
            <w:noWrap w:val="0"/>
            <w:vAlign w:val="center"/>
          </w:tcPr>
          <w:p>
            <w:pPr>
              <w:pStyle w:val="30"/>
              <w:bidi w:val="0"/>
            </w:pPr>
            <w:r>
              <w:t>其他类型</w:t>
            </w:r>
          </w:p>
        </w:tc>
        <w:tc>
          <w:tcPr>
            <w:tcW w:w="2531" w:type="dxa"/>
            <w:vMerge w:val="restart"/>
            <w:noWrap w:val="0"/>
            <w:vAlign w:val="center"/>
          </w:tcPr>
          <w:p>
            <w:pPr>
              <w:pStyle w:val="30"/>
              <w:bidi w:val="0"/>
            </w:pPr>
            <w:r>
              <w:t>等效粘土防渗层Mb≥1.5m，K≤1×10</w:t>
            </w:r>
            <w:r>
              <w:rPr>
                <w:vertAlign w:val="superscript"/>
              </w:rPr>
              <w:t>-7</w:t>
            </w:r>
            <w: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pStyle w:val="30"/>
              <w:bidi w:val="0"/>
            </w:pPr>
          </w:p>
        </w:tc>
        <w:tc>
          <w:tcPr>
            <w:tcW w:w="1833" w:type="dxa"/>
            <w:noWrap w:val="0"/>
            <w:vAlign w:val="center"/>
          </w:tcPr>
          <w:p>
            <w:pPr>
              <w:pStyle w:val="30"/>
              <w:bidi w:val="0"/>
            </w:pPr>
            <w:r>
              <w:t>中-强</w:t>
            </w:r>
          </w:p>
        </w:tc>
        <w:tc>
          <w:tcPr>
            <w:tcW w:w="1544" w:type="dxa"/>
            <w:noWrap w:val="0"/>
            <w:vAlign w:val="center"/>
          </w:tcPr>
          <w:p>
            <w:pPr>
              <w:pStyle w:val="30"/>
              <w:bidi w:val="0"/>
            </w:pPr>
            <w:r>
              <w:t>难</w:t>
            </w:r>
          </w:p>
        </w:tc>
        <w:tc>
          <w:tcPr>
            <w:tcW w:w="1852" w:type="dxa"/>
            <w:vMerge w:val="continue"/>
            <w:noWrap w:val="0"/>
            <w:vAlign w:val="center"/>
          </w:tcPr>
          <w:p>
            <w:pPr>
              <w:pStyle w:val="30"/>
              <w:bidi w:val="0"/>
            </w:pPr>
          </w:p>
        </w:tc>
        <w:tc>
          <w:tcPr>
            <w:tcW w:w="253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pStyle w:val="30"/>
              <w:bidi w:val="0"/>
            </w:pPr>
          </w:p>
        </w:tc>
        <w:tc>
          <w:tcPr>
            <w:tcW w:w="1833" w:type="dxa"/>
            <w:noWrap w:val="0"/>
            <w:vAlign w:val="center"/>
          </w:tcPr>
          <w:p>
            <w:pPr>
              <w:pStyle w:val="30"/>
              <w:bidi w:val="0"/>
            </w:pPr>
            <w:r>
              <w:t>中</w:t>
            </w:r>
          </w:p>
        </w:tc>
        <w:tc>
          <w:tcPr>
            <w:tcW w:w="1544" w:type="dxa"/>
            <w:noWrap w:val="0"/>
            <w:vAlign w:val="center"/>
          </w:tcPr>
          <w:p>
            <w:pPr>
              <w:pStyle w:val="30"/>
              <w:bidi w:val="0"/>
            </w:pPr>
            <w:r>
              <w:t>易</w:t>
            </w:r>
          </w:p>
        </w:tc>
        <w:tc>
          <w:tcPr>
            <w:tcW w:w="1852" w:type="dxa"/>
            <w:vMerge w:val="restart"/>
            <w:noWrap w:val="0"/>
            <w:vAlign w:val="center"/>
          </w:tcPr>
          <w:p>
            <w:pPr>
              <w:pStyle w:val="30"/>
              <w:bidi w:val="0"/>
              <w:spacing w:line="240" w:lineRule="auto"/>
            </w:pPr>
            <w:r>
              <w:t>重金属、持久性有机物污染物</w:t>
            </w:r>
          </w:p>
        </w:tc>
        <w:tc>
          <w:tcPr>
            <w:tcW w:w="253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pStyle w:val="30"/>
              <w:bidi w:val="0"/>
            </w:pPr>
          </w:p>
        </w:tc>
        <w:tc>
          <w:tcPr>
            <w:tcW w:w="1833" w:type="dxa"/>
            <w:noWrap w:val="0"/>
            <w:vAlign w:val="center"/>
          </w:tcPr>
          <w:p>
            <w:pPr>
              <w:pStyle w:val="30"/>
              <w:bidi w:val="0"/>
            </w:pPr>
            <w:r>
              <w:t>强</w:t>
            </w:r>
          </w:p>
        </w:tc>
        <w:tc>
          <w:tcPr>
            <w:tcW w:w="1544" w:type="dxa"/>
            <w:noWrap w:val="0"/>
            <w:vAlign w:val="center"/>
          </w:tcPr>
          <w:p>
            <w:pPr>
              <w:pStyle w:val="30"/>
              <w:bidi w:val="0"/>
            </w:pPr>
            <w:r>
              <w:t>易</w:t>
            </w:r>
          </w:p>
        </w:tc>
        <w:tc>
          <w:tcPr>
            <w:tcW w:w="1852" w:type="dxa"/>
            <w:vMerge w:val="continue"/>
            <w:noWrap w:val="0"/>
            <w:vAlign w:val="center"/>
          </w:tcPr>
          <w:p>
            <w:pPr>
              <w:pStyle w:val="30"/>
              <w:bidi w:val="0"/>
              <w:spacing w:line="240" w:lineRule="auto"/>
            </w:pPr>
          </w:p>
        </w:tc>
        <w:tc>
          <w:tcPr>
            <w:tcW w:w="2531"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30"/>
              <w:bidi w:val="0"/>
            </w:pPr>
            <w:r>
              <w:t>简单防渗区</w:t>
            </w:r>
          </w:p>
        </w:tc>
        <w:tc>
          <w:tcPr>
            <w:tcW w:w="1833" w:type="dxa"/>
            <w:noWrap w:val="0"/>
            <w:vAlign w:val="center"/>
          </w:tcPr>
          <w:p>
            <w:pPr>
              <w:pStyle w:val="30"/>
              <w:bidi w:val="0"/>
            </w:pPr>
            <w:r>
              <w:t>中-强</w:t>
            </w:r>
          </w:p>
        </w:tc>
        <w:tc>
          <w:tcPr>
            <w:tcW w:w="1544" w:type="dxa"/>
            <w:noWrap w:val="0"/>
            <w:vAlign w:val="center"/>
          </w:tcPr>
          <w:p>
            <w:pPr>
              <w:pStyle w:val="30"/>
              <w:bidi w:val="0"/>
            </w:pPr>
            <w:r>
              <w:t>易</w:t>
            </w:r>
          </w:p>
        </w:tc>
        <w:tc>
          <w:tcPr>
            <w:tcW w:w="1852" w:type="dxa"/>
            <w:noWrap w:val="0"/>
            <w:vAlign w:val="center"/>
          </w:tcPr>
          <w:p>
            <w:pPr>
              <w:pStyle w:val="30"/>
              <w:bidi w:val="0"/>
              <w:spacing w:line="240" w:lineRule="auto"/>
            </w:pPr>
            <w:r>
              <w:t>其他类型</w:t>
            </w:r>
          </w:p>
        </w:tc>
        <w:tc>
          <w:tcPr>
            <w:tcW w:w="2531" w:type="dxa"/>
            <w:noWrap w:val="0"/>
            <w:vAlign w:val="center"/>
          </w:tcPr>
          <w:p>
            <w:pPr>
              <w:pStyle w:val="30"/>
              <w:bidi w:val="0"/>
            </w:pPr>
            <w:r>
              <w:t>一般地面硬化</w:t>
            </w:r>
          </w:p>
        </w:tc>
      </w:tr>
    </w:tbl>
    <w:p>
      <w:pPr>
        <w:ind w:firstLine="480" w:firstLineChars="200"/>
        <w:rPr>
          <w:rFonts w:ascii="Times New Roman" w:hAnsi="Times New Roman"/>
          <w:color w:val="auto"/>
          <w:sz w:val="24"/>
        </w:rPr>
      </w:pPr>
      <w:r>
        <w:rPr>
          <w:rFonts w:ascii="Times New Roman" w:hAnsi="Times New Roman"/>
          <w:color w:val="auto"/>
          <w:sz w:val="24"/>
        </w:rPr>
        <w:t>综合上述防渗内容，本项目各场地分区防渗要求见表</w:t>
      </w:r>
      <w:r>
        <w:rPr>
          <w:rFonts w:hint="eastAsia"/>
          <w:color w:val="auto"/>
          <w:sz w:val="24"/>
          <w:lang w:val="en-US" w:eastAsia="zh-CN"/>
        </w:rPr>
        <w:t>7.2-7</w:t>
      </w:r>
      <w:r>
        <w:rPr>
          <w:rFonts w:ascii="Times New Roman" w:hAnsi="Times New Roman"/>
          <w:color w:val="auto"/>
          <w:sz w:val="24"/>
        </w:rPr>
        <w:t>及图</w:t>
      </w:r>
      <w:r>
        <w:rPr>
          <w:rFonts w:hint="eastAsia"/>
          <w:color w:val="auto"/>
          <w:sz w:val="24"/>
          <w:lang w:val="en-US" w:eastAsia="zh-CN"/>
        </w:rPr>
        <w:t>7.2-2</w:t>
      </w:r>
      <w:r>
        <w:rPr>
          <w:rFonts w:ascii="Times New Roman" w:hAnsi="Times New Roman"/>
          <w:color w:val="auto"/>
          <w:sz w:val="24"/>
        </w:rPr>
        <w:t>。</w:t>
      </w:r>
    </w:p>
    <w:p>
      <w:pPr>
        <w:spacing w:line="240" w:lineRule="auto"/>
        <w:jc w:val="center"/>
        <w:rPr>
          <w:rFonts w:ascii="Times New Roman" w:hAnsi="Times New Roman"/>
          <w:b/>
          <w:color w:val="auto"/>
        </w:rPr>
      </w:pPr>
      <w:r>
        <w:rPr>
          <w:rFonts w:ascii="Times New Roman" w:hAnsi="Times New Roman"/>
          <w:b/>
          <w:bCs/>
          <w:color w:val="auto"/>
          <w:sz w:val="24"/>
        </w:rPr>
        <w:t>表</w:t>
      </w:r>
      <w:r>
        <w:rPr>
          <w:rFonts w:hint="eastAsia" w:ascii="Times New Roman" w:hAnsi="Times New Roman"/>
          <w:b/>
          <w:bCs/>
          <w:color w:val="auto"/>
          <w:sz w:val="24"/>
          <w:lang w:val="en-US" w:eastAsia="zh-CN"/>
        </w:rPr>
        <w:t>7.2-</w:t>
      </w:r>
      <w:r>
        <w:rPr>
          <w:rFonts w:hint="eastAsia"/>
          <w:b/>
          <w:bCs/>
          <w:color w:val="auto"/>
          <w:sz w:val="24"/>
          <w:lang w:val="en-US" w:eastAsia="zh-CN"/>
        </w:rPr>
        <w:t>7</w:t>
      </w:r>
      <w:r>
        <w:rPr>
          <w:rFonts w:ascii="Times New Roman" w:hAnsi="Times New Roman"/>
          <w:b/>
          <w:bCs/>
          <w:color w:val="auto"/>
          <w:sz w:val="24"/>
        </w:rPr>
        <w:t xml:space="preserve">  场地防渗等级一览表</w:t>
      </w:r>
    </w:p>
    <w:tbl>
      <w:tblPr>
        <w:tblStyle w:val="21"/>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557"/>
        <w:gridCol w:w="1477"/>
        <w:gridCol w:w="1276"/>
        <w:gridCol w:w="1134"/>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4" w:type="dxa"/>
            <w:noWrap w:val="0"/>
            <w:tcMar>
              <w:left w:w="0" w:type="dxa"/>
              <w:right w:w="0" w:type="dxa"/>
            </w:tcMar>
            <w:vAlign w:val="center"/>
          </w:tcPr>
          <w:p>
            <w:pPr>
              <w:pStyle w:val="30"/>
              <w:bidi w:val="0"/>
            </w:pPr>
            <w:r>
              <w:t>场地名称</w:t>
            </w:r>
          </w:p>
        </w:tc>
        <w:tc>
          <w:tcPr>
            <w:tcW w:w="1557" w:type="dxa"/>
            <w:noWrap w:val="0"/>
            <w:tcMar>
              <w:left w:w="0" w:type="dxa"/>
              <w:right w:w="0" w:type="dxa"/>
            </w:tcMar>
            <w:vAlign w:val="center"/>
          </w:tcPr>
          <w:p>
            <w:pPr>
              <w:pStyle w:val="30"/>
              <w:bidi w:val="0"/>
            </w:pPr>
            <w:r>
              <w:t>天然包气带防污性能</w:t>
            </w:r>
          </w:p>
        </w:tc>
        <w:tc>
          <w:tcPr>
            <w:tcW w:w="1477" w:type="dxa"/>
            <w:noWrap w:val="0"/>
            <w:tcMar>
              <w:left w:w="0" w:type="dxa"/>
              <w:right w:w="0" w:type="dxa"/>
            </w:tcMar>
            <w:vAlign w:val="center"/>
          </w:tcPr>
          <w:p>
            <w:pPr>
              <w:pStyle w:val="30"/>
              <w:bidi w:val="0"/>
            </w:pPr>
            <w:r>
              <w:t>污染控制难易程度</w:t>
            </w:r>
          </w:p>
        </w:tc>
        <w:tc>
          <w:tcPr>
            <w:tcW w:w="1276" w:type="dxa"/>
            <w:noWrap w:val="0"/>
            <w:tcMar>
              <w:left w:w="0" w:type="dxa"/>
              <w:right w:w="0" w:type="dxa"/>
            </w:tcMar>
            <w:vAlign w:val="center"/>
          </w:tcPr>
          <w:p>
            <w:pPr>
              <w:pStyle w:val="30"/>
              <w:bidi w:val="0"/>
            </w:pPr>
            <w:r>
              <w:t>污染物类型</w:t>
            </w:r>
          </w:p>
        </w:tc>
        <w:tc>
          <w:tcPr>
            <w:tcW w:w="1134" w:type="dxa"/>
            <w:noWrap w:val="0"/>
            <w:tcMar>
              <w:left w:w="0" w:type="dxa"/>
              <w:right w:w="0" w:type="dxa"/>
            </w:tcMar>
            <w:vAlign w:val="center"/>
          </w:tcPr>
          <w:p>
            <w:pPr>
              <w:pStyle w:val="30"/>
              <w:bidi w:val="0"/>
            </w:pPr>
            <w:r>
              <w:t>防渗分区</w:t>
            </w:r>
          </w:p>
        </w:tc>
        <w:tc>
          <w:tcPr>
            <w:tcW w:w="2185" w:type="dxa"/>
            <w:noWrap w:val="0"/>
            <w:vAlign w:val="center"/>
          </w:tcPr>
          <w:p>
            <w:pPr>
              <w:pStyle w:val="30"/>
              <w:bidi w:val="0"/>
            </w:pPr>
            <w:r>
              <w:t>防渗具体要求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4" w:type="dxa"/>
            <w:noWrap w:val="0"/>
            <w:tcMar>
              <w:left w:w="0" w:type="dxa"/>
              <w:right w:w="0" w:type="dxa"/>
            </w:tcMar>
            <w:vAlign w:val="center"/>
          </w:tcPr>
          <w:p>
            <w:pPr>
              <w:pStyle w:val="30"/>
              <w:bidi w:val="0"/>
            </w:pPr>
            <w:r>
              <w:t>化粪池</w:t>
            </w:r>
          </w:p>
        </w:tc>
        <w:tc>
          <w:tcPr>
            <w:tcW w:w="1557" w:type="dxa"/>
            <w:noWrap w:val="0"/>
            <w:tcMar>
              <w:left w:w="0" w:type="dxa"/>
              <w:right w:w="0" w:type="dxa"/>
            </w:tcMar>
            <w:vAlign w:val="center"/>
          </w:tcPr>
          <w:p>
            <w:pPr>
              <w:pStyle w:val="30"/>
              <w:bidi w:val="0"/>
            </w:pPr>
            <w:r>
              <w:t>弱</w:t>
            </w:r>
          </w:p>
        </w:tc>
        <w:tc>
          <w:tcPr>
            <w:tcW w:w="1477" w:type="dxa"/>
            <w:noWrap w:val="0"/>
            <w:tcMar>
              <w:left w:w="0" w:type="dxa"/>
              <w:right w:w="0" w:type="dxa"/>
            </w:tcMar>
            <w:vAlign w:val="center"/>
          </w:tcPr>
          <w:p>
            <w:pPr>
              <w:pStyle w:val="30"/>
              <w:bidi w:val="0"/>
            </w:pPr>
            <w:r>
              <w:t>难</w:t>
            </w:r>
          </w:p>
        </w:tc>
        <w:tc>
          <w:tcPr>
            <w:tcW w:w="1276" w:type="dxa"/>
            <w:noWrap w:val="0"/>
            <w:tcMar>
              <w:left w:w="0" w:type="dxa"/>
              <w:right w:w="0" w:type="dxa"/>
            </w:tcMar>
            <w:vAlign w:val="center"/>
          </w:tcPr>
          <w:p>
            <w:pPr>
              <w:pStyle w:val="30"/>
              <w:bidi w:val="0"/>
            </w:pPr>
            <w:r>
              <w:t>其他类型</w:t>
            </w:r>
          </w:p>
        </w:tc>
        <w:tc>
          <w:tcPr>
            <w:tcW w:w="1134" w:type="dxa"/>
            <w:noWrap w:val="0"/>
            <w:tcMar>
              <w:left w:w="0" w:type="dxa"/>
              <w:right w:w="0" w:type="dxa"/>
            </w:tcMar>
            <w:vAlign w:val="center"/>
          </w:tcPr>
          <w:p>
            <w:pPr>
              <w:pStyle w:val="30"/>
              <w:bidi w:val="0"/>
            </w:pPr>
            <w:r>
              <w:t>一般防渗区</w:t>
            </w:r>
          </w:p>
        </w:tc>
        <w:tc>
          <w:tcPr>
            <w:tcW w:w="2185" w:type="dxa"/>
            <w:vMerge w:val="restart"/>
            <w:noWrap w:val="0"/>
            <w:vAlign w:val="center"/>
          </w:tcPr>
          <w:p>
            <w:pPr>
              <w:pStyle w:val="30"/>
              <w:bidi w:val="0"/>
            </w:pPr>
            <w:r>
              <w:t>等效黏土防渗层Mb≥1.5m</w:t>
            </w:r>
            <w:r>
              <w:rPr>
                <w:rFonts w:hint="eastAsia"/>
              </w:rPr>
              <w:t>，</w:t>
            </w:r>
            <w:r>
              <w:t>K≤1.0×10</w:t>
            </w:r>
            <w:r>
              <w:rPr>
                <w:vertAlign w:val="superscript"/>
              </w:rPr>
              <w:t>-7</w:t>
            </w:r>
            <w: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4" w:type="dxa"/>
            <w:noWrap w:val="0"/>
            <w:tcMar>
              <w:left w:w="0" w:type="dxa"/>
              <w:right w:w="0" w:type="dxa"/>
            </w:tcMar>
            <w:vAlign w:val="center"/>
          </w:tcPr>
          <w:p>
            <w:pPr>
              <w:pStyle w:val="30"/>
              <w:bidi w:val="0"/>
            </w:pPr>
            <w:r>
              <w:t>沉淀池、过滤池、气浮池</w:t>
            </w:r>
          </w:p>
        </w:tc>
        <w:tc>
          <w:tcPr>
            <w:tcW w:w="1557" w:type="dxa"/>
            <w:noWrap w:val="0"/>
            <w:tcMar>
              <w:left w:w="0" w:type="dxa"/>
              <w:right w:w="0" w:type="dxa"/>
            </w:tcMar>
            <w:vAlign w:val="center"/>
          </w:tcPr>
          <w:p>
            <w:pPr>
              <w:pStyle w:val="30"/>
              <w:bidi w:val="0"/>
            </w:pPr>
            <w:r>
              <w:t>弱</w:t>
            </w:r>
          </w:p>
        </w:tc>
        <w:tc>
          <w:tcPr>
            <w:tcW w:w="1477" w:type="dxa"/>
            <w:noWrap w:val="0"/>
            <w:tcMar>
              <w:left w:w="0" w:type="dxa"/>
              <w:right w:w="0" w:type="dxa"/>
            </w:tcMar>
            <w:vAlign w:val="center"/>
          </w:tcPr>
          <w:p>
            <w:pPr>
              <w:pStyle w:val="30"/>
              <w:bidi w:val="0"/>
            </w:pPr>
            <w:r>
              <w:t>难</w:t>
            </w:r>
          </w:p>
        </w:tc>
        <w:tc>
          <w:tcPr>
            <w:tcW w:w="1276" w:type="dxa"/>
            <w:noWrap w:val="0"/>
            <w:tcMar>
              <w:left w:w="0" w:type="dxa"/>
              <w:right w:w="0" w:type="dxa"/>
            </w:tcMar>
            <w:vAlign w:val="center"/>
          </w:tcPr>
          <w:p>
            <w:pPr>
              <w:pStyle w:val="30"/>
              <w:bidi w:val="0"/>
            </w:pPr>
            <w:r>
              <w:t>其他类型</w:t>
            </w:r>
          </w:p>
        </w:tc>
        <w:tc>
          <w:tcPr>
            <w:tcW w:w="1134" w:type="dxa"/>
            <w:noWrap w:val="0"/>
            <w:tcMar>
              <w:left w:w="0" w:type="dxa"/>
              <w:right w:w="0" w:type="dxa"/>
            </w:tcMar>
            <w:vAlign w:val="center"/>
          </w:tcPr>
          <w:p>
            <w:pPr>
              <w:pStyle w:val="30"/>
              <w:bidi w:val="0"/>
            </w:pPr>
            <w:r>
              <w:t>一般防渗区</w:t>
            </w:r>
          </w:p>
        </w:tc>
        <w:tc>
          <w:tcPr>
            <w:tcW w:w="2185"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64" w:type="dxa"/>
            <w:noWrap w:val="0"/>
            <w:tcMar>
              <w:left w:w="0" w:type="dxa"/>
              <w:right w:w="0" w:type="dxa"/>
            </w:tcMar>
            <w:vAlign w:val="center"/>
          </w:tcPr>
          <w:p>
            <w:pPr>
              <w:pStyle w:val="30"/>
              <w:bidi w:val="0"/>
            </w:pPr>
            <w:r>
              <w:t>危废暂存间</w:t>
            </w:r>
          </w:p>
        </w:tc>
        <w:tc>
          <w:tcPr>
            <w:tcW w:w="1557" w:type="dxa"/>
            <w:noWrap w:val="0"/>
            <w:tcMar>
              <w:left w:w="0" w:type="dxa"/>
              <w:right w:w="0" w:type="dxa"/>
            </w:tcMar>
            <w:vAlign w:val="center"/>
          </w:tcPr>
          <w:p>
            <w:pPr>
              <w:pStyle w:val="30"/>
              <w:bidi w:val="0"/>
            </w:pPr>
            <w:r>
              <w:t>弱</w:t>
            </w:r>
          </w:p>
        </w:tc>
        <w:tc>
          <w:tcPr>
            <w:tcW w:w="1477" w:type="dxa"/>
            <w:noWrap w:val="0"/>
            <w:tcMar>
              <w:left w:w="0" w:type="dxa"/>
              <w:right w:w="0" w:type="dxa"/>
            </w:tcMar>
            <w:vAlign w:val="center"/>
          </w:tcPr>
          <w:p>
            <w:pPr>
              <w:pStyle w:val="30"/>
              <w:bidi w:val="0"/>
            </w:pPr>
            <w:r>
              <w:t>难</w:t>
            </w:r>
          </w:p>
        </w:tc>
        <w:tc>
          <w:tcPr>
            <w:tcW w:w="1276" w:type="dxa"/>
            <w:noWrap w:val="0"/>
            <w:tcMar>
              <w:left w:w="0" w:type="dxa"/>
              <w:right w:w="0" w:type="dxa"/>
            </w:tcMar>
            <w:vAlign w:val="center"/>
          </w:tcPr>
          <w:p>
            <w:pPr>
              <w:pStyle w:val="30"/>
              <w:bidi w:val="0"/>
            </w:pPr>
            <w:r>
              <w:t>其他类型</w:t>
            </w:r>
          </w:p>
        </w:tc>
        <w:tc>
          <w:tcPr>
            <w:tcW w:w="1134" w:type="dxa"/>
            <w:noWrap w:val="0"/>
            <w:tcMar>
              <w:left w:w="0" w:type="dxa"/>
              <w:right w:w="0" w:type="dxa"/>
            </w:tcMar>
            <w:vAlign w:val="center"/>
          </w:tcPr>
          <w:p>
            <w:pPr>
              <w:pStyle w:val="30"/>
              <w:bidi w:val="0"/>
            </w:pPr>
            <w:r>
              <w:t>一般防渗区</w:t>
            </w:r>
          </w:p>
        </w:tc>
        <w:tc>
          <w:tcPr>
            <w:tcW w:w="2185" w:type="dxa"/>
            <w:vMerge w:val="continue"/>
            <w:noWrap w:val="0"/>
            <w:vAlign w:val="center"/>
          </w:tcPr>
          <w:p>
            <w:pPr>
              <w:pStyle w:val="30"/>
              <w:bidi w:val="0"/>
            </w:pPr>
          </w:p>
        </w:tc>
      </w:tr>
    </w:tbl>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eastAsia="宋体"/>
          <w:lang w:val="en-US" w:eastAsia="zh-CN"/>
        </w:rPr>
      </w:pPr>
      <w:bookmarkStart w:id="219" w:name="_Toc18684"/>
      <w:bookmarkStart w:id="220" w:name="_Toc5888508"/>
      <w:r>
        <w:rPr>
          <w:rFonts w:hint="eastAsia"/>
          <w:lang w:eastAsia="zh-CN"/>
        </w:rPr>
        <w:t>建设项目分区域防渗见图</w:t>
      </w:r>
      <w:r>
        <w:rPr>
          <w:rFonts w:hint="eastAsia"/>
          <w:lang w:val="en-US" w:eastAsia="zh-CN"/>
        </w:rPr>
        <w:t>7.2-2。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5760085" cy="3858895"/>
            <wp:effectExtent l="0" t="0" r="12065" b="825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67"/>
                    <a:stretch>
                      <a:fillRect/>
                    </a:stretch>
                  </pic:blipFill>
                  <pic:spPr>
                    <a:xfrm>
                      <a:off x="0" y="0"/>
                      <a:ext cx="5760085" cy="3858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lang w:val="en-US" w:eastAsia="zh-CN"/>
        </w:rPr>
      </w:pPr>
      <w:r>
        <w:rPr>
          <w:rFonts w:hint="eastAsia"/>
          <w:b/>
          <w:bCs/>
          <w:lang w:val="en-US" w:eastAsia="zh-CN"/>
        </w:rPr>
        <w:t>图7.2-2  建设项目分区防渗图</w:t>
      </w:r>
    </w:p>
    <w:p>
      <w:pPr>
        <w:bidi w:val="0"/>
      </w:pPr>
      <w:r>
        <w:rPr>
          <w:rFonts w:hint="eastAsia"/>
          <w:lang w:val="en-US" w:eastAsia="zh-CN"/>
        </w:rPr>
        <w:t>3、</w:t>
      </w:r>
      <w:r>
        <w:t>地下水环境监测与管理</w:t>
      </w:r>
      <w:bookmarkEnd w:id="219"/>
      <w:bookmarkEnd w:id="220"/>
    </w:p>
    <w:p>
      <w:pPr>
        <w:bidi w:val="0"/>
        <w:rPr>
          <w:color w:val="C00000"/>
        </w:rPr>
      </w:pPr>
      <w:r>
        <w:t>为了及时准确掌握厂区及下游地下水环境质量状况和地下水体中污染物的动态变化，本项目拟建立覆盖全区的地下水长期监控系统，包括科学、合理地设置地下水污染</w:t>
      </w:r>
      <w:r>
        <w:rPr>
          <w:color w:val="000000" w:themeColor="text1"/>
          <w14:textFill>
            <w14:solidFill>
              <w14:schemeClr w14:val="tx1"/>
            </w14:solidFill>
          </w14:textFill>
        </w:rPr>
        <w:t>监控井（本项目在厂区下游循环水池北侧设监控井，以便及时发现及时控制），建立完善的监测制度，配备先进的检测仪器和设备，以便及时发现并及时控制。地下水环境监测计划详见第</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章-环境管理与监测计划。</w:t>
      </w:r>
    </w:p>
    <w:p>
      <w:pPr>
        <w:bidi w:val="0"/>
      </w:pPr>
      <w:bookmarkStart w:id="221" w:name="_Toc5888509"/>
      <w:bookmarkStart w:id="222" w:name="_Toc19247"/>
      <w:r>
        <w:rPr>
          <w:rFonts w:hint="eastAsia"/>
          <w:lang w:val="en-US" w:eastAsia="zh-CN"/>
        </w:rPr>
        <w:t>4、</w:t>
      </w:r>
      <w:r>
        <w:t>应急响应</w:t>
      </w:r>
      <w:bookmarkEnd w:id="221"/>
      <w:bookmarkEnd w:id="222"/>
    </w:p>
    <w:p>
      <w:pPr>
        <w:bidi w:val="0"/>
      </w:pPr>
      <w:r>
        <w:t>环评要求一旦发生废液渗漏事故，立刻启动应急预案。在地下水流向的下游设置地下水监测设施和抽排水设施。检测井应安置报警系统，当检测出地下水</w:t>
      </w:r>
      <w:r>
        <w:rPr>
          <w:rFonts w:hint="eastAsia"/>
          <w:lang w:eastAsia="zh-CN"/>
        </w:rPr>
        <w:t>水质</w:t>
      </w:r>
      <w:r>
        <w:t>出现异常时，报警系统及时报警，同时相关人员应及时采取应急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w:t>
      </w:r>
      <w:r>
        <w:rPr>
          <w:rFonts w:hint="eastAsia"/>
          <w:lang w:eastAsia="zh-CN"/>
        </w:rPr>
        <w:t>“</w:t>
      </w:r>
      <w:r>
        <w:t>放大效应</w:t>
      </w:r>
      <w:r>
        <w:rPr>
          <w:rFonts w:hint="eastAsia"/>
          <w:lang w:eastAsia="zh-CN"/>
        </w:rPr>
        <w:t>”</w:t>
      </w:r>
      <w:r>
        <w:t>和次生、衍生灾害，尽快恢复当地正常秩序。</w:t>
      </w:r>
    </w:p>
    <w:p>
      <w:pPr>
        <w:bidi w:val="0"/>
      </w:pPr>
      <w:r>
        <w:t>在发生污染事件时，建设单位首先尽快对地表污染物进行收集和处理，修缮发生污染的设施和防渗结构。同时，对已经渗入地下的污染物，建设单位将通过设置截获井的方式将污染物抽出并进行处理。一旦厂区发生事故泄漏，通过设置水污染截获井，做到地下水污染早发现，早治理、污染范围不出厂，将项目对地下水的污染降到最低。同时应采取如下污染治理措施，查明并切断污染源、探明地下水污染深度、范围和污染程度。依据探明的地下水污染情况，合理布置截渗井，并进行试抽工作。依据抽水设计方案进行施工，抽取被污染的地下水体，并依据各井孔出水情况进行调整将抽取的地下水进行集中收集处理，并送实验室进行化验分析。当地下水中的特征污染物浓度满足地下水功能区划的标准后，逐步停止抽水，并进行土壤修复治理工作。</w:t>
      </w:r>
    </w:p>
    <w:p>
      <w:pPr>
        <w:bidi w:val="0"/>
      </w:pPr>
      <w:r>
        <w:t>根据以上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pPr>
        <w:pStyle w:val="4"/>
        <w:bidi w:val="0"/>
      </w:pPr>
      <w:bookmarkStart w:id="223" w:name="_Toc5888510"/>
      <w:bookmarkStart w:id="224" w:name="_Toc15184"/>
      <w:r>
        <w:rPr>
          <w:rFonts w:hint="eastAsia"/>
          <w:lang w:val="en-US" w:eastAsia="zh-CN"/>
        </w:rPr>
        <w:t xml:space="preserve">7.2.4 </w:t>
      </w:r>
      <w:r>
        <w:t>运营期噪声污染防治措施</w:t>
      </w:r>
      <w:bookmarkEnd w:id="223"/>
      <w:bookmarkEnd w:id="224"/>
    </w:p>
    <w:p>
      <w:pPr>
        <w:bidi w:val="0"/>
      </w:pPr>
      <w:r>
        <w:t>项目主要噪声源为生产设备、水泵、风机等噪声，噪声源强为</w:t>
      </w:r>
      <w:r>
        <w:rPr>
          <w:rFonts w:hint="eastAsia"/>
          <w:lang w:val="en-US" w:eastAsia="zh-CN"/>
        </w:rPr>
        <w:t>80</w:t>
      </w:r>
      <w:r>
        <w:t>～90dB（A）。</w:t>
      </w:r>
    </w:p>
    <w:p>
      <w:pPr>
        <w:bidi w:val="0"/>
      </w:pPr>
      <w:bookmarkStart w:id="225" w:name="_Toc242003751"/>
      <w:bookmarkStart w:id="226" w:name="_Toc5888511"/>
      <w:bookmarkStart w:id="227" w:name="_Toc417290534"/>
      <w:bookmarkStart w:id="228" w:name="_Toc12274"/>
      <w:r>
        <w:rPr>
          <w:rFonts w:hint="eastAsia"/>
          <w:lang w:val="en-US" w:eastAsia="zh-CN"/>
        </w:rPr>
        <w:t>1、</w:t>
      </w:r>
      <w:r>
        <w:t>防治基本原则</w:t>
      </w:r>
      <w:bookmarkEnd w:id="225"/>
      <w:bookmarkEnd w:id="226"/>
      <w:bookmarkEnd w:id="227"/>
      <w:bookmarkEnd w:id="228"/>
    </w:p>
    <w:p>
      <w:pPr>
        <w:bidi w:val="0"/>
      </w:pPr>
      <w:r>
        <w:t>对噪声的防治首先从声源上进行控制，其次从传播途径上进行控制。</w:t>
      </w:r>
    </w:p>
    <w:p>
      <w:pPr>
        <w:bidi w:val="0"/>
      </w:pPr>
      <w:bookmarkStart w:id="229" w:name="_Toc5888512"/>
      <w:bookmarkStart w:id="230" w:name="_Toc417290535"/>
      <w:bookmarkStart w:id="231" w:name="_Toc18281"/>
      <w:bookmarkStart w:id="232" w:name="_Toc242003752"/>
      <w:r>
        <w:rPr>
          <w:rFonts w:hint="eastAsia"/>
          <w:lang w:val="en-US" w:eastAsia="zh-CN"/>
        </w:rPr>
        <w:t>2、</w:t>
      </w:r>
      <w:r>
        <w:t>噪声污染防治原则性措施</w:t>
      </w:r>
      <w:bookmarkEnd w:id="229"/>
      <w:bookmarkEnd w:id="230"/>
      <w:bookmarkEnd w:id="231"/>
      <w:bookmarkEnd w:id="232"/>
    </w:p>
    <w:p>
      <w:pPr>
        <w:autoSpaceDE w:val="0"/>
        <w:autoSpaceDN w:val="0"/>
        <w:adjustRightInd w:val="0"/>
        <w:ind w:firstLine="480" w:firstLineChars="200"/>
        <w:jc w:val="left"/>
        <w:rPr>
          <w:rFonts w:ascii="Times New Roman" w:hAnsi="Times New Roman"/>
          <w:bCs/>
          <w:color w:val="auto"/>
          <w:kern w:val="0"/>
          <w:sz w:val="24"/>
        </w:rPr>
      </w:pPr>
      <w:r>
        <w:rPr>
          <w:rFonts w:hint="eastAsia"/>
          <w:bCs/>
          <w:color w:val="auto"/>
          <w:kern w:val="0"/>
          <w:sz w:val="24"/>
          <w:lang w:eastAsia="zh-CN"/>
        </w:rPr>
        <w:t>（</w:t>
      </w:r>
      <w:r>
        <w:rPr>
          <w:rFonts w:hint="eastAsia"/>
          <w:bCs/>
          <w:color w:val="auto"/>
          <w:kern w:val="0"/>
          <w:sz w:val="24"/>
          <w:lang w:val="en-US" w:eastAsia="zh-CN"/>
        </w:rPr>
        <w:t>1）</w:t>
      </w:r>
      <w:r>
        <w:rPr>
          <w:rFonts w:ascii="Times New Roman" w:hAnsi="Times New Roman"/>
          <w:bCs/>
          <w:color w:val="auto"/>
          <w:kern w:val="0"/>
          <w:sz w:val="24"/>
        </w:rPr>
        <w:t>选用低噪声设备</w:t>
      </w:r>
    </w:p>
    <w:p>
      <w:pPr>
        <w:ind w:firstLine="465"/>
        <w:rPr>
          <w:rFonts w:ascii="Times New Roman" w:hAnsi="Times New Roman"/>
          <w:bCs/>
          <w:color w:val="auto"/>
          <w:spacing w:val="-4"/>
          <w:sz w:val="24"/>
        </w:rPr>
      </w:pPr>
      <w:r>
        <w:rPr>
          <w:rFonts w:ascii="Times New Roman" w:hAnsi="Times New Roman"/>
          <w:bCs/>
          <w:color w:val="auto"/>
          <w:spacing w:val="-4"/>
          <w:sz w:val="24"/>
        </w:rPr>
        <w:t>在设备选型上，建设单位在设备订货时向设备制造厂提出噪声限值，应按工程设计中规定的各种设备噪声限值向厂方提出要求，选择低噪声设备。</w:t>
      </w:r>
    </w:p>
    <w:p>
      <w:pPr>
        <w:autoSpaceDE w:val="0"/>
        <w:autoSpaceDN w:val="0"/>
        <w:adjustRightInd w:val="0"/>
        <w:ind w:firstLine="480" w:firstLineChars="200"/>
        <w:jc w:val="left"/>
        <w:rPr>
          <w:rFonts w:hint="eastAsia" w:ascii="Times New Roman" w:hAnsi="Times New Roman" w:eastAsia="宋体"/>
          <w:bCs/>
          <w:color w:val="auto"/>
          <w:kern w:val="0"/>
          <w:sz w:val="24"/>
          <w:lang w:eastAsia="zh-CN"/>
        </w:rPr>
      </w:pPr>
      <w:r>
        <w:rPr>
          <w:rFonts w:hint="eastAsia" w:ascii="Times New Roman" w:hAnsi="Times New Roman" w:eastAsia="宋体"/>
          <w:bCs/>
          <w:color w:val="auto"/>
          <w:kern w:val="0"/>
          <w:sz w:val="24"/>
          <w:lang w:eastAsia="zh-CN"/>
        </w:rPr>
        <w:t>（</w:t>
      </w:r>
      <w:r>
        <w:rPr>
          <w:rFonts w:hint="eastAsia" w:ascii="Times New Roman" w:hAnsi="Times New Roman" w:eastAsia="宋体"/>
          <w:bCs/>
          <w:color w:val="auto"/>
          <w:kern w:val="0"/>
          <w:sz w:val="24"/>
          <w:lang w:val="en-US" w:eastAsia="zh-CN"/>
        </w:rPr>
        <w:t>2）</w:t>
      </w:r>
      <w:r>
        <w:rPr>
          <w:rFonts w:hint="eastAsia" w:ascii="Times New Roman" w:hAnsi="Times New Roman" w:eastAsia="宋体"/>
          <w:bCs/>
          <w:color w:val="auto"/>
          <w:kern w:val="0"/>
          <w:sz w:val="24"/>
          <w:lang w:eastAsia="zh-CN"/>
        </w:rPr>
        <w:t>设备隔声、消声、减振处理</w:t>
      </w:r>
    </w:p>
    <w:p>
      <w:pPr>
        <w:autoSpaceDE w:val="0"/>
        <w:autoSpaceDN w:val="0"/>
        <w:adjustRightInd w:val="0"/>
        <w:ind w:firstLine="480" w:firstLineChars="200"/>
        <w:jc w:val="left"/>
        <w:rPr>
          <w:rFonts w:hint="eastAsia" w:ascii="Times New Roman" w:hAnsi="Times New Roman" w:eastAsia="宋体"/>
          <w:bCs/>
          <w:color w:val="auto"/>
          <w:kern w:val="0"/>
          <w:sz w:val="24"/>
          <w:lang w:eastAsia="zh-CN"/>
        </w:rPr>
      </w:pPr>
      <w:bookmarkStart w:id="233" w:name="_Toc242003753"/>
      <w:r>
        <w:rPr>
          <w:rFonts w:hint="eastAsia" w:ascii="Times New Roman" w:hAnsi="Times New Roman" w:eastAsia="宋体"/>
          <w:bCs/>
          <w:color w:val="auto"/>
          <w:kern w:val="0"/>
          <w:sz w:val="24"/>
          <w:lang w:eastAsia="zh-CN"/>
        </w:rPr>
        <w:t>①选用低噪声风机，并在风机的进气和出气口管道上安装消声器；</w:t>
      </w:r>
    </w:p>
    <w:p>
      <w:pPr>
        <w:autoSpaceDE w:val="0"/>
        <w:autoSpaceDN w:val="0"/>
        <w:adjustRightInd w:val="0"/>
        <w:ind w:firstLine="480" w:firstLineChars="200"/>
        <w:jc w:val="left"/>
        <w:rPr>
          <w:rFonts w:hint="eastAsia" w:ascii="Times New Roman" w:hAnsi="Times New Roman" w:eastAsia="宋体"/>
          <w:bCs/>
          <w:color w:val="auto"/>
          <w:kern w:val="0"/>
          <w:sz w:val="24"/>
          <w:lang w:eastAsia="zh-CN"/>
        </w:rPr>
      </w:pPr>
      <w:r>
        <w:rPr>
          <w:rFonts w:hint="eastAsia" w:ascii="Times New Roman" w:hAnsi="Times New Roman" w:eastAsia="宋体"/>
          <w:bCs/>
          <w:color w:val="auto"/>
          <w:kern w:val="0"/>
          <w:sz w:val="24"/>
          <w:lang w:eastAsia="zh-CN"/>
        </w:rPr>
        <w:t>②机座做好减振措施。</w:t>
      </w:r>
    </w:p>
    <w:p>
      <w:pPr>
        <w:autoSpaceDE w:val="0"/>
        <w:autoSpaceDN w:val="0"/>
        <w:adjustRightInd w:val="0"/>
        <w:ind w:firstLine="480" w:firstLineChars="200"/>
        <w:jc w:val="left"/>
        <w:rPr>
          <w:rFonts w:hint="eastAsia" w:ascii="Times New Roman" w:hAnsi="Times New Roman" w:eastAsia="宋体"/>
          <w:bCs/>
          <w:color w:val="auto"/>
          <w:kern w:val="0"/>
          <w:sz w:val="24"/>
          <w:lang w:eastAsia="zh-CN"/>
        </w:rPr>
      </w:pPr>
      <w:r>
        <w:rPr>
          <w:rFonts w:hint="eastAsia" w:ascii="Times New Roman" w:hAnsi="Times New Roman" w:eastAsia="宋体"/>
          <w:bCs/>
          <w:color w:val="auto"/>
          <w:kern w:val="0"/>
          <w:sz w:val="24"/>
          <w:lang w:eastAsia="zh-CN"/>
        </w:rPr>
        <w:t>通过采取以上措施，车间内设备可降噪10~20dB(A)。</w:t>
      </w:r>
    </w:p>
    <w:bookmarkEnd w:id="233"/>
    <w:p>
      <w:pPr>
        <w:ind w:firstLine="480" w:firstLineChars="200"/>
        <w:rPr>
          <w:rFonts w:ascii="Times New Roman" w:hAnsi="Times New Roman"/>
          <w:color w:val="auto"/>
          <w:sz w:val="24"/>
        </w:rPr>
      </w:pPr>
      <w:r>
        <w:rPr>
          <w:rFonts w:ascii="Times New Roman" w:hAnsi="Times New Roman"/>
          <w:color w:val="auto"/>
          <w:sz w:val="24"/>
        </w:rPr>
        <w:t>3、车间降噪措施</w:t>
      </w:r>
    </w:p>
    <w:p>
      <w:pPr>
        <w:ind w:firstLine="480" w:firstLineChars="200"/>
        <w:rPr>
          <w:rFonts w:ascii="Times New Roman" w:hAnsi="Times New Roman"/>
          <w:color w:val="auto"/>
          <w:sz w:val="24"/>
        </w:rPr>
      </w:pPr>
      <w:r>
        <w:rPr>
          <w:rFonts w:hint="eastAsia" w:ascii="宋体" w:hAnsi="宋体" w:eastAsia="宋体" w:cs="宋体"/>
          <w:color w:val="auto"/>
          <w:sz w:val="24"/>
        </w:rPr>
        <w:t>①</w:t>
      </w:r>
      <w:r>
        <w:rPr>
          <w:rFonts w:ascii="Times New Roman" w:hAnsi="Times New Roman"/>
          <w:color w:val="auto"/>
          <w:sz w:val="24"/>
        </w:rPr>
        <w:t>将车间门窗采用双层采光玻璃隔声、通风消声百叶窗及隔声门复合配制，靠近厂界方向一侧的门窗尽量少开或不开，车间内应根据噪声源，设置吸声吊顶；</w:t>
      </w:r>
    </w:p>
    <w:p>
      <w:pPr>
        <w:ind w:firstLine="480" w:firstLineChars="200"/>
        <w:rPr>
          <w:rFonts w:ascii="Times New Roman" w:hAnsi="Times New Roman"/>
          <w:color w:val="auto"/>
          <w:sz w:val="24"/>
        </w:rPr>
      </w:pPr>
      <w:r>
        <w:rPr>
          <w:rFonts w:hint="eastAsia" w:ascii="宋体" w:hAnsi="宋体" w:eastAsia="宋体" w:cs="宋体"/>
          <w:bCs/>
          <w:color w:val="auto"/>
          <w:sz w:val="24"/>
        </w:rPr>
        <w:t>②</w:t>
      </w:r>
      <w:r>
        <w:rPr>
          <w:rFonts w:ascii="Times New Roman" w:hAnsi="Times New Roman"/>
          <w:color w:val="auto"/>
          <w:sz w:val="24"/>
        </w:rPr>
        <w:t>车间内的设备应合理布局，对高噪声的水泵等设备，尽量安装在隔声间内集中处理；</w:t>
      </w:r>
    </w:p>
    <w:p>
      <w:pPr>
        <w:ind w:firstLine="480" w:firstLineChars="200"/>
        <w:rPr>
          <w:rFonts w:ascii="Times New Roman" w:hAnsi="Times New Roman"/>
          <w:color w:val="auto"/>
          <w:sz w:val="24"/>
        </w:rPr>
      </w:pPr>
      <w:r>
        <w:rPr>
          <w:rFonts w:hint="eastAsia" w:ascii="宋体" w:hAnsi="宋体" w:eastAsia="宋体" w:cs="宋体"/>
          <w:color w:val="auto"/>
          <w:sz w:val="24"/>
        </w:rPr>
        <w:t>③</w:t>
      </w:r>
      <w:r>
        <w:rPr>
          <w:rFonts w:ascii="Times New Roman" w:hAnsi="Times New Roman"/>
          <w:color w:val="auto"/>
          <w:sz w:val="24"/>
        </w:rPr>
        <w:t>合理安排生产作业时间，对高噪声设备的运行应尽量安排在昼间，避免高噪声设备的夜间运行对周围声环境产生不利影响；</w:t>
      </w:r>
    </w:p>
    <w:p>
      <w:pPr>
        <w:ind w:firstLine="480" w:firstLineChars="200"/>
        <w:rPr>
          <w:rFonts w:ascii="Times New Roman" w:hAnsi="Times New Roman"/>
          <w:color w:val="auto"/>
          <w:sz w:val="32"/>
        </w:rPr>
      </w:pPr>
      <w:r>
        <w:rPr>
          <w:rFonts w:ascii="Times New Roman" w:hAnsi="Times New Roman"/>
          <w:color w:val="auto"/>
          <w:sz w:val="24"/>
        </w:rPr>
        <w:t>通过采取以上措施，车间内设备可降噪10~20</w:t>
      </w:r>
      <w:r>
        <w:rPr>
          <w:rFonts w:ascii="Times New Roman" w:hAnsi="Times New Roman"/>
          <w:color w:val="auto"/>
          <w:sz w:val="24"/>
          <w:szCs w:val="21"/>
        </w:rPr>
        <w:t>dB(A)。</w:t>
      </w:r>
    </w:p>
    <w:p>
      <w:pPr>
        <w:ind w:firstLine="480" w:firstLineChars="200"/>
        <w:rPr>
          <w:rFonts w:ascii="Times New Roman" w:hAnsi="Times New Roman"/>
          <w:color w:val="auto"/>
          <w:sz w:val="24"/>
        </w:rPr>
      </w:pPr>
      <w:r>
        <w:rPr>
          <w:rFonts w:ascii="Times New Roman" w:hAnsi="Times New Roman"/>
          <w:color w:val="auto"/>
          <w:sz w:val="24"/>
        </w:rPr>
        <w:t>4、合理布局防治噪声</w:t>
      </w:r>
    </w:p>
    <w:p>
      <w:pPr>
        <w:ind w:firstLine="480" w:firstLineChars="200"/>
        <w:rPr>
          <w:rFonts w:ascii="Times New Roman" w:hAnsi="Times New Roman"/>
          <w:color w:val="auto"/>
          <w:sz w:val="24"/>
        </w:rPr>
      </w:pPr>
      <w:r>
        <w:rPr>
          <w:rFonts w:hint="eastAsia" w:ascii="宋体" w:hAnsi="宋体" w:eastAsia="宋体" w:cs="宋体"/>
          <w:color w:val="auto"/>
          <w:sz w:val="24"/>
        </w:rPr>
        <w:t>①</w:t>
      </w:r>
      <w:r>
        <w:rPr>
          <w:rFonts w:ascii="Times New Roman" w:hAnsi="Times New Roman"/>
          <w:color w:val="auto"/>
          <w:sz w:val="24"/>
        </w:rPr>
        <w:t>调整布局，尽量将高噪声车间远离边界；</w:t>
      </w:r>
    </w:p>
    <w:p>
      <w:pPr>
        <w:bidi w:val="0"/>
        <w:rPr>
          <w:rFonts w:hint="eastAsia" w:ascii="Times New Roman" w:hAnsi="Times New Roman" w:eastAsia="宋体"/>
        </w:rPr>
      </w:pPr>
      <w:r>
        <w:rPr>
          <w:rFonts w:hint="eastAsia" w:ascii="Times New Roman" w:hAnsi="Times New Roman" w:eastAsia="宋体"/>
        </w:rPr>
        <w:t>②加强厂区绿化，可实施乔木落叶树与低矮的灌木病草坪构成的混合绿化屏障，这对降低厂</w:t>
      </w:r>
      <w:r>
        <w:rPr>
          <w:rFonts w:hint="eastAsia"/>
          <w:lang w:eastAsia="zh-CN"/>
        </w:rPr>
        <w:t>区</w:t>
      </w:r>
      <w:r>
        <w:rPr>
          <w:rFonts w:hint="eastAsia" w:ascii="Times New Roman" w:hAnsi="Times New Roman" w:eastAsia="宋体"/>
        </w:rPr>
        <w:t>噪声水平，有一定的辅助效果。</w:t>
      </w:r>
    </w:p>
    <w:p>
      <w:pPr>
        <w:bidi w:val="0"/>
        <w:rPr>
          <w:rFonts w:hint="eastAsia" w:ascii="Times New Roman" w:hAnsi="Times New Roman" w:eastAsia="宋体"/>
          <w:lang w:eastAsia="zh-CN"/>
        </w:rPr>
      </w:pPr>
      <w:r>
        <w:rPr>
          <w:rFonts w:hint="eastAsia" w:ascii="Times New Roman" w:hAnsi="Times New Roman" w:eastAsia="宋体"/>
        </w:rPr>
        <w:t>各噪声污染源经过以上处理后，可降噪10</w:t>
      </w:r>
      <w:r>
        <w:rPr>
          <w:rFonts w:hint="eastAsia" w:ascii="Times New Roman" w:hAnsi="Times New Roman" w:eastAsia="宋体"/>
          <w:lang w:val="en-US" w:eastAsia="zh-CN"/>
        </w:rPr>
        <w:t>~</w:t>
      </w:r>
      <w:r>
        <w:rPr>
          <w:rFonts w:hint="eastAsia" w:ascii="Times New Roman" w:hAnsi="Times New Roman" w:eastAsia="宋体"/>
        </w:rPr>
        <w:t>20dB(A)，根据预测，本项目正常运行时其边界噪声值可符合《工业企业厂界环境噪声排放标准》（GB12348-2008）</w:t>
      </w:r>
      <w:r>
        <w:rPr>
          <w:rFonts w:hint="eastAsia"/>
          <w:lang w:val="en-US" w:eastAsia="zh-CN"/>
        </w:rPr>
        <w:t>1</w:t>
      </w:r>
      <w:r>
        <w:rPr>
          <w:rFonts w:hint="eastAsia" w:ascii="Times New Roman" w:hAnsi="Times New Roman" w:eastAsia="宋体"/>
        </w:rPr>
        <w:t>类标准，噪声防治措施可行。</w:t>
      </w:r>
    </w:p>
    <w:p>
      <w:pPr>
        <w:pStyle w:val="4"/>
        <w:bidi w:val="0"/>
      </w:pPr>
      <w:bookmarkStart w:id="234" w:name="_Toc5021"/>
      <w:bookmarkStart w:id="235" w:name="_Toc5888513"/>
      <w:r>
        <w:rPr>
          <w:rFonts w:hint="eastAsia"/>
          <w:lang w:val="en-US" w:eastAsia="zh-CN"/>
        </w:rPr>
        <w:t xml:space="preserve">7.2.5 </w:t>
      </w:r>
      <w:r>
        <w:t>运营期固体废物处置措施</w:t>
      </w:r>
      <w:bookmarkEnd w:id="234"/>
      <w:bookmarkEnd w:id="2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olor w:val="auto"/>
          <w:sz w:val="24"/>
        </w:rPr>
      </w:pPr>
      <w:r>
        <w:rPr>
          <w:rFonts w:ascii="Times New Roman" w:hAnsi="Times New Roman"/>
          <w:color w:val="auto"/>
          <w:sz w:val="24"/>
        </w:rPr>
        <w:t>1、一般固体废物</w:t>
      </w:r>
    </w:p>
    <w:p>
      <w:pPr>
        <w:bidi w:val="0"/>
      </w:pPr>
      <w:bookmarkStart w:id="236" w:name="_Toc18018"/>
      <w:r>
        <w:t>（1）分拣废物</w:t>
      </w:r>
      <w:bookmarkEnd w:id="236"/>
    </w:p>
    <w:p>
      <w:pPr>
        <w:bidi w:val="0"/>
      </w:pPr>
      <w:r>
        <w:rPr>
          <w:rFonts w:ascii="Times New Roman" w:hAnsi="Times New Roman"/>
          <w:color w:val="auto"/>
        </w:rPr>
        <w:t>本项目分拣废物产生量按</w:t>
      </w:r>
      <w:r>
        <w:rPr>
          <w:rFonts w:hint="eastAsia"/>
          <w:color w:val="auto"/>
          <w:lang w:eastAsia="zh-CN"/>
        </w:rPr>
        <w:t>照原料杂质含量</w:t>
      </w:r>
      <w:r>
        <w:rPr>
          <w:rFonts w:hint="eastAsia"/>
          <w:color w:val="auto"/>
          <w:lang w:val="en-US" w:eastAsia="zh-CN"/>
        </w:rPr>
        <w:t>4.5</w:t>
      </w:r>
      <w:r>
        <w:rPr>
          <w:rFonts w:ascii="Times New Roman" w:hAnsi="Times New Roman"/>
          <w:color w:val="auto"/>
        </w:rPr>
        <w:t>%计算，则分拣废物产生量为</w:t>
      </w:r>
      <w:r>
        <w:rPr>
          <w:rFonts w:hint="eastAsia"/>
          <w:color w:val="auto"/>
          <w:lang w:val="en-US" w:eastAsia="zh-CN"/>
        </w:rPr>
        <w:t>283.5</w:t>
      </w:r>
      <w:r>
        <w:rPr>
          <w:rFonts w:ascii="Times New Roman" w:hAnsi="Times New Roman"/>
          <w:color w:val="auto"/>
        </w:rPr>
        <w:t>t/a，分拣</w:t>
      </w:r>
      <w:r>
        <w:t>废物运往当地垃圾填埋场进行处理。</w:t>
      </w:r>
    </w:p>
    <w:p>
      <w:pPr>
        <w:bidi w:val="0"/>
        <w:rPr>
          <w:rFonts w:hint="eastAsia"/>
          <w:lang w:val="en-US" w:eastAsia="zh-CN"/>
        </w:rPr>
      </w:pPr>
      <w:bookmarkStart w:id="237" w:name="_Toc23782"/>
      <w:r>
        <w:rPr>
          <w:rFonts w:hint="eastAsia"/>
          <w:lang w:val="en-US" w:eastAsia="zh-CN"/>
        </w:rPr>
        <w:t>（2）废包装</w:t>
      </w:r>
      <w:bookmarkEnd w:id="237"/>
    </w:p>
    <w:p>
      <w:pPr>
        <w:bidi w:val="0"/>
        <w:rPr>
          <w:rFonts w:hint="default"/>
          <w:lang w:val="en-US" w:eastAsia="zh-CN"/>
        </w:rPr>
      </w:pPr>
      <w:r>
        <w:rPr>
          <w:rFonts w:hint="eastAsia"/>
          <w:lang w:val="en-US" w:eastAsia="zh-CN"/>
        </w:rPr>
        <w:t>本项目拆包过程中会产生废包装，约5t/a，定期外售废品收购站。</w:t>
      </w:r>
    </w:p>
    <w:p>
      <w:pPr>
        <w:bidi w:val="0"/>
      </w:pPr>
      <w:bookmarkStart w:id="238" w:name="_Toc4822"/>
      <w:r>
        <w:t>（</w:t>
      </w:r>
      <w:r>
        <w:rPr>
          <w:rFonts w:hint="eastAsia"/>
          <w:lang w:val="en-US" w:eastAsia="zh-CN"/>
        </w:rPr>
        <w:t>3</w:t>
      </w:r>
      <w:r>
        <w:t>）清洗</w:t>
      </w:r>
      <w:r>
        <w:rPr>
          <w:rFonts w:hint="eastAsia"/>
          <w:lang w:eastAsia="zh-CN"/>
        </w:rPr>
        <w:t>污泥</w:t>
      </w:r>
      <w:r>
        <w:t>废渣</w:t>
      </w:r>
      <w:bookmarkEnd w:id="23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ascii="Times New Roman" w:hAnsi="Times New Roman"/>
          <w:color w:val="auto"/>
          <w:sz w:val="24"/>
        </w:rPr>
        <w:t>本项目清洗过程中会产生一定量的废渣，清洗主要为了去除废旧塑料表面的粉尘、浮土等杂质，废渣主要以土细微小杂质颗粒为主，废渣产生量清洗原料的0.2</w:t>
      </w:r>
      <w:r>
        <w:rPr>
          <w:rFonts w:hint="eastAsia"/>
          <w:color w:val="auto"/>
          <w:sz w:val="24"/>
          <w:lang w:val="en-US" w:eastAsia="zh-CN"/>
        </w:rPr>
        <w:t>5</w:t>
      </w:r>
      <w:r>
        <w:rPr>
          <w:rFonts w:ascii="Times New Roman" w:hAnsi="Times New Roman"/>
          <w:color w:val="auto"/>
          <w:sz w:val="24"/>
        </w:rPr>
        <w:t>%，则本项</w:t>
      </w:r>
      <w:r>
        <w:rPr>
          <w:rFonts w:hint="default" w:ascii="Times New Roman" w:hAnsi="Times New Roman" w:cs="Times New Roman"/>
          <w:color w:val="auto"/>
          <w:sz w:val="24"/>
        </w:rPr>
        <w:t>目废渣产生量为</w:t>
      </w:r>
      <w:r>
        <w:rPr>
          <w:rFonts w:hint="default" w:ascii="Times New Roman" w:hAnsi="Times New Roman" w:cs="Times New Roman"/>
          <w:color w:val="auto"/>
          <w:sz w:val="24"/>
          <w:lang w:val="en-US" w:eastAsia="zh-CN"/>
        </w:rPr>
        <w:t>15.75</w:t>
      </w:r>
      <w:r>
        <w:rPr>
          <w:rFonts w:hint="default" w:ascii="Times New Roman" w:hAnsi="Times New Roman" w:cs="Times New Roman"/>
          <w:color w:val="auto"/>
          <w:sz w:val="24"/>
        </w:rPr>
        <w:t>t/a，集中收集经压滤机脱水后送至当地垃圾填埋场进行处置。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u w:val="single"/>
          <w:lang w:eastAsia="zh-CN"/>
        </w:rPr>
      </w:pPr>
      <w:r>
        <w:rPr>
          <w:rFonts w:hint="default" w:ascii="Times New Roman" w:hAnsi="Times New Roman" w:cs="Times New Roman"/>
          <w:color w:val="auto"/>
          <w:sz w:val="24"/>
        </w:rPr>
        <w:t>根据《废塑料回收与再生利用污染控制技术规范（试行）》（HJ/T364-2007），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其他气体净化装置收集的固体废物和焚烧炉渣，应按国家危险废物鉴别标准进行鉴别，属于危险废物的按照危险废物管理，否则按一般工业固体废物管理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本项目使用的废塑料</w:t>
      </w:r>
      <w:r>
        <w:rPr>
          <w:rFonts w:hint="default" w:ascii="Times New Roman" w:hAnsi="Times New Roman" w:cs="Times New Roman"/>
          <w:color w:val="auto"/>
          <w:sz w:val="24"/>
          <w:lang w:eastAsia="zh-CN"/>
        </w:rPr>
        <w:t>来源于</w:t>
      </w:r>
      <w:r>
        <w:rPr>
          <w:rFonts w:hint="default" w:ascii="Times New Roman" w:hAnsi="Times New Roman" w:cs="Times New Roman"/>
          <w:color w:val="000000" w:themeColor="text1"/>
          <w:u w:val="single"/>
          <w:lang w:eastAsia="zh-CN"/>
          <w14:textFill>
            <w14:solidFill>
              <w14:schemeClr w14:val="tx1"/>
            </w14:solidFill>
          </w14:textFill>
        </w:rPr>
        <w:t>淮安得利塑业有限公司，主要</w:t>
      </w:r>
      <w:r>
        <w:rPr>
          <w:rFonts w:hint="default" w:ascii="Times New Roman" w:hAnsi="Times New Roman" w:cs="Times New Roman"/>
          <w:color w:val="auto"/>
          <w:sz w:val="24"/>
          <w:u w:val="single"/>
        </w:rPr>
        <w:t>成分为</w:t>
      </w:r>
      <w:r>
        <w:rPr>
          <w:rFonts w:hint="default" w:ascii="Times New Roman" w:hAnsi="Times New Roman" w:cs="Times New Roman"/>
          <w:color w:val="auto"/>
          <w:sz w:val="24"/>
          <w:u w:val="single"/>
          <w:lang w:val="en-US" w:eastAsia="zh-CN"/>
        </w:rPr>
        <w:t>ABS</w:t>
      </w:r>
      <w:r>
        <w:rPr>
          <w:rFonts w:hint="default" w:ascii="Times New Roman" w:hAnsi="Times New Roman" w:cs="Times New Roman"/>
          <w:color w:val="auto"/>
          <w:sz w:val="24"/>
          <w:u w:val="single"/>
        </w:rPr>
        <w:t>、P</w:t>
      </w:r>
      <w:r>
        <w:rPr>
          <w:rFonts w:hint="default" w:ascii="Times New Roman" w:hAnsi="Times New Roman" w:cs="Times New Roman"/>
          <w:color w:val="auto"/>
          <w:sz w:val="24"/>
          <w:u w:val="single"/>
          <w:lang w:val="en-US" w:eastAsia="zh-CN"/>
        </w:rPr>
        <w:t>S</w:t>
      </w:r>
      <w:r>
        <w:rPr>
          <w:rFonts w:hint="default" w:ascii="Times New Roman" w:hAnsi="Times New Roman" w:cs="Times New Roman"/>
          <w:color w:val="auto"/>
          <w:sz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 w:val="24"/>
        </w:rPr>
      </w:pPr>
      <w:r>
        <w:rPr>
          <w:rFonts w:hint="default" w:ascii="Times New Roman" w:hAnsi="Times New Roman" w:cs="Times New Roman"/>
          <w:color w:val="000000" w:themeColor="text1"/>
          <w:u w:val="single"/>
          <w:lang w:eastAsia="zh-CN"/>
          <w14:textFill>
            <w14:solidFill>
              <w14:schemeClr w14:val="tx1"/>
            </w14:solidFill>
          </w14:textFill>
        </w:rPr>
        <w:t>淮安得利塑业有限公司主要经营</w:t>
      </w:r>
      <w:r>
        <w:rPr>
          <w:rFonts w:hint="default" w:ascii="Times New Roman" w:hAnsi="Times New Roman" w:eastAsia="宋体" w:cs="Times New Roman"/>
          <w:sz w:val="24"/>
          <w:szCs w:val="24"/>
          <w:u w:val="single"/>
        </w:rPr>
        <w:t>废旧塑料回收、分选，塑料原材料、再生塑料批发与零售</w:t>
      </w:r>
      <w:r>
        <w:rPr>
          <w:rFonts w:hint="default" w:ascii="Times New Roman" w:hAnsi="Times New Roman" w:eastAsia="宋体" w:cs="Times New Roman"/>
          <w:sz w:val="24"/>
          <w:szCs w:val="24"/>
          <w:u w:val="single"/>
          <w:lang w:eastAsia="zh-CN"/>
        </w:rPr>
        <w:t>，企业于</w:t>
      </w:r>
      <w:r>
        <w:rPr>
          <w:rFonts w:hint="default" w:ascii="Times New Roman" w:hAnsi="Times New Roman" w:eastAsia="宋体" w:cs="Times New Roman"/>
          <w:sz w:val="24"/>
          <w:szCs w:val="24"/>
          <w:u w:val="single"/>
          <w:lang w:val="en-US" w:eastAsia="zh-CN"/>
        </w:rPr>
        <w:t>2017年委托第三方咨询公司完成了环境现状质量评估报告，</w:t>
      </w:r>
      <w:r>
        <w:rPr>
          <w:rFonts w:hint="eastAsia" w:cs="Times New Roman"/>
          <w:b/>
          <w:bCs/>
          <w:sz w:val="24"/>
          <w:szCs w:val="24"/>
          <w:u w:val="single"/>
          <w:lang w:eastAsia="zh-CN"/>
        </w:rPr>
        <w:t>其中包含本项目需要的</w:t>
      </w:r>
      <w:r>
        <w:rPr>
          <w:rFonts w:hint="eastAsia" w:cs="Times New Roman"/>
          <w:b/>
          <w:bCs/>
          <w:sz w:val="24"/>
          <w:szCs w:val="24"/>
          <w:u w:val="single"/>
          <w:lang w:val="en-US" w:eastAsia="zh-CN"/>
        </w:rPr>
        <w:t>ABS和PS混包废塑料，此类废塑料中ABS塑料</w:t>
      </w:r>
      <w:r>
        <w:rPr>
          <w:rFonts w:hint="eastAsia" w:cs="Times New Roman"/>
          <w:b/>
          <w:bCs/>
          <w:sz w:val="24"/>
          <w:szCs w:val="24"/>
          <w:u w:val="single"/>
          <w:lang w:eastAsia="zh-CN"/>
        </w:rPr>
        <w:t>主要来源于各类洗衣机、空调外机壳，</w:t>
      </w:r>
      <w:r>
        <w:rPr>
          <w:rFonts w:hint="eastAsia" w:cs="Times New Roman"/>
          <w:b/>
          <w:bCs/>
          <w:sz w:val="24"/>
          <w:szCs w:val="24"/>
          <w:u w:val="single"/>
          <w:lang w:val="en-US" w:eastAsia="zh-CN"/>
        </w:rPr>
        <w:t>PS类塑料主要是定向收购来源于废旧文具、笔杆等教育学生用品。</w:t>
      </w:r>
      <w:r>
        <w:rPr>
          <w:rFonts w:hint="default" w:ascii="Times New Roman" w:hAnsi="Times New Roman" w:cs="Times New Roman"/>
          <w:color w:val="auto"/>
          <w:sz w:val="24"/>
          <w:u w:val="single"/>
        </w:rPr>
        <w:t>不回收工程塑料；不回收危险废物废旧塑料，包括被危险化学品、农药等污染的废弃塑料包装物；废弃的一次性医疗用塑料制品（如输液器、血袋）；盛装农药、废染料、强酸、强碱的废塑料等。</w:t>
      </w:r>
      <w:r>
        <w:rPr>
          <w:rFonts w:hint="default" w:ascii="Times New Roman" w:hAnsi="Times New Roman" w:cs="Times New Roman"/>
          <w:color w:val="auto"/>
          <w:sz w:val="24"/>
        </w:rPr>
        <w:t>故本项目清</w:t>
      </w:r>
      <w:r>
        <w:rPr>
          <w:rFonts w:ascii="Times New Roman" w:hAnsi="Times New Roman"/>
          <w:color w:val="auto"/>
          <w:sz w:val="24"/>
        </w:rPr>
        <w:t>洗过程产生的废渣，主要成分为悬浮物，不属于危险废物，采用压滤机脱水后集中收集送至当地垃圾填埋场进行处置。</w:t>
      </w:r>
    </w:p>
    <w:p>
      <w:pPr>
        <w:bidi w:val="0"/>
        <w:rPr>
          <w:rFonts w:hint="eastAsia"/>
          <w:lang w:eastAsia="zh-CN"/>
        </w:rPr>
      </w:pPr>
      <w:bookmarkStart w:id="239" w:name="_Toc1089"/>
      <w:r>
        <w:t>（</w:t>
      </w:r>
      <w:r>
        <w:rPr>
          <w:rFonts w:hint="eastAsia"/>
          <w:lang w:val="en-US" w:eastAsia="zh-CN"/>
        </w:rPr>
        <w:t>4</w:t>
      </w:r>
      <w:r>
        <w:t>）</w:t>
      </w:r>
      <w:r>
        <w:rPr>
          <w:rFonts w:hint="eastAsia"/>
          <w:lang w:eastAsia="zh-CN"/>
        </w:rPr>
        <w:t>除尘器卸灰</w:t>
      </w:r>
      <w:bookmarkEnd w:id="239"/>
    </w:p>
    <w:p>
      <w:pPr>
        <w:bidi w:val="0"/>
        <w:rPr>
          <w:rFonts w:hint="default"/>
          <w:lang w:val="en-US" w:eastAsia="zh-CN"/>
        </w:rPr>
      </w:pPr>
      <w:r>
        <w:rPr>
          <w:rFonts w:hint="eastAsia"/>
          <w:lang w:val="en-US" w:eastAsia="zh-CN"/>
        </w:rPr>
        <w:t>根据计算，粉碎工序除尘器卸灰为2.374t/a，主要成分为塑料颗粒，定期外售。</w:t>
      </w:r>
    </w:p>
    <w:p>
      <w:pPr>
        <w:bidi w:val="0"/>
      </w:pPr>
      <w:bookmarkStart w:id="240" w:name="_Toc14142"/>
      <w:r>
        <w:t>（</w:t>
      </w:r>
      <w:r>
        <w:rPr>
          <w:rFonts w:hint="eastAsia"/>
          <w:lang w:val="en-US" w:eastAsia="zh-CN"/>
        </w:rPr>
        <w:t>5</w:t>
      </w:r>
      <w:r>
        <w:t>）废滤网</w:t>
      </w:r>
      <w:bookmarkEnd w:id="240"/>
    </w:p>
    <w:p>
      <w:pPr>
        <w:bidi w:val="0"/>
        <w:rPr>
          <w:rFonts w:hint="default"/>
          <w:lang w:val="en-US" w:eastAsia="zh-CN"/>
        </w:rPr>
      </w:pPr>
      <w:r>
        <w:t>废旧塑料在造粒工序会用到滤网，由于机头温度较高，在熔融状态下的塑料通过滤网时会附着在滤网上，导致滤网孔堵塞，滤网需要定期更换，每半小时需要更换一次，则每天更换量约</w:t>
      </w:r>
      <w:r>
        <w:rPr>
          <w:rFonts w:hint="eastAsia"/>
          <w:lang w:val="en-US" w:eastAsia="zh-CN"/>
        </w:rPr>
        <w:t>60</w:t>
      </w:r>
      <w:r>
        <w:t>张，废滤网暂存后交由原厂家回收。</w:t>
      </w:r>
      <w:r>
        <w:rPr>
          <w:rFonts w:hint="eastAsia"/>
          <w:lang w:eastAsia="zh-CN"/>
        </w:rPr>
        <w:t>滤网重量约为</w:t>
      </w:r>
      <w:r>
        <w:rPr>
          <w:rFonts w:hint="eastAsia"/>
          <w:lang w:val="en-US" w:eastAsia="zh-CN"/>
        </w:rPr>
        <w:t>50g，则年使用滤网0.9t，约0.9t/a。</w:t>
      </w:r>
    </w:p>
    <w:p>
      <w:pPr>
        <w:bidi w:val="0"/>
      </w:pPr>
      <w:bookmarkStart w:id="241" w:name="_Toc1469"/>
      <w:r>
        <w:t>（</w:t>
      </w:r>
      <w:r>
        <w:rPr>
          <w:rFonts w:hint="eastAsia"/>
          <w:lang w:val="en-US" w:eastAsia="zh-CN"/>
        </w:rPr>
        <w:t>6</w:t>
      </w:r>
      <w:r>
        <w:t>）生活垃圾</w:t>
      </w:r>
      <w:bookmarkEnd w:id="241"/>
    </w:p>
    <w:p>
      <w:pPr>
        <w:bidi w:val="0"/>
      </w:pPr>
      <w:r>
        <w:t>生活垃圾成分主要是瓜果皮核、饮料包装瓶等，本项目员工</w:t>
      </w:r>
      <w:r>
        <w:rPr>
          <w:rFonts w:hint="eastAsia"/>
          <w:lang w:val="en-US" w:eastAsia="zh-CN"/>
        </w:rPr>
        <w:t>20</w:t>
      </w:r>
      <w:r>
        <w:t>人，年工作天数300天，员工垃圾系数为0.5kg/d·人，则该项目产生生活垃圾</w:t>
      </w:r>
      <w:r>
        <w:rPr>
          <w:rFonts w:hint="eastAsia"/>
          <w:lang w:val="en-US" w:eastAsia="zh-CN"/>
        </w:rPr>
        <w:t>10</w:t>
      </w:r>
      <w:r>
        <w:t>kg/d，</w:t>
      </w:r>
      <w:r>
        <w:rPr>
          <w:rFonts w:hint="eastAsia"/>
          <w:lang w:val="en-US" w:eastAsia="zh-CN"/>
        </w:rPr>
        <w:t>3.0</w:t>
      </w:r>
      <w:r>
        <w:t>t/a，由环卫部门集中收集后统一处置。</w:t>
      </w:r>
    </w:p>
    <w:p>
      <w:pPr>
        <w:bidi w:val="0"/>
        <w:rPr>
          <w:rFonts w:hint="eastAsia"/>
          <w:lang w:val="en-US" w:eastAsia="zh-CN"/>
        </w:rPr>
      </w:pPr>
      <w:bookmarkStart w:id="242" w:name="_Toc11337"/>
      <w:r>
        <w:rPr>
          <w:rFonts w:hint="eastAsia"/>
          <w:lang w:val="en-US" w:eastAsia="zh-CN"/>
        </w:rPr>
        <w:t>（7）废催化剂</w:t>
      </w:r>
      <w:bookmarkEnd w:id="24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u w:val="single"/>
          <w:lang w:val="en-US" w:eastAsia="zh-CN"/>
        </w:rPr>
      </w:pPr>
      <w:r>
        <w:rPr>
          <w:rFonts w:hint="default"/>
          <w:u w:val="single"/>
          <w:lang w:val="en-US" w:eastAsia="zh-CN"/>
        </w:rPr>
        <w:t>本项目营运后厂区设置</w:t>
      </w:r>
      <w:r>
        <w:rPr>
          <w:rFonts w:hint="eastAsia"/>
          <w:u w:val="single"/>
          <w:lang w:val="en-US" w:eastAsia="zh-CN"/>
        </w:rPr>
        <w:t>2</w:t>
      </w:r>
      <w:r>
        <w:rPr>
          <w:rFonts w:hint="default"/>
          <w:u w:val="single"/>
          <w:lang w:val="en-US" w:eastAsia="zh-CN"/>
        </w:rPr>
        <w:t>套催化燃烧装置对产品生产过程中产生的有机废气进行燃烧处理，催化燃烧装置所用催化剂为铂贵金属催化剂，其在运行过程中会产生废催化剂。根据</w:t>
      </w:r>
      <w:r>
        <w:rPr>
          <w:rFonts w:hint="eastAsia"/>
          <w:u w:val="single"/>
          <w:lang w:val="en-US" w:eastAsia="zh-CN"/>
        </w:rPr>
        <w:t>环保设备单位提供的经验数据</w:t>
      </w:r>
      <w:r>
        <w:rPr>
          <w:rFonts w:hint="default"/>
          <w:u w:val="single"/>
          <w:lang w:val="en-US" w:eastAsia="zh-CN"/>
        </w:rPr>
        <w:t>，催化剂更换周期为4～5年，每次更换产生废催化剂</w:t>
      </w:r>
      <w:r>
        <w:rPr>
          <w:rFonts w:hint="eastAsia"/>
          <w:u w:val="single"/>
          <w:lang w:val="en-US" w:eastAsia="zh-CN"/>
        </w:rPr>
        <w:t>5</w:t>
      </w:r>
      <w:r>
        <w:rPr>
          <w:rFonts w:hint="default"/>
          <w:u w:val="single"/>
          <w:lang w:val="en-US" w:eastAsia="zh-CN"/>
        </w:rPr>
        <w:t>t。根据《国家危险废物名录》（2021年版），铂贵金属催化剂未被列入《国家危险废物名录（2021年版）》，暂定为一般固废，本项目营运后需对催化剂危险性鉴别，以进一步确定催化剂性质。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olor w:val="auto"/>
          <w:sz w:val="24"/>
        </w:rPr>
      </w:pPr>
      <w:r>
        <w:rPr>
          <w:rFonts w:hint="eastAsia"/>
          <w:color w:val="auto"/>
          <w:sz w:val="24"/>
          <w:lang w:val="en-US" w:eastAsia="zh-CN"/>
        </w:rPr>
        <w:t>2、</w:t>
      </w:r>
      <w:r>
        <w:rPr>
          <w:rFonts w:ascii="Times New Roman" w:hAnsi="Times New Roman"/>
          <w:color w:val="auto"/>
          <w:sz w:val="24"/>
        </w:rPr>
        <w:t>危险废物</w:t>
      </w:r>
    </w:p>
    <w:p>
      <w:pPr>
        <w:bidi w:val="0"/>
        <w:spacing w:line="360" w:lineRule="auto"/>
      </w:pPr>
      <w:bookmarkStart w:id="243" w:name="_Toc26935"/>
      <w:bookmarkStart w:id="244" w:name="_Toc410978117"/>
      <w:bookmarkStart w:id="245" w:name="_Toc15593"/>
      <w:bookmarkStart w:id="246" w:name="_Toc410382779"/>
      <w:r>
        <w:t>（</w:t>
      </w:r>
      <w:r>
        <w:rPr>
          <w:rFonts w:hint="eastAsia"/>
          <w:lang w:val="en-US" w:eastAsia="zh-CN"/>
        </w:rPr>
        <w:t>1</w:t>
      </w:r>
      <w:r>
        <w:t>）废活性炭</w:t>
      </w:r>
      <w:bookmarkEnd w:id="243"/>
    </w:p>
    <w:p>
      <w:pPr>
        <w:adjustRightInd w:val="0"/>
        <w:snapToGrid w:val="0"/>
        <w:spacing w:line="360" w:lineRule="auto"/>
        <w:ind w:firstLine="480" w:firstLineChars="200"/>
        <w:jc w:val="both"/>
        <w:rPr>
          <w:rFonts w:hint="default" w:ascii="Times New Roman" w:hAnsi="Times New Roman"/>
          <w:color w:val="auto"/>
          <w:sz w:val="24"/>
          <w:u w:val="single"/>
          <w:lang w:val="en-US" w:eastAsia="zh-CN"/>
        </w:rPr>
      </w:pPr>
      <w:r>
        <w:rPr>
          <w:rFonts w:hint="default" w:ascii="Times New Roman" w:hAnsi="Times New Roman"/>
          <w:color w:val="auto"/>
          <w:sz w:val="24"/>
          <w:u w:val="single"/>
          <w:lang w:val="en-US" w:eastAsia="zh-CN"/>
        </w:rPr>
        <w:t>本项目生产过程产生的有机废气通过</w:t>
      </w:r>
      <w:r>
        <w:rPr>
          <w:rFonts w:hint="eastAsia"/>
          <w:color w:val="auto"/>
          <w:sz w:val="24"/>
          <w:u w:val="single"/>
          <w:lang w:val="en-US" w:eastAsia="zh-CN"/>
        </w:rPr>
        <w:t>两套</w:t>
      </w:r>
      <w:r>
        <w:rPr>
          <w:rFonts w:hint="eastAsia" w:ascii="Times New Roman" w:hAnsi="Times New Roman"/>
          <w:color w:val="auto"/>
          <w:sz w:val="24"/>
          <w:u w:val="single"/>
          <w:lang w:val="en-US" w:eastAsia="zh-CN"/>
        </w:rPr>
        <w:t>“吸附浓缩+催化燃烧</w:t>
      </w:r>
      <w:r>
        <w:rPr>
          <w:rFonts w:hint="default" w:ascii="Times New Roman" w:hAnsi="Times New Roman"/>
          <w:color w:val="auto"/>
          <w:sz w:val="24"/>
          <w:u w:val="single"/>
          <w:lang w:val="en-US" w:eastAsia="zh-CN"/>
        </w:rPr>
        <w:t>装置</w:t>
      </w:r>
      <w:r>
        <w:rPr>
          <w:rFonts w:hint="eastAsia" w:ascii="Times New Roman" w:hAnsi="Times New Roman"/>
          <w:color w:val="auto"/>
          <w:sz w:val="24"/>
          <w:u w:val="single"/>
          <w:lang w:val="en-US" w:eastAsia="zh-CN"/>
        </w:rPr>
        <w:t>”</w:t>
      </w:r>
      <w:r>
        <w:rPr>
          <w:rFonts w:hint="default" w:ascii="Times New Roman" w:hAnsi="Times New Roman"/>
          <w:color w:val="auto"/>
          <w:sz w:val="24"/>
          <w:u w:val="single"/>
          <w:lang w:val="en-US" w:eastAsia="zh-CN"/>
        </w:rPr>
        <w:t>处理，其中活性炭吸附装置</w:t>
      </w:r>
      <w:r>
        <w:rPr>
          <w:rFonts w:hint="eastAsia"/>
          <w:color w:val="auto"/>
          <w:sz w:val="24"/>
          <w:u w:val="single"/>
          <w:lang w:val="en-US" w:eastAsia="zh-CN"/>
        </w:rPr>
        <w:t>用于</w:t>
      </w:r>
      <w:r>
        <w:rPr>
          <w:rFonts w:hint="default" w:ascii="Times New Roman" w:hAnsi="Times New Roman"/>
          <w:color w:val="auto"/>
          <w:sz w:val="24"/>
          <w:u w:val="single"/>
          <w:lang w:val="en-US" w:eastAsia="zh-CN"/>
        </w:rPr>
        <w:t>吸附</w:t>
      </w:r>
      <w:r>
        <w:rPr>
          <w:rFonts w:hint="eastAsia"/>
          <w:color w:val="auto"/>
          <w:sz w:val="24"/>
          <w:u w:val="single"/>
          <w:lang w:val="en-US" w:eastAsia="zh-CN"/>
        </w:rPr>
        <w:t>和脱附</w:t>
      </w:r>
      <w:r>
        <w:rPr>
          <w:rFonts w:hint="default" w:ascii="Times New Roman" w:hAnsi="Times New Roman"/>
          <w:color w:val="auto"/>
          <w:sz w:val="24"/>
          <w:u w:val="single"/>
          <w:lang w:val="en-US" w:eastAsia="zh-CN"/>
        </w:rPr>
        <w:t>有机废气</w:t>
      </w:r>
      <w:r>
        <w:rPr>
          <w:rFonts w:hint="eastAsia"/>
          <w:color w:val="auto"/>
          <w:sz w:val="24"/>
          <w:u w:val="single"/>
          <w:lang w:val="en-US" w:eastAsia="zh-CN"/>
        </w:rPr>
        <w:t>，废气处理过程使用少量的活性炭</w:t>
      </w:r>
      <w:r>
        <w:rPr>
          <w:rFonts w:hint="default" w:ascii="Times New Roman" w:hAnsi="Times New Roman"/>
          <w:color w:val="auto"/>
          <w:sz w:val="24"/>
          <w:u w:val="single"/>
          <w:lang w:val="en-US" w:eastAsia="zh-CN"/>
        </w:rPr>
        <w:t>。项目活性炭装置需定期更换，由环保设备厂家及活性炭生产厂家提供资料可知，活性炭更换频率约为</w:t>
      </w:r>
      <w:r>
        <w:rPr>
          <w:rFonts w:hint="eastAsia"/>
          <w:color w:val="auto"/>
          <w:sz w:val="24"/>
          <w:u w:val="single"/>
          <w:lang w:val="en-US" w:eastAsia="zh-CN"/>
        </w:rPr>
        <w:t>2</w:t>
      </w:r>
      <w:r>
        <w:rPr>
          <w:rFonts w:hint="default" w:ascii="Times New Roman" w:hAnsi="Times New Roman"/>
          <w:color w:val="auto"/>
          <w:sz w:val="24"/>
          <w:u w:val="single"/>
          <w:lang w:val="en-US" w:eastAsia="zh-CN"/>
        </w:rPr>
        <w:t>次/年，每次更换量为</w:t>
      </w:r>
      <w:r>
        <w:rPr>
          <w:rFonts w:hint="eastAsia"/>
          <w:color w:val="auto"/>
          <w:sz w:val="24"/>
          <w:u w:val="single"/>
          <w:lang w:val="en-US" w:eastAsia="zh-CN"/>
        </w:rPr>
        <w:t>1.5</w:t>
      </w:r>
      <w:r>
        <w:rPr>
          <w:rFonts w:hint="default" w:ascii="Times New Roman" w:hAnsi="Times New Roman"/>
          <w:color w:val="auto"/>
          <w:sz w:val="24"/>
          <w:u w:val="single"/>
          <w:lang w:val="en-US" w:eastAsia="zh-CN"/>
        </w:rPr>
        <w:t>t/a。废活性炭</w:t>
      </w:r>
      <w:r>
        <w:rPr>
          <w:rFonts w:hint="eastAsia"/>
          <w:color w:val="auto"/>
          <w:sz w:val="24"/>
          <w:u w:val="single"/>
          <w:lang w:val="en-US" w:eastAsia="zh-CN"/>
        </w:rPr>
        <w:t>年产生量为3t；企业污水处理系统废气，使用二级活性炭吸附装置吸附，根据《挥发性有机物的物化性质与活性炭饱和吸附量的相关性研究》（《化工环保》2007年第27卷第5期）中内容，挥发性有机物活性炭饱和吸附量约为200~300mg/g，本报告有机废气活性炭饱和吸附量以300mg/g计，项目废气吸附量为0.0188t/a，则废弃活性炭量为0.06t/a，废弃活性炭</w:t>
      </w:r>
      <w:r>
        <w:rPr>
          <w:rFonts w:hint="default" w:ascii="Times New Roman" w:hAnsi="Times New Roman"/>
          <w:color w:val="auto"/>
          <w:sz w:val="24"/>
          <w:u w:val="single"/>
          <w:lang w:val="en-US" w:eastAsia="zh-CN"/>
        </w:rPr>
        <w:t>属于《国家危险废物名录》（2021年）中危险废物，危废编号HW49：900-0</w:t>
      </w:r>
      <w:r>
        <w:rPr>
          <w:rFonts w:hint="eastAsia" w:ascii="Times New Roman" w:hAnsi="Times New Roman"/>
          <w:color w:val="auto"/>
          <w:sz w:val="24"/>
          <w:u w:val="single"/>
          <w:lang w:val="en-US" w:eastAsia="zh-CN"/>
        </w:rPr>
        <w:t>39</w:t>
      </w:r>
      <w:r>
        <w:rPr>
          <w:rFonts w:hint="default" w:ascii="Times New Roman" w:hAnsi="Times New Roman"/>
          <w:color w:val="auto"/>
          <w:sz w:val="24"/>
          <w:u w:val="single"/>
          <w:lang w:val="en-US" w:eastAsia="zh-CN"/>
        </w:rPr>
        <w:t>-49。</w:t>
      </w:r>
    </w:p>
    <w:p>
      <w:pPr>
        <w:bidi w:val="0"/>
      </w:pPr>
      <w:bookmarkStart w:id="247" w:name="_Toc11431"/>
      <w:r>
        <w:t>（</w:t>
      </w:r>
      <w:r>
        <w:rPr>
          <w:rFonts w:hint="eastAsia"/>
          <w:lang w:val="en-US" w:eastAsia="zh-CN"/>
        </w:rPr>
        <w:t>2</w:t>
      </w:r>
      <w:r>
        <w:t>）废机油</w:t>
      </w:r>
      <w:bookmarkEnd w:id="247"/>
    </w:p>
    <w:p>
      <w:pPr>
        <w:adjustRightInd w:val="0"/>
        <w:snapToGrid w:val="0"/>
        <w:spacing w:line="360" w:lineRule="auto"/>
        <w:ind w:firstLine="480" w:firstLineChars="200"/>
        <w:jc w:val="left"/>
        <w:rPr>
          <w:rFonts w:hint="default" w:ascii="Times New Roman" w:hAnsi="Times New Roman"/>
          <w:color w:val="auto"/>
          <w:sz w:val="24"/>
          <w:lang w:val="en-US" w:eastAsia="zh-CN"/>
        </w:rPr>
      </w:pPr>
      <w:r>
        <w:rPr>
          <w:rFonts w:ascii="Times New Roman" w:hAnsi="Times New Roman"/>
          <w:color w:val="auto"/>
          <w:sz w:val="24"/>
        </w:rPr>
        <w:t>本项目设备维修废机油产生量约为0.01t/a，暂存于危废暂存间，定期委托有资质单位处置。</w:t>
      </w:r>
      <w:r>
        <w:rPr>
          <w:rFonts w:hint="default" w:ascii="Times New Roman" w:hAnsi="Times New Roman"/>
          <w:color w:val="auto"/>
          <w:sz w:val="24"/>
          <w:lang w:val="en-US" w:eastAsia="zh-CN"/>
        </w:rPr>
        <w:t>危废编号HW</w:t>
      </w:r>
      <w:r>
        <w:rPr>
          <w:rFonts w:hint="eastAsia" w:ascii="Times New Roman" w:hAnsi="Times New Roman"/>
          <w:color w:val="auto"/>
          <w:sz w:val="24"/>
          <w:lang w:val="en-US" w:eastAsia="zh-CN"/>
        </w:rPr>
        <w:t>08</w:t>
      </w:r>
      <w:r>
        <w:rPr>
          <w:rFonts w:hint="default" w:ascii="Times New Roman" w:hAnsi="Times New Roman"/>
          <w:color w:val="auto"/>
          <w:sz w:val="24"/>
          <w:lang w:val="en-US" w:eastAsia="zh-CN"/>
        </w:rPr>
        <w:t>：</w:t>
      </w:r>
      <w:r>
        <w:rPr>
          <w:rFonts w:hint="default" w:ascii="Times New Roman" w:hAnsi="Times New Roman"/>
          <w:color w:val="auto"/>
          <w:sz w:val="24"/>
        </w:rPr>
        <w:t>900-214-08</w:t>
      </w:r>
      <w:r>
        <w:rPr>
          <w:rFonts w:hint="default" w:ascii="Times New Roman" w:hAnsi="Times New Roman"/>
          <w:color w:val="auto"/>
          <w:sz w:val="24"/>
          <w:lang w:val="en-US" w:eastAsia="zh-CN"/>
        </w:rPr>
        <w:t>。</w:t>
      </w:r>
    </w:p>
    <w:p>
      <w:pPr>
        <w:bidi w:val="0"/>
        <w:rPr>
          <w:rFonts w:hint="eastAsia"/>
          <w:u w:val="single"/>
          <w:lang w:val="en-US" w:eastAsia="zh-CN"/>
        </w:rPr>
      </w:pPr>
      <w:bookmarkStart w:id="248" w:name="_Toc4059"/>
      <w:r>
        <w:rPr>
          <w:rFonts w:hint="eastAsia"/>
          <w:u w:val="single"/>
          <w:lang w:val="en-US" w:eastAsia="zh-CN"/>
        </w:rPr>
        <w:t>（3）喷淋塔漂浮物及沉渣</w:t>
      </w:r>
      <w:bookmarkEnd w:id="248"/>
    </w:p>
    <w:p>
      <w:pPr>
        <w:bidi w:val="0"/>
        <w:rPr>
          <w:rFonts w:hint="default"/>
          <w:u w:val="single"/>
          <w:lang w:val="en-US" w:eastAsia="zh-CN"/>
        </w:rPr>
      </w:pPr>
      <w:bookmarkStart w:id="249" w:name="_Toc18723"/>
      <w:r>
        <w:rPr>
          <w:rFonts w:hint="default"/>
          <w:u w:val="single"/>
          <w:lang w:val="en-US" w:eastAsia="zh-CN"/>
        </w:rPr>
        <w:t>项目喷淋塔循环水箱中的水在冷却废气时，会有部分高温灰化的烟气经水冷却后，冷凝到水中，漂浮到水面上，其余经絮凝沉淀后成为沉渣，上层浮油及沉渣需要定期清捞，并补充新鲜水。漂浮物及沉渣每隔5天清理一次，</w:t>
      </w:r>
      <w:r>
        <w:rPr>
          <w:rFonts w:hint="eastAsia"/>
          <w:u w:val="single"/>
          <w:lang w:val="en-US" w:eastAsia="zh-CN"/>
        </w:rPr>
        <w:t>根据工程分析喷淋塔对颗粒的去除量为0.014t/a</w:t>
      </w:r>
      <w:r>
        <w:rPr>
          <w:rFonts w:hint="default"/>
          <w:u w:val="single"/>
          <w:lang w:val="en-US" w:eastAsia="zh-CN"/>
        </w:rPr>
        <w:t>，</w:t>
      </w:r>
      <w:r>
        <w:rPr>
          <w:rFonts w:hint="eastAsia"/>
          <w:u w:val="single"/>
          <w:lang w:val="en-US" w:eastAsia="zh-CN"/>
        </w:rPr>
        <w:t>打捞的漂浮物及沉渣含水量约为90%，由此核算漂浮物及沉渣</w:t>
      </w:r>
      <w:r>
        <w:rPr>
          <w:rFonts w:hint="default"/>
          <w:u w:val="single"/>
          <w:lang w:val="en-US" w:eastAsia="zh-CN"/>
        </w:rPr>
        <w:t>产生量为0.1</w:t>
      </w:r>
      <w:r>
        <w:rPr>
          <w:rFonts w:hint="eastAsia"/>
          <w:u w:val="single"/>
          <w:lang w:val="en-US" w:eastAsia="zh-CN"/>
        </w:rPr>
        <w:t>4</w:t>
      </w:r>
      <w:r>
        <w:rPr>
          <w:rFonts w:hint="default"/>
          <w:u w:val="single"/>
          <w:lang w:val="en-US" w:eastAsia="zh-CN"/>
        </w:rPr>
        <w:t>t/a，危废编号HW49：772-006-49</w:t>
      </w:r>
      <w:r>
        <w:rPr>
          <w:rFonts w:hint="eastAsia"/>
          <w:u w:val="single"/>
          <w:lang w:val="en-US" w:eastAsia="zh-CN"/>
        </w:rPr>
        <w:t>，</w:t>
      </w:r>
      <w:r>
        <w:rPr>
          <w:rFonts w:hint="default"/>
          <w:u w:val="single"/>
          <w:lang w:val="en-US" w:eastAsia="zh-CN"/>
        </w:rPr>
        <w:t>暂存于危废暂存间，定期交给有资质的公司进行处理。</w:t>
      </w:r>
      <w:bookmarkEnd w:id="2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rPr>
      </w:pPr>
      <w:r>
        <w:rPr>
          <w:rFonts w:ascii="Times New Roman" w:hAnsi="Times New Roman"/>
          <w:color w:val="auto"/>
          <w:sz w:val="24"/>
        </w:rPr>
        <w:t>本项目危险废物包括设备日常维护过程中产生的废机油和废活性炭。</w:t>
      </w:r>
      <w:r>
        <w:rPr>
          <w:rFonts w:ascii="Times New Roman" w:hAnsi="Times New Roman"/>
          <w:color w:val="auto"/>
          <w:kern w:val="0"/>
          <w:sz w:val="24"/>
        </w:rPr>
        <w:t>本项目危险废物汇总表见表</w:t>
      </w:r>
      <w:r>
        <w:rPr>
          <w:rFonts w:hint="eastAsia"/>
          <w:color w:val="auto"/>
          <w:kern w:val="0"/>
          <w:sz w:val="24"/>
          <w:lang w:val="en-US" w:eastAsia="zh-CN"/>
        </w:rPr>
        <w:t>7.2-8</w:t>
      </w:r>
      <w:r>
        <w:rPr>
          <w:rFonts w:ascii="Times New Roman" w:hAnsi="Times New Roman"/>
          <w:color w:val="auto"/>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ascii="Times New Roman" w:hAnsi="Times New Roman"/>
          <w:b/>
          <w:bCs/>
          <w:color w:val="auto"/>
          <w:sz w:val="24"/>
        </w:rPr>
      </w:pPr>
      <w:r>
        <w:rPr>
          <w:rFonts w:ascii="Times New Roman" w:hAnsi="Times New Roman"/>
          <w:b/>
          <w:bCs/>
          <w:color w:val="auto"/>
          <w:sz w:val="24"/>
        </w:rPr>
        <w:t>表</w:t>
      </w:r>
      <w:r>
        <w:rPr>
          <w:rFonts w:hint="eastAsia" w:ascii="Times New Roman" w:hAnsi="Times New Roman"/>
          <w:b/>
          <w:bCs/>
          <w:color w:val="auto"/>
          <w:sz w:val="24"/>
          <w:lang w:val="en-US" w:eastAsia="zh-CN"/>
        </w:rPr>
        <w:t>7.2</w:t>
      </w:r>
      <w:r>
        <w:rPr>
          <w:rFonts w:ascii="Times New Roman" w:hAnsi="Times New Roman"/>
          <w:b/>
          <w:bCs/>
          <w:color w:val="auto"/>
          <w:sz w:val="24"/>
        </w:rPr>
        <w:t>-</w:t>
      </w:r>
      <w:r>
        <w:rPr>
          <w:rFonts w:hint="eastAsia"/>
          <w:b/>
          <w:bCs/>
          <w:color w:val="auto"/>
          <w:sz w:val="24"/>
          <w:lang w:val="en-US" w:eastAsia="zh-CN"/>
        </w:rPr>
        <w:t>8</w:t>
      </w:r>
      <w:r>
        <w:rPr>
          <w:rFonts w:ascii="Times New Roman" w:hAnsi="Times New Roman"/>
          <w:b/>
          <w:bCs/>
          <w:color w:val="auto"/>
          <w:sz w:val="24"/>
        </w:rPr>
        <w:t xml:space="preserve">  项目危险废物汇总一览表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47"/>
        <w:gridCol w:w="1114"/>
        <w:gridCol w:w="1708"/>
        <w:gridCol w:w="1233"/>
        <w:gridCol w:w="981"/>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序号</w:t>
            </w:r>
          </w:p>
        </w:tc>
        <w:tc>
          <w:tcPr>
            <w:tcW w:w="1347"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危险废物名称</w:t>
            </w:r>
          </w:p>
        </w:tc>
        <w:tc>
          <w:tcPr>
            <w:tcW w:w="1114"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危险废物类别</w:t>
            </w:r>
          </w:p>
        </w:tc>
        <w:tc>
          <w:tcPr>
            <w:tcW w:w="170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危险废物代码</w:t>
            </w:r>
          </w:p>
        </w:tc>
        <w:tc>
          <w:tcPr>
            <w:tcW w:w="123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产生量（吨/年）</w:t>
            </w:r>
          </w:p>
        </w:tc>
        <w:tc>
          <w:tcPr>
            <w:tcW w:w="981"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形态</w:t>
            </w:r>
          </w:p>
        </w:tc>
        <w:tc>
          <w:tcPr>
            <w:tcW w:w="223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u w:val="single"/>
              </w:rPr>
            </w:pPr>
            <w:r>
              <w:rPr>
                <w:u w:val="single"/>
              </w:rPr>
              <w:t>1</w:t>
            </w:r>
          </w:p>
        </w:tc>
        <w:tc>
          <w:tcPr>
            <w:tcW w:w="1347"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u w:val="single"/>
              </w:rPr>
            </w:pPr>
            <w:r>
              <w:rPr>
                <w:u w:val="single"/>
              </w:rPr>
              <w:t>废活性炭</w:t>
            </w:r>
          </w:p>
        </w:tc>
        <w:tc>
          <w:tcPr>
            <w:tcW w:w="1114"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u w:val="single"/>
              </w:rPr>
            </w:pPr>
            <w:r>
              <w:rPr>
                <w:u w:val="single"/>
              </w:rPr>
              <w:t>HW49</w:t>
            </w:r>
          </w:p>
        </w:tc>
        <w:tc>
          <w:tcPr>
            <w:tcW w:w="170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u w:val="single"/>
              </w:rPr>
            </w:pPr>
            <w:r>
              <w:rPr>
                <w:u w:val="single"/>
              </w:rPr>
              <w:t>900-039-49</w:t>
            </w:r>
          </w:p>
        </w:tc>
        <w:tc>
          <w:tcPr>
            <w:tcW w:w="123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rFonts w:hint="default"/>
                <w:u w:val="single"/>
                <w:lang w:val="en-US" w:eastAsia="zh-CN"/>
              </w:rPr>
            </w:pPr>
            <w:r>
              <w:rPr>
                <w:rFonts w:hint="eastAsia"/>
                <w:u w:val="single"/>
                <w:lang w:val="en-US" w:eastAsia="zh-CN"/>
              </w:rPr>
              <w:t>3.06</w:t>
            </w:r>
          </w:p>
        </w:tc>
        <w:tc>
          <w:tcPr>
            <w:tcW w:w="981"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u w:val="single"/>
              </w:rPr>
            </w:pPr>
            <w:r>
              <w:rPr>
                <w:u w:val="single"/>
              </w:rPr>
              <w:t>固态</w:t>
            </w:r>
          </w:p>
        </w:tc>
        <w:tc>
          <w:tcPr>
            <w:tcW w:w="223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危废暂存间收集后</w:t>
            </w:r>
            <w:r>
              <w:rPr>
                <w:rFonts w:hint="eastAsia"/>
                <w:lang w:eastAsia="zh-CN"/>
              </w:rPr>
              <w:t>交由</w:t>
            </w:r>
            <w:r>
              <w:t>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2</w:t>
            </w:r>
          </w:p>
        </w:tc>
        <w:tc>
          <w:tcPr>
            <w:tcW w:w="1347"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废机油</w:t>
            </w:r>
          </w:p>
        </w:tc>
        <w:tc>
          <w:tcPr>
            <w:tcW w:w="1114"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HW08</w:t>
            </w:r>
          </w:p>
        </w:tc>
        <w:tc>
          <w:tcPr>
            <w:tcW w:w="170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900-214-08</w:t>
            </w:r>
          </w:p>
        </w:tc>
        <w:tc>
          <w:tcPr>
            <w:tcW w:w="123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0.01</w:t>
            </w:r>
          </w:p>
        </w:tc>
        <w:tc>
          <w:tcPr>
            <w:tcW w:w="981"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t>液态</w:t>
            </w:r>
          </w:p>
        </w:tc>
        <w:tc>
          <w:tcPr>
            <w:tcW w:w="223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lang w:val="en-US" w:eastAsia="zh-CN"/>
              </w:rPr>
            </w:pPr>
            <w:r>
              <w:rPr>
                <w:rFonts w:hint="eastAsia"/>
                <w:lang w:val="en-US" w:eastAsia="zh-CN"/>
              </w:rPr>
              <w:t>3</w:t>
            </w:r>
          </w:p>
        </w:tc>
        <w:tc>
          <w:tcPr>
            <w:tcW w:w="1347"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r>
              <w:rPr>
                <w:rFonts w:hint="eastAsia"/>
                <w:lang w:val="en-US" w:eastAsia="zh-CN"/>
              </w:rPr>
              <w:t>喷淋塔漂浮物及沉渣</w:t>
            </w:r>
          </w:p>
        </w:tc>
        <w:tc>
          <w:tcPr>
            <w:tcW w:w="1114"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rPr>
                <w:u w:val="single"/>
              </w:rPr>
              <w:t>HW49</w:t>
            </w:r>
          </w:p>
        </w:tc>
        <w:tc>
          <w:tcPr>
            <w:tcW w:w="170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rPr>
                <w:rFonts w:hint="default"/>
                <w:lang w:val="en-US" w:eastAsia="zh-CN"/>
              </w:rPr>
              <w:t>772-006-49</w:t>
            </w:r>
          </w:p>
        </w:tc>
        <w:tc>
          <w:tcPr>
            <w:tcW w:w="123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lang w:val="en-US"/>
              </w:rPr>
            </w:pPr>
            <w:r>
              <w:rPr>
                <w:rFonts w:hint="eastAsia"/>
                <w:u w:val="single"/>
                <w:lang w:val="en-US" w:eastAsia="zh-CN"/>
              </w:rPr>
              <w:t>0.14</w:t>
            </w:r>
          </w:p>
        </w:tc>
        <w:tc>
          <w:tcPr>
            <w:tcW w:w="981"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rPr>
                <w:u w:val="single"/>
              </w:rPr>
              <w:t>固态</w:t>
            </w:r>
          </w:p>
        </w:tc>
        <w:tc>
          <w:tcPr>
            <w:tcW w:w="223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textAlignment w:val="auto"/>
            </w:pPr>
          </w:p>
        </w:tc>
      </w:tr>
    </w:tbl>
    <w:p>
      <w:pPr>
        <w:bidi w:val="0"/>
      </w:pPr>
      <w:r>
        <w:t>根据《危险废物贮存污染控制标准》（GB18597-2001）要求，危险废物处置应设置符合《危险废物贮存污染控制标准》（GB18597-2001）要求的专用危废贮存场所和贮存容器，严禁与其他固废混合存放。本项目拟在</w:t>
      </w:r>
      <w:r>
        <w:rPr>
          <w:rFonts w:hint="eastAsia"/>
          <w:lang w:eastAsia="zh-CN"/>
        </w:rPr>
        <w:t>厂区东南角</w:t>
      </w:r>
      <w:r>
        <w:t>设置一个</w:t>
      </w:r>
      <w:r>
        <w:rPr>
          <w:rFonts w:hint="eastAsia"/>
          <w:lang w:val="en-US" w:eastAsia="zh-CN"/>
        </w:rPr>
        <w:t>10</w:t>
      </w:r>
      <w:r>
        <w:t>m</w:t>
      </w:r>
      <w:r>
        <w:rPr>
          <w:rFonts w:hint="eastAsia"/>
          <w:vertAlign w:val="superscript"/>
          <w:lang w:val="en-US" w:eastAsia="zh-CN"/>
        </w:rPr>
        <w:t>2</w:t>
      </w:r>
      <w:r>
        <w:t>的危废暂存间对废机油和废活性炭进行收集并单独存放。堆放时宜按危废种类分类堆放。对危险废物进行密闭包装。危险废物临时储存场所可设置在原料库，可以达到防风、防雨、防晒、防渗漏的要求。放置危险废物收集箱的硬化地面应没有裂缝，保证危险废物暂存场地的渗透系数应≤10</w:t>
      </w:r>
      <w:r>
        <w:rPr>
          <w:vertAlign w:val="superscript"/>
        </w:rPr>
        <w:t>-10</w:t>
      </w:r>
      <w:r>
        <w:t>cm/s。无法装入常用容器的危险废物可用防漏胶袋等盛放。盛装危险废物的容器上必须粘贴符合《危险废物贮存污染控制标准》（GB18597-2001）附录A所示的标签。项目危险废物贮存场所（设施）基本情况表见表</w:t>
      </w:r>
      <w:r>
        <w:rPr>
          <w:rFonts w:hint="eastAsia"/>
          <w:lang w:val="en-US" w:eastAsia="zh-CN"/>
        </w:rPr>
        <w:t>7.2-9</w:t>
      </w:r>
      <w:r>
        <w:t>。</w:t>
      </w:r>
    </w:p>
    <w:p>
      <w:pPr>
        <w:pStyle w:val="14"/>
        <w:spacing w:line="240" w:lineRule="auto"/>
        <w:ind w:firstLine="482" w:firstLineChars="200"/>
        <w:jc w:val="center"/>
        <w:rPr>
          <w:rFonts w:ascii="Times New Roman" w:hAnsi="Times New Roman" w:eastAsia="宋体" w:cstheme="minorBidi"/>
          <w:b/>
          <w:bCs/>
          <w:kern w:val="2"/>
          <w:sz w:val="24"/>
          <w:szCs w:val="24"/>
          <w:lang w:val="en-US" w:eastAsia="zh-CN" w:bidi="ar-SA"/>
        </w:rPr>
      </w:pPr>
      <w:r>
        <w:rPr>
          <w:rFonts w:ascii="Times New Roman" w:hAnsi="Times New Roman" w:eastAsia="宋体" w:cstheme="minorBidi"/>
          <w:b/>
          <w:bCs/>
          <w:kern w:val="2"/>
          <w:sz w:val="24"/>
          <w:szCs w:val="24"/>
          <w:lang w:val="en-US" w:eastAsia="zh-CN" w:bidi="ar-SA"/>
        </w:rPr>
        <w:t>表</w:t>
      </w:r>
      <w:r>
        <w:rPr>
          <w:rFonts w:hint="eastAsia" w:ascii="Times New Roman" w:hAnsi="Times New Roman" w:eastAsia="宋体" w:cstheme="minorBidi"/>
          <w:b/>
          <w:bCs/>
          <w:kern w:val="2"/>
          <w:sz w:val="24"/>
          <w:szCs w:val="24"/>
          <w:lang w:val="en-US" w:eastAsia="zh-CN" w:bidi="ar-SA"/>
        </w:rPr>
        <w:t>7.2-</w:t>
      </w:r>
      <w:r>
        <w:rPr>
          <w:rFonts w:hint="eastAsia" w:ascii="Times New Roman" w:hAnsi="Times New Roman" w:cstheme="minorBidi"/>
          <w:b/>
          <w:bCs/>
          <w:kern w:val="2"/>
          <w:sz w:val="24"/>
          <w:szCs w:val="24"/>
          <w:lang w:val="en-US" w:eastAsia="zh-CN" w:bidi="ar-SA"/>
        </w:rPr>
        <w:t>9</w:t>
      </w:r>
      <w:r>
        <w:rPr>
          <w:rFonts w:ascii="Times New Roman" w:hAnsi="Times New Roman" w:eastAsia="宋体" w:cstheme="minorBidi"/>
          <w:b/>
          <w:bCs/>
          <w:kern w:val="2"/>
          <w:sz w:val="24"/>
          <w:szCs w:val="24"/>
          <w:lang w:val="en-US" w:eastAsia="zh-CN" w:bidi="ar-SA"/>
        </w:rPr>
        <w:t xml:space="preserve">  建设项目危险废物贮存场所（设施）基本情况样表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69"/>
        <w:gridCol w:w="1297"/>
        <w:gridCol w:w="880"/>
        <w:gridCol w:w="1246"/>
        <w:gridCol w:w="1134"/>
        <w:gridCol w:w="709"/>
        <w:gridCol w:w="708"/>
        <w:gridCol w:w="921"/>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6" w:type="dxa"/>
            <w:noWrap w:val="0"/>
            <w:vAlign w:val="center"/>
          </w:tcPr>
          <w:p>
            <w:pPr>
              <w:pStyle w:val="30"/>
              <w:bidi w:val="0"/>
            </w:pPr>
            <w:r>
              <w:t>序号</w:t>
            </w:r>
          </w:p>
        </w:tc>
        <w:tc>
          <w:tcPr>
            <w:tcW w:w="969" w:type="dxa"/>
            <w:noWrap w:val="0"/>
            <w:vAlign w:val="center"/>
          </w:tcPr>
          <w:p>
            <w:pPr>
              <w:pStyle w:val="30"/>
              <w:bidi w:val="0"/>
            </w:pPr>
            <w:r>
              <w:t>贮存场所名称</w:t>
            </w:r>
          </w:p>
        </w:tc>
        <w:tc>
          <w:tcPr>
            <w:tcW w:w="1297" w:type="dxa"/>
            <w:noWrap w:val="0"/>
            <w:vAlign w:val="center"/>
          </w:tcPr>
          <w:p>
            <w:pPr>
              <w:pStyle w:val="30"/>
              <w:bidi w:val="0"/>
            </w:pPr>
            <w:r>
              <w:t>危险废物名称</w:t>
            </w:r>
          </w:p>
        </w:tc>
        <w:tc>
          <w:tcPr>
            <w:tcW w:w="880" w:type="dxa"/>
            <w:noWrap w:val="0"/>
            <w:vAlign w:val="center"/>
          </w:tcPr>
          <w:p>
            <w:pPr>
              <w:pStyle w:val="30"/>
              <w:bidi w:val="0"/>
            </w:pPr>
            <w:r>
              <w:t>危险废物类别</w:t>
            </w:r>
          </w:p>
        </w:tc>
        <w:tc>
          <w:tcPr>
            <w:tcW w:w="1246" w:type="dxa"/>
            <w:noWrap w:val="0"/>
            <w:vAlign w:val="center"/>
          </w:tcPr>
          <w:p>
            <w:pPr>
              <w:pStyle w:val="30"/>
              <w:bidi w:val="0"/>
            </w:pPr>
            <w:r>
              <w:t>危险废物代码</w:t>
            </w:r>
          </w:p>
        </w:tc>
        <w:tc>
          <w:tcPr>
            <w:tcW w:w="1134" w:type="dxa"/>
            <w:noWrap w:val="0"/>
            <w:vAlign w:val="center"/>
          </w:tcPr>
          <w:p>
            <w:pPr>
              <w:pStyle w:val="30"/>
              <w:bidi w:val="0"/>
            </w:pPr>
            <w:r>
              <w:t>位置</w:t>
            </w:r>
          </w:p>
        </w:tc>
        <w:tc>
          <w:tcPr>
            <w:tcW w:w="709" w:type="dxa"/>
            <w:noWrap w:val="0"/>
            <w:vAlign w:val="center"/>
          </w:tcPr>
          <w:p>
            <w:pPr>
              <w:pStyle w:val="30"/>
              <w:bidi w:val="0"/>
            </w:pPr>
            <w:r>
              <w:t>占地面积</w:t>
            </w:r>
          </w:p>
        </w:tc>
        <w:tc>
          <w:tcPr>
            <w:tcW w:w="708" w:type="dxa"/>
            <w:noWrap w:val="0"/>
            <w:vAlign w:val="center"/>
          </w:tcPr>
          <w:p>
            <w:pPr>
              <w:pStyle w:val="30"/>
              <w:bidi w:val="0"/>
            </w:pPr>
            <w:r>
              <w:t>贮存方式</w:t>
            </w:r>
          </w:p>
        </w:tc>
        <w:tc>
          <w:tcPr>
            <w:tcW w:w="921" w:type="dxa"/>
            <w:noWrap w:val="0"/>
            <w:vAlign w:val="center"/>
          </w:tcPr>
          <w:p>
            <w:pPr>
              <w:pStyle w:val="30"/>
              <w:bidi w:val="0"/>
            </w:pPr>
            <w:r>
              <w:t>贮存</w:t>
            </w:r>
          </w:p>
          <w:p>
            <w:pPr>
              <w:pStyle w:val="30"/>
              <w:bidi w:val="0"/>
            </w:pPr>
            <w:r>
              <w:t>能力</w:t>
            </w:r>
          </w:p>
        </w:tc>
        <w:tc>
          <w:tcPr>
            <w:tcW w:w="888" w:type="dxa"/>
            <w:noWrap w:val="0"/>
            <w:vAlign w:val="center"/>
          </w:tcPr>
          <w:p>
            <w:pPr>
              <w:pStyle w:val="30"/>
              <w:bidi w:val="0"/>
            </w:pPr>
            <w:r>
              <w:t>贮存</w:t>
            </w:r>
          </w:p>
          <w:p>
            <w:pPr>
              <w:pStyle w:val="30"/>
              <w:bidi w:val="0"/>
            </w:pPr>
            <w: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6" w:type="dxa"/>
            <w:noWrap w:val="0"/>
            <w:vAlign w:val="center"/>
          </w:tcPr>
          <w:p>
            <w:pPr>
              <w:pStyle w:val="30"/>
              <w:bidi w:val="0"/>
            </w:pPr>
            <w:r>
              <w:t>1</w:t>
            </w:r>
          </w:p>
        </w:tc>
        <w:tc>
          <w:tcPr>
            <w:tcW w:w="969" w:type="dxa"/>
            <w:vMerge w:val="restart"/>
            <w:noWrap w:val="0"/>
            <w:vAlign w:val="center"/>
          </w:tcPr>
          <w:p>
            <w:pPr>
              <w:pStyle w:val="30"/>
              <w:bidi w:val="0"/>
            </w:pPr>
            <w:r>
              <w:t>危废暂存间</w:t>
            </w:r>
          </w:p>
        </w:tc>
        <w:tc>
          <w:tcPr>
            <w:tcW w:w="1297" w:type="dxa"/>
            <w:noWrap w:val="0"/>
            <w:vAlign w:val="center"/>
          </w:tcPr>
          <w:p>
            <w:pPr>
              <w:pStyle w:val="30"/>
              <w:bidi w:val="0"/>
            </w:pPr>
            <w:r>
              <w:t>废活性炭</w:t>
            </w:r>
          </w:p>
        </w:tc>
        <w:tc>
          <w:tcPr>
            <w:tcW w:w="880" w:type="dxa"/>
            <w:noWrap w:val="0"/>
            <w:vAlign w:val="center"/>
          </w:tcPr>
          <w:p>
            <w:pPr>
              <w:pStyle w:val="30"/>
              <w:bidi w:val="0"/>
            </w:pPr>
            <w:r>
              <w:t>HW49</w:t>
            </w:r>
          </w:p>
        </w:tc>
        <w:tc>
          <w:tcPr>
            <w:tcW w:w="1246" w:type="dxa"/>
            <w:noWrap w:val="0"/>
            <w:vAlign w:val="center"/>
          </w:tcPr>
          <w:p>
            <w:pPr>
              <w:pStyle w:val="30"/>
              <w:bidi w:val="0"/>
            </w:pPr>
            <w:r>
              <w:t>900-039-49</w:t>
            </w:r>
          </w:p>
        </w:tc>
        <w:tc>
          <w:tcPr>
            <w:tcW w:w="1134" w:type="dxa"/>
            <w:vMerge w:val="restart"/>
            <w:noWrap w:val="0"/>
            <w:vAlign w:val="center"/>
          </w:tcPr>
          <w:p>
            <w:pPr>
              <w:pStyle w:val="30"/>
              <w:bidi w:val="0"/>
            </w:pPr>
            <w:r>
              <w:rPr>
                <w:rFonts w:hint="eastAsia"/>
                <w:lang w:eastAsia="zh-CN"/>
              </w:rPr>
              <w:t>厂区西北</w:t>
            </w:r>
            <w:r>
              <w:t>角</w:t>
            </w:r>
          </w:p>
        </w:tc>
        <w:tc>
          <w:tcPr>
            <w:tcW w:w="709" w:type="dxa"/>
            <w:vMerge w:val="restart"/>
            <w:noWrap w:val="0"/>
            <w:vAlign w:val="center"/>
          </w:tcPr>
          <w:p>
            <w:pPr>
              <w:pStyle w:val="30"/>
              <w:bidi w:val="0"/>
            </w:pPr>
            <w:r>
              <w:rPr>
                <w:rFonts w:hint="eastAsia"/>
                <w:lang w:val="en-US" w:eastAsia="zh-CN"/>
              </w:rPr>
              <w:t>10</w:t>
            </w:r>
            <w:r>
              <w:t>m</w:t>
            </w:r>
            <w:r>
              <w:rPr>
                <w:vertAlign w:val="superscript"/>
              </w:rPr>
              <w:t>2</w:t>
            </w:r>
          </w:p>
        </w:tc>
        <w:tc>
          <w:tcPr>
            <w:tcW w:w="708" w:type="dxa"/>
            <w:vMerge w:val="restart"/>
            <w:noWrap w:val="0"/>
            <w:vAlign w:val="center"/>
          </w:tcPr>
          <w:p>
            <w:pPr>
              <w:pStyle w:val="30"/>
              <w:bidi w:val="0"/>
            </w:pPr>
            <w:r>
              <w:t>专用容器</w:t>
            </w:r>
          </w:p>
        </w:tc>
        <w:tc>
          <w:tcPr>
            <w:tcW w:w="921" w:type="dxa"/>
            <w:noWrap w:val="0"/>
            <w:vAlign w:val="center"/>
          </w:tcPr>
          <w:p>
            <w:pPr>
              <w:pStyle w:val="30"/>
              <w:bidi w:val="0"/>
            </w:pPr>
            <w:r>
              <w:rPr>
                <w:rFonts w:hint="eastAsia"/>
                <w:lang w:val="en-US" w:eastAsia="zh-CN"/>
              </w:rPr>
              <w:t>3.06</w:t>
            </w:r>
            <w:r>
              <w:t>t</w:t>
            </w:r>
          </w:p>
        </w:tc>
        <w:tc>
          <w:tcPr>
            <w:tcW w:w="888" w:type="dxa"/>
            <w:vMerge w:val="restart"/>
            <w:noWrap w:val="0"/>
            <w:vAlign w:val="center"/>
          </w:tcPr>
          <w:p>
            <w:pPr>
              <w:pStyle w:val="30"/>
              <w:bidi w:val="0"/>
            </w:pPr>
            <w: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6" w:type="dxa"/>
            <w:noWrap w:val="0"/>
            <w:vAlign w:val="center"/>
          </w:tcPr>
          <w:p>
            <w:pPr>
              <w:pStyle w:val="30"/>
              <w:bidi w:val="0"/>
            </w:pPr>
            <w:r>
              <w:t>2</w:t>
            </w:r>
          </w:p>
        </w:tc>
        <w:tc>
          <w:tcPr>
            <w:tcW w:w="969" w:type="dxa"/>
            <w:vMerge w:val="continue"/>
            <w:noWrap w:val="0"/>
            <w:vAlign w:val="center"/>
          </w:tcPr>
          <w:p>
            <w:pPr>
              <w:pStyle w:val="30"/>
              <w:bidi w:val="0"/>
            </w:pPr>
          </w:p>
        </w:tc>
        <w:tc>
          <w:tcPr>
            <w:tcW w:w="1297" w:type="dxa"/>
            <w:noWrap w:val="0"/>
            <w:vAlign w:val="center"/>
          </w:tcPr>
          <w:p>
            <w:pPr>
              <w:pStyle w:val="30"/>
              <w:bidi w:val="0"/>
            </w:pPr>
            <w:r>
              <w:t>废机油</w:t>
            </w:r>
          </w:p>
        </w:tc>
        <w:tc>
          <w:tcPr>
            <w:tcW w:w="880" w:type="dxa"/>
            <w:noWrap w:val="0"/>
            <w:vAlign w:val="center"/>
          </w:tcPr>
          <w:p>
            <w:pPr>
              <w:pStyle w:val="30"/>
              <w:bidi w:val="0"/>
            </w:pPr>
            <w:r>
              <w:t>HW08</w:t>
            </w:r>
          </w:p>
        </w:tc>
        <w:tc>
          <w:tcPr>
            <w:tcW w:w="1246" w:type="dxa"/>
            <w:noWrap w:val="0"/>
            <w:vAlign w:val="center"/>
          </w:tcPr>
          <w:p>
            <w:pPr>
              <w:pStyle w:val="30"/>
              <w:bidi w:val="0"/>
            </w:pPr>
            <w:r>
              <w:t>900-214-08</w:t>
            </w:r>
          </w:p>
        </w:tc>
        <w:tc>
          <w:tcPr>
            <w:tcW w:w="1134" w:type="dxa"/>
            <w:vMerge w:val="continue"/>
            <w:noWrap w:val="0"/>
            <w:vAlign w:val="center"/>
          </w:tcPr>
          <w:p>
            <w:pPr>
              <w:pStyle w:val="30"/>
              <w:bidi w:val="0"/>
            </w:pPr>
          </w:p>
        </w:tc>
        <w:tc>
          <w:tcPr>
            <w:tcW w:w="709" w:type="dxa"/>
            <w:vMerge w:val="continue"/>
            <w:noWrap w:val="0"/>
            <w:vAlign w:val="center"/>
          </w:tcPr>
          <w:p>
            <w:pPr>
              <w:pStyle w:val="30"/>
              <w:bidi w:val="0"/>
            </w:pPr>
          </w:p>
        </w:tc>
        <w:tc>
          <w:tcPr>
            <w:tcW w:w="708" w:type="dxa"/>
            <w:vMerge w:val="continue"/>
            <w:noWrap w:val="0"/>
            <w:vAlign w:val="center"/>
          </w:tcPr>
          <w:p>
            <w:pPr>
              <w:pStyle w:val="30"/>
              <w:bidi w:val="0"/>
            </w:pPr>
          </w:p>
        </w:tc>
        <w:tc>
          <w:tcPr>
            <w:tcW w:w="921" w:type="dxa"/>
            <w:noWrap w:val="0"/>
            <w:vAlign w:val="center"/>
          </w:tcPr>
          <w:p>
            <w:pPr>
              <w:pStyle w:val="30"/>
              <w:bidi w:val="0"/>
            </w:pPr>
            <w:r>
              <w:t>0.0</w:t>
            </w:r>
            <w:r>
              <w:rPr>
                <w:rFonts w:hint="eastAsia"/>
                <w:lang w:val="en-US" w:eastAsia="zh-CN"/>
              </w:rPr>
              <w:t>1</w:t>
            </w:r>
            <w:r>
              <w:t>t</w:t>
            </w:r>
          </w:p>
        </w:tc>
        <w:tc>
          <w:tcPr>
            <w:tcW w:w="888" w:type="dxa"/>
            <w:vMerge w:val="continue"/>
            <w:noWrap w:val="0"/>
            <w:vAlign w:val="center"/>
          </w:tcPr>
          <w:p>
            <w:pPr>
              <w:pStyle w:val="3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36" w:type="dxa"/>
            <w:noWrap w:val="0"/>
            <w:vAlign w:val="center"/>
          </w:tcPr>
          <w:p>
            <w:pPr>
              <w:pStyle w:val="30"/>
              <w:bidi w:val="0"/>
              <w:rPr>
                <w:rFonts w:hint="eastAsia" w:eastAsia="宋体"/>
                <w:lang w:val="en-US" w:eastAsia="zh-CN"/>
              </w:rPr>
            </w:pPr>
            <w:r>
              <w:rPr>
                <w:rFonts w:hint="eastAsia"/>
                <w:lang w:val="en-US" w:eastAsia="zh-CN"/>
              </w:rPr>
              <w:t>3</w:t>
            </w:r>
          </w:p>
        </w:tc>
        <w:tc>
          <w:tcPr>
            <w:tcW w:w="969" w:type="dxa"/>
            <w:vMerge w:val="continue"/>
            <w:noWrap w:val="0"/>
            <w:vAlign w:val="center"/>
          </w:tcPr>
          <w:p>
            <w:pPr>
              <w:pStyle w:val="30"/>
              <w:bidi w:val="0"/>
            </w:pPr>
          </w:p>
        </w:tc>
        <w:tc>
          <w:tcPr>
            <w:tcW w:w="1297" w:type="dxa"/>
            <w:noWrap w:val="0"/>
            <w:vAlign w:val="center"/>
          </w:tcPr>
          <w:p>
            <w:pPr>
              <w:pStyle w:val="30"/>
              <w:bidi w:val="0"/>
            </w:pPr>
            <w:r>
              <w:rPr>
                <w:rFonts w:hint="eastAsia"/>
                <w:lang w:val="en-US" w:eastAsia="zh-CN"/>
              </w:rPr>
              <w:t>喷淋塔漂浮物及沉渣</w:t>
            </w:r>
          </w:p>
        </w:tc>
        <w:tc>
          <w:tcPr>
            <w:tcW w:w="880" w:type="dxa"/>
            <w:noWrap w:val="0"/>
            <w:vAlign w:val="center"/>
          </w:tcPr>
          <w:p>
            <w:pPr>
              <w:pStyle w:val="30"/>
              <w:bidi w:val="0"/>
              <w:ind w:firstLine="0" w:firstLineChars="0"/>
            </w:pPr>
            <w:r>
              <w:t>HW49</w:t>
            </w:r>
          </w:p>
        </w:tc>
        <w:tc>
          <w:tcPr>
            <w:tcW w:w="1246" w:type="dxa"/>
            <w:noWrap w:val="0"/>
            <w:vAlign w:val="center"/>
          </w:tcPr>
          <w:p>
            <w:pPr>
              <w:pStyle w:val="30"/>
              <w:bidi w:val="0"/>
              <w:ind w:firstLine="0" w:firstLineChars="0"/>
            </w:pPr>
            <w:r>
              <w:rPr>
                <w:rFonts w:hint="default"/>
                <w:lang w:val="en-US" w:eastAsia="zh-CN"/>
              </w:rPr>
              <w:t>772-006-49</w:t>
            </w:r>
          </w:p>
        </w:tc>
        <w:tc>
          <w:tcPr>
            <w:tcW w:w="1134" w:type="dxa"/>
            <w:vMerge w:val="continue"/>
            <w:noWrap w:val="0"/>
            <w:vAlign w:val="center"/>
          </w:tcPr>
          <w:p>
            <w:pPr>
              <w:pStyle w:val="30"/>
              <w:bidi w:val="0"/>
            </w:pPr>
          </w:p>
        </w:tc>
        <w:tc>
          <w:tcPr>
            <w:tcW w:w="709" w:type="dxa"/>
            <w:vMerge w:val="continue"/>
            <w:noWrap w:val="0"/>
            <w:vAlign w:val="center"/>
          </w:tcPr>
          <w:p>
            <w:pPr>
              <w:pStyle w:val="30"/>
              <w:bidi w:val="0"/>
            </w:pPr>
          </w:p>
        </w:tc>
        <w:tc>
          <w:tcPr>
            <w:tcW w:w="708" w:type="dxa"/>
            <w:vMerge w:val="continue"/>
            <w:noWrap w:val="0"/>
            <w:vAlign w:val="center"/>
          </w:tcPr>
          <w:p>
            <w:pPr>
              <w:pStyle w:val="30"/>
              <w:bidi w:val="0"/>
            </w:pPr>
          </w:p>
        </w:tc>
        <w:tc>
          <w:tcPr>
            <w:tcW w:w="921" w:type="dxa"/>
            <w:noWrap w:val="0"/>
            <w:vAlign w:val="center"/>
          </w:tcPr>
          <w:p>
            <w:pPr>
              <w:pStyle w:val="30"/>
              <w:bidi w:val="0"/>
              <w:rPr>
                <w:rFonts w:hint="default" w:eastAsia="宋体"/>
                <w:lang w:val="en-US" w:eastAsia="zh-CN"/>
              </w:rPr>
            </w:pPr>
            <w:r>
              <w:rPr>
                <w:rFonts w:hint="eastAsia"/>
                <w:lang w:val="en-US" w:eastAsia="zh-CN"/>
              </w:rPr>
              <w:t>0.14</w:t>
            </w:r>
          </w:p>
        </w:tc>
        <w:tc>
          <w:tcPr>
            <w:tcW w:w="888" w:type="dxa"/>
            <w:vMerge w:val="continue"/>
            <w:noWrap w:val="0"/>
            <w:vAlign w:val="center"/>
          </w:tcPr>
          <w:p>
            <w:pPr>
              <w:pStyle w:val="30"/>
              <w:bidi w:val="0"/>
            </w:pPr>
          </w:p>
        </w:tc>
      </w:tr>
    </w:tbl>
    <w:p>
      <w:pPr>
        <w:pStyle w:val="14"/>
        <w:ind w:firstLine="480" w:firstLine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t>危险废物贮存容器应满足以下要求：应当使用符合标准的容器盛装危险废物；装载危险废物的容器及材质要满足相应的强度要求；装载危险废物的容器必须完好无损；盛装危险废物的容器材质和衬里要与危险废物相容（不相互反应）。危险废物设专人管理，根据贮存情况定期清运。危险废物的转运应严格按照《危险废物转移联单管理办法》（国家环境保护总局令第5号）有关规定执行。</w:t>
      </w:r>
    </w:p>
    <w:p>
      <w:pPr>
        <w:pStyle w:val="34"/>
        <w:spacing w:line="360" w:lineRule="auto"/>
        <w:jc w:val="both"/>
        <w:rPr>
          <w:rFonts w:ascii="Times New Roman" w:hAnsi="Times New Roman" w:eastAsia="宋体"/>
          <w:color w:val="auto"/>
          <w:sz w:val="24"/>
          <w:szCs w:val="24"/>
          <w:u w:val="single"/>
          <w:lang w:val="zh-CN"/>
        </w:rPr>
      </w:pPr>
      <w:r>
        <w:rPr>
          <w:rFonts w:hint="eastAsia" w:ascii="Times New Roman" w:hAnsi="Times New Roman" w:eastAsia="宋体"/>
          <w:color w:val="auto"/>
          <w:sz w:val="24"/>
          <w:szCs w:val="24"/>
          <w:u w:val="single"/>
          <w:lang w:val="zh-CN"/>
        </w:rPr>
        <w:t>根据国家环保总局和</w:t>
      </w:r>
      <w:r>
        <w:rPr>
          <w:rFonts w:hint="eastAsia" w:ascii="Times New Roman" w:hAnsi="Times New Roman" w:eastAsia="宋体"/>
          <w:color w:val="auto"/>
          <w:sz w:val="24"/>
          <w:szCs w:val="24"/>
          <w:u w:val="single"/>
        </w:rPr>
        <w:t>河南</w:t>
      </w:r>
      <w:r>
        <w:rPr>
          <w:rFonts w:hint="eastAsia" w:ascii="Times New Roman" w:hAnsi="Times New Roman" w:eastAsia="宋体"/>
          <w:color w:val="auto"/>
          <w:sz w:val="24"/>
          <w:szCs w:val="24"/>
          <w:u w:val="single"/>
          <w:lang w:val="zh-CN"/>
        </w:rPr>
        <w:t>省环保厅对排污口规范化整治的要求，建设单位</w:t>
      </w:r>
      <w:r>
        <w:rPr>
          <w:rFonts w:hint="eastAsia"/>
          <w:color w:val="auto"/>
          <w:sz w:val="24"/>
          <w:szCs w:val="24"/>
          <w:u w:val="single"/>
          <w:lang w:val="zh-CN"/>
        </w:rPr>
        <w:t>一般固废暂存间</w:t>
      </w:r>
      <w:r>
        <w:rPr>
          <w:rFonts w:hint="eastAsia" w:ascii="Times New Roman" w:hAnsi="Times New Roman" w:eastAsia="宋体"/>
          <w:color w:val="auto"/>
          <w:sz w:val="24"/>
          <w:szCs w:val="24"/>
          <w:u w:val="single"/>
          <w:lang w:val="zh-CN"/>
        </w:rPr>
        <w:t>按照《环境保护图形标志—固体废物贮存（处置）场》（GB15562.2-1995）</w:t>
      </w:r>
      <w:r>
        <w:rPr>
          <w:rFonts w:hint="eastAsia"/>
          <w:color w:val="auto"/>
          <w:sz w:val="24"/>
          <w:szCs w:val="24"/>
          <w:u w:val="single"/>
          <w:lang w:val="zh-CN"/>
        </w:rPr>
        <w:t>设置</w:t>
      </w:r>
      <w:r>
        <w:rPr>
          <w:rFonts w:hint="eastAsia" w:ascii="Times New Roman" w:hAnsi="Times New Roman" w:eastAsia="宋体"/>
          <w:color w:val="auto"/>
          <w:sz w:val="24"/>
          <w:szCs w:val="24"/>
          <w:u w:val="single"/>
          <w:lang w:val="zh-CN"/>
        </w:rPr>
        <w:t>环境保护图形标志、</w:t>
      </w:r>
      <w:r>
        <w:rPr>
          <w:rFonts w:hint="eastAsia"/>
          <w:color w:val="auto"/>
          <w:sz w:val="24"/>
          <w:szCs w:val="24"/>
          <w:u w:val="single"/>
          <w:lang w:val="zh-CN"/>
        </w:rPr>
        <w:t>危险固废暂存间按照</w:t>
      </w:r>
      <w:r>
        <w:rPr>
          <w:rFonts w:hint="eastAsia" w:ascii="Times New Roman" w:hAnsi="Times New Roman" w:eastAsia="宋体"/>
          <w:color w:val="auto"/>
          <w:sz w:val="24"/>
          <w:szCs w:val="24"/>
          <w:u w:val="single"/>
          <w:lang w:val="zh-CN"/>
        </w:rPr>
        <w:t>《建设项目危险废物环境影响评价指南》2017年第43号设置环境保护图形标志，具体要求见表</w:t>
      </w:r>
      <w:r>
        <w:rPr>
          <w:rFonts w:hint="eastAsia" w:ascii="Times New Roman" w:hAnsi="Times New Roman"/>
          <w:color w:val="auto"/>
          <w:sz w:val="24"/>
          <w:szCs w:val="24"/>
          <w:u w:val="single"/>
          <w:lang w:val="en-US" w:eastAsia="zh-CN"/>
        </w:rPr>
        <w:t>7.2-</w:t>
      </w:r>
      <w:r>
        <w:rPr>
          <w:rFonts w:hint="eastAsia"/>
          <w:color w:val="auto"/>
          <w:sz w:val="24"/>
          <w:szCs w:val="24"/>
          <w:u w:val="single"/>
          <w:lang w:val="en-US" w:eastAsia="zh-CN"/>
        </w:rPr>
        <w:t>10</w:t>
      </w:r>
      <w:r>
        <w:rPr>
          <w:rFonts w:hint="eastAsia" w:ascii="Times New Roman" w:hAnsi="Times New Roman" w:eastAsia="宋体"/>
          <w:color w:val="auto"/>
          <w:sz w:val="24"/>
          <w:szCs w:val="24"/>
          <w:u w:val="single"/>
          <w:lang w:val="zh-CN"/>
        </w:rPr>
        <w:t>。</w:t>
      </w:r>
    </w:p>
    <w:p>
      <w:pPr>
        <w:pStyle w:val="44"/>
        <w:spacing w:line="360" w:lineRule="auto"/>
        <w:jc w:val="center"/>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表</w:t>
      </w:r>
      <w:r>
        <w:rPr>
          <w:rFonts w:hint="eastAsia" w:ascii="Times New Roman" w:hAnsi="Times New Roman" w:eastAsia="宋体"/>
          <w:b/>
          <w:bCs/>
          <w:color w:val="auto"/>
          <w:sz w:val="24"/>
          <w:szCs w:val="24"/>
          <w:lang w:val="en-US" w:eastAsia="zh-CN"/>
        </w:rPr>
        <w:t>7.2-</w:t>
      </w:r>
      <w:r>
        <w:rPr>
          <w:rFonts w:hint="eastAsia" w:eastAsia="宋体"/>
          <w:b/>
          <w:bCs/>
          <w:color w:val="auto"/>
          <w:sz w:val="24"/>
          <w:szCs w:val="24"/>
          <w:lang w:val="en-US" w:eastAsia="zh-CN"/>
        </w:rPr>
        <w:t>10</w:t>
      </w:r>
      <w:r>
        <w:rPr>
          <w:rFonts w:hint="eastAsia" w:ascii="Times New Roman" w:hAnsi="Times New Roman" w:eastAsia="宋体"/>
          <w:b/>
          <w:bCs/>
          <w:color w:val="auto"/>
          <w:sz w:val="24"/>
          <w:szCs w:val="24"/>
        </w:rPr>
        <w:t xml:space="preserve">  各排污口及固废暂存场所环境保护图形标志一览表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60"/>
        <w:gridCol w:w="1360"/>
        <w:gridCol w:w="1210"/>
        <w:gridCol w:w="1210"/>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排放口名称</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图形标志</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形状</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背景颜色</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图形颜色</w:t>
            </w:r>
          </w:p>
        </w:tc>
        <w:tc>
          <w:tcPr>
            <w:tcW w:w="27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提示图形符号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13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一般固废暂存场所</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提示标志</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正方形边框</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绿色</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白色</w:t>
            </w:r>
          </w:p>
        </w:tc>
        <w:tc>
          <w:tcPr>
            <w:tcW w:w="27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drawing>
                <wp:anchor distT="0" distB="0" distL="114300" distR="114300" simplePos="0" relativeHeight="251662336" behindDoc="0" locked="0" layoutInCell="1" allowOverlap="1">
                  <wp:simplePos x="0" y="0"/>
                  <wp:positionH relativeFrom="column">
                    <wp:posOffset>292100</wp:posOffset>
                  </wp:positionH>
                  <wp:positionV relativeFrom="paragraph">
                    <wp:posOffset>57785</wp:posOffset>
                  </wp:positionV>
                  <wp:extent cx="848995" cy="768985"/>
                  <wp:effectExtent l="0" t="0" r="8255" b="12065"/>
                  <wp:wrapNone/>
                  <wp:docPr id="32" name="图片 28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2" descr="timg"/>
                          <pic:cNvPicPr>
                            <a:picLocks noChangeAspect="1"/>
                          </pic:cNvPicPr>
                        </pic:nvPicPr>
                        <pic:blipFill>
                          <a:blip r:embed="rId68"/>
                          <a:srcRect l="26401" t="15720" r="26602" b="41718"/>
                          <a:stretch>
                            <a:fillRect/>
                          </a:stretch>
                        </pic:blipFill>
                        <pic:spPr>
                          <a:xfrm>
                            <a:off x="0" y="0"/>
                            <a:ext cx="848995" cy="768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危险固废暂存场所</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警告标志</w:t>
            </w:r>
          </w:p>
        </w:tc>
        <w:tc>
          <w:tcPr>
            <w:tcW w:w="136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三角形边框</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黄色</w:t>
            </w:r>
          </w:p>
        </w:tc>
        <w:tc>
          <w:tcPr>
            <w:tcW w:w="121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ascii="Times New Roman" w:hAnsi="Times New Roman" w:eastAsia="宋体"/>
                <w:b w:val="0"/>
                <w:bCs w:val="0"/>
                <w:sz w:val="21"/>
                <w:szCs w:val="21"/>
              </w:rPr>
            </w:pPr>
            <w:r>
              <w:rPr>
                <w:rFonts w:hint="eastAsia" w:ascii="Times New Roman" w:hAnsi="Times New Roman" w:eastAsia="宋体"/>
                <w:b w:val="0"/>
                <w:bCs w:val="0"/>
                <w:sz w:val="21"/>
                <w:szCs w:val="21"/>
              </w:rPr>
              <w:t>黑色</w:t>
            </w:r>
          </w:p>
        </w:tc>
        <w:tc>
          <w:tcPr>
            <w:tcW w:w="27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b w:val="0"/>
                <w:bCs w:val="0"/>
                <w:sz w:val="21"/>
                <w:szCs w:val="21"/>
              </w:rPr>
            </w:pPr>
            <w:r>
              <w:rPr>
                <w:b w:val="0"/>
                <w:bCs w:val="0"/>
                <w:sz w:val="21"/>
                <w:szCs w:val="21"/>
              </w:rPr>
              <w:drawing>
                <wp:anchor distT="0" distB="0" distL="114300" distR="114300" simplePos="0" relativeHeight="251663360" behindDoc="0" locked="0" layoutInCell="1" allowOverlap="1">
                  <wp:simplePos x="0" y="0"/>
                  <wp:positionH relativeFrom="column">
                    <wp:posOffset>182245</wp:posOffset>
                  </wp:positionH>
                  <wp:positionV relativeFrom="paragraph">
                    <wp:posOffset>38100</wp:posOffset>
                  </wp:positionV>
                  <wp:extent cx="998855" cy="651510"/>
                  <wp:effectExtent l="0" t="0" r="10795" b="15240"/>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9"/>
                          <a:stretch>
                            <a:fillRect/>
                          </a:stretch>
                        </pic:blipFill>
                        <pic:spPr>
                          <a:xfrm>
                            <a:off x="0" y="0"/>
                            <a:ext cx="998855" cy="6515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eastAsia"/>
                <w:b w:val="0"/>
                <w:bCs w:val="0"/>
                <w:sz w:val="21"/>
                <w:szCs w:val="21"/>
              </w:rPr>
            </w:pPr>
          </w:p>
          <w:p>
            <w:pPr>
              <w:keepNext w:val="0"/>
              <w:keepLines w:val="0"/>
              <w:pageBreakBefore w:val="0"/>
              <w:widowControl w:val="0"/>
              <w:kinsoku/>
              <w:wordWrap/>
              <w:overflowPunct/>
              <w:topLinePunct w:val="0"/>
              <w:autoSpaceDE w:val="0"/>
              <w:autoSpaceDN w:val="0"/>
              <w:bidi w:val="0"/>
              <w:snapToGrid/>
              <w:spacing w:line="240" w:lineRule="auto"/>
              <w:ind w:firstLine="0" w:firstLineChars="0"/>
              <w:jc w:val="both"/>
              <w:textAlignment w:val="auto"/>
              <w:rPr>
                <w:rFonts w:hint="eastAsia"/>
                <w:b w:val="0"/>
                <w:bCs w:val="0"/>
                <w:sz w:val="21"/>
                <w:szCs w:val="21"/>
              </w:rPr>
            </w:pPr>
          </w:p>
          <w:p>
            <w:pPr>
              <w:pStyle w:val="29"/>
              <w:keepNext w:val="0"/>
              <w:keepLines w:val="0"/>
              <w:pageBreakBefore w:val="0"/>
              <w:widowControl w:val="0"/>
              <w:kinsoku/>
              <w:wordWrap/>
              <w:overflowPunct/>
              <w:topLinePunct w:val="0"/>
              <w:autoSpaceDE w:val="0"/>
              <w:autoSpaceDN w:val="0"/>
              <w:bidi w:val="0"/>
              <w:snapToGrid/>
              <w:spacing w:line="240" w:lineRule="auto"/>
              <w:ind w:firstLine="0" w:firstLineChars="0"/>
              <w:textAlignment w:val="auto"/>
              <w:rPr>
                <w:rFonts w:hint="eastAsia"/>
                <w:b w:val="0"/>
                <w:bCs w:val="0"/>
                <w:sz w:val="21"/>
                <w:szCs w:val="21"/>
              </w:rPr>
            </w:pPr>
          </w:p>
        </w:tc>
      </w:tr>
    </w:tbl>
    <w:p>
      <w:pPr>
        <w:pStyle w:val="34"/>
        <w:spacing w:line="360" w:lineRule="auto"/>
        <w:jc w:val="both"/>
        <w:rPr>
          <w:rFonts w:ascii="Times New Roman" w:hAnsi="Times New Roman" w:eastAsia="宋体"/>
          <w:color w:val="auto"/>
          <w:sz w:val="24"/>
          <w:szCs w:val="24"/>
        </w:rPr>
      </w:pPr>
      <w:r>
        <w:rPr>
          <w:rFonts w:hint="eastAsia" w:ascii="Times New Roman" w:hAnsi="Times New Roman" w:eastAsia="宋体"/>
          <w:color w:val="auto"/>
          <w:sz w:val="24"/>
          <w:szCs w:val="24"/>
        </w:rPr>
        <w:t>应设置专门危险固废</w:t>
      </w:r>
      <w:r>
        <w:rPr>
          <w:rFonts w:hint="eastAsia" w:ascii="Times New Roman" w:hAnsi="Times New Roman"/>
          <w:color w:val="auto"/>
          <w:sz w:val="24"/>
          <w:szCs w:val="24"/>
          <w:lang w:eastAsia="zh-CN"/>
        </w:rPr>
        <w:t>管理部门</w:t>
      </w:r>
      <w:r>
        <w:rPr>
          <w:rFonts w:hint="eastAsia" w:ascii="Times New Roman" w:hAnsi="Times New Roman" w:eastAsia="宋体"/>
          <w:color w:val="auto"/>
          <w:sz w:val="24"/>
          <w:szCs w:val="24"/>
        </w:rPr>
        <w:t>，作为</w:t>
      </w:r>
      <w:r>
        <w:rPr>
          <w:rFonts w:hint="eastAsia" w:ascii="Times New Roman" w:hAnsi="Times New Roman"/>
          <w:color w:val="auto"/>
          <w:sz w:val="24"/>
          <w:szCs w:val="24"/>
          <w:lang w:eastAsia="zh-CN"/>
        </w:rPr>
        <w:t>院内</w:t>
      </w:r>
      <w:r>
        <w:rPr>
          <w:rFonts w:hint="eastAsia" w:ascii="Times New Roman" w:hAnsi="Times New Roman" w:eastAsia="宋体"/>
          <w:color w:val="auto"/>
          <w:sz w:val="24"/>
          <w:szCs w:val="24"/>
        </w:rPr>
        <w:t>环境管理、监测的重要组成部分，主要负责危险固废</w:t>
      </w:r>
      <w:r>
        <w:rPr>
          <w:rFonts w:hint="eastAsia" w:ascii="Times New Roman" w:hAnsi="Times New Roman"/>
          <w:color w:val="auto"/>
          <w:sz w:val="24"/>
          <w:szCs w:val="24"/>
          <w:lang w:eastAsia="zh-CN"/>
        </w:rPr>
        <w:t>物联网建设与后期管理维护</w:t>
      </w:r>
      <w:r>
        <w:rPr>
          <w:rFonts w:hint="eastAsia" w:ascii="Times New Roman" w:hAnsi="Times New Roman" w:eastAsia="宋体"/>
          <w:color w:val="auto"/>
          <w:sz w:val="24"/>
          <w:szCs w:val="24"/>
        </w:rPr>
        <w:t>，</w:t>
      </w:r>
      <w:r>
        <w:rPr>
          <w:rFonts w:hint="eastAsia" w:ascii="Times New Roman" w:hAnsi="Times New Roman"/>
          <w:color w:val="auto"/>
          <w:sz w:val="24"/>
          <w:szCs w:val="24"/>
          <w:lang w:eastAsia="zh-CN"/>
        </w:rPr>
        <w:t>建立危废管理台账，并定期保存，做到危险废物处置可追溯，实行严格管理</w:t>
      </w:r>
      <w:r>
        <w:rPr>
          <w:rFonts w:hint="eastAsia" w:ascii="Times New Roman" w:hAnsi="Times New Roman" w:eastAsia="宋体"/>
          <w:color w:val="auto"/>
          <w:sz w:val="24"/>
          <w:szCs w:val="24"/>
        </w:rPr>
        <w:t>。</w:t>
      </w:r>
    </w:p>
    <w:p>
      <w:pPr>
        <w:ind w:firstLine="480" w:firstLineChars="200"/>
        <w:rPr>
          <w:rFonts w:ascii="Times New Roman" w:hAnsi="Times New Roman" w:eastAsia="宋体" w:cstheme="minorBidi"/>
          <w:kern w:val="2"/>
          <w:sz w:val="24"/>
          <w:szCs w:val="24"/>
          <w:lang w:val="en-US" w:eastAsia="zh-CN" w:bidi="ar-SA"/>
        </w:rPr>
      </w:pPr>
      <w:r>
        <w:rPr>
          <w:rFonts w:ascii="Times New Roman" w:hAnsi="Times New Roman" w:eastAsia="宋体" w:cstheme="minorBidi"/>
          <w:kern w:val="2"/>
          <w:sz w:val="24"/>
          <w:szCs w:val="24"/>
          <w:lang w:val="en-US" w:eastAsia="zh-CN" w:bidi="ar-SA"/>
        </w:rPr>
        <w:t>综上所述，经上述方式处置后，固体废物均可以得到妥善处置，固废处置措施可行。</w:t>
      </w:r>
    </w:p>
    <w:p>
      <w:pPr>
        <w:pStyle w:val="3"/>
        <w:bidi w:val="0"/>
      </w:pPr>
      <w:bookmarkStart w:id="250" w:name="_Toc5888514"/>
      <w:bookmarkStart w:id="251" w:name="_Toc24357"/>
      <w:bookmarkStart w:id="252" w:name="_Toc4306"/>
      <w:bookmarkStart w:id="253" w:name="_Toc12701"/>
      <w:bookmarkStart w:id="254" w:name="_Toc2853"/>
      <w:r>
        <w:rPr>
          <w:rFonts w:hint="eastAsia"/>
          <w:lang w:val="en-US" w:eastAsia="zh-CN"/>
        </w:rPr>
        <w:t xml:space="preserve">7.3 </w:t>
      </w:r>
      <w:r>
        <w:t>污染防治措施及环保投资汇总</w:t>
      </w:r>
      <w:bookmarkEnd w:id="244"/>
      <w:bookmarkEnd w:id="245"/>
      <w:bookmarkEnd w:id="246"/>
      <w:bookmarkEnd w:id="250"/>
      <w:bookmarkEnd w:id="251"/>
      <w:bookmarkEnd w:id="252"/>
      <w:bookmarkEnd w:id="253"/>
      <w:bookmarkEnd w:id="254"/>
    </w:p>
    <w:p>
      <w:pPr>
        <w:bidi w:val="0"/>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lang w:val="en-US" w:eastAsia="zh-CN"/>
        </w:rPr>
        <w:t>本项目环保总投资</w:t>
      </w:r>
      <w:r>
        <w:rPr>
          <w:rFonts w:hint="eastAsia"/>
          <w:lang w:val="en-US" w:eastAsia="zh-CN"/>
        </w:rPr>
        <w:t>131</w:t>
      </w:r>
      <w:r>
        <w:rPr>
          <w:lang w:val="en-US" w:eastAsia="zh-CN"/>
        </w:rPr>
        <w:t>万元，占总投资</w:t>
      </w:r>
      <w:r>
        <w:rPr>
          <w:rFonts w:hint="eastAsia"/>
          <w:lang w:val="en-US" w:eastAsia="zh-CN"/>
        </w:rPr>
        <w:t>1500万元</w:t>
      </w:r>
      <w:r>
        <w:rPr>
          <w:lang w:val="en-US" w:eastAsia="zh-CN"/>
        </w:rPr>
        <w:t>的</w:t>
      </w:r>
      <w:r>
        <w:rPr>
          <w:rFonts w:hint="eastAsia"/>
          <w:lang w:val="en-US" w:eastAsia="zh-CN"/>
        </w:rPr>
        <w:t>8.73%</w:t>
      </w:r>
      <w:r>
        <w:rPr>
          <w:lang w:val="en-US" w:eastAsia="zh-CN"/>
        </w:rPr>
        <w:t>，主要用于废气、废水、固体废物、噪声的治理，资金来源为企业自筹。</w:t>
      </w:r>
      <w:r>
        <w:t>本项目拟采取的环保措施及投资一览表见表7.</w:t>
      </w:r>
      <w:r>
        <w:rPr>
          <w:rFonts w:hint="eastAsia"/>
          <w:lang w:val="en-US"/>
        </w:rPr>
        <w:t>3</w:t>
      </w:r>
      <w:r>
        <w:t>-1。</w:t>
      </w:r>
    </w:p>
    <w:p>
      <w:pPr>
        <w:bidi w:val="0"/>
        <w:jc w:val="center"/>
        <w:rPr>
          <w:b/>
          <w:bCs/>
        </w:rPr>
      </w:pPr>
      <w:r>
        <w:rPr>
          <w:b/>
          <w:bCs/>
        </w:rPr>
        <w:t>表</w:t>
      </w:r>
      <w:r>
        <w:rPr>
          <w:rFonts w:hint="eastAsia"/>
          <w:b/>
          <w:bCs/>
          <w:lang w:val="en-US" w:eastAsia="zh-CN"/>
        </w:rPr>
        <w:t>7.3</w:t>
      </w:r>
      <w:r>
        <w:rPr>
          <w:b/>
          <w:bCs/>
        </w:rPr>
        <w:t>-</w:t>
      </w:r>
      <w:r>
        <w:rPr>
          <w:rFonts w:hint="eastAsia"/>
          <w:b/>
          <w:bCs/>
          <w:lang w:val="en-US" w:eastAsia="zh-CN"/>
        </w:rPr>
        <w:t>1</w:t>
      </w:r>
      <w:r>
        <w:rPr>
          <w:b/>
          <w:bCs/>
        </w:rPr>
        <w:t xml:space="preserve">  污染防治措施及环保投资估算表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93"/>
        <w:gridCol w:w="3406"/>
        <w:gridCol w:w="1620"/>
        <w:gridCol w:w="5400"/>
        <w:gridCol w:w="1250"/>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49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项目</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污染物</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治理设施</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数量</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b/>
                <w:bCs/>
              </w:rPr>
            </w:pPr>
            <w:r>
              <w:rPr>
                <w:rFonts w:hint="eastAsia"/>
                <w:color w:val="000000"/>
                <w:sz w:val="21"/>
                <w:szCs w:val="21"/>
                <w:lang w:val="en-US" w:bidi="ar"/>
              </w:rPr>
              <w:t>处理效果、执行标准或拟达要求</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环保投资（万元）</w:t>
            </w:r>
          </w:p>
        </w:tc>
        <w:tc>
          <w:tcPr>
            <w:tcW w:w="753" w:type="dxa"/>
            <w:vMerge w:val="restart"/>
            <w:noWrap w:val="0"/>
            <w:vAlign w:val="center"/>
          </w:tcPr>
          <w:p>
            <w:pPr>
              <w:widowControl/>
              <w:spacing w:line="240" w:lineRule="auto"/>
              <w:ind w:firstLine="0" w:firstLineChars="0"/>
              <w:jc w:val="center"/>
              <w:rPr>
                <w:color w:val="000000"/>
                <w:sz w:val="21"/>
                <w:szCs w:val="21"/>
                <w:lang w:val="en-US" w:bidi="ar"/>
              </w:rPr>
            </w:pPr>
            <w:r>
              <w:rPr>
                <w:rFonts w:hint="eastAsia"/>
                <w:color w:val="000000"/>
                <w:sz w:val="21"/>
                <w:szCs w:val="21"/>
                <w:lang w:val="en-US" w:bidi="ar"/>
              </w:rPr>
              <w:t>完成时间</w:t>
            </w:r>
          </w:p>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color w:val="000000"/>
                <w:sz w:val="21"/>
                <w:szCs w:val="21"/>
                <w:lang w:val="en-US" w:bidi="ar"/>
              </w:rPr>
              <w:t>与建设项目同时设计，同时施工，同时投入运行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废水</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生活污水</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化粪池</w:t>
            </w:r>
          </w:p>
        </w:tc>
        <w:tc>
          <w:tcPr>
            <w:tcW w:w="162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1座，容积</w:t>
            </w:r>
            <w:r>
              <w:rPr>
                <w:rFonts w:hint="eastAsia"/>
                <w:lang w:val="en-US" w:eastAsia="zh-CN"/>
              </w:rPr>
              <w:t>80</w:t>
            </w:r>
            <w:r>
              <w:t>m</w:t>
            </w:r>
            <w:r>
              <w:rPr>
                <w:vertAlign w:val="superscript"/>
              </w:rPr>
              <w:t>3</w:t>
            </w:r>
          </w:p>
        </w:tc>
        <w:tc>
          <w:tcPr>
            <w:tcW w:w="540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1</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餐饮废水</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eastAsia="zh-CN"/>
              </w:rPr>
              <w:t>隔油池</w:t>
            </w:r>
          </w:p>
        </w:tc>
        <w:tc>
          <w:tcPr>
            <w:tcW w:w="162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清洗废水</w:t>
            </w:r>
          </w:p>
        </w:tc>
        <w:tc>
          <w:tcPr>
            <w:tcW w:w="340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沉淀+气浮+A/O+二级沉淀</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1套，容积</w:t>
            </w:r>
            <w:r>
              <w:rPr>
                <w:rFonts w:hint="eastAsia"/>
                <w:lang w:val="en-US" w:eastAsia="zh-CN"/>
              </w:rPr>
              <w:t>50</w:t>
            </w:r>
            <w:r>
              <w:t>m</w:t>
            </w:r>
            <w:r>
              <w:rPr>
                <w:vertAlign w:val="superscript"/>
              </w:rPr>
              <w:t>3</w:t>
            </w:r>
          </w:p>
        </w:tc>
        <w:tc>
          <w:tcPr>
            <w:tcW w:w="540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《城市污水再生利用 工业用水水质》（GB/T19923-2005）</w:t>
            </w: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20</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t>冷却循环水</w:t>
            </w:r>
          </w:p>
        </w:tc>
        <w:tc>
          <w:tcPr>
            <w:tcW w:w="340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废气</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粉碎废气</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u w:val="single"/>
                <w:lang w:val="en-US" w:eastAsia="zh-CN"/>
              </w:rPr>
              <w:t>粉碎工序车间内二次密闭+</w:t>
            </w:r>
            <w:r>
              <w:rPr>
                <w:rFonts w:hint="eastAsia"/>
                <w:u w:val="single"/>
                <w:lang w:eastAsia="zh-CN"/>
              </w:rPr>
              <w:t>微负压收集</w:t>
            </w:r>
            <w:r>
              <w:rPr>
                <w:rFonts w:hint="eastAsia"/>
                <w:u w:val="single"/>
                <w:lang w:val="en-US" w:eastAsia="zh-CN"/>
              </w:rPr>
              <w:t>+袋式除尘器</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1套</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color w:val="auto"/>
                <w:kern w:val="0"/>
                <w:szCs w:val="21"/>
                <w:lang w:val="en-US" w:eastAsia="zh-CN" w:bidi="ar"/>
              </w:rPr>
              <w:t>《合成树脂工业污染物排放标准》（GB31572-2015）</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val="en-US" w:eastAsia="zh-CN"/>
              </w:rPr>
              <w:t>4</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造粒废气</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u w:val="single"/>
                <w:lang w:val="en-US"/>
              </w:rPr>
            </w:pPr>
            <w:r>
              <w:rPr>
                <w:rFonts w:hint="eastAsia"/>
                <w:u w:val="single"/>
                <w:lang w:eastAsia="zh-CN"/>
              </w:rPr>
              <w:t>造粒</w:t>
            </w:r>
            <w:r>
              <w:rPr>
                <w:rFonts w:hint="eastAsia"/>
                <w:u w:val="single"/>
                <w:lang w:val="en-US" w:eastAsia="zh-CN"/>
              </w:rPr>
              <w:t>工序车间内二次密闭+</w:t>
            </w:r>
            <w:r>
              <w:rPr>
                <w:rFonts w:hint="eastAsia"/>
                <w:u w:val="single"/>
                <w:lang w:eastAsia="zh-CN"/>
              </w:rPr>
              <w:t>微负压收集</w:t>
            </w:r>
            <w:r>
              <w:rPr>
                <w:rFonts w:hint="eastAsia"/>
                <w:u w:val="single"/>
                <w:lang w:val="en-US" w:eastAsia="zh-CN"/>
              </w:rPr>
              <w:t>+吸附浓缩+催化燃烧</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u w:val="single"/>
              </w:rPr>
            </w:pPr>
            <w:r>
              <w:rPr>
                <w:rFonts w:hint="eastAsia"/>
                <w:u w:val="single"/>
                <w:lang w:val="en-US" w:eastAsia="zh-CN"/>
              </w:rPr>
              <w:t>1套</w:t>
            </w:r>
          </w:p>
        </w:tc>
        <w:tc>
          <w:tcPr>
            <w:tcW w:w="540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color w:val="auto"/>
                <w:kern w:val="0"/>
                <w:sz w:val="21"/>
                <w:szCs w:val="21"/>
                <w:u w:val="none"/>
                <w:lang w:val="en-US" w:eastAsia="zh-CN" w:bidi="ar-SA"/>
              </w:rPr>
              <w:t>《合成树脂工业污染物排放标准》、《关于全省开展工业企业挥发性有机物专项治理工作中排放建议值的通知》（豫环攻坚办〔2017〕162号）限值要求、</w:t>
            </w:r>
            <w:r>
              <w:rPr>
                <w:rFonts w:hint="eastAsia" w:ascii="Times New Roman" w:hAnsi="Times New Roman" w:eastAsia="宋体" w:cs="Times New Roman"/>
                <w:sz w:val="21"/>
                <w:szCs w:val="21"/>
                <w:lang w:val="en-US" w:eastAsia="zh-CN"/>
              </w:rPr>
              <w:t>《恶臭污染物排放标准》（GB14554-93）</w:t>
            </w: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rPr>
              <w:t>1</w:t>
            </w:r>
            <w:r>
              <w:t>5</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eastAsia="zh-CN"/>
              </w:rPr>
            </w:pP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u w:val="single"/>
                <w:lang w:eastAsia="zh-CN"/>
              </w:rPr>
            </w:pPr>
            <w:r>
              <w:rPr>
                <w:rFonts w:hint="eastAsia"/>
                <w:u w:val="single"/>
                <w:lang w:eastAsia="zh-CN"/>
              </w:rPr>
              <w:t>配套在线监测设施</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u w:val="single"/>
                <w:lang w:val="en-US" w:eastAsia="zh-CN"/>
              </w:rPr>
            </w:pPr>
            <w:r>
              <w:rPr>
                <w:rFonts w:hint="eastAsia"/>
                <w:u w:val="single"/>
                <w:lang w:val="en-US" w:eastAsia="zh-CN"/>
              </w:rPr>
              <w:t>1套</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lang w:val="en-US" w:eastAsia="zh-CN" w:bidi="ar-SA"/>
              </w:rPr>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rPr>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注塑废气</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u w:val="single"/>
              </w:rPr>
            </w:pPr>
            <w:r>
              <w:rPr>
                <w:rFonts w:hint="eastAsia"/>
                <w:u w:val="single"/>
                <w:lang w:eastAsia="zh-CN"/>
              </w:rPr>
              <w:t>注塑</w:t>
            </w:r>
            <w:r>
              <w:rPr>
                <w:rFonts w:hint="eastAsia"/>
                <w:u w:val="single"/>
                <w:lang w:val="en-US" w:eastAsia="zh-CN"/>
              </w:rPr>
              <w:t>工序车间内二次密闭+</w:t>
            </w:r>
            <w:r>
              <w:rPr>
                <w:rFonts w:hint="eastAsia"/>
                <w:u w:val="single"/>
                <w:lang w:eastAsia="zh-CN"/>
              </w:rPr>
              <w:t>微负压收集</w:t>
            </w:r>
            <w:r>
              <w:rPr>
                <w:rFonts w:hint="eastAsia"/>
                <w:u w:val="single"/>
                <w:lang w:val="en-US" w:eastAsia="zh-CN"/>
              </w:rPr>
              <w:t>+吸附浓缩+催化燃烧</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u w:val="single"/>
              </w:rPr>
            </w:pPr>
            <w:r>
              <w:rPr>
                <w:rFonts w:hint="eastAsia"/>
                <w:u w:val="single"/>
                <w:lang w:val="en-US" w:eastAsia="zh-CN"/>
              </w:rPr>
              <w:t>1套</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hint="eastAsia"/>
                <w:lang w:val="en-US" w:eastAsia="zh-CN"/>
              </w:rPr>
              <w:t>65</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eastAsia="zh-CN"/>
              </w:rPr>
            </w:pP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u w:val="single"/>
                <w:lang w:eastAsia="zh-CN"/>
              </w:rPr>
            </w:pPr>
            <w:r>
              <w:rPr>
                <w:rFonts w:hint="eastAsia"/>
                <w:u w:val="single"/>
                <w:lang w:eastAsia="zh-CN"/>
              </w:rPr>
              <w:t>配套在线监测设施</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u w:val="single"/>
                <w:lang w:val="en-US" w:eastAsia="zh-CN"/>
              </w:rPr>
            </w:pPr>
            <w:r>
              <w:rPr>
                <w:rFonts w:hint="eastAsia"/>
                <w:u w:val="single"/>
                <w:lang w:val="en-US" w:eastAsia="zh-CN"/>
              </w:rPr>
              <w:t>1套</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油烟废气</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油烟净化器</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1套</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spacing w:val="-6"/>
                <w:sz w:val="21"/>
                <w:szCs w:val="21"/>
                <w:lang w:val="en-US"/>
              </w:rPr>
              <w:t>《餐饮业油烟污染物排放标准》（</w:t>
            </w:r>
            <w:r>
              <w:rPr>
                <w:rFonts w:hint="eastAsia"/>
                <w:spacing w:val="-6"/>
                <w:sz w:val="21"/>
                <w:szCs w:val="21"/>
                <w:lang w:val="en-US" w:eastAsia="zh-CN"/>
              </w:rPr>
              <w:t>D</w:t>
            </w:r>
            <w:r>
              <w:rPr>
                <w:spacing w:val="-6"/>
                <w:sz w:val="21"/>
                <w:szCs w:val="21"/>
                <w:lang w:val="en-US"/>
              </w:rPr>
              <w:t>B</w:t>
            </w:r>
            <w:r>
              <w:rPr>
                <w:rFonts w:hint="eastAsia"/>
                <w:spacing w:val="-6"/>
                <w:sz w:val="21"/>
                <w:szCs w:val="21"/>
                <w:lang w:val="en-US"/>
              </w:rPr>
              <w:t>41/1604</w:t>
            </w:r>
            <w:r>
              <w:rPr>
                <w:spacing w:val="-6"/>
                <w:sz w:val="21"/>
                <w:szCs w:val="21"/>
                <w:lang w:val="en-US"/>
              </w:rPr>
              <w:t>-20</w:t>
            </w:r>
            <w:r>
              <w:rPr>
                <w:rFonts w:hint="eastAsia"/>
                <w:spacing w:val="-6"/>
                <w:sz w:val="21"/>
                <w:szCs w:val="21"/>
                <w:lang w:val="en-US"/>
              </w:rPr>
              <w:t>18）表1</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val="en-US" w:eastAsia="zh-CN"/>
              </w:rPr>
              <w:t>1</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污水处理站</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二级活性炭吸附</w:t>
            </w:r>
            <w:r>
              <w:t>、加盖</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sz w:val="21"/>
                <w:szCs w:val="21"/>
                <w:lang w:val="en-US" w:eastAsia="zh-CN"/>
              </w:rPr>
              <w:t>《恶臭污染物排放标准》（GB14554-93）</w:t>
            </w:r>
            <w:r>
              <w:rPr>
                <w:rFonts w:hint="eastAsia" w:cs="Times New Roman"/>
                <w:sz w:val="21"/>
                <w:szCs w:val="21"/>
                <w:lang w:val="en-US" w:eastAsia="zh-CN"/>
              </w:rPr>
              <w:t>、</w:t>
            </w:r>
            <w:r>
              <w:rPr>
                <w:rFonts w:hint="eastAsia" w:ascii="Times New Roman" w:hAnsi="Times New Roman" w:eastAsia="宋体" w:cs="Times New Roman"/>
                <w:color w:val="auto"/>
                <w:kern w:val="0"/>
                <w:sz w:val="21"/>
                <w:szCs w:val="21"/>
                <w:u w:val="none"/>
                <w:lang w:val="en-US" w:eastAsia="zh-CN" w:bidi="ar-SA"/>
              </w:rPr>
              <w:t>《关于全省开展工业企业挥发性有机物专项治理工作中排放建议值的通知》（豫环攻坚办〔2017〕162号）限值要求、</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8</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噪声</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噪声</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设备减振、隔声、软连接</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《工业企业厂界环境噪声排放标准》（</w:t>
            </w:r>
            <w:r>
              <w:rPr>
                <w:color w:val="auto"/>
                <w:szCs w:val="21"/>
                <w:u w:val="none"/>
              </w:rPr>
              <w:t>GB12348-2008</w:t>
            </w:r>
            <w:r>
              <w:rPr>
                <w:rFonts w:hAnsi="宋体"/>
                <w:color w:val="auto"/>
                <w:szCs w:val="21"/>
                <w:u w:val="none"/>
              </w:rPr>
              <w:t>）</w:t>
            </w:r>
            <w:r>
              <w:rPr>
                <w:rFonts w:hint="eastAsia"/>
                <w:color w:val="auto"/>
                <w:szCs w:val="21"/>
                <w:u w:val="none"/>
                <w:lang w:val="en-US" w:eastAsia="zh-CN"/>
              </w:rPr>
              <w:t>1</w:t>
            </w:r>
            <w:r>
              <w:rPr>
                <w:rFonts w:hAnsi="宋体"/>
                <w:color w:val="auto"/>
                <w:szCs w:val="21"/>
                <w:u w:val="none"/>
              </w:rPr>
              <w:t>类标准</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3</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固废</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分拣固废</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一般固废暂存间暂存</w:t>
            </w:r>
            <w:r>
              <w:t>，定期清运至垃圾填埋场</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《一般工业固体废物贮存、处置场污染控制标准》（</w:t>
            </w:r>
            <w:r>
              <w:rPr>
                <w:color w:val="auto"/>
                <w:szCs w:val="21"/>
                <w:u w:val="none"/>
              </w:rPr>
              <w:t>GB 18599-20</w:t>
            </w:r>
            <w:r>
              <w:rPr>
                <w:rFonts w:hint="eastAsia"/>
                <w:color w:val="auto"/>
                <w:szCs w:val="21"/>
                <w:u w:val="none"/>
                <w:lang w:val="en-US" w:eastAsia="zh-CN"/>
              </w:rPr>
              <w:t>20</w:t>
            </w:r>
            <w:r>
              <w:rPr>
                <w:rFonts w:hAnsi="宋体"/>
                <w:color w:val="auto"/>
                <w:szCs w:val="21"/>
                <w:u w:val="none"/>
              </w:rPr>
              <w:t>）</w:t>
            </w: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val="en-US" w:eastAsia="zh-CN"/>
              </w:rPr>
              <w:t>2</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废包装</w:t>
            </w:r>
          </w:p>
        </w:tc>
        <w:tc>
          <w:tcPr>
            <w:tcW w:w="340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t>一般固废暂存间暂存</w:t>
            </w:r>
            <w:r>
              <w:t>，定期</w:t>
            </w:r>
            <w:r>
              <w:rPr>
                <w:rFonts w:hint="eastAsia"/>
                <w:lang w:eastAsia="zh-CN"/>
              </w:rPr>
              <w:t>外售</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t>除尘器卸灰</w:t>
            </w:r>
          </w:p>
        </w:tc>
        <w:tc>
          <w:tcPr>
            <w:tcW w:w="340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废渣</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压滤机脱水后清运至垃圾填埋场</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废滤网</w:t>
            </w:r>
          </w:p>
        </w:tc>
        <w:tc>
          <w:tcPr>
            <w:tcW w:w="340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厂家回收</w:t>
            </w:r>
          </w:p>
        </w:tc>
        <w:tc>
          <w:tcPr>
            <w:tcW w:w="162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u w:val="single"/>
                <w:lang w:eastAsia="zh-CN"/>
              </w:rPr>
              <w:t>废催化剂</w:t>
            </w:r>
          </w:p>
        </w:tc>
        <w:tc>
          <w:tcPr>
            <w:tcW w:w="340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eastAsia="zh-CN"/>
              </w:rPr>
            </w:pPr>
          </w:p>
        </w:tc>
        <w:tc>
          <w:tcPr>
            <w:tcW w:w="162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生活垃圾</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t>垃圾收集桶</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若干</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废机油</w:t>
            </w:r>
          </w:p>
        </w:tc>
        <w:tc>
          <w:tcPr>
            <w:tcW w:w="340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设置</w:t>
            </w:r>
            <w:r>
              <w:rPr>
                <w:rFonts w:hint="eastAsia"/>
                <w:lang w:val="en-US" w:eastAsia="zh-CN"/>
              </w:rPr>
              <w:t>10</w:t>
            </w:r>
            <w:r>
              <w:t>m</w:t>
            </w:r>
            <w:r>
              <w:rPr>
                <w:rFonts w:hint="eastAsia"/>
                <w:vertAlign w:val="superscript"/>
                <w:lang w:val="en-US" w:eastAsia="zh-CN"/>
              </w:rPr>
              <w:t>2</w:t>
            </w:r>
            <w:r>
              <w:t>的危废暂存间暂存后，交由有资质单位</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《危险废物贮存污染控制标准》</w:t>
            </w:r>
            <w:r>
              <w:rPr>
                <w:color w:val="auto"/>
                <w:szCs w:val="21"/>
                <w:u w:val="none"/>
              </w:rPr>
              <w:t>(GB18597-2001)</w:t>
            </w:r>
            <w:r>
              <w:rPr>
                <w:rFonts w:hAnsi="宋体"/>
                <w:color w:val="auto"/>
                <w:szCs w:val="21"/>
                <w:u w:val="none"/>
              </w:rPr>
              <w:t>及</w:t>
            </w:r>
            <w:r>
              <w:rPr>
                <w:color w:val="auto"/>
                <w:szCs w:val="21"/>
                <w:u w:val="none"/>
              </w:rPr>
              <w:t>2013</w:t>
            </w:r>
            <w:r>
              <w:rPr>
                <w:rFonts w:hAnsi="宋体"/>
                <w:color w:val="auto"/>
                <w:szCs w:val="21"/>
                <w:u w:val="none"/>
              </w:rPr>
              <w:t>年修改单</w:t>
            </w:r>
          </w:p>
        </w:tc>
        <w:tc>
          <w:tcPr>
            <w:tcW w:w="1250"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5.0</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废活性炭</w:t>
            </w:r>
          </w:p>
        </w:tc>
        <w:tc>
          <w:tcPr>
            <w:tcW w:w="340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val="en-US" w:eastAsia="zh-CN"/>
              </w:rPr>
              <w:t>喷淋塔漂浮物及沉渣</w:t>
            </w:r>
          </w:p>
        </w:tc>
        <w:tc>
          <w:tcPr>
            <w:tcW w:w="340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540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50"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地下水</w:t>
            </w: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一般区域</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水泥硬化，防腐防渗</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3</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3"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危废暂存间</w:t>
            </w:r>
          </w:p>
        </w:tc>
        <w:tc>
          <w:tcPr>
            <w:tcW w:w="340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防渗措施等效黏土防渗层Mb≥1.5m，K≤1.0×10</w:t>
            </w:r>
            <w:r>
              <w:rPr>
                <w:vertAlign w:val="superscript"/>
              </w:rPr>
              <w:t>-7</w:t>
            </w:r>
            <w:r>
              <w:t>cm/s；或参照GB16889，执行加强管理</w:t>
            </w:r>
          </w:p>
        </w:tc>
        <w:tc>
          <w:tcPr>
            <w:tcW w:w="162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w:t>
            </w:r>
          </w:p>
        </w:tc>
        <w:tc>
          <w:tcPr>
            <w:tcW w:w="540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val="en-US" w:eastAsia="zh-CN"/>
              </w:rPr>
              <w:t>2</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98"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环境风险</w:t>
            </w:r>
          </w:p>
        </w:tc>
        <w:tc>
          <w:tcPr>
            <w:tcW w:w="11719" w:type="dxa"/>
            <w:gridSpan w:val="4"/>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应急事故池</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val="en-US" w:eastAsia="zh-CN"/>
              </w:rPr>
              <w:t>2</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2217" w:type="dxa"/>
            <w:gridSpan w:val="5"/>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合计</w:t>
            </w:r>
          </w:p>
        </w:tc>
        <w:tc>
          <w:tcPr>
            <w:tcW w:w="1250"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131</w:t>
            </w:r>
          </w:p>
        </w:tc>
        <w:tc>
          <w:tcPr>
            <w:tcW w:w="753"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bl>
    <w:p>
      <w:pPr>
        <w:numPr>
          <w:ilvl w:val="0"/>
          <w:numId w:val="0"/>
        </w:numPr>
        <w:ind w:leftChars="200"/>
        <w:rPr>
          <w:rFonts w:hint="default"/>
          <w:lang w:val="en-US" w:eastAsia="zh-CN"/>
        </w:rPr>
        <w:sectPr>
          <w:pgSz w:w="16838" w:h="11906" w:orient="landscape"/>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bidi w:val="0"/>
      </w:pPr>
      <w:bookmarkStart w:id="255" w:name="_Toc29817"/>
      <w:bookmarkStart w:id="256" w:name="_Toc1248"/>
      <w:bookmarkStart w:id="257" w:name="_Toc5888515"/>
      <w:bookmarkStart w:id="258" w:name="_Toc29778"/>
      <w:bookmarkStart w:id="259" w:name="_Toc8683"/>
      <w:r>
        <w:rPr>
          <w:rFonts w:hint="eastAsia"/>
          <w:lang w:eastAsia="zh-CN"/>
        </w:rPr>
        <w:t>第八章</w:t>
      </w:r>
      <w:r>
        <w:rPr>
          <w:rFonts w:hint="eastAsia"/>
          <w:lang w:val="en-US" w:eastAsia="zh-CN"/>
        </w:rPr>
        <w:t xml:space="preserve">  </w:t>
      </w:r>
      <w:r>
        <w:t>环境影响经济损益分析</w:t>
      </w:r>
      <w:bookmarkEnd w:id="255"/>
      <w:bookmarkEnd w:id="256"/>
      <w:bookmarkEnd w:id="257"/>
      <w:bookmarkEnd w:id="258"/>
      <w:bookmarkEnd w:id="259"/>
    </w:p>
    <w:p>
      <w:pPr>
        <w:pStyle w:val="3"/>
        <w:keepNext w:val="0"/>
        <w:keepLines w:val="0"/>
        <w:pageBreakBefore w:val="0"/>
        <w:widowControl w:val="0"/>
        <w:kinsoku/>
        <w:wordWrap/>
        <w:overflowPunct/>
        <w:topLinePunct w:val="0"/>
        <w:autoSpaceDE/>
        <w:autoSpaceDN/>
        <w:bidi w:val="0"/>
        <w:spacing w:line="360" w:lineRule="auto"/>
        <w:textAlignment w:val="auto"/>
      </w:pPr>
      <w:bookmarkStart w:id="260" w:name="_Toc302663179"/>
      <w:bookmarkStart w:id="261" w:name="_Toc452388602"/>
      <w:bookmarkStart w:id="262" w:name="_Toc252120060"/>
      <w:bookmarkStart w:id="263" w:name="_Toc392081873"/>
      <w:bookmarkStart w:id="264" w:name="_Toc380056417"/>
      <w:bookmarkStart w:id="265" w:name="_Toc380055418"/>
      <w:bookmarkStart w:id="266" w:name="_Toc245114178"/>
      <w:bookmarkStart w:id="267" w:name="_Toc29938"/>
      <w:bookmarkStart w:id="268" w:name="_Toc5888516"/>
      <w:bookmarkStart w:id="269" w:name="_Toc6884"/>
      <w:bookmarkStart w:id="270" w:name="_Toc27377"/>
      <w:bookmarkStart w:id="271" w:name="_Toc16114"/>
      <w:bookmarkStart w:id="272" w:name="_Toc376878927"/>
      <w:bookmarkStart w:id="273" w:name="_Toc334629901"/>
      <w:r>
        <w:rPr>
          <w:rFonts w:hint="eastAsia"/>
          <w:lang w:val="en-US" w:eastAsia="zh-CN"/>
        </w:rPr>
        <w:t xml:space="preserve">8.1 </w:t>
      </w:r>
      <w:r>
        <w:t>环境影响经济损益分析的目的</w:t>
      </w:r>
      <w:bookmarkEnd w:id="260"/>
      <w:bookmarkEnd w:id="261"/>
      <w:bookmarkEnd w:id="262"/>
      <w:bookmarkEnd w:id="263"/>
      <w:bookmarkEnd w:id="264"/>
      <w:bookmarkEnd w:id="265"/>
      <w:bookmarkEnd w:id="266"/>
      <w:bookmarkEnd w:id="267"/>
      <w:bookmarkEnd w:id="268"/>
      <w:bookmarkEnd w:id="269"/>
      <w:bookmarkEnd w:id="270"/>
      <w:bookmarkEnd w:id="271"/>
    </w:p>
    <w:p>
      <w:pPr>
        <w:keepNext w:val="0"/>
        <w:keepLines w:val="0"/>
        <w:pageBreakBefore w:val="0"/>
        <w:widowControl w:val="0"/>
        <w:kinsoku/>
        <w:wordWrap/>
        <w:overflowPunct/>
        <w:topLinePunct w:val="0"/>
        <w:autoSpaceDE/>
        <w:autoSpaceDN/>
        <w:bidi w:val="0"/>
        <w:spacing w:line="360" w:lineRule="auto"/>
        <w:textAlignment w:val="auto"/>
      </w:pPr>
      <w:r>
        <w:t>建设项目环境影响评价有两个基本目标，一是要揭示建设项目所引起的环境影响，协调项目建设与环境目标一致的问题，二是要科学地评价建设项目所产生的经济效益和社会效益。因此在建设项目的环境影响评价工作中，除首先应注意那些由于污染对环境造成的影响，还应同时开展社会经济效益分析，把提高社会经济效益作为环境影响评价的一个出发点，把环境资源作为一种经济实体来对待，选择合理的开发方式、开发力度和环境保护措施，一方面尽可能使建设项目获得显著的经济效益，另一方面付出的环境代价要小。</w:t>
      </w:r>
    </w:p>
    <w:p>
      <w:pPr>
        <w:keepNext w:val="0"/>
        <w:keepLines w:val="0"/>
        <w:pageBreakBefore w:val="0"/>
        <w:widowControl w:val="0"/>
        <w:kinsoku/>
        <w:wordWrap/>
        <w:overflowPunct/>
        <w:topLinePunct w:val="0"/>
        <w:autoSpaceDE/>
        <w:autoSpaceDN/>
        <w:bidi w:val="0"/>
        <w:spacing w:line="360" w:lineRule="auto"/>
        <w:textAlignment w:val="auto"/>
      </w:pPr>
      <w:r>
        <w:t>结合本项目的实际情况，采取相应的环境保护和切实可行的污染治理措施，使建设项目的经济效益、环境效益和社会效益三者得到有机统一，做到经济建设的可持续发展。</w:t>
      </w:r>
    </w:p>
    <w:p>
      <w:pPr>
        <w:pStyle w:val="3"/>
        <w:bidi w:val="0"/>
      </w:pPr>
      <w:bookmarkStart w:id="274" w:name="_Toc392081874"/>
      <w:bookmarkStart w:id="275" w:name="_Toc452388603"/>
      <w:bookmarkStart w:id="276" w:name="_Toc380055419"/>
      <w:bookmarkStart w:id="277" w:name="_Toc380056418"/>
      <w:bookmarkStart w:id="278" w:name="_Toc5888517"/>
      <w:bookmarkStart w:id="279" w:name="_Toc31820"/>
      <w:bookmarkStart w:id="280" w:name="_Toc10881"/>
      <w:bookmarkStart w:id="281" w:name="_Toc5242"/>
      <w:bookmarkStart w:id="282" w:name="_Toc31262"/>
      <w:r>
        <w:rPr>
          <w:rFonts w:hint="eastAsia"/>
          <w:lang w:val="en-US" w:eastAsia="zh-CN"/>
        </w:rPr>
        <w:t xml:space="preserve">8.2 </w:t>
      </w:r>
      <w:r>
        <w:t>经济损益分析</w:t>
      </w:r>
      <w:bookmarkEnd w:id="274"/>
      <w:bookmarkEnd w:id="275"/>
      <w:bookmarkEnd w:id="276"/>
      <w:bookmarkEnd w:id="277"/>
      <w:bookmarkEnd w:id="278"/>
      <w:bookmarkEnd w:id="279"/>
      <w:bookmarkEnd w:id="280"/>
      <w:bookmarkEnd w:id="281"/>
      <w:bookmarkEnd w:id="282"/>
    </w:p>
    <w:p>
      <w:pPr>
        <w:pStyle w:val="19"/>
        <w:keepNext w:val="0"/>
        <w:keepLines w:val="0"/>
        <w:widowControl/>
        <w:suppressLineNumbers w:val="0"/>
        <w:spacing w:before="0" w:beforeAutospacing="0" w:after="0" w:afterAutospacing="0"/>
        <w:ind w:left="0" w:right="0" w:firstLine="0"/>
        <w:jc w:val="both"/>
      </w:pPr>
      <w:bookmarkStart w:id="283" w:name="_Toc392081875"/>
      <w:bookmarkStart w:id="284" w:name="_Toc380055420"/>
      <w:bookmarkStart w:id="285" w:name="_Toc380056419"/>
      <w:r>
        <w:t>项目总投资</w:t>
      </w:r>
      <w:r>
        <w:rPr>
          <w:rFonts w:hint="eastAsia"/>
          <w:lang w:val="en-US" w:eastAsia="zh-CN"/>
        </w:rPr>
        <w:t>1500</w:t>
      </w:r>
      <w:r>
        <w:rPr>
          <w:rFonts w:hint="eastAsia"/>
          <w:lang w:eastAsia="zh-CN"/>
        </w:rPr>
        <w:t>万元</w:t>
      </w:r>
      <w:r>
        <w:t>，项目建成后，</w:t>
      </w:r>
      <w:r>
        <w:rPr>
          <w:rFonts w:hint="eastAsia"/>
          <w:lang w:eastAsia="zh-CN"/>
        </w:rPr>
        <w:t>年处理废塑料回收再利用</w:t>
      </w:r>
      <w:r>
        <w:rPr>
          <w:rFonts w:hint="eastAsia"/>
          <w:lang w:val="en-US" w:eastAsia="zh-CN"/>
        </w:rPr>
        <w:t>6000</w:t>
      </w:r>
      <w:r>
        <w:rPr>
          <w:rFonts w:hint="eastAsia"/>
          <w:lang w:eastAsia="zh-CN"/>
        </w:rPr>
        <w:t>吨</w:t>
      </w:r>
      <w:r>
        <w:t>，项目建成后年可实现年均销售收入</w:t>
      </w:r>
      <w:r>
        <w:rPr>
          <w:rFonts w:hint="eastAsia"/>
          <w:lang w:val="en-US" w:eastAsia="zh-CN"/>
        </w:rPr>
        <w:t>4500</w:t>
      </w:r>
      <w:r>
        <w:t>万元，年实现净利润</w:t>
      </w:r>
      <w:r>
        <w:rPr>
          <w:rFonts w:hint="eastAsia"/>
          <w:lang w:val="en-US" w:eastAsia="zh-CN"/>
        </w:rPr>
        <w:t>994</w:t>
      </w:r>
      <w:r>
        <w:t>万元。该项目财务分析的各项指标均好，其内部收益率、投资回收期、投资利润率、投资利税率等都优于基准值，投资回收较快。项目有一定的抗风险能力，项目在运营中项目获利能力强。本项目满足经济要求，因此从经济上分析是可行的。</w:t>
      </w:r>
    </w:p>
    <w:p>
      <w:pPr>
        <w:pStyle w:val="3"/>
        <w:keepNext w:val="0"/>
        <w:keepLines w:val="0"/>
        <w:pageBreakBefore w:val="0"/>
        <w:widowControl w:val="0"/>
        <w:tabs>
          <w:tab w:val="left" w:pos="360"/>
          <w:tab w:val="left" w:pos="578"/>
        </w:tabs>
        <w:kinsoku/>
        <w:wordWrap/>
        <w:overflowPunct/>
        <w:topLinePunct w:val="0"/>
        <w:autoSpaceDE/>
        <w:autoSpaceDN/>
        <w:bidi w:val="0"/>
        <w:textAlignment w:val="auto"/>
        <w:rPr>
          <w:rFonts w:ascii="Times New Roman" w:hAnsi="Times New Roman"/>
          <w:color w:val="auto"/>
        </w:rPr>
      </w:pPr>
      <w:bookmarkStart w:id="286" w:name="_Toc19994"/>
      <w:bookmarkStart w:id="287" w:name="_Toc21183"/>
      <w:bookmarkStart w:id="288" w:name="_Toc12035"/>
      <w:bookmarkStart w:id="289" w:name="_Toc5888518"/>
      <w:bookmarkStart w:id="290" w:name="_Toc452388604"/>
      <w:bookmarkStart w:id="291" w:name="_Toc11643"/>
      <w:r>
        <w:rPr>
          <w:rFonts w:hint="eastAsia"/>
          <w:color w:val="auto"/>
          <w:lang w:val="en-US" w:eastAsia="zh-CN"/>
        </w:rPr>
        <w:t xml:space="preserve">8.3 </w:t>
      </w:r>
      <w:r>
        <w:rPr>
          <w:rFonts w:ascii="Times New Roman" w:hAnsi="Times New Roman"/>
          <w:color w:val="auto"/>
        </w:rPr>
        <w:t>社会损益分析</w:t>
      </w:r>
      <w:bookmarkEnd w:id="272"/>
      <w:bookmarkEnd w:id="273"/>
      <w:bookmarkEnd w:id="283"/>
      <w:bookmarkEnd w:id="284"/>
      <w:bookmarkEnd w:id="285"/>
      <w:bookmarkEnd w:id="286"/>
      <w:bookmarkEnd w:id="287"/>
      <w:bookmarkEnd w:id="288"/>
      <w:bookmarkEnd w:id="289"/>
      <w:bookmarkEnd w:id="290"/>
      <w:bookmarkEnd w:id="291"/>
    </w:p>
    <w:p>
      <w:pPr>
        <w:keepNext w:val="0"/>
        <w:keepLines w:val="0"/>
        <w:pageBreakBefore w:val="0"/>
        <w:widowControl w:val="0"/>
        <w:kinsoku/>
        <w:wordWrap/>
        <w:overflowPunct/>
        <w:topLinePunct w:val="0"/>
        <w:autoSpaceDE/>
        <w:autoSpaceDN/>
        <w:bidi w:val="0"/>
        <w:textAlignment w:val="auto"/>
      </w:pPr>
      <w:r>
        <w:t>（1）本项目在建设和运营过程中能够直接或间接地给本地区提供大量的就业岗位，使当地的一部分群众可以在家门口就业，如从事管理、生产、运输、保洁、水电维修、后勤服务等众多工种。</w:t>
      </w:r>
    </w:p>
    <w:p>
      <w:pPr>
        <w:keepNext w:val="0"/>
        <w:keepLines w:val="0"/>
        <w:pageBreakBefore w:val="0"/>
        <w:widowControl w:val="0"/>
        <w:kinsoku/>
        <w:wordWrap/>
        <w:overflowPunct/>
        <w:topLinePunct w:val="0"/>
        <w:autoSpaceDE/>
        <w:autoSpaceDN/>
        <w:bidi w:val="0"/>
        <w:textAlignment w:val="auto"/>
      </w:pPr>
      <w:r>
        <w:t>（2）项目产品为再生塑料颗粒等，在推动地区经济发展、社会进步、提高人民生活水平等方面发挥重要的作用。本项目产品的原材料供应来源充足，能保证正常生产的需要，市场前景广阔，国内外需求量不断增多，资金来源可靠，上缴的各项税金增加了地方税收收入，具有良好的社会效益。</w:t>
      </w:r>
    </w:p>
    <w:p>
      <w:pPr>
        <w:pStyle w:val="3"/>
        <w:bidi w:val="0"/>
      </w:pPr>
      <w:bookmarkStart w:id="292" w:name="_Toc31370"/>
      <w:bookmarkStart w:id="293" w:name="_Toc19775"/>
      <w:bookmarkStart w:id="294" w:name="_Toc21939"/>
      <w:r>
        <w:rPr>
          <w:rFonts w:hint="eastAsia"/>
          <w:lang w:val="en-US" w:eastAsia="zh-CN"/>
        </w:rPr>
        <w:t xml:space="preserve">8.4 </w:t>
      </w:r>
      <w:r>
        <w:t>环境损益分析</w:t>
      </w:r>
      <w:bookmarkEnd w:id="292"/>
      <w:bookmarkEnd w:id="293"/>
      <w:bookmarkEnd w:id="294"/>
    </w:p>
    <w:p>
      <w:pPr>
        <w:pStyle w:val="4"/>
        <w:bidi w:val="0"/>
      </w:pPr>
      <w:r>
        <w:rPr>
          <w:rFonts w:hint="eastAsia"/>
          <w:lang w:val="en-US" w:eastAsia="zh-CN"/>
        </w:rPr>
        <w:t xml:space="preserve">8.4.1 </w:t>
      </w:r>
      <w:r>
        <w:t>环境代价</w:t>
      </w:r>
    </w:p>
    <w:p>
      <w:pPr>
        <w:ind w:firstLine="480" w:firstLineChars="200"/>
        <w:rPr>
          <w:rFonts w:ascii="Times New Roman" w:hAnsi="Times New Roman"/>
          <w:color w:val="auto"/>
          <w:sz w:val="24"/>
        </w:rPr>
      </w:pPr>
      <w:r>
        <w:rPr>
          <w:rFonts w:ascii="Times New Roman" w:hAnsi="Times New Roman"/>
          <w:color w:val="auto"/>
          <w:sz w:val="24"/>
        </w:rPr>
        <w:t>环境代价主要体现在由于建构筑物、管道施工以及生产车间建设等将造成临时或永久性占地，造成地表植被破坏、气候环境改变等一系列环境经济损失。运行期间环境损失很小。</w:t>
      </w:r>
    </w:p>
    <w:p>
      <w:pPr>
        <w:pStyle w:val="4"/>
        <w:bidi w:val="0"/>
      </w:pPr>
      <w:r>
        <w:rPr>
          <w:rFonts w:hint="eastAsia"/>
          <w:lang w:val="en-US" w:eastAsia="zh-CN"/>
        </w:rPr>
        <w:t xml:space="preserve">8.4.2 </w:t>
      </w:r>
      <w:r>
        <w:t>环境成本分析</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rPr>
      </w:pPr>
      <w:r>
        <w:rPr>
          <w:rFonts w:ascii="Times New Roman" w:hAnsi="Times New Roman"/>
          <w:color w:val="auto"/>
          <w:sz w:val="24"/>
        </w:rPr>
        <w:t>环境成本是指项目为防治生态破坏和环境污染，建设必要的生态保护工程和采取环境污染设备所折算的经济价值，初步估算本项目的环境代价如下。</w:t>
      </w:r>
    </w:p>
    <w:p>
      <w:pPr>
        <w:pStyle w:val="26"/>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color w:val="auto"/>
          <w:sz w:val="24"/>
        </w:rPr>
      </w:pPr>
      <w:r>
        <w:rPr>
          <w:color w:val="auto"/>
          <w:sz w:val="24"/>
          <w:lang w:eastAsia="zh-CN"/>
        </w:rPr>
        <w:t>（1）</w:t>
      </w:r>
      <w:r>
        <w:rPr>
          <w:color w:val="auto"/>
          <w:sz w:val="24"/>
        </w:rPr>
        <w:t>环保工程建设投资</w:t>
      </w:r>
    </w:p>
    <w:p>
      <w:pPr>
        <w:pStyle w:val="26"/>
        <w:pageBreakBefore w:val="0"/>
        <w:widowControl w:val="0"/>
        <w:kinsoku/>
        <w:wordWrap/>
        <w:overflowPunct/>
        <w:topLinePunct w:val="0"/>
        <w:autoSpaceDE/>
        <w:autoSpaceDN/>
        <w:bidi w:val="0"/>
        <w:adjustRightInd/>
        <w:snapToGrid/>
        <w:spacing w:before="0" w:line="360" w:lineRule="auto"/>
        <w:ind w:left="0" w:firstLine="480" w:firstLineChars="200"/>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项目环保总投资</w:t>
      </w:r>
      <w:r>
        <w:rPr>
          <w:rFonts w:hint="eastAsia" w:cs="Times New Roman"/>
          <w:color w:val="auto"/>
          <w:sz w:val="24"/>
          <w:lang w:val="en-US" w:eastAsia="zh-CN"/>
        </w:rPr>
        <w:t>131</w:t>
      </w:r>
      <w:r>
        <w:rPr>
          <w:rFonts w:ascii="Times New Roman" w:hAnsi="Times New Roman" w:cs="Times New Roman"/>
          <w:color w:val="auto"/>
          <w:sz w:val="24"/>
          <w:lang w:eastAsia="zh-CN"/>
        </w:rPr>
        <w:t>万元，按环保设备的使用寿命15年计算，则每年的环保工程建设投资为</w:t>
      </w:r>
      <w:r>
        <w:rPr>
          <w:rFonts w:hint="eastAsia" w:ascii="Times New Roman" w:hAnsi="Times New Roman" w:cs="Times New Roman"/>
          <w:color w:val="auto"/>
          <w:sz w:val="24"/>
          <w:lang w:val="en-US" w:eastAsia="zh-CN"/>
        </w:rPr>
        <w:t>3.73</w:t>
      </w:r>
      <w:r>
        <w:rPr>
          <w:rFonts w:ascii="Times New Roman" w:hAnsi="Times New Roman" w:cs="Times New Roman"/>
          <w:color w:val="auto"/>
          <w:sz w:val="24"/>
          <w:lang w:eastAsia="zh-CN"/>
        </w:rPr>
        <w:t>万元/a。</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rPr>
      </w:pPr>
      <w:r>
        <w:rPr>
          <w:rFonts w:ascii="Times New Roman" w:hAnsi="Times New Roman"/>
          <w:color w:val="auto"/>
          <w:sz w:val="24"/>
        </w:rPr>
        <w:t>（2）环保工程运行管理费用</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rPr>
      </w:pPr>
      <w:r>
        <w:rPr>
          <w:rFonts w:ascii="Times New Roman" w:hAnsi="Times New Roman"/>
          <w:color w:val="auto"/>
          <w:sz w:val="24"/>
        </w:rPr>
        <w:t>运行管理费用包括设备检修、能源、材料、环保工作人员工资、环境监测费、环境绿化管理费及排污费等，经估算得到该工程运行管理费为5万元/a。</w:t>
      </w:r>
    </w:p>
    <w:p>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rPr>
      </w:pPr>
      <w:r>
        <w:rPr>
          <w:rFonts w:ascii="Times New Roman" w:hAnsi="Times New Roman"/>
          <w:color w:val="auto"/>
          <w:sz w:val="24"/>
        </w:rPr>
        <w:t>综合分析得出建设项目的环境成本为</w:t>
      </w:r>
      <w:r>
        <w:rPr>
          <w:rFonts w:hint="eastAsia" w:ascii="Times New Roman" w:hAnsi="Times New Roman"/>
          <w:color w:val="auto"/>
          <w:sz w:val="24"/>
          <w:lang w:val="en-US" w:eastAsia="zh-CN"/>
        </w:rPr>
        <w:t>8.73</w:t>
      </w:r>
      <w:r>
        <w:rPr>
          <w:rFonts w:ascii="Times New Roman" w:hAnsi="Times New Roman"/>
          <w:color w:val="auto"/>
          <w:sz w:val="24"/>
        </w:rPr>
        <w:t>万元/a。</w:t>
      </w:r>
    </w:p>
    <w:p>
      <w:pPr>
        <w:pStyle w:val="4"/>
        <w:bidi w:val="0"/>
      </w:pPr>
      <w:r>
        <w:rPr>
          <w:rFonts w:hint="default"/>
          <w:lang w:val="en-US" w:eastAsia="zh-CN"/>
        </w:rPr>
        <w:t>8.4.</w:t>
      </w:r>
      <w:r>
        <w:rPr>
          <w:rFonts w:hint="eastAsia"/>
          <w:lang w:val="en-US" w:eastAsia="zh-CN"/>
        </w:rPr>
        <w:t>3</w:t>
      </w:r>
      <w:r>
        <w:rPr>
          <w:rFonts w:hint="default"/>
          <w:lang w:val="en-US" w:eastAsia="zh-CN"/>
        </w:rPr>
        <w:t xml:space="preserve"> </w:t>
      </w:r>
      <w:r>
        <w:rPr>
          <w:lang w:val="en-US" w:eastAsia="zh-CN"/>
        </w:rPr>
        <w:t>项目环境代价分析</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建设会对周围环境造成一定程度的影响，评价对环境影响中的负面影响进行分析，并将其用经济价值的形式表现出来，反映项目建设造成的环境污染和破坏所造成的环境损失。由于对环境造成的影响层面不一，程度不同，并不能使所有的影响都实现量化或折算出来，评价便从以下方面进行环境影响代价分析：</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）未落实环保措施的环境代价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未落实环保措施时主要有以下三种情况：①项目建设单位未按照评价要求落实环保措施；②虽已建设环保设施，但并未开启运行或者运行效果不能满足要求；③环保设施发生故障不能正常运行或者生产设备引起的事故性排放。发生上述情况时，项目排放的污染物直接排入外环境，对外环境造成一定程度甚至有可能是不可恢复的影响，而这种影响的环境代价是不能用确定的经济价值估算的，因此要从环保审批、环保行政管理以及企业日常环境管理等方面严格落实，避免上述情况发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）已经落实环保措施的环境代价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认真落实环保措施的前提下，项目建设的环境代价主要考虑企业向环保主管部门缴纳的排污费，根据《排污费征收使用管理条例》、《排污费征收标准及计算方法》及本项目污染物收费类别，计算排污收费费用约</w:t>
      </w:r>
      <w:r>
        <w:rPr>
          <w:rFonts w:hint="eastAsia" w:ascii="Times New Roman" w:hAnsi="Times New Roman" w:eastAsia="宋体" w:cs="Times New Roman"/>
          <w:color w:val="000000"/>
          <w:kern w:val="0"/>
          <w:sz w:val="24"/>
          <w:szCs w:val="24"/>
          <w:lang w:val="en-US" w:eastAsia="zh-CN" w:bidi="ar"/>
        </w:rPr>
        <w:t>2000</w:t>
      </w:r>
      <w:r>
        <w:rPr>
          <w:rFonts w:hint="eastAsia" w:ascii="宋体" w:hAnsi="宋体" w:eastAsia="宋体" w:cs="宋体"/>
          <w:color w:val="000000"/>
          <w:kern w:val="0"/>
          <w:sz w:val="24"/>
          <w:szCs w:val="24"/>
          <w:lang w:val="en-US" w:eastAsia="zh-CN" w:bidi="ar"/>
        </w:rPr>
        <w:t>元</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年。</w:t>
      </w:r>
    </w:p>
    <w:p>
      <w:pPr>
        <w:pStyle w:val="4"/>
        <w:bidi w:val="0"/>
      </w:pPr>
      <w:r>
        <w:rPr>
          <w:rFonts w:hint="default"/>
          <w:lang w:val="en-US" w:eastAsia="zh-CN"/>
        </w:rPr>
        <w:t>8.4.</w:t>
      </w:r>
      <w:r>
        <w:rPr>
          <w:rFonts w:hint="eastAsia"/>
          <w:lang w:val="en-US" w:eastAsia="zh-CN"/>
        </w:rPr>
        <w:t>4</w:t>
      </w:r>
      <w:r>
        <w:rPr>
          <w:rFonts w:hint="default"/>
          <w:lang w:val="en-US" w:eastAsia="zh-CN"/>
        </w:rPr>
        <w:t xml:space="preserve"> </w:t>
      </w:r>
      <w:r>
        <w:rPr>
          <w:lang w:val="en-US" w:eastAsia="zh-CN"/>
        </w:rPr>
        <w:t>项目环境经济损益分析</w:t>
      </w:r>
    </w:p>
    <w:p>
      <w:pPr>
        <w:bidi w:val="0"/>
      </w:pPr>
      <w:r>
        <w:rPr>
          <w:rFonts w:hint="eastAsia"/>
          <w:lang w:val="en-US" w:eastAsia="zh-CN"/>
        </w:rPr>
        <w:t>（</w:t>
      </w:r>
      <w:r>
        <w:rPr>
          <w:rFonts w:hint="default"/>
          <w:lang w:val="en-US" w:eastAsia="zh-CN"/>
        </w:rPr>
        <w:t>1</w:t>
      </w:r>
      <w:r>
        <w:rPr>
          <w:rFonts w:hint="eastAsia"/>
          <w:lang w:val="en-US" w:eastAsia="zh-CN"/>
        </w:rPr>
        <w:t>）环保建设费用占建设投资比例</w:t>
      </w:r>
    </w:p>
    <w:p>
      <w:pPr>
        <w:bidi w:val="0"/>
      </w:pPr>
      <w:r>
        <w:rPr>
          <w:rFonts w:hint="eastAsia"/>
          <w:lang w:val="en-US" w:eastAsia="zh-CN"/>
        </w:rPr>
        <w:t>环保建设费用</w:t>
      </w:r>
      <w:r>
        <w:rPr>
          <w:rFonts w:hint="default"/>
          <w:lang w:val="en-US" w:eastAsia="zh-CN"/>
        </w:rPr>
        <w:t>/</w:t>
      </w:r>
      <w:r>
        <w:rPr>
          <w:rFonts w:hint="eastAsia"/>
          <w:lang w:val="en-US" w:eastAsia="zh-CN"/>
        </w:rPr>
        <w:t>总投资</w:t>
      </w:r>
      <w:r>
        <w:rPr>
          <w:rFonts w:hint="default"/>
          <w:lang w:val="en-US" w:eastAsia="zh-CN"/>
        </w:rPr>
        <w:t>=</w:t>
      </w:r>
      <w:r>
        <w:rPr>
          <w:rFonts w:hint="eastAsia"/>
          <w:lang w:val="en-US" w:eastAsia="zh-CN"/>
        </w:rPr>
        <w:t>（131</w:t>
      </w:r>
      <w:r>
        <w:rPr>
          <w:rFonts w:hint="default"/>
          <w:lang w:val="en-US" w:eastAsia="zh-CN"/>
        </w:rPr>
        <w:t>/</w:t>
      </w:r>
      <w:r>
        <w:rPr>
          <w:rFonts w:hint="eastAsia"/>
          <w:lang w:val="en-US" w:eastAsia="zh-CN"/>
        </w:rPr>
        <w:t>1500）</w:t>
      </w:r>
      <w:r>
        <w:rPr>
          <w:rFonts w:hint="default"/>
          <w:lang w:val="en-US" w:eastAsia="zh-CN"/>
        </w:rPr>
        <w:t>×100%</w:t>
      </w:r>
      <w:r>
        <w:rPr>
          <w:rFonts w:hint="eastAsia"/>
          <w:lang w:val="en-US" w:eastAsia="zh-CN"/>
        </w:rPr>
        <w:t>＝8.73%</w:t>
      </w:r>
    </w:p>
    <w:p>
      <w:pPr>
        <w:bidi w:val="0"/>
      </w:pPr>
      <w:r>
        <w:rPr>
          <w:rFonts w:hint="eastAsia"/>
          <w:lang w:val="en-US" w:eastAsia="zh-CN"/>
        </w:rPr>
        <w:t>（</w:t>
      </w:r>
      <w:r>
        <w:rPr>
          <w:rFonts w:hint="default"/>
          <w:lang w:val="en-US" w:eastAsia="zh-CN"/>
        </w:rPr>
        <w:t>2</w:t>
      </w:r>
      <w:r>
        <w:rPr>
          <w:rFonts w:hint="eastAsia"/>
          <w:lang w:val="en-US" w:eastAsia="zh-CN"/>
        </w:rPr>
        <w:t>）环境成本率</w:t>
      </w:r>
    </w:p>
    <w:p>
      <w:pPr>
        <w:bidi w:val="0"/>
      </w:pPr>
      <w:r>
        <w:rPr>
          <w:rFonts w:hint="eastAsia"/>
          <w:lang w:val="en-US" w:eastAsia="zh-CN"/>
        </w:rPr>
        <w:t>环境成本率是指工程单位经济效益所需的环保运行管理费用（工程总经济效益按税后利润计）：环境成本率</w:t>
      </w:r>
      <w:r>
        <w:rPr>
          <w:rFonts w:hint="default"/>
          <w:lang w:val="en-US" w:eastAsia="zh-CN"/>
        </w:rPr>
        <w:t>=</w:t>
      </w:r>
      <w:r>
        <w:rPr>
          <w:rFonts w:hint="eastAsia"/>
          <w:lang w:val="en-US" w:eastAsia="zh-CN"/>
        </w:rPr>
        <w:t>环保运行管理费用</w:t>
      </w:r>
      <w:r>
        <w:rPr>
          <w:rFonts w:hint="default"/>
          <w:lang w:val="en-US" w:eastAsia="zh-CN"/>
        </w:rPr>
        <w:t>/</w:t>
      </w:r>
      <w:r>
        <w:rPr>
          <w:rFonts w:hint="eastAsia"/>
          <w:lang w:val="en-US" w:eastAsia="zh-CN"/>
        </w:rPr>
        <w:t>工程总经济效益</w:t>
      </w:r>
      <w:r>
        <w:rPr>
          <w:rFonts w:hint="default"/>
          <w:lang w:val="en-US" w:eastAsia="zh-CN"/>
        </w:rPr>
        <w:t>×100%=</w:t>
      </w:r>
      <w:r>
        <w:rPr>
          <w:rFonts w:hint="eastAsia"/>
          <w:lang w:val="en-US" w:eastAsia="zh-CN"/>
        </w:rPr>
        <w:t>（8.73</w:t>
      </w:r>
      <w:r>
        <w:rPr>
          <w:rFonts w:hint="default"/>
          <w:lang w:val="en-US" w:eastAsia="zh-CN"/>
        </w:rPr>
        <w:t>/</w:t>
      </w:r>
      <w:r>
        <w:rPr>
          <w:rFonts w:hint="eastAsia"/>
          <w:lang w:val="en-US" w:eastAsia="zh-CN"/>
        </w:rPr>
        <w:t>994）</w:t>
      </w:r>
      <w:r>
        <w:rPr>
          <w:rFonts w:hint="default"/>
          <w:lang w:val="en-US" w:eastAsia="zh-CN"/>
        </w:rPr>
        <w:t>×100%</w:t>
      </w:r>
      <w:r>
        <w:rPr>
          <w:rFonts w:hint="eastAsia"/>
          <w:lang w:val="en-US" w:eastAsia="zh-CN"/>
        </w:rPr>
        <w:t>＝0.88</w:t>
      </w:r>
      <w:r>
        <w:rPr>
          <w:rFonts w:hint="default"/>
          <w:lang w:val="en-US" w:eastAsia="zh-CN"/>
        </w:rPr>
        <w:t>%</w:t>
      </w:r>
    </w:p>
    <w:p>
      <w:pPr>
        <w:bidi w:val="0"/>
      </w:pPr>
      <w:r>
        <w:rPr>
          <w:rFonts w:hint="eastAsia"/>
          <w:lang w:val="en-US" w:eastAsia="zh-CN"/>
        </w:rPr>
        <w:t>（</w:t>
      </w:r>
      <w:r>
        <w:rPr>
          <w:rFonts w:hint="default"/>
          <w:lang w:val="en-US" w:eastAsia="zh-CN"/>
        </w:rPr>
        <w:t>3</w:t>
      </w:r>
      <w:r>
        <w:rPr>
          <w:rFonts w:hint="eastAsia"/>
          <w:lang w:val="en-US" w:eastAsia="zh-CN"/>
        </w:rPr>
        <w:t>）环境系数</w:t>
      </w:r>
    </w:p>
    <w:p>
      <w:pPr>
        <w:bidi w:val="0"/>
      </w:pPr>
      <w:r>
        <w:rPr>
          <w:rFonts w:hint="eastAsia"/>
          <w:lang w:val="en-US" w:eastAsia="zh-CN"/>
        </w:rPr>
        <w:t>环境系数指工程单位产值所需的环保运行管理费用：</w:t>
      </w:r>
    </w:p>
    <w:p>
      <w:pPr>
        <w:bidi w:val="0"/>
      </w:pPr>
      <w:r>
        <w:rPr>
          <w:rFonts w:hint="eastAsia"/>
          <w:lang w:val="en-US" w:eastAsia="zh-CN"/>
        </w:rPr>
        <w:t>环境系数</w:t>
      </w:r>
      <w:r>
        <w:rPr>
          <w:rFonts w:hint="default"/>
          <w:lang w:val="en-US" w:eastAsia="zh-CN"/>
        </w:rPr>
        <w:t>=</w:t>
      </w:r>
      <w:r>
        <w:rPr>
          <w:rFonts w:hint="eastAsia"/>
          <w:lang w:val="en-US" w:eastAsia="zh-CN"/>
        </w:rPr>
        <w:t>环保运行管理费用</w:t>
      </w:r>
      <w:r>
        <w:rPr>
          <w:rFonts w:hint="default"/>
          <w:lang w:val="en-US" w:eastAsia="zh-CN"/>
        </w:rPr>
        <w:t>/</w:t>
      </w:r>
      <w:r>
        <w:rPr>
          <w:rFonts w:hint="eastAsia"/>
          <w:lang w:val="en-US" w:eastAsia="zh-CN"/>
        </w:rPr>
        <w:t>总投资</w:t>
      </w:r>
      <w:r>
        <w:rPr>
          <w:rFonts w:hint="default"/>
          <w:lang w:val="en-US" w:eastAsia="zh-CN"/>
        </w:rPr>
        <w:t>×100%=</w:t>
      </w:r>
      <w:r>
        <w:rPr>
          <w:rFonts w:hint="eastAsia"/>
          <w:lang w:val="en-US" w:eastAsia="zh-CN"/>
        </w:rPr>
        <w:t>（8.73</w:t>
      </w:r>
      <w:r>
        <w:rPr>
          <w:rFonts w:hint="default"/>
          <w:lang w:val="en-US" w:eastAsia="zh-CN"/>
        </w:rPr>
        <w:t>/</w:t>
      </w:r>
      <w:r>
        <w:rPr>
          <w:rFonts w:hint="eastAsia"/>
          <w:lang w:val="en-US" w:eastAsia="zh-CN"/>
        </w:rPr>
        <w:t>1500）</w:t>
      </w:r>
      <w:r>
        <w:rPr>
          <w:rFonts w:hint="default"/>
          <w:lang w:val="en-US" w:eastAsia="zh-CN"/>
        </w:rPr>
        <w:t>×100%</w:t>
      </w:r>
      <w:r>
        <w:rPr>
          <w:rFonts w:hint="eastAsia"/>
          <w:lang w:val="en-US" w:eastAsia="zh-CN"/>
        </w:rPr>
        <w:t>＝0.58</w:t>
      </w:r>
      <w:r>
        <w:rPr>
          <w:rFonts w:hint="default"/>
          <w:lang w:val="en-US" w:eastAsia="zh-CN"/>
        </w:rPr>
        <w:t>%</w:t>
      </w:r>
    </w:p>
    <w:p>
      <w:pPr>
        <w:bidi w:val="0"/>
      </w:pPr>
      <w:r>
        <w:rPr>
          <w:rFonts w:hint="eastAsia"/>
          <w:lang w:val="en-US" w:eastAsia="zh-CN"/>
        </w:rPr>
        <w:t>（</w:t>
      </w:r>
      <w:r>
        <w:rPr>
          <w:rFonts w:hint="default"/>
          <w:lang w:val="en-US" w:eastAsia="zh-CN"/>
        </w:rPr>
        <w:t>4</w:t>
      </w:r>
      <w:r>
        <w:rPr>
          <w:rFonts w:hint="eastAsia"/>
          <w:lang w:val="en-US" w:eastAsia="zh-CN"/>
        </w:rPr>
        <w:t>）环境代价率</w:t>
      </w:r>
    </w:p>
    <w:p>
      <w:pPr>
        <w:bidi w:val="0"/>
      </w:pPr>
      <w:r>
        <w:rPr>
          <w:rFonts w:hint="eastAsia"/>
          <w:lang w:val="en-US" w:eastAsia="zh-CN"/>
        </w:rPr>
        <w:t>环境代价率指工程单位经济效益所需的环境代价：</w:t>
      </w:r>
    </w:p>
    <w:p>
      <w:pPr>
        <w:bidi w:val="0"/>
      </w:pPr>
      <w:r>
        <w:rPr>
          <w:rFonts w:hint="eastAsia"/>
          <w:lang w:val="en-US" w:eastAsia="zh-CN"/>
        </w:rPr>
        <w:t>环境代价率</w:t>
      </w:r>
      <w:r>
        <w:rPr>
          <w:rFonts w:hint="default"/>
          <w:lang w:val="en-US" w:eastAsia="zh-CN"/>
        </w:rPr>
        <w:t>=</w:t>
      </w:r>
      <w:r>
        <w:rPr>
          <w:rFonts w:hint="eastAsia"/>
          <w:lang w:val="en-US" w:eastAsia="zh-CN"/>
        </w:rPr>
        <w:t>环境代价</w:t>
      </w:r>
      <w:r>
        <w:rPr>
          <w:rFonts w:hint="default"/>
          <w:lang w:val="en-US" w:eastAsia="zh-CN"/>
        </w:rPr>
        <w:t>/</w:t>
      </w:r>
      <w:r>
        <w:rPr>
          <w:rFonts w:hint="eastAsia"/>
          <w:lang w:val="en-US" w:eastAsia="zh-CN"/>
        </w:rPr>
        <w:t>工程总经济效益</w:t>
      </w:r>
      <w:r>
        <w:rPr>
          <w:rFonts w:hint="default"/>
          <w:lang w:val="en-US" w:eastAsia="zh-CN"/>
        </w:rPr>
        <w:t>×100%=</w:t>
      </w:r>
      <w:r>
        <w:rPr>
          <w:rFonts w:hint="eastAsia"/>
          <w:lang w:val="en-US" w:eastAsia="zh-CN"/>
        </w:rPr>
        <w:t>（0.2</w:t>
      </w:r>
      <w:r>
        <w:rPr>
          <w:rFonts w:hint="default"/>
          <w:lang w:val="en-US" w:eastAsia="zh-CN"/>
        </w:rPr>
        <w:t>/</w:t>
      </w:r>
      <w:r>
        <w:rPr>
          <w:rFonts w:hint="eastAsia"/>
          <w:lang w:val="en-US" w:eastAsia="zh-CN"/>
        </w:rPr>
        <w:t>994）</w:t>
      </w:r>
      <w:r>
        <w:rPr>
          <w:rFonts w:hint="default"/>
          <w:lang w:val="en-US" w:eastAsia="zh-CN"/>
        </w:rPr>
        <w:t>×100%</w:t>
      </w:r>
      <w:r>
        <w:rPr>
          <w:rFonts w:hint="eastAsia"/>
          <w:lang w:val="en-US" w:eastAsia="zh-CN"/>
        </w:rPr>
        <w:t>＝0.02</w:t>
      </w:r>
      <w:r>
        <w:rPr>
          <w:rFonts w:hint="default"/>
          <w:lang w:val="en-US" w:eastAsia="zh-CN"/>
        </w:rPr>
        <w:t>%</w:t>
      </w:r>
      <w:r>
        <w:rPr>
          <w:rFonts w:hint="eastAsia"/>
          <w:lang w:val="en-US" w:eastAsia="zh-CN"/>
        </w:rPr>
        <w:t>。</w:t>
      </w:r>
    </w:p>
    <w:p>
      <w:pPr>
        <w:bidi w:val="0"/>
      </w:pPr>
      <w:r>
        <w:rPr>
          <w:rFonts w:hint="eastAsia"/>
          <w:lang w:val="en-US" w:eastAsia="zh-CN"/>
        </w:rPr>
        <w:t>（</w:t>
      </w:r>
      <w:r>
        <w:rPr>
          <w:rFonts w:hint="default"/>
          <w:lang w:val="en-US" w:eastAsia="zh-CN"/>
        </w:rPr>
        <w:t>5</w:t>
      </w:r>
      <w:r>
        <w:rPr>
          <w:rFonts w:hint="eastAsia"/>
          <w:lang w:val="en-US" w:eastAsia="zh-CN"/>
        </w:rPr>
        <w:t>）项目环境经济总体效益</w:t>
      </w:r>
    </w:p>
    <w:p>
      <w:pPr>
        <w:bidi w:val="0"/>
      </w:pPr>
      <w:r>
        <w:rPr>
          <w:rFonts w:hint="eastAsia"/>
          <w:lang w:val="en-US" w:eastAsia="zh-CN"/>
        </w:rPr>
        <w:t>本项目环境经济总体效益</w:t>
      </w:r>
      <w:r>
        <w:rPr>
          <w:rFonts w:hint="default"/>
          <w:lang w:val="en-US" w:eastAsia="zh-CN"/>
        </w:rPr>
        <w:t>=</w:t>
      </w:r>
      <w:r>
        <w:rPr>
          <w:rFonts w:hint="eastAsia"/>
          <w:lang w:val="en-US" w:eastAsia="zh-CN"/>
        </w:rPr>
        <w:t>工程总经济效益</w:t>
      </w:r>
      <w:r>
        <w:rPr>
          <w:rFonts w:hint="default"/>
          <w:lang w:val="en-US" w:eastAsia="zh-CN"/>
        </w:rPr>
        <w:t>-</w:t>
      </w:r>
      <w:r>
        <w:rPr>
          <w:rFonts w:hint="eastAsia"/>
          <w:lang w:val="en-US" w:eastAsia="zh-CN"/>
        </w:rPr>
        <w:t>环境代价</w:t>
      </w:r>
      <w:r>
        <w:rPr>
          <w:rFonts w:hint="default"/>
          <w:lang w:val="en-US" w:eastAsia="zh-CN"/>
        </w:rPr>
        <w:t>-</w:t>
      </w:r>
      <w:r>
        <w:rPr>
          <w:rFonts w:hint="eastAsia"/>
          <w:lang w:val="en-US" w:eastAsia="zh-CN"/>
        </w:rPr>
        <w:t>环保设施运营管理费</w:t>
      </w:r>
      <w:r>
        <w:rPr>
          <w:rFonts w:hint="default"/>
          <w:lang w:val="en-US" w:eastAsia="zh-CN"/>
        </w:rPr>
        <w:t>=</w:t>
      </w:r>
      <w:r>
        <w:rPr>
          <w:rFonts w:hint="eastAsia"/>
          <w:lang w:val="en-US" w:eastAsia="zh-CN"/>
        </w:rPr>
        <w:t>994-0.2-8.73＝985.07（万元</w:t>
      </w:r>
      <w:r>
        <w:rPr>
          <w:rFonts w:hint="default"/>
          <w:lang w:val="en-US" w:eastAsia="zh-CN"/>
        </w:rPr>
        <w:t>/</w:t>
      </w:r>
      <w:r>
        <w:rPr>
          <w:rFonts w:hint="eastAsia"/>
          <w:lang w:val="en-US" w:eastAsia="zh-CN"/>
        </w:rPr>
        <w:t>年）</w:t>
      </w:r>
    </w:p>
    <w:p>
      <w:pPr>
        <w:bidi w:val="0"/>
      </w:pPr>
      <w:r>
        <w:rPr>
          <w:rFonts w:hint="eastAsia"/>
          <w:lang w:val="en-US" w:eastAsia="zh-CN"/>
        </w:rPr>
        <w:t>由上述计算结果可以看出，本项目环境成本率为0.88</w:t>
      </w:r>
      <w:r>
        <w:rPr>
          <w:rFonts w:hint="default"/>
          <w:lang w:val="en-US" w:eastAsia="zh-CN"/>
        </w:rPr>
        <w:t>%</w:t>
      </w:r>
      <w:r>
        <w:rPr>
          <w:rFonts w:hint="eastAsia"/>
          <w:lang w:val="en-US" w:eastAsia="zh-CN"/>
        </w:rPr>
        <w:t>，环境代价率为0.02</w:t>
      </w:r>
      <w:r>
        <w:rPr>
          <w:rFonts w:hint="default"/>
          <w:lang w:val="en-US" w:eastAsia="zh-CN"/>
        </w:rPr>
        <w:t>%</w:t>
      </w:r>
      <w:r>
        <w:rPr>
          <w:rFonts w:hint="eastAsia"/>
          <w:lang w:val="en-US" w:eastAsia="zh-CN"/>
        </w:rPr>
        <w:t>，</w:t>
      </w:r>
    </w:p>
    <w:p>
      <w:pPr>
        <w:bidi w:val="0"/>
      </w:pPr>
      <w:r>
        <w:rPr>
          <w:rFonts w:hint="eastAsia"/>
          <w:lang w:val="en-US" w:eastAsia="zh-CN"/>
        </w:rPr>
        <w:t>项目环境经济总体效益为985.07万元</w:t>
      </w:r>
      <w:r>
        <w:rPr>
          <w:rFonts w:hint="default"/>
          <w:lang w:val="en-US" w:eastAsia="zh-CN"/>
        </w:rPr>
        <w:t>/</w:t>
      </w:r>
      <w:r>
        <w:rPr>
          <w:rFonts w:hint="eastAsia"/>
          <w:lang w:val="en-US" w:eastAsia="zh-CN"/>
        </w:rPr>
        <w:t>年，从经济分析结果可以看出，本项目具有较高的环境经济效益。</w:t>
      </w:r>
    </w:p>
    <w:p>
      <w:pPr>
        <w:pStyle w:val="4"/>
        <w:bidi w:val="0"/>
        <w:rPr>
          <w:rFonts w:hint="default"/>
          <w:lang w:val="en-US" w:eastAsia="zh-CN"/>
        </w:rPr>
      </w:pPr>
      <w:r>
        <w:rPr>
          <w:rFonts w:hint="default"/>
          <w:lang w:val="en-US" w:eastAsia="zh-CN"/>
        </w:rPr>
        <w:t>8.4.</w:t>
      </w:r>
      <w:r>
        <w:rPr>
          <w:rFonts w:hint="eastAsia"/>
          <w:lang w:val="en-US" w:eastAsia="zh-CN"/>
        </w:rPr>
        <w:t>5</w:t>
      </w:r>
      <w:r>
        <w:rPr>
          <w:rFonts w:hint="default"/>
          <w:lang w:val="en-US" w:eastAsia="zh-CN"/>
        </w:rPr>
        <w:t xml:space="preserve"> </w:t>
      </w:r>
      <w:r>
        <w:rPr>
          <w:lang w:val="en-US" w:eastAsia="zh-CN"/>
        </w:rPr>
        <w:t>项目环境</w:t>
      </w:r>
      <w:r>
        <w:rPr>
          <w:rFonts w:hint="eastAsia"/>
          <w:lang w:val="en-US" w:eastAsia="zh-CN"/>
        </w:rPr>
        <w:t>效益</w:t>
      </w:r>
      <w:r>
        <w:rPr>
          <w:lang w:val="en-US" w:eastAsia="zh-CN"/>
        </w:rPr>
        <w:t>分析</w:t>
      </w:r>
    </w:p>
    <w:p>
      <w:pPr>
        <w:bidi w:val="0"/>
      </w:pPr>
      <w:r>
        <w:t>由于废旧塑料体积庞大，在常温下不易老化降解，从而形成与俱增的白色污染，使生态环境遭受</w:t>
      </w:r>
      <w:r>
        <w:rPr>
          <w:rFonts w:hint="eastAsia"/>
          <w:lang w:eastAsia="zh-CN"/>
        </w:rPr>
        <w:t>严重破坏</w:t>
      </w:r>
      <w:r>
        <w:t>，本项日将废旧塑料加工成题制，即节约能源、变废为宝，乂解决了塑料垃圾污染，从而保护环境。同时，由于塑料的主要生产原料为石油，石油属不可再生资源，因此，发展废旧资源再利用对节约资源、实现可持续发展具有重要意义。据相关资料显示，在再生资源领域，回收利用1吨废塑料=节省6吨石油，这还不包括提炼过程中节省的大量水资源及电力等其他资源，本项日年回收利用6000吨废旧塑料材料，则年可实现节约</w:t>
      </w:r>
      <w:r>
        <w:rPr>
          <w:rFonts w:hint="eastAsia"/>
          <w:lang w:eastAsia="zh-CN"/>
        </w:rPr>
        <w:t>石油</w:t>
      </w:r>
      <w:r>
        <w:t>36000吨，具有良好的节能环保效益。项目采取了较为完善的环保治理设施，环保投资占总投资比例为</w:t>
      </w:r>
      <w:r>
        <w:rPr>
          <w:rFonts w:hint="eastAsia"/>
          <w:lang w:val="en-US" w:eastAsia="zh-CN"/>
        </w:rPr>
        <w:t>8.73%</w:t>
      </w:r>
      <w:r>
        <w:t>，使工程污染物排放得到了</w:t>
      </w:r>
      <w:r>
        <w:rPr>
          <w:rFonts w:hint="eastAsia"/>
          <w:lang w:eastAsia="zh-CN"/>
        </w:rPr>
        <w:t>有效地控制</w:t>
      </w:r>
      <w:r>
        <w:t>。通过环境影响分析可知，工程投产后，废水处理后循环使用，可有效减少外排废水量，提高水资源利用效率</w:t>
      </w:r>
      <w:r>
        <w:rPr>
          <w:rFonts w:hint="eastAsia"/>
          <w:lang w:eastAsia="zh-CN"/>
        </w:rPr>
        <w:t>。</w:t>
      </w:r>
      <w:r>
        <w:t>外排废气、废水、噪声均能实现达标排放，固废处置率达到100%，对区域环境质量不会产生明显不利影响。</w:t>
      </w:r>
    </w:p>
    <w:p>
      <w:pPr>
        <w:pStyle w:val="4"/>
        <w:bidi w:val="0"/>
      </w:pPr>
      <w:r>
        <w:rPr>
          <w:rFonts w:hint="eastAsia"/>
          <w:lang w:val="en-US" w:eastAsia="zh-CN"/>
        </w:rPr>
        <w:t>8.4.6</w:t>
      </w:r>
      <w:r>
        <w:rPr>
          <w:rFonts w:hint="default"/>
          <w:lang w:val="en-US" w:eastAsia="zh-CN"/>
        </w:rPr>
        <w:t xml:space="preserve"> </w:t>
      </w:r>
      <w:r>
        <w:rPr>
          <w:lang w:val="en-US" w:eastAsia="zh-CN"/>
        </w:rPr>
        <w:t>环境经济损益分析结论</w:t>
      </w:r>
    </w:p>
    <w:p>
      <w:pPr>
        <w:pStyle w:val="19"/>
        <w:keepNext w:val="0"/>
        <w:keepLines w:val="0"/>
        <w:widowControl/>
        <w:suppressLineNumbers w:val="0"/>
        <w:spacing w:before="0" w:beforeAutospacing="0" w:after="0" w:afterAutospacing="0"/>
        <w:ind w:left="0" w:right="0" w:firstLine="0"/>
      </w:pPr>
      <w:r>
        <w:rPr>
          <w:rFonts w:hint="eastAsia" w:ascii="宋体" w:hAnsi="宋体" w:eastAsia="宋体" w:cs="宋体"/>
          <w:color w:val="000000"/>
          <w:kern w:val="0"/>
          <w:sz w:val="24"/>
          <w:szCs w:val="24"/>
          <w:lang w:val="en-US" w:eastAsia="zh-CN" w:bidi="ar"/>
        </w:rPr>
        <w:t>本项目实施后年经济效益较好，在促进地方经济发展的同时，为社会提供就业岗位，具有良好的社会效益。同时</w:t>
      </w:r>
      <w:r>
        <w:t>本项目将废旧塑料加工成颗粒，不仅解决塑料垃圾污染，保护环境，又可以节约资源，变废为宝，项目满足可持续发展的要求。在落实本评价所提出各项污染防治措施的前提下，项目的建设能够达到经济效益、社会效益和环境效益相统一的要求，既为地方经济发展</w:t>
      </w:r>
      <w:r>
        <w:rPr>
          <w:rFonts w:hint="eastAsia"/>
          <w:lang w:eastAsia="zh-CN"/>
        </w:rPr>
        <w:t>作出</w:t>
      </w:r>
      <w:r>
        <w:t>贡献，又通过环保投资治理污染，使污染物排放量在环境容量容许的范围内，不会对当地环境产生明显不利影响，项目建设是可行的。</w:t>
      </w:r>
    </w:p>
    <w:p>
      <w:pPr>
        <w:pStyle w:val="19"/>
        <w:keepNext w:val="0"/>
        <w:keepLines w:val="0"/>
        <w:widowControl/>
        <w:suppressLineNumbers w:val="0"/>
        <w:spacing w:before="0" w:beforeAutospacing="0" w:after="0" w:afterAutospacing="0"/>
        <w:ind w:left="0" w:right="0" w:firstLine="0"/>
        <w:rPr>
          <w:rFonts w:hint="default"/>
          <w:lang w:val="en-US" w:eastAsia="zh-CN"/>
        </w:rPr>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2"/>
        <w:bidi w:val="0"/>
      </w:pPr>
      <w:bookmarkStart w:id="295" w:name="_Toc16641"/>
      <w:bookmarkStart w:id="296" w:name="_Toc19461"/>
      <w:bookmarkStart w:id="297" w:name="_Toc27308"/>
      <w:r>
        <w:rPr>
          <w:lang w:val="en-US" w:eastAsia="zh-CN"/>
        </w:rPr>
        <w:t>第九章</w:t>
      </w:r>
      <w:r>
        <w:rPr>
          <w:rFonts w:hint="default"/>
          <w:lang w:val="en-US" w:eastAsia="zh-CN"/>
        </w:rPr>
        <w:t xml:space="preserve"> </w:t>
      </w:r>
      <w:r>
        <w:rPr>
          <w:rFonts w:hint="eastAsia"/>
          <w:lang w:val="en-US" w:eastAsia="zh-CN"/>
        </w:rPr>
        <w:t>环境管理与监测计划</w:t>
      </w:r>
      <w:bookmarkEnd w:id="295"/>
      <w:bookmarkEnd w:id="296"/>
      <w:bookmarkEnd w:id="297"/>
    </w:p>
    <w:p>
      <w:pPr>
        <w:bidi w:val="0"/>
      </w:pPr>
      <w:r>
        <w:rPr>
          <w:rFonts w:hint="eastAsia"/>
          <w:lang w:val="en-US" w:eastAsia="zh-CN"/>
        </w:rPr>
        <w:t>环境管理是企业管理中一项重要的专业管理。加强环境监督、管理力度，是实现社会效益、经济效益、环境效益协调发展和走可持续发展道路的重要措施。环境监测是工业污染防治的依据和环境管理的耳目。加强污染监控工作，是了解和掌握企业排污特征，研究污染发展趋势，开展环保技术研究和综合利用能源的有效途径。随着人民生活水平的不断提高和环保意识的不断增强，对于建设项目所引起的周围生活环境质量影响日益受到普遍关注，这就要求企业领导者能够及时地掌握本企业的生产和排污状况，因此制定严格的环境管理与监控计划，并确保其认真落实，才能最大限度地减少污染物的产生与排放。</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298" w:name="_Toc6736"/>
      <w:bookmarkStart w:id="299" w:name="_Toc31588"/>
      <w:bookmarkStart w:id="300" w:name="_Toc24486"/>
      <w:r>
        <w:rPr>
          <w:rFonts w:hint="default"/>
          <w:lang w:val="en-US" w:eastAsia="zh-CN"/>
        </w:rPr>
        <w:t xml:space="preserve">9.1 </w:t>
      </w:r>
      <w:r>
        <w:rPr>
          <w:rFonts w:hint="eastAsia"/>
          <w:lang w:val="en-US" w:eastAsia="zh-CN"/>
        </w:rPr>
        <w:t>环境管理</w:t>
      </w:r>
      <w:bookmarkEnd w:id="298"/>
      <w:bookmarkEnd w:id="299"/>
      <w:bookmarkEnd w:id="300"/>
    </w:p>
    <w:p>
      <w:pPr>
        <w:pStyle w:val="4"/>
        <w:bidi w:val="0"/>
      </w:pPr>
      <w:r>
        <w:rPr>
          <w:rFonts w:hint="default"/>
          <w:lang w:val="en-US" w:eastAsia="zh-CN"/>
        </w:rPr>
        <w:t xml:space="preserve">9.1.1 </w:t>
      </w:r>
      <w:r>
        <w:rPr>
          <w:lang w:val="en-US" w:eastAsia="zh-CN"/>
        </w:rPr>
        <w:t>环境管理目的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环境管理计划可分为可行性研究阶段、初步设计阶段、施工阶段以及营运期环境管理计划，相应的环境管理机构一般包括管理机构、监督机构和监测机构。通过环境管理计划的实施，以达到如下目的：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）使项目的建设符合国家经济建设和环境建设同时设计、同时施工和同时投产的</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三同时</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原则，为环保措施的落实及监督、为项目环境保护审批及环境保护竣工验收提供依据。</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）通过环境管理计划的实施，将项目对周围环境带来的不利影响减少至最低程度，使该项目的经济效益和环境效益得以协调发展。</w:t>
      </w:r>
    </w:p>
    <w:p>
      <w:pPr>
        <w:pStyle w:val="4"/>
        <w:bidi w:val="0"/>
      </w:pPr>
      <w:r>
        <w:rPr>
          <w:rFonts w:hint="default"/>
          <w:lang w:val="en-US" w:eastAsia="zh-CN"/>
        </w:rPr>
        <w:t xml:space="preserve">9.1.2 </w:t>
      </w:r>
      <w:r>
        <w:rPr>
          <w:rFonts w:hint="eastAsia"/>
          <w:lang w:val="en-US" w:eastAsia="zh-CN"/>
        </w:rPr>
        <w:t>环境管理机构的设置及职责</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国家、河南省有关环保法规和建设项目环境管理的要求，为加强该工程施工期及运行期的环境保护工作，公司现有已设置环境保护管理机构，该机构主要负责日常环境保护管理、环境污染防治设施运行和污染物达标排放、污染物排放日常监测等工作的监督考核工作。环境管理机构（安技环保部）中，有专职人员负责厂内废气、废水、噪声、固体废弃物</w:t>
      </w:r>
      <w:r>
        <w:rPr>
          <w:rFonts w:hint="eastAsia" w:ascii="宋体" w:hAnsi="宋体" w:cs="宋体"/>
          <w:color w:val="000000"/>
          <w:kern w:val="0"/>
          <w:sz w:val="24"/>
          <w:szCs w:val="24"/>
          <w:lang w:val="en-US" w:eastAsia="zh-CN" w:bidi="ar"/>
        </w:rPr>
        <w:t>以及其他</w:t>
      </w:r>
      <w:r>
        <w:rPr>
          <w:rFonts w:hint="eastAsia" w:ascii="宋体" w:hAnsi="宋体" w:eastAsia="宋体" w:cs="宋体"/>
          <w:color w:val="000000"/>
          <w:kern w:val="0"/>
          <w:sz w:val="24"/>
          <w:szCs w:val="24"/>
          <w:lang w:val="en-US" w:eastAsia="zh-CN" w:bidi="ar"/>
        </w:rPr>
        <w:t>环境管理工作；该人员是专业环保工作人员，有较强的环保知识和管理水平。本项目设置环境管理机构由专职人员进行管理。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）施工期环境管理机构职责</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根据国家有关的施工管理条例和操作规范，结合拟建工程的具体施工计划和本报告提出的污染防治措施，制定有针对性的环境保护管理办法和详细的环保管理计划，特别是制定和实施工程承包商、环保监理工程师的环境知识及环境监测培训。</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②定期对施工现场进行检查，监督施工单位对环境保护管理办法的执行情况，及时制止和纠正不符合管理办法的施工行为。</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③调查、处理施工过程中出现的扰民或污染问题。</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④为有效地控制工程施工期间的环境污染，项目在建设施工阶段，不但要对工程的施工质量、进度进行管理，同时必须对施工的文明程、环境影响减缓措施的落实情况，以及环境保护方面合同条款的执行情况进行监督检查。</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）营运期环境管理机构职责</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为防治项目建成后运行过程中的污染问题，环境管理机构的职责，具体应包括以下方面：</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①组织贯彻国家、河南省以及行业主管部门有关环境保护的法律法规、方针政策，配合当地环保部门做好本项目的环境管理工作。</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②执行上级主管部门建立的各种环境管理制度，制定相关的管理计划并切实实施。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③定期检查、维护和保养环保设备，确保其正常通行，采取积极有效的环保措施防治污染，并对环保措施的执行情况和效果进行监督检查。</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④组织有关单位或人员进行环境监测工作，建立污染源档案管理制度及监控档案制度。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⑤与环保部门配合，调查、处理与项目有关的污染事故和扰民纠纷。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⑥定期对工作人员进行培训，提高他们的能力，同时积极开展技术革新、技术交流活动，推广利用先进技术和经验，进一步改进环境管理工作。</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⑦在企业内部建立强有力的环境管理体系，将环境管理落实到车间与岗位，制定相应的操作规程、监督管理制度和奖惩制度，以保证各项环境保护措施在生产经营的各个环节得到有效执行。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⑧企业应建设并完善日常和应急监测系统，配备大气、水环境特征污染物监控设备，编制日常和应急监测方案，建立完备的环境信息平台，定期向社会公布企业环境信息，接受公众监督。企业应制定环境事故应急预案，并将突发环境事件应急预案演练和应急物资管理作为日常工作任务，不断提升环境风险防范应急保障能力并积极配合当地政府建设和完善项目所在集聚区环境风险预警体系、环境风险防控工程、环境应急保障体系。</w:t>
      </w:r>
    </w:p>
    <w:p>
      <w:pPr>
        <w:pStyle w:val="4"/>
        <w:bidi w:val="0"/>
      </w:pPr>
      <w:r>
        <w:rPr>
          <w:rFonts w:hint="default"/>
          <w:lang w:val="en-US" w:eastAsia="zh-CN"/>
        </w:rPr>
        <w:t xml:space="preserve">9.1.3 </w:t>
      </w:r>
      <w:r>
        <w:rPr>
          <w:rFonts w:hint="eastAsia"/>
          <w:lang w:val="en-US" w:eastAsia="zh-CN"/>
        </w:rPr>
        <w:t>环境保护管理机构的任务</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项目在生产运行过程中为保证环境管理系统的有效运行应制定环境管理方案。企业环境管理方案主要包括下列内容：</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）组织贯彻国家及地方的有关环保方针、政策法令和条例，搞好环境教育和技术培训，提高公司职工的环保意识和技术水平，提高污染控制的责任心。</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）制定并实施公司环境保护工作的长期规划及年度污染治理计划，严格控制</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三废</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的排放。</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）负责督促建设项目与环保设施</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三同时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的执行情况，检查企业内部各环保设施的运行情况，并定期检查维护环保设施，杜绝不达标排放。</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负责公司的所有环保设施操作规程的制定，监督环保设施的运转，对于违反操作规程而造成的环境污染事故及时进行处理，消除污染，调查事故发生原因，并对有关负责人及操作人员进行处罚，同时提出整治措施，杜绝事故再次发生。</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）领导并组织项目运行期间的环境监测工作，掌握污染动态，做好环境统计工作，建立环境监控档案。</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）负责提出、审查有关环境保护的技术改造方案和治理方案，负责提出、审查各项清洁生产方案和组织清洁生产方案的实施。</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负责对企业废水、废气排污口的规范化管理工作。建立完善的污染源档案管理制度，在排放口处设置标志牌，并注明污染物名称以警示周围群众；如实填写《中华人民共和国规范化排污口登记证》的有关内容，由环保主管部门签发登记证；</w:t>
      </w:r>
    </w:p>
    <w:p>
      <w:pPr>
        <w:keepNext w:val="0"/>
        <w:keepLines w:val="0"/>
        <w:widowControl/>
        <w:suppressLineNumbers w:val="0"/>
        <w:jc w:val="both"/>
      </w:pPr>
      <w:r>
        <w:rPr>
          <w:rFonts w:hint="eastAsia" w:ascii="宋体" w:hAnsi="宋体" w:eastAsia="宋体" w:cs="宋体"/>
          <w:color w:val="000000"/>
          <w:kern w:val="0"/>
          <w:sz w:val="24"/>
          <w:szCs w:val="24"/>
          <w:lang w:val="en-US" w:eastAsia="zh-CN" w:bidi="ar"/>
        </w:rPr>
        <w:t>把有关排污情况（如排污口的性质、编号、排污口位置及排放的主要污染物种类、数量、浓度、排放规律、排放走向、污染治理措施的运行情况）</w:t>
      </w:r>
      <w:r>
        <w:rPr>
          <w:rFonts w:hint="eastAsia" w:ascii="宋体" w:hAnsi="宋体" w:cs="宋体"/>
          <w:color w:val="000000"/>
          <w:kern w:val="0"/>
          <w:sz w:val="24"/>
          <w:szCs w:val="24"/>
          <w:lang w:val="en-US" w:eastAsia="zh-CN" w:bidi="ar"/>
        </w:rPr>
        <w:t>建档</w:t>
      </w:r>
      <w:r>
        <w:rPr>
          <w:rFonts w:hint="eastAsia" w:ascii="宋体" w:hAnsi="宋体" w:eastAsia="宋体" w:cs="宋体"/>
          <w:color w:val="000000"/>
          <w:kern w:val="0"/>
          <w:sz w:val="24"/>
          <w:szCs w:val="24"/>
          <w:lang w:val="en-US" w:eastAsia="zh-CN" w:bidi="ar"/>
        </w:rPr>
        <w:t>管理，并报送环保主管部门备案。</w:t>
      </w:r>
    </w:p>
    <w:p>
      <w:pPr>
        <w:pStyle w:val="4"/>
        <w:bidi w:val="0"/>
      </w:pPr>
      <w:r>
        <w:rPr>
          <w:rFonts w:hint="default"/>
          <w:lang w:val="en-US" w:eastAsia="zh-CN"/>
        </w:rPr>
        <w:t xml:space="preserve">9.1.4 </w:t>
      </w:r>
      <w:r>
        <w:rPr>
          <w:rFonts w:hint="eastAsia"/>
          <w:lang w:val="en-US" w:eastAsia="zh-CN"/>
        </w:rPr>
        <w:t>环境管理的原则</w:t>
      </w:r>
    </w:p>
    <w:p>
      <w:pPr>
        <w:bidi w:val="0"/>
      </w:pPr>
      <w:r>
        <w:rPr>
          <w:rFonts w:hint="eastAsia"/>
          <w:lang w:val="en-US" w:eastAsia="zh-CN"/>
        </w:rPr>
        <w:t>根据本公司自身特点和国家环境保护发展的要求，其遵循的环境管理原则是：</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）经济效益、社会效益和环境效益高度统一，坚持可持续发展的原则。</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）预防为主，管治结合的原则。</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）环保优先的原则。主要工艺设施的改造，新工艺、新技术的采用，企业发展规划的制定，坚持统筹规划、合理布局、清洁生产、集中控制和治理污染。</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）依靠科技进步，推进清洁生产，节能降耗，降低污染的原则。</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）专业环保管理与公众参与相结合的原则。加强环保宣传，提高全体员工的环境保护意识，领导重视、公众参与、齐抓共管，推动公司的环境保护工作。</w:t>
      </w:r>
    </w:p>
    <w:p>
      <w:pPr>
        <w:bidi w:val="0"/>
        <w:jc w:val="center"/>
        <w:rPr>
          <w:rFonts w:hint="eastAsia"/>
          <w:b/>
          <w:bCs/>
          <w:lang w:val="en-US" w:eastAsia="zh-CN"/>
        </w:rPr>
      </w:pPr>
      <w:r>
        <w:rPr>
          <w:rFonts w:hint="eastAsia"/>
          <w:b/>
          <w:bCs/>
          <w:lang w:val="en-US" w:eastAsia="zh-CN"/>
        </w:rPr>
        <w:t>表</w:t>
      </w:r>
      <w:r>
        <w:rPr>
          <w:rFonts w:hint="default"/>
          <w:b/>
          <w:bCs/>
          <w:lang w:val="en-US" w:eastAsia="zh-CN"/>
        </w:rPr>
        <w:t xml:space="preserve">9.1-1 </w:t>
      </w:r>
      <w:r>
        <w:rPr>
          <w:rFonts w:hint="eastAsia"/>
          <w:b/>
          <w:bCs/>
          <w:lang w:val="en-US" w:eastAsia="zh-CN"/>
        </w:rPr>
        <w:t xml:space="preserve"> 项目全过程环境管理计划一览表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7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运行时段</w:t>
            </w:r>
          </w:p>
        </w:tc>
        <w:tc>
          <w:tcPr>
            <w:tcW w:w="792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管理计划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筹备期</w:t>
            </w:r>
          </w:p>
        </w:tc>
        <w:tc>
          <w:tcPr>
            <w:tcW w:w="792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pPr>
            <w:r>
              <w:rPr>
                <w:rFonts w:hint="eastAsia"/>
                <w:lang w:val="en-US" w:eastAsia="zh-CN"/>
              </w:rPr>
              <w:t>熟悉环保法律法规。</w:t>
            </w:r>
          </w:p>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审核项目准入条件，确定项目是否符合国家产业政策和环保准入条件。向环保管理部门申报建设项目，内容包括产品规模、生产工艺、采用设备，建设地点等。请有资质的正规单位进行可行性研究和初步设计，进行建设项目环境影响评价，待管理部门批准后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建设期</w:t>
            </w:r>
          </w:p>
        </w:tc>
        <w:tc>
          <w:tcPr>
            <w:tcW w:w="792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请有资质的正规单位按照设计图纸进行规范施工和全过程的施工监理、环境监理，认真执行环评提出的建设期污染治理措施。根据环评及批复的污染防治措施和“三同时”原则落实环保设施的建设。在工程投入试运行前，检查施工现场恢复情况，未恢复的及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竣工验收期</w:t>
            </w:r>
          </w:p>
        </w:tc>
        <w:tc>
          <w:tcPr>
            <w:tcW w:w="792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项目建成后，建设单位向当地环境主管部门申请建设项目排污许可证，方可进行开工作业。建设项目开车运行后，会同施工单位、设计单位、环评单位检查环保设施是否符合“三同时”原则，然后由建设单位组织建设项目竣工环保验收工作，并将建设项目竣工环保验收监测报告提交当地环境保护行政管理部门进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运行期</w:t>
            </w:r>
          </w:p>
        </w:tc>
        <w:tc>
          <w:tcPr>
            <w:tcW w:w="7929" w:type="dxa"/>
            <w:vAlign w:val="center"/>
          </w:tcPr>
          <w:p>
            <w:pPr>
              <w:pStyle w:val="30"/>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制定切实可行的环保管理制度和条例。组织开展环保宣传教育培训。把污染源监督和“三废”排放纳入日常管理工作，并落实到车间班组和岗位，进行全方位管理。实施有效的“三废”综合利用开发措施。收集整理和推广环保技术经验，及时解决运行中出现的环保问题。按照责、权、利实施奖罚制度，对违反法规和制度的行为根据情节给予处罚，对有功者给予奖励。配合当地和上级环保主管部门，认真落实国家环保法规和行政主管部门的规定。接受环保管理部门的监督监测。经常性地组织对企业职工的清洁生产教育和培训，根据企业发展状况，推进清洁生产审计按照环评及批复要求制订全厂环境监测计划，定期进行污染源和环境监测，整理分析各项监测资料，填报环境监测统计报表、环境指标考核资料，建立环保档案，掌握污染排放情况，分析变化规律。</w:t>
            </w:r>
          </w:p>
        </w:tc>
      </w:tr>
    </w:tbl>
    <w:p>
      <w:pPr>
        <w:pStyle w:val="4"/>
        <w:bidi w:val="0"/>
      </w:pPr>
      <w:r>
        <w:rPr>
          <w:rFonts w:hint="default"/>
          <w:lang w:val="en-US" w:eastAsia="zh-CN"/>
        </w:rPr>
        <w:t xml:space="preserve">9.1.5 </w:t>
      </w:r>
      <w:r>
        <w:rPr>
          <w:lang w:val="en-US" w:eastAsia="zh-CN"/>
        </w:rPr>
        <w:t>污染物排放清单及排放管理要求</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olor w:val="000000" w:themeColor="text1"/>
          <w:lang w:val="en-US"/>
          <w14:textFill>
            <w14:solidFill>
              <w14:schemeClr w14:val="tx1"/>
            </w14:solidFill>
          </w14:textFill>
        </w:rPr>
        <w:t>本项目建成后工程组成见表</w:t>
      </w:r>
      <w:r>
        <w:rPr>
          <w:rFonts w:ascii="Times New Roman" w:hAnsi="Times New Roman"/>
          <w:color w:val="000000" w:themeColor="text1"/>
          <w:lang w:val="en-US"/>
          <w14:textFill>
            <w14:solidFill>
              <w14:schemeClr w14:val="tx1"/>
            </w14:solidFill>
          </w14:textFill>
        </w:rPr>
        <w:t>9.1-2</w:t>
      </w:r>
      <w:r>
        <w:rPr>
          <w:rFonts w:hint="eastAsia" w:ascii="Times New Roman" w:hAnsi="Times New Roman"/>
          <w:color w:val="000000" w:themeColor="text1"/>
          <w:lang w:val="en-US" w:eastAsia="zh-CN"/>
          <w14:textFill>
            <w14:solidFill>
              <w14:schemeClr w14:val="tx1"/>
            </w14:solidFill>
          </w14:textFill>
        </w:rPr>
        <w:t>，</w:t>
      </w:r>
      <w:r>
        <w:rPr>
          <w:rFonts w:hint="eastAsia" w:ascii="宋体" w:hAnsi="宋体" w:eastAsia="宋体" w:cs="宋体"/>
          <w:color w:val="000000"/>
          <w:kern w:val="0"/>
          <w:sz w:val="24"/>
          <w:szCs w:val="24"/>
          <w:lang w:val="en-US" w:eastAsia="zh-CN" w:bidi="ar"/>
        </w:rPr>
        <w:t>污染物排放清单见表</w:t>
      </w:r>
      <w:r>
        <w:rPr>
          <w:rFonts w:hint="default" w:ascii="Times New Roman" w:hAnsi="Times New Roman" w:eastAsia="宋体" w:cs="Times New Roman"/>
          <w:color w:val="000000"/>
          <w:kern w:val="0"/>
          <w:sz w:val="24"/>
          <w:szCs w:val="24"/>
          <w:lang w:val="en-US" w:eastAsia="zh-CN" w:bidi="ar"/>
        </w:rPr>
        <w:t>9.1-3</w:t>
      </w:r>
      <w:r>
        <w:rPr>
          <w:rFonts w:hint="eastAsia" w:ascii="宋体" w:hAnsi="宋体" w:eastAsia="宋体" w:cs="宋体"/>
          <w:color w:val="000000"/>
          <w:kern w:val="0"/>
          <w:sz w:val="24"/>
          <w:szCs w:val="24"/>
          <w:lang w:val="en-US" w:eastAsia="zh-CN" w:bidi="ar"/>
        </w:rPr>
        <w:t>。</w:t>
      </w:r>
    </w:p>
    <w:p>
      <w:pPr>
        <w:pStyle w:val="10"/>
        <w:ind w:firstLine="482"/>
        <w:jc w:val="center"/>
        <w:rPr>
          <w:rFonts w:ascii="Times New Roman" w:hAnsi="Times New Roman"/>
          <w:b/>
          <w:bCs/>
          <w:lang w:val="en-US"/>
        </w:rPr>
      </w:pPr>
      <w:r>
        <w:rPr>
          <w:rFonts w:hint="eastAsia" w:ascii="Times New Roman" w:hAnsi="Times New Roman"/>
          <w:b/>
          <w:bCs/>
          <w:lang w:val="en-US"/>
        </w:rPr>
        <w:t>表</w:t>
      </w:r>
      <w:r>
        <w:rPr>
          <w:rFonts w:ascii="Times New Roman" w:hAnsi="Times New Roman"/>
          <w:b/>
          <w:bCs/>
          <w:lang w:val="en-US"/>
        </w:rPr>
        <w:t xml:space="preserve">9.1-2 </w:t>
      </w:r>
      <w:r>
        <w:rPr>
          <w:rFonts w:hint="eastAsia" w:ascii="Times New Roman" w:hAnsi="Times New Roman"/>
          <w:b/>
          <w:bCs/>
          <w:lang w:val="en-US"/>
        </w:rPr>
        <w:t xml:space="preserve"> 本项目建成后工程组成及风险防范措施表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412"/>
        <w:gridCol w:w="351"/>
        <w:gridCol w:w="1468"/>
        <w:gridCol w:w="7434"/>
        <w:gridCol w:w="1969"/>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类别</w:t>
            </w:r>
          </w:p>
        </w:tc>
        <w:tc>
          <w:tcPr>
            <w:tcW w:w="2231" w:type="dxa"/>
            <w:gridSpan w:val="3"/>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项目名称</w:t>
            </w:r>
          </w:p>
        </w:tc>
        <w:tc>
          <w:tcPr>
            <w:tcW w:w="743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工程建设内容</w:t>
            </w:r>
          </w:p>
        </w:tc>
        <w:tc>
          <w:tcPr>
            <w:tcW w:w="1969" w:type="dxa"/>
            <w:vAlign w:val="center"/>
          </w:tcPr>
          <w:p>
            <w:pPr>
              <w:keepNext w:val="0"/>
              <w:keepLines w:val="0"/>
              <w:widowControl/>
              <w:suppressLineNumbers w:val="0"/>
              <w:ind w:left="0" w:leftChars="0" w:firstLine="0" w:firstLineChars="0"/>
              <w:jc w:val="center"/>
              <w:rPr>
                <w:rFonts w:hint="eastAsia"/>
                <w:color w:val="000000" w:themeColor="text1"/>
                <w:lang w:eastAsia="zh-CN"/>
                <w14:textFill>
                  <w14:solidFill>
                    <w14:schemeClr w14:val="tx1"/>
                  </w14:solidFill>
                </w14:textFill>
              </w:rPr>
            </w:pPr>
            <w:r>
              <w:rPr>
                <w:rFonts w:hint="eastAsia" w:ascii="Times New Roman" w:hAnsi="Times New Roman" w:eastAsia="宋体" w:cstheme="minorBidi"/>
                <w:color w:val="000000" w:themeColor="text1"/>
                <w:kern w:val="2"/>
                <w:sz w:val="21"/>
                <w:szCs w:val="21"/>
                <w:lang w:val="en-US" w:eastAsia="zh-CN" w:bidi="ar"/>
                <w14:textFill>
                  <w14:solidFill>
                    <w14:schemeClr w14:val="tx1"/>
                  </w14:solidFill>
                </w14:textFill>
              </w:rPr>
              <w:t>主要风险防范措施</w:t>
            </w:r>
          </w:p>
        </w:tc>
        <w:tc>
          <w:tcPr>
            <w:tcW w:w="1464" w:type="dxa"/>
            <w:vAlign w:val="center"/>
          </w:tcPr>
          <w:p>
            <w:pPr>
              <w:keepNext w:val="0"/>
              <w:keepLines w:val="0"/>
              <w:widowControl/>
              <w:suppressLineNumbers w:val="0"/>
              <w:spacing w:line="240" w:lineRule="auto"/>
              <w:ind w:left="0" w:leftChars="0" w:firstLine="0" w:firstLineChars="0"/>
              <w:jc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向社会信息公开要求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主体工程</w:t>
            </w:r>
          </w:p>
        </w:tc>
        <w:tc>
          <w:tcPr>
            <w:tcW w:w="2231" w:type="dxa"/>
            <w:gridSpan w:val="3"/>
            <w:vAlign w:val="center"/>
          </w:tcPr>
          <w:p>
            <w:pPr>
              <w:pStyle w:val="30"/>
              <w:bidi w:val="0"/>
              <w:ind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造粒、注塑生产车间</w:t>
            </w:r>
          </w:p>
        </w:tc>
        <w:tc>
          <w:tcPr>
            <w:tcW w:w="7434" w:type="dxa"/>
            <w:vAlign w:val="center"/>
          </w:tcPr>
          <w:p>
            <w:pPr>
              <w:pStyle w:val="30"/>
              <w:bidi w:val="0"/>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钢结构，建筑面积约8200m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，内设分选、原料预处理、静电分离、造粒、注塑生产线</w:t>
            </w:r>
          </w:p>
        </w:tc>
        <w:tc>
          <w:tcPr>
            <w:tcW w:w="1969" w:type="dxa"/>
            <w:vMerge w:val="restart"/>
            <w:vAlign w:val="center"/>
          </w:tcPr>
          <w:p>
            <w:pPr>
              <w:keepNext w:val="0"/>
              <w:keepLines w:val="0"/>
              <w:widowControl/>
              <w:suppressLineNumbers w:val="0"/>
              <w:spacing w:line="240" w:lineRule="auto"/>
              <w:ind w:left="0" w:leftChars="0" w:firstLine="0" w:firstLineChars="0"/>
              <w:jc w:val="center"/>
              <w:rPr>
                <w:rFonts w:hint="eastAsia"/>
                <w:color w:val="000000" w:themeColor="text1"/>
                <w:lang w:eastAsia="zh-CN"/>
                <w14:textFill>
                  <w14:solidFill>
                    <w14:schemeClr w14:val="tx1"/>
                  </w14:solidFill>
                </w14:textFill>
              </w:rPr>
            </w:pPr>
            <w:r>
              <w:rPr>
                <w:rFonts w:hint="eastAsia" w:ascii="Times New Roman" w:hAnsi="Times New Roman" w:eastAsia="宋体" w:cs="宋体"/>
                <w:color w:val="000000"/>
                <w:kern w:val="0"/>
                <w:sz w:val="21"/>
                <w:szCs w:val="21"/>
                <w:lang w:val="en-US" w:eastAsia="zh-CN" w:bidi="ar"/>
              </w:rPr>
              <w:t>1、在各功能区安装火灾报警系统；</w:t>
            </w: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、加强污水处理、废气收集处理设施、危险废物收集、贮存设施的日常维护与巡检，保证各污染防治设施正常运行，避免非正常排放；</w:t>
            </w:r>
            <w:r>
              <w:rPr>
                <w:rFonts w:hint="default" w:ascii="Times New Roman" w:hAnsi="Times New Roman" w:eastAsia="宋体" w:cs="Times New Roman"/>
                <w:color w:val="000000"/>
                <w:kern w:val="0"/>
                <w:sz w:val="21"/>
                <w:szCs w:val="21"/>
                <w:lang w:val="en-US" w:eastAsia="zh-CN" w:bidi="ar"/>
              </w:rPr>
              <w:t>4</w:t>
            </w:r>
            <w:r>
              <w:rPr>
                <w:rFonts w:hint="eastAsia" w:ascii="Times New Roman" w:hAnsi="Times New Roman" w:eastAsia="宋体" w:cs="宋体"/>
                <w:color w:val="000000"/>
                <w:kern w:val="0"/>
                <w:sz w:val="21"/>
                <w:szCs w:val="21"/>
                <w:lang w:val="en-US" w:eastAsia="zh-CN" w:bidi="ar"/>
              </w:rPr>
              <w:t>、配备一定的环境风险应急处理物资，配备相关的设备及人员；</w:t>
            </w:r>
            <w:r>
              <w:rPr>
                <w:rFonts w:hint="default" w:ascii="Times New Roman" w:hAnsi="Times New Roman" w:eastAsia="宋体" w:cs="Times New Roman"/>
                <w:color w:val="000000"/>
                <w:kern w:val="0"/>
                <w:sz w:val="21"/>
                <w:szCs w:val="21"/>
                <w:lang w:val="en-US" w:eastAsia="zh-CN" w:bidi="ar"/>
              </w:rPr>
              <w:t>5</w:t>
            </w:r>
            <w:r>
              <w:rPr>
                <w:rFonts w:hint="eastAsia" w:ascii="Times New Roman" w:hAnsi="Times New Roman" w:eastAsia="宋体" w:cs="宋体"/>
                <w:color w:val="000000"/>
                <w:kern w:val="0"/>
                <w:sz w:val="21"/>
                <w:szCs w:val="21"/>
                <w:lang w:val="en-US" w:eastAsia="zh-CN" w:bidi="ar"/>
              </w:rPr>
              <w:t>、应急预案应根据实际变化情况进行修订，并根据环保应急预案要求定期演练；</w:t>
            </w:r>
            <w:r>
              <w:rPr>
                <w:rFonts w:hint="default" w:ascii="Times New Roman" w:hAnsi="Times New Roman" w:eastAsia="宋体" w:cs="Times New Roman"/>
                <w:color w:val="000000"/>
                <w:kern w:val="0"/>
                <w:sz w:val="21"/>
                <w:szCs w:val="21"/>
                <w:lang w:val="en-US" w:eastAsia="zh-CN" w:bidi="ar"/>
              </w:rPr>
              <w:t>6</w:t>
            </w:r>
            <w:r>
              <w:rPr>
                <w:rFonts w:hint="eastAsia" w:ascii="Times New Roman" w:hAnsi="Times New Roman" w:eastAsia="宋体" w:cs="宋体"/>
                <w:color w:val="000000"/>
                <w:kern w:val="0"/>
                <w:sz w:val="21"/>
                <w:szCs w:val="21"/>
                <w:lang w:val="en-US" w:eastAsia="zh-CN" w:bidi="ar"/>
              </w:rPr>
              <w:t>、发生环境事故时开展应急监测，根据事故类型和事故大小，确定监测布点，从发生事故开始，直至污染影响消除，方可解除监测。</w:t>
            </w:r>
          </w:p>
        </w:tc>
        <w:tc>
          <w:tcPr>
            <w:tcW w:w="1464" w:type="dxa"/>
            <w:vMerge w:val="restart"/>
            <w:vAlign w:val="center"/>
          </w:tcPr>
          <w:p>
            <w:pPr>
              <w:keepNext w:val="0"/>
              <w:keepLines w:val="0"/>
              <w:widowControl/>
              <w:suppressLineNumbers w:val="0"/>
              <w:spacing w:line="240" w:lineRule="auto"/>
              <w:ind w:left="0" w:leftChars="0" w:firstLine="0" w:firstLineChars="0"/>
              <w:jc w:val="center"/>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根据《环境信息公开办法（试行）》、《企业事业单位环境信息公开办法》要求向社会公开相关企业信息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231" w:type="dxa"/>
            <w:gridSpan w:val="3"/>
            <w:vAlign w:val="center"/>
          </w:tcPr>
          <w:p>
            <w:pPr>
              <w:pStyle w:val="30"/>
              <w:bidi w:val="0"/>
              <w:ind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破碎清洗脱水车间</w:t>
            </w:r>
          </w:p>
        </w:tc>
        <w:tc>
          <w:tcPr>
            <w:tcW w:w="7434" w:type="dxa"/>
            <w:vAlign w:val="center"/>
          </w:tcPr>
          <w:p>
            <w:pPr>
              <w:pStyle w:val="30"/>
              <w:bidi w:val="0"/>
              <w:ind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钢结构，建筑面积约1800m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，内设主要为破碎清洗车间和半成品暂存区</w:t>
            </w:r>
          </w:p>
        </w:tc>
        <w:tc>
          <w:tcPr>
            <w:tcW w:w="1969"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预留生产车间</w:t>
            </w:r>
          </w:p>
        </w:tc>
        <w:tc>
          <w:tcPr>
            <w:tcW w:w="7434" w:type="dxa"/>
            <w:vAlign w:val="center"/>
          </w:tcPr>
          <w:p>
            <w:pPr>
              <w:pStyle w:val="30"/>
              <w:bidi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钢结构，两栋，建筑面积约4000m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和5500m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，主要预留生产车间</w:t>
            </w:r>
          </w:p>
        </w:tc>
        <w:tc>
          <w:tcPr>
            <w:tcW w:w="1969"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c>
          <w:tcPr>
            <w:tcW w:w="1464"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辅助工程</w:t>
            </w:r>
          </w:p>
        </w:tc>
        <w:tc>
          <w:tcPr>
            <w:tcW w:w="2231" w:type="dxa"/>
            <w:gridSpan w:val="3"/>
            <w:vAlign w:val="center"/>
          </w:tcPr>
          <w:p>
            <w:pPr>
              <w:pStyle w:val="30"/>
              <w:bidi w:val="0"/>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办公楼</w:t>
            </w:r>
          </w:p>
        </w:tc>
        <w:tc>
          <w:tcPr>
            <w:tcW w:w="7434" w:type="dxa"/>
            <w:vAlign w:val="center"/>
          </w:tcPr>
          <w:p>
            <w:pPr>
              <w:pStyle w:val="30"/>
              <w:bidi w:val="0"/>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厂区东侧，建筑面积约</w:t>
            </w:r>
            <w:r>
              <w:rPr>
                <w:rFonts w:hint="eastAsia"/>
                <w:color w:val="000000" w:themeColor="text1"/>
                <w:lang w:val="en-US" w:eastAsia="zh-CN"/>
                <w14:textFill>
                  <w14:solidFill>
                    <w14:schemeClr w14:val="tx1"/>
                  </w14:solidFill>
                </w14:textFill>
              </w:rPr>
              <w:t>300m</w:t>
            </w:r>
            <w:r>
              <w:rPr>
                <w:rFonts w:hint="eastAsia"/>
                <w:color w:val="000000" w:themeColor="text1"/>
                <w:vertAlign w:val="superscript"/>
                <w:lang w:val="en-US" w:eastAsia="zh-CN"/>
                <w14:textFill>
                  <w14:solidFill>
                    <w14:schemeClr w14:val="tx1"/>
                  </w14:solidFill>
                </w14:textFill>
              </w:rPr>
              <w:t>2</w:t>
            </w:r>
          </w:p>
        </w:tc>
        <w:tc>
          <w:tcPr>
            <w:tcW w:w="1969"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c>
          <w:tcPr>
            <w:tcW w:w="1464"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w:t>
            </w:r>
          </w:p>
        </w:tc>
        <w:tc>
          <w:tcPr>
            <w:tcW w:w="7434" w:type="dxa"/>
            <w:vAlign w:val="center"/>
          </w:tcPr>
          <w:p>
            <w:pPr>
              <w:pStyle w:val="30"/>
              <w:bidi w:val="0"/>
              <w:ind w:firstLine="0" w:firstLineChars="0"/>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厂区东南角，建筑面积</w:t>
            </w:r>
            <w:r>
              <w:rPr>
                <w:rFonts w:hint="eastAsia"/>
                <w:color w:val="000000" w:themeColor="text1"/>
                <w:lang w:val="en-US" w:eastAsia="zh-CN"/>
                <w14:textFill>
                  <w14:solidFill>
                    <w14:schemeClr w14:val="tx1"/>
                  </w14:solidFill>
                </w14:textFill>
              </w:rPr>
              <w:t>200m</w:t>
            </w:r>
            <w:r>
              <w:rPr>
                <w:rFonts w:hint="eastAsia"/>
                <w:color w:val="000000" w:themeColor="text1"/>
                <w:vertAlign w:val="superscript"/>
                <w:lang w:val="en-US" w:eastAsia="zh-CN"/>
                <w14:textFill>
                  <w14:solidFill>
                    <w14:schemeClr w14:val="tx1"/>
                  </w14:solidFill>
                </w14:textFill>
              </w:rPr>
              <w:t>2</w:t>
            </w:r>
          </w:p>
        </w:tc>
        <w:tc>
          <w:tcPr>
            <w:tcW w:w="1969"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c>
          <w:tcPr>
            <w:tcW w:w="1464" w:type="dxa"/>
            <w:vMerge w:val="continue"/>
            <w:vAlign w:val="center"/>
          </w:tcPr>
          <w:p>
            <w:pPr>
              <w:pStyle w:val="30"/>
              <w:bidi w:val="0"/>
              <w:jc w:val="center"/>
              <w:rPr>
                <w:rFonts w:hint="eastAsia" w:eastAsia="宋体"/>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ind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门卫室</w:t>
            </w:r>
          </w:p>
        </w:tc>
        <w:tc>
          <w:tcPr>
            <w:tcW w:w="7434" w:type="dxa"/>
            <w:vAlign w:val="center"/>
          </w:tcPr>
          <w:p>
            <w:pPr>
              <w:pStyle w:val="30"/>
              <w:bidi w:val="0"/>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厂区南侧，建筑面积</w:t>
            </w:r>
            <w:r>
              <w:rPr>
                <w:rFonts w:hint="eastAsia"/>
                <w:color w:val="000000" w:themeColor="text1"/>
                <w:lang w:val="en-US" w:eastAsia="zh-CN"/>
                <w14:textFill>
                  <w14:solidFill>
                    <w14:schemeClr w14:val="tx1"/>
                  </w14:solidFill>
                </w14:textFill>
              </w:rPr>
              <w:t>30m</w:t>
            </w:r>
            <w:r>
              <w:rPr>
                <w:rFonts w:hint="eastAsia"/>
                <w:color w:val="000000" w:themeColor="text1"/>
                <w:vertAlign w:val="superscript"/>
                <w:lang w:val="en-US" w:eastAsia="zh-CN"/>
                <w14:textFill>
                  <w14:solidFill>
                    <w14:schemeClr w14:val="tx1"/>
                  </w14:solidFill>
                </w14:textFill>
              </w:rPr>
              <w:t>2</w:t>
            </w:r>
          </w:p>
        </w:tc>
        <w:tc>
          <w:tcPr>
            <w:tcW w:w="1969" w:type="dxa"/>
            <w:vMerge w:val="continue"/>
            <w:vAlign w:val="center"/>
          </w:tcPr>
          <w:p>
            <w:pPr>
              <w:pStyle w:val="30"/>
              <w:bidi w:val="0"/>
              <w:jc w:val="center"/>
              <w:rPr>
                <w:color w:val="000000" w:themeColor="text1"/>
                <w14:textFill>
                  <w14:solidFill>
                    <w14:schemeClr w14:val="tx1"/>
                  </w14:solidFill>
                </w14:textFill>
              </w:rPr>
            </w:pPr>
          </w:p>
        </w:tc>
        <w:tc>
          <w:tcPr>
            <w:tcW w:w="1464" w:type="dxa"/>
            <w:vMerge w:val="continue"/>
            <w:vAlign w:val="center"/>
          </w:tcPr>
          <w:p>
            <w:pPr>
              <w:pStyle w:val="30"/>
              <w:bidi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公用工程</w:t>
            </w:r>
          </w:p>
        </w:tc>
        <w:tc>
          <w:tcPr>
            <w:tcW w:w="2231" w:type="dxa"/>
            <w:gridSpan w:val="3"/>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用水</w:t>
            </w:r>
          </w:p>
        </w:tc>
        <w:tc>
          <w:tcPr>
            <w:tcW w:w="743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厂区自备水井，用于员工生活用水，食堂用水、原料清洗用水，循环冷却水、喷淋塔用水。</w:t>
            </w:r>
          </w:p>
        </w:tc>
        <w:tc>
          <w:tcPr>
            <w:tcW w:w="1969"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c>
          <w:tcPr>
            <w:tcW w:w="1464"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排水</w:t>
            </w:r>
          </w:p>
        </w:tc>
        <w:tc>
          <w:tcPr>
            <w:tcW w:w="7434"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u w:val="single"/>
                <w:lang w:eastAsia="zh-CN"/>
                <w14:textFill>
                  <w14:solidFill>
                    <w14:schemeClr w14:val="tx1"/>
                  </w14:solidFill>
                </w14:textFill>
              </w:rPr>
              <w:t>食堂用水经隔油池处理后，进入化粪池，与生活用水一起定期清掏肥田。原料清洗废水、冷却循环废水很喷淋塔废水经污水处理设施处理后回用。</w:t>
            </w:r>
          </w:p>
        </w:tc>
        <w:tc>
          <w:tcPr>
            <w:tcW w:w="1969"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c>
          <w:tcPr>
            <w:tcW w:w="1464"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用电</w:t>
            </w:r>
          </w:p>
        </w:tc>
        <w:tc>
          <w:tcPr>
            <w:tcW w:w="743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当地电网引入</w:t>
            </w:r>
          </w:p>
        </w:tc>
        <w:tc>
          <w:tcPr>
            <w:tcW w:w="1969"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c>
          <w:tcPr>
            <w:tcW w:w="1464"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2231" w:type="dxa"/>
            <w:gridSpan w:val="3"/>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供热</w:t>
            </w:r>
          </w:p>
        </w:tc>
        <w:tc>
          <w:tcPr>
            <w:tcW w:w="743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电采暖</w:t>
            </w:r>
          </w:p>
        </w:tc>
        <w:tc>
          <w:tcPr>
            <w:tcW w:w="1969"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c>
          <w:tcPr>
            <w:tcW w:w="1464" w:type="dxa"/>
            <w:vMerge w:val="continue"/>
            <w:vAlign w:val="center"/>
          </w:tcPr>
          <w:p>
            <w:pPr>
              <w:pStyle w:val="30"/>
              <w:bidi w:val="0"/>
              <w:jc w:val="center"/>
              <w:rPr>
                <w:rFonts w:hint="default"/>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restart"/>
            <w:vAlign w:val="center"/>
          </w:tcPr>
          <w:p>
            <w:pPr>
              <w:pStyle w:val="30"/>
              <w:bidi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环保工程</w:t>
            </w:r>
          </w:p>
        </w:tc>
        <w:tc>
          <w:tcPr>
            <w:tcW w:w="763" w:type="dxa"/>
            <w:gridSpan w:val="2"/>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废气治理</w:t>
            </w:r>
          </w:p>
        </w:tc>
        <w:tc>
          <w:tcPr>
            <w:tcW w:w="1468" w:type="dxa"/>
            <w:vAlign w:val="center"/>
          </w:tcPr>
          <w:p>
            <w:pPr>
              <w:pStyle w:val="30"/>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破碎粉尘</w:t>
            </w:r>
          </w:p>
        </w:tc>
        <w:tc>
          <w:tcPr>
            <w:tcW w:w="7434" w:type="dxa"/>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破碎工序车间内二次密闭+袋式除尘器+15m排气筒</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763" w:type="dxa"/>
            <w:gridSpan w:val="2"/>
            <w:vMerge w:val="continue"/>
            <w:vAlign w:val="center"/>
          </w:tcPr>
          <w:p>
            <w:pPr>
              <w:pStyle w:val="30"/>
              <w:bidi w:val="0"/>
              <w:jc w:val="center"/>
              <w:rPr>
                <w:color w:val="000000" w:themeColor="text1"/>
                <w14:textFill>
                  <w14:solidFill>
                    <w14:schemeClr w14:val="tx1"/>
                  </w14:solidFill>
                </w14:textFill>
              </w:rPr>
            </w:pPr>
          </w:p>
        </w:tc>
        <w:tc>
          <w:tcPr>
            <w:tcW w:w="1468" w:type="dxa"/>
            <w:vAlign w:val="center"/>
          </w:tcPr>
          <w:p>
            <w:pPr>
              <w:pStyle w:val="30"/>
              <w:bidi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造粒废气</w:t>
            </w:r>
          </w:p>
        </w:tc>
        <w:tc>
          <w:tcPr>
            <w:tcW w:w="7434" w:type="dxa"/>
            <w:vAlign w:val="center"/>
          </w:tcPr>
          <w:p>
            <w:pPr>
              <w:pStyle w:val="30"/>
              <w:bidi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造粒</w:t>
            </w:r>
            <w:r>
              <w:rPr>
                <w:rFonts w:hint="eastAsia"/>
                <w:color w:val="000000" w:themeColor="text1"/>
                <w:sz w:val="21"/>
                <w:szCs w:val="21"/>
                <w:lang w:val="en-US" w:eastAsia="zh-CN"/>
                <w14:textFill>
                  <w14:solidFill>
                    <w14:schemeClr w14:val="tx1"/>
                  </w14:solidFill>
                </w14:textFill>
              </w:rPr>
              <w:t>工序车间内二次密闭+</w:t>
            </w:r>
            <w:r>
              <w:rPr>
                <w:rFonts w:hint="eastAsia"/>
                <w:color w:val="000000" w:themeColor="text1"/>
                <w:sz w:val="21"/>
                <w:szCs w:val="21"/>
                <w:lang w:eastAsia="zh-CN"/>
                <w14:textFill>
                  <w14:solidFill>
                    <w14:schemeClr w14:val="tx1"/>
                  </w14:solidFill>
                </w14:textFill>
              </w:rPr>
              <w:t>喷淋塔</w:t>
            </w:r>
            <w:r>
              <w:rPr>
                <w:rFonts w:hint="eastAsia"/>
                <w:color w:val="000000" w:themeColor="text1"/>
                <w:sz w:val="21"/>
                <w:szCs w:val="21"/>
                <w:lang w:val="en-US" w:eastAsia="zh-CN"/>
                <w14:textFill>
                  <w14:solidFill>
                    <w14:schemeClr w14:val="tx1"/>
                  </w14:solidFill>
                </w14:textFill>
              </w:rPr>
              <w:t>+吸附浓缩+催化燃烧+15m排气筒；配套在线监测设施</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63" w:type="dxa"/>
            <w:gridSpan w:val="2"/>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46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注塑废气</w:t>
            </w:r>
          </w:p>
        </w:tc>
        <w:tc>
          <w:tcPr>
            <w:tcW w:w="7434"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注塑</w:t>
            </w:r>
            <w:r>
              <w:rPr>
                <w:rFonts w:hint="eastAsia"/>
                <w:color w:val="000000" w:themeColor="text1"/>
                <w:sz w:val="21"/>
                <w:szCs w:val="21"/>
                <w:lang w:val="en-US" w:eastAsia="zh-CN"/>
                <w14:textFill>
                  <w14:solidFill>
                    <w14:schemeClr w14:val="tx1"/>
                  </w14:solidFill>
                </w14:textFill>
              </w:rPr>
              <w:t>工序车间内二次密闭+吸附浓缩+催化燃烧</w:t>
            </w:r>
            <w:r>
              <w:rPr>
                <w:rFonts w:hint="eastAsia"/>
                <w:color w:val="000000" w:themeColor="text1"/>
                <w:lang w:val="en-US" w:eastAsia="zh-CN"/>
                <w14:textFill>
                  <w14:solidFill>
                    <w14:schemeClr w14:val="tx1"/>
                  </w14:solidFill>
                </w14:textFill>
              </w:rPr>
              <w:t>+15m排气筒</w:t>
            </w:r>
            <w:r>
              <w:rPr>
                <w:rFonts w:hint="eastAsia"/>
                <w:color w:val="000000" w:themeColor="text1"/>
                <w:sz w:val="21"/>
                <w:szCs w:val="21"/>
                <w:lang w:val="en-US" w:eastAsia="zh-CN"/>
                <w14:textFill>
                  <w14:solidFill>
                    <w14:schemeClr w14:val="tx1"/>
                  </w14:solidFill>
                </w14:textFill>
              </w:rPr>
              <w:t>；配套在线监测设施</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63" w:type="dxa"/>
            <w:gridSpan w:val="2"/>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46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食堂油烟</w:t>
            </w:r>
          </w:p>
        </w:tc>
        <w:tc>
          <w:tcPr>
            <w:tcW w:w="7434" w:type="dxa"/>
            <w:vAlign w:val="center"/>
          </w:tcPr>
          <w:p>
            <w:pPr>
              <w:pStyle w:val="30"/>
              <w:bidi w:val="0"/>
              <w:spacing w:line="240" w:lineRule="auto"/>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安装油烟净化器，净化后经排气筒排放</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63" w:type="dxa"/>
            <w:gridSpan w:val="2"/>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46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lang w:eastAsia="zh-CN"/>
              </w:rPr>
              <w:t>污水处理站废气</w:t>
            </w:r>
          </w:p>
        </w:tc>
        <w:tc>
          <w:tcPr>
            <w:tcW w:w="74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lang w:eastAsia="zh-CN"/>
              </w:rPr>
              <w:t>二级活性炭吸附</w:t>
            </w:r>
            <w:r>
              <w:t>、加盖</w:t>
            </w:r>
            <w:r>
              <w:rPr>
                <w:rFonts w:hint="eastAsia"/>
                <w:lang w:val="en-US" w:eastAsia="zh-CN"/>
              </w:rPr>
              <w:t>+15m高排气筒</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231" w:type="dxa"/>
            <w:gridSpan w:val="3"/>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废水</w:t>
            </w:r>
          </w:p>
        </w:tc>
        <w:tc>
          <w:tcPr>
            <w:tcW w:w="7434" w:type="dxa"/>
            <w:vAlign w:val="center"/>
          </w:tcPr>
          <w:p>
            <w:pPr>
              <w:pStyle w:val="19"/>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设化粪池供员工使用，定期清掏做农肥，不外排；餐饮废水经隔油池处理后进入化粪池，与生活污水一起清掏肥田。清洗废水、冷却循环废水和喷淋塔废水经污水处理设施处理后作为原料清洗水循环使用。</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63" w:type="dxa"/>
            <w:gridSpan w:val="2"/>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tc>
        <w:tc>
          <w:tcPr>
            <w:tcW w:w="146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生活垃圾</w:t>
            </w:r>
          </w:p>
        </w:tc>
        <w:tc>
          <w:tcPr>
            <w:tcW w:w="7434" w:type="dxa"/>
            <w:vAlign w:val="center"/>
          </w:tcPr>
          <w:p>
            <w:pPr>
              <w:pStyle w:val="30"/>
              <w:bidi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垃圾桶</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763" w:type="dxa"/>
            <w:gridSpan w:val="2"/>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46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一般固废</w:t>
            </w:r>
          </w:p>
        </w:tc>
        <w:tc>
          <w:tcPr>
            <w:tcW w:w="7434"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一般固废暂存间</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11" w:type="dxa"/>
            <w:vMerge w:val="continue"/>
            <w:vAlign w:val="center"/>
          </w:tcPr>
          <w:p>
            <w:pPr>
              <w:pStyle w:val="30"/>
              <w:bidi w:val="0"/>
              <w:jc w:val="center"/>
              <w:rPr>
                <w:color w:val="000000" w:themeColor="text1"/>
                <w14:textFill>
                  <w14:solidFill>
                    <w14:schemeClr w14:val="tx1"/>
                  </w14:solidFill>
                </w14:textFill>
              </w:rPr>
            </w:pPr>
          </w:p>
        </w:tc>
        <w:tc>
          <w:tcPr>
            <w:tcW w:w="763" w:type="dxa"/>
            <w:gridSpan w:val="2"/>
            <w:vMerge w:val="continue"/>
            <w:vAlign w:val="center"/>
          </w:tcPr>
          <w:p>
            <w:pPr>
              <w:pStyle w:val="30"/>
              <w:bidi w:val="0"/>
              <w:jc w:val="center"/>
              <w:rPr>
                <w:color w:val="000000" w:themeColor="text1"/>
                <w14:textFill>
                  <w14:solidFill>
                    <w14:schemeClr w14:val="tx1"/>
                  </w14:solidFill>
                </w14:textFill>
              </w:rPr>
            </w:pPr>
          </w:p>
        </w:tc>
        <w:tc>
          <w:tcPr>
            <w:tcW w:w="1468"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危险废物</w:t>
            </w:r>
          </w:p>
        </w:tc>
        <w:tc>
          <w:tcPr>
            <w:tcW w:w="7434" w:type="dxa"/>
            <w:vAlign w:val="center"/>
          </w:tcPr>
          <w:p>
            <w:pPr>
              <w:pStyle w:val="30"/>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危废暂存间暂存后定期交有资质单位处理</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231" w:type="dxa"/>
            <w:gridSpan w:val="3"/>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tc>
        <w:tc>
          <w:tcPr>
            <w:tcW w:w="7434" w:type="dxa"/>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设备隔声、减振</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412" w:type="dxa"/>
            <w:vMerge w:val="restart"/>
            <w:vAlign w:val="center"/>
          </w:tcPr>
          <w:p>
            <w:pPr>
              <w:pStyle w:val="30"/>
              <w:bidi w:val="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地下水</w:t>
            </w:r>
          </w:p>
        </w:tc>
        <w:tc>
          <w:tcPr>
            <w:tcW w:w="1819" w:type="dxa"/>
            <w:gridSpan w:val="2"/>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lang w:eastAsia="zh-CN"/>
              </w:rPr>
              <w:t>一般区域</w:t>
            </w:r>
          </w:p>
        </w:tc>
        <w:tc>
          <w:tcPr>
            <w:tcW w:w="74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t>水泥硬化，防腐防渗</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412"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1819" w:type="dxa"/>
            <w:gridSpan w:val="2"/>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t>危废暂存间</w:t>
            </w:r>
          </w:p>
        </w:tc>
        <w:tc>
          <w:tcPr>
            <w:tcW w:w="74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t>防渗措施等效黏土防渗层Mb≥1.5m，K≤1.0×10</w:t>
            </w:r>
            <w:r>
              <w:rPr>
                <w:vertAlign w:val="superscript"/>
              </w:rPr>
              <w:t>-7</w:t>
            </w:r>
            <w:r>
              <w:t>cm/s；或参照GB16889，执行加强管理</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continue"/>
            <w:vAlign w:val="center"/>
          </w:tcPr>
          <w:p>
            <w:pPr>
              <w:pStyle w:val="30"/>
              <w:bidi w:val="0"/>
              <w:jc w:val="center"/>
              <w:rPr>
                <w:rFonts w:hint="eastAsia"/>
                <w:color w:val="000000" w:themeColor="text1"/>
                <w:lang w:eastAsia="zh-CN"/>
                <w14:textFill>
                  <w14:solidFill>
                    <w14:schemeClr w14:val="tx1"/>
                  </w14:solidFill>
                </w14:textFill>
              </w:rPr>
            </w:pPr>
          </w:p>
        </w:tc>
        <w:tc>
          <w:tcPr>
            <w:tcW w:w="2231"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color w:val="000000" w:themeColor="text1"/>
                <w:lang w:eastAsia="zh-CN"/>
                <w14:textFill>
                  <w14:solidFill>
                    <w14:schemeClr w14:val="tx1"/>
                  </w14:solidFill>
                </w14:textFill>
              </w:rPr>
              <w:t>环境风险</w:t>
            </w:r>
          </w:p>
        </w:tc>
        <w:tc>
          <w:tcPr>
            <w:tcW w:w="74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lang w:eastAsia="zh-CN"/>
              </w:rPr>
              <w:t>应急事故池</w:t>
            </w:r>
          </w:p>
        </w:tc>
        <w:tc>
          <w:tcPr>
            <w:tcW w:w="1969"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c>
          <w:tcPr>
            <w:tcW w:w="1464" w:type="dxa"/>
            <w:vMerge w:val="continue"/>
            <w:vAlign w:val="center"/>
          </w:tcPr>
          <w:p>
            <w:pPr>
              <w:pStyle w:val="30"/>
              <w:bidi w:val="0"/>
              <w:spacing w:line="240" w:lineRule="auto"/>
              <w:jc w:val="center"/>
              <w:rPr>
                <w:rFonts w:hint="eastAsia"/>
                <w:color w:val="000000" w:themeColor="text1"/>
                <w:lang w:eastAsia="zh-CN"/>
                <w14:textFill>
                  <w14:solidFill>
                    <w14:schemeClr w14:val="tx1"/>
                  </w14:solidFill>
                </w14:textFill>
              </w:rPr>
            </w:pPr>
          </w:p>
        </w:tc>
      </w:tr>
    </w:tbl>
    <w:p>
      <w:pPr>
        <w:bidi w:val="0"/>
        <w:jc w:val="center"/>
        <w:rPr>
          <w:b/>
          <w:bCs/>
        </w:rPr>
      </w:pPr>
      <w:r>
        <w:rPr>
          <w:b/>
          <w:bCs/>
          <w:lang w:val="en-US" w:eastAsia="zh-CN"/>
        </w:rPr>
        <w:t>表</w:t>
      </w:r>
      <w:r>
        <w:rPr>
          <w:rFonts w:hint="default"/>
          <w:b/>
          <w:bCs/>
          <w:lang w:val="en-US" w:eastAsia="zh-CN"/>
        </w:rPr>
        <w:t>9.</w:t>
      </w:r>
      <w:r>
        <w:rPr>
          <w:rFonts w:hint="eastAsia"/>
          <w:b/>
          <w:bCs/>
          <w:lang w:val="en-US" w:eastAsia="zh-CN"/>
        </w:rPr>
        <w:t>1</w:t>
      </w:r>
      <w:r>
        <w:rPr>
          <w:rFonts w:hint="default"/>
          <w:b/>
          <w:bCs/>
          <w:lang w:val="en-US" w:eastAsia="zh-CN"/>
        </w:rPr>
        <w:t>-</w:t>
      </w:r>
      <w:r>
        <w:rPr>
          <w:rFonts w:hint="eastAsia"/>
          <w:b/>
          <w:bCs/>
          <w:lang w:val="en-US" w:eastAsia="zh-CN"/>
        </w:rPr>
        <w:t>3  本项目污染源排放清单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04"/>
        <w:gridCol w:w="1373"/>
        <w:gridCol w:w="906"/>
        <w:gridCol w:w="918"/>
        <w:gridCol w:w="1605"/>
        <w:gridCol w:w="861"/>
        <w:gridCol w:w="819"/>
        <w:gridCol w:w="867"/>
        <w:gridCol w:w="1134"/>
        <w:gridCol w:w="1098"/>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污染物类别</w:t>
            </w: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产污点</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治理措施相关参数</w:t>
            </w:r>
          </w:p>
        </w:tc>
        <w:tc>
          <w:tcPr>
            <w:tcW w:w="906"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污染物</w:t>
            </w:r>
          </w:p>
        </w:tc>
        <w:tc>
          <w:tcPr>
            <w:tcW w:w="2523" w:type="dxa"/>
            <w:gridSpan w:val="2"/>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排气筒参数</w:t>
            </w:r>
          </w:p>
        </w:tc>
        <w:tc>
          <w:tcPr>
            <w:tcW w:w="254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排放情况</w:t>
            </w:r>
          </w:p>
        </w:tc>
        <w:tc>
          <w:tcPr>
            <w:tcW w:w="5099"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许可排放情况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906"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91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lang w:val="en-US" w:eastAsia="zh-CN"/>
              </w:rPr>
              <w:t>排气量</w:t>
            </w:r>
          </w:p>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t>m</w:t>
            </w:r>
            <w:r>
              <w:rPr>
                <w:rFonts w:hint="default"/>
                <w:vertAlign w:val="superscript"/>
                <w:lang w:val="en-US" w:eastAsia="zh-CN"/>
              </w:rPr>
              <w:t>3</w:t>
            </w:r>
            <w:r>
              <w:rPr>
                <w:rFonts w:hint="default"/>
                <w:lang w:val="en-US" w:eastAsia="zh-CN"/>
              </w:rPr>
              <w:t>/h</w:t>
            </w:r>
          </w:p>
        </w:tc>
        <w:tc>
          <w:tcPr>
            <w:tcW w:w="160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排气筒参数</w:t>
            </w:r>
            <w:r>
              <w:rPr>
                <w:rFonts w:hint="default"/>
                <w:lang w:val="en-US" w:eastAsia="zh-CN"/>
              </w:rPr>
              <w:t>(</w:t>
            </w:r>
            <w:r>
              <w:rPr>
                <w:rFonts w:hint="eastAsia"/>
                <w:lang w:val="en-US" w:eastAsia="zh-CN"/>
              </w:rPr>
              <w:t>高度</w:t>
            </w:r>
            <w:r>
              <w:rPr>
                <w:rFonts w:hint="default"/>
                <w:lang w:val="en-US" w:eastAsia="zh-CN"/>
              </w:rPr>
              <w:t>m/</w:t>
            </w:r>
            <w:r>
              <w:rPr>
                <w:rFonts w:hint="eastAsia"/>
                <w:lang w:val="en-US" w:eastAsia="zh-CN"/>
              </w:rPr>
              <w:t>内径</w:t>
            </w:r>
            <w:r>
              <w:rPr>
                <w:rFonts w:hint="default"/>
                <w:lang w:val="en-US" w:eastAsia="zh-CN"/>
              </w:rPr>
              <w:t>m)</w:t>
            </w:r>
          </w:p>
        </w:tc>
        <w:tc>
          <w:tcPr>
            <w:tcW w:w="86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浓度</w:t>
            </w:r>
            <w:r>
              <w:rPr>
                <w:rFonts w:hint="default"/>
                <w:lang w:val="en-US" w:eastAsia="zh-CN"/>
              </w:rPr>
              <w:t>mg/m</w:t>
            </w:r>
            <w:r>
              <w:rPr>
                <w:rFonts w:hint="default"/>
                <w:vertAlign w:val="superscript"/>
                <w:lang w:val="en-US" w:eastAsia="zh-CN"/>
              </w:rPr>
              <w:t>3</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速率</w:t>
            </w:r>
            <w:r>
              <w:rPr>
                <w:rFonts w:hint="default"/>
                <w:lang w:val="en-US" w:eastAsia="zh-CN"/>
              </w:rPr>
              <w:t>kg/h</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排放量t/a</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浓度</w:t>
            </w:r>
            <w:r>
              <w:rPr>
                <w:rFonts w:hint="default"/>
                <w:lang w:val="en-US" w:eastAsia="zh-CN"/>
              </w:rPr>
              <w:t>mg/m</w:t>
            </w:r>
            <w:r>
              <w:rPr>
                <w:rFonts w:hint="default"/>
                <w:vertAlign w:val="superscript"/>
                <w:lang w:val="en-US" w:eastAsia="zh-CN"/>
              </w:rPr>
              <w:t>3</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速率</w:t>
            </w:r>
            <w:r>
              <w:rPr>
                <w:rFonts w:hint="default"/>
                <w:lang w:val="en-US" w:eastAsia="zh-CN"/>
              </w:rPr>
              <w:t>kg/h</w:t>
            </w:r>
          </w:p>
        </w:tc>
        <w:tc>
          <w:tcPr>
            <w:tcW w:w="2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废气</w:t>
            </w:r>
          </w:p>
        </w:tc>
        <w:tc>
          <w:tcPr>
            <w:tcW w:w="110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粉碎</w:t>
            </w:r>
          </w:p>
        </w:tc>
        <w:tc>
          <w:tcPr>
            <w:tcW w:w="1373" w:type="dxa"/>
            <w:vAlign w:val="center"/>
          </w:tcPr>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lang w:val="en-US" w:eastAsia="zh-CN"/>
              </w:rPr>
            </w:pPr>
            <w:r>
              <w:rPr>
                <w:rFonts w:hint="eastAsia"/>
                <w:color w:val="000000" w:themeColor="text1"/>
                <w:sz w:val="21"/>
                <w:szCs w:val="21"/>
                <w:lang w:val="en-US" w:eastAsia="zh-CN"/>
                <w14:textFill>
                  <w14:solidFill>
                    <w14:schemeClr w14:val="tx1"/>
                  </w14:solidFill>
                </w14:textFill>
              </w:rPr>
              <w:t>袋式除尘器</w:t>
            </w:r>
          </w:p>
        </w:tc>
        <w:tc>
          <w:tcPr>
            <w:tcW w:w="906" w:type="dxa"/>
            <w:vAlign w:val="center"/>
          </w:tcPr>
          <w:p>
            <w:pPr>
              <w:pStyle w:val="30"/>
              <w:ind w:firstLine="0" w:firstLineChars="0"/>
              <w:rPr>
                <w:rFonts w:hint="default"/>
                <w:lang w:val="en-US" w:eastAsia="zh-CN"/>
              </w:rPr>
            </w:pPr>
            <w:r>
              <w:rPr>
                <w:rFonts w:hint="eastAsia"/>
                <w:lang w:eastAsia="zh-CN"/>
              </w:rPr>
              <w:t>颗粒物</w:t>
            </w:r>
          </w:p>
        </w:tc>
        <w:tc>
          <w:tcPr>
            <w:tcW w:w="91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10000</w:t>
            </w:r>
          </w:p>
        </w:tc>
        <w:tc>
          <w:tcPr>
            <w:tcW w:w="160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15/0.3</w:t>
            </w:r>
          </w:p>
        </w:tc>
        <w:tc>
          <w:tcPr>
            <w:tcW w:w="861" w:type="dxa"/>
            <w:vAlign w:val="center"/>
          </w:tcPr>
          <w:p>
            <w:pPr>
              <w:pStyle w:val="30"/>
              <w:ind w:firstLine="0" w:firstLineChars="0"/>
              <w:rPr>
                <w:rFonts w:hint="default"/>
                <w:lang w:val="en-US" w:eastAsia="zh-CN"/>
              </w:rPr>
            </w:pPr>
            <w:r>
              <w:rPr>
                <w:rFonts w:hint="eastAsia"/>
                <w:lang w:val="en-US" w:eastAsia="zh-CN"/>
              </w:rPr>
              <w:t>5.21</w:t>
            </w:r>
          </w:p>
        </w:tc>
        <w:tc>
          <w:tcPr>
            <w:tcW w:w="819" w:type="dxa"/>
            <w:vAlign w:val="center"/>
          </w:tcPr>
          <w:p>
            <w:pPr>
              <w:pStyle w:val="30"/>
              <w:ind w:firstLine="0" w:firstLineChars="0"/>
              <w:rPr>
                <w:rFonts w:hint="default"/>
                <w:lang w:val="en-US" w:eastAsia="zh-CN"/>
              </w:rPr>
            </w:pPr>
            <w:r>
              <w:rPr>
                <w:rFonts w:hint="eastAsia"/>
                <w:lang w:val="en-US" w:eastAsia="zh-CN"/>
              </w:rPr>
              <w:t>0.0521</w:t>
            </w:r>
          </w:p>
        </w:tc>
        <w:tc>
          <w:tcPr>
            <w:tcW w:w="867" w:type="dxa"/>
            <w:vAlign w:val="center"/>
          </w:tcPr>
          <w:p>
            <w:pPr>
              <w:pStyle w:val="30"/>
              <w:ind w:firstLine="0" w:firstLineChars="0"/>
              <w:rPr>
                <w:rFonts w:hint="default"/>
                <w:lang w:val="en-US" w:eastAsia="zh-CN"/>
              </w:rPr>
            </w:pPr>
            <w:r>
              <w:rPr>
                <w:rFonts w:hint="eastAsia"/>
                <w:lang w:val="en-US" w:eastAsia="zh-CN"/>
              </w:rPr>
              <w:t>0.125</w:t>
            </w:r>
          </w:p>
        </w:tc>
        <w:tc>
          <w:tcPr>
            <w:tcW w:w="1134" w:type="dxa"/>
            <w:vAlign w:val="center"/>
          </w:tcPr>
          <w:p>
            <w:pPr>
              <w:pStyle w:val="30"/>
              <w:ind w:firstLine="0" w:firstLineChars="0"/>
              <w:rPr>
                <w:rFonts w:hint="default"/>
                <w:lang w:val="en-US" w:eastAsia="zh-CN"/>
              </w:rPr>
            </w:pPr>
            <w:r>
              <w:rPr>
                <w:rFonts w:hint="eastAsia"/>
                <w:lang w:val="en-US" w:eastAsia="zh-CN"/>
              </w:rPr>
              <w:t>20</w:t>
            </w:r>
          </w:p>
        </w:tc>
        <w:tc>
          <w:tcPr>
            <w:tcW w:w="1098" w:type="dxa"/>
            <w:vAlign w:val="center"/>
          </w:tcPr>
          <w:p>
            <w:pPr>
              <w:pStyle w:val="30"/>
              <w:ind w:firstLine="0" w:firstLineChars="0"/>
              <w:rPr>
                <w:rFonts w:hint="default"/>
                <w:lang w:val="en-US" w:eastAsia="zh-CN"/>
              </w:rPr>
            </w:pPr>
            <w:r>
              <w:rPr>
                <w:rFonts w:hint="eastAsia"/>
                <w:lang w:val="en-US" w:eastAsia="zh-CN"/>
              </w:rPr>
              <w:t>3.5</w:t>
            </w:r>
          </w:p>
        </w:tc>
        <w:tc>
          <w:tcPr>
            <w:tcW w:w="2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kern w:val="0"/>
                <w:szCs w:val="21"/>
                <w:lang w:val="en-US" w:eastAsia="zh-CN" w:bidi="ar"/>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造粒</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color w:val="000000" w:themeColor="text1"/>
                <w:sz w:val="21"/>
                <w:szCs w:val="21"/>
                <w:lang w:eastAsia="zh-CN"/>
                <w14:textFill>
                  <w14:solidFill>
                    <w14:schemeClr w14:val="tx1"/>
                  </w14:solidFill>
                </w14:textFill>
              </w:rPr>
              <w:t>喷淋塔</w:t>
            </w:r>
            <w:r>
              <w:rPr>
                <w:rFonts w:hint="eastAsia"/>
                <w:color w:val="000000" w:themeColor="text1"/>
                <w:sz w:val="21"/>
                <w:szCs w:val="21"/>
                <w:lang w:val="en-US" w:eastAsia="zh-CN"/>
                <w14:textFill>
                  <w14:solidFill>
                    <w14:schemeClr w14:val="tx1"/>
                  </w14:solidFill>
                </w14:textFill>
              </w:rPr>
              <w:t>+吸附浓缩+催化燃烧</w:t>
            </w:r>
          </w:p>
        </w:tc>
        <w:tc>
          <w:tcPr>
            <w:tcW w:w="906" w:type="dxa"/>
            <w:vAlign w:val="center"/>
          </w:tcPr>
          <w:p>
            <w:pPr>
              <w:pStyle w:val="30"/>
              <w:ind w:firstLine="0" w:firstLineChars="0"/>
              <w:rPr>
                <w:rFonts w:hint="eastAsia"/>
                <w:lang w:val="en-US" w:eastAsia="zh-CN"/>
              </w:rPr>
            </w:pPr>
            <w:r>
              <w:rPr>
                <w:rFonts w:hint="eastAsia"/>
                <w:u w:val="single"/>
                <w:lang w:eastAsia="zh-CN"/>
              </w:rPr>
              <w:t>非甲烷总烃</w:t>
            </w:r>
          </w:p>
        </w:tc>
        <w:tc>
          <w:tcPr>
            <w:tcW w:w="91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10000</w:t>
            </w:r>
          </w:p>
        </w:tc>
        <w:tc>
          <w:tcPr>
            <w:tcW w:w="1605"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15/0.3</w:t>
            </w:r>
          </w:p>
        </w:tc>
        <w:tc>
          <w:tcPr>
            <w:tcW w:w="861" w:type="dxa"/>
            <w:vAlign w:val="center"/>
          </w:tcPr>
          <w:p>
            <w:pPr>
              <w:pStyle w:val="30"/>
              <w:ind w:firstLine="0" w:firstLineChars="0"/>
              <w:rPr>
                <w:rFonts w:hint="default"/>
                <w:lang w:val="en-US" w:eastAsia="zh-CN"/>
              </w:rPr>
            </w:pPr>
            <w:r>
              <w:rPr>
                <w:rFonts w:hint="eastAsia"/>
                <w:u w:val="single"/>
                <w:lang w:val="en-US" w:eastAsia="zh-CN"/>
              </w:rPr>
              <w:t>5.9</w:t>
            </w:r>
          </w:p>
        </w:tc>
        <w:tc>
          <w:tcPr>
            <w:tcW w:w="819" w:type="dxa"/>
            <w:vAlign w:val="center"/>
          </w:tcPr>
          <w:p>
            <w:pPr>
              <w:pStyle w:val="30"/>
              <w:ind w:firstLine="0" w:firstLineChars="0"/>
              <w:rPr>
                <w:rFonts w:hint="default"/>
                <w:lang w:val="en-US" w:eastAsia="zh-CN"/>
              </w:rPr>
            </w:pPr>
            <w:r>
              <w:rPr>
                <w:rFonts w:hint="eastAsia"/>
                <w:u w:val="single"/>
                <w:lang w:val="en-US" w:eastAsia="zh-CN"/>
              </w:rPr>
              <w:t>0.059</w:t>
            </w:r>
          </w:p>
        </w:tc>
        <w:tc>
          <w:tcPr>
            <w:tcW w:w="867" w:type="dxa"/>
            <w:vAlign w:val="center"/>
          </w:tcPr>
          <w:p>
            <w:pPr>
              <w:pStyle w:val="30"/>
              <w:ind w:firstLine="0" w:firstLineChars="0"/>
              <w:rPr>
                <w:rFonts w:hint="default"/>
                <w:lang w:val="en-US" w:eastAsia="zh-CN"/>
              </w:rPr>
            </w:pPr>
            <w:r>
              <w:rPr>
                <w:rFonts w:hint="eastAsia"/>
                <w:u w:val="single"/>
                <w:lang w:val="en-US" w:eastAsia="zh-CN"/>
              </w:rPr>
              <w:t>0.141</w:t>
            </w:r>
          </w:p>
        </w:tc>
        <w:tc>
          <w:tcPr>
            <w:tcW w:w="1134" w:type="dxa"/>
            <w:vAlign w:val="center"/>
          </w:tcPr>
          <w:p>
            <w:pPr>
              <w:pStyle w:val="30"/>
              <w:ind w:firstLine="0" w:firstLineChars="0"/>
              <w:rPr>
                <w:rFonts w:hint="default"/>
                <w:lang w:val="en-US" w:eastAsia="zh-CN"/>
              </w:rPr>
            </w:pPr>
            <w:r>
              <w:rPr>
                <w:rFonts w:hint="eastAsia"/>
                <w:u w:val="single"/>
                <w:lang w:val="en-US" w:eastAsia="zh-CN"/>
              </w:rPr>
              <w:t>60</w:t>
            </w:r>
          </w:p>
        </w:tc>
        <w:tc>
          <w:tcPr>
            <w:tcW w:w="1098" w:type="dxa"/>
            <w:vAlign w:val="center"/>
          </w:tcPr>
          <w:p>
            <w:pPr>
              <w:pStyle w:val="30"/>
              <w:ind w:firstLine="0" w:firstLineChars="0"/>
              <w:rPr>
                <w:rFonts w:hint="default"/>
                <w:lang w:val="en-US" w:eastAsia="zh-CN"/>
              </w:rPr>
            </w:pPr>
            <w:r>
              <w:rPr>
                <w:rFonts w:hint="eastAsia"/>
                <w:u w:val="single"/>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《合成树脂工业污染物排放标准》、</w:t>
            </w: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906" w:type="dxa"/>
            <w:vAlign w:val="center"/>
          </w:tcPr>
          <w:p>
            <w:pPr>
              <w:pStyle w:val="30"/>
              <w:ind w:firstLine="0" w:firstLineChars="0"/>
              <w:rPr>
                <w:rFonts w:hint="default"/>
                <w:lang w:val="en-US" w:eastAsia="zh-CN"/>
              </w:rPr>
            </w:pPr>
            <w:r>
              <w:rPr>
                <w:rFonts w:hint="eastAsia"/>
                <w:u w:val="single"/>
                <w:lang w:eastAsia="zh-CN"/>
              </w:rPr>
              <w:t>苯乙烯</w:t>
            </w:r>
          </w:p>
        </w:tc>
        <w:tc>
          <w:tcPr>
            <w:tcW w:w="91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60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861" w:type="dxa"/>
            <w:vAlign w:val="center"/>
          </w:tcPr>
          <w:p>
            <w:pPr>
              <w:pStyle w:val="30"/>
              <w:ind w:firstLine="0" w:firstLineChars="0"/>
              <w:rPr>
                <w:rFonts w:hint="default"/>
                <w:lang w:val="en-US" w:eastAsia="zh-CN"/>
              </w:rPr>
            </w:pPr>
            <w:r>
              <w:rPr>
                <w:rFonts w:hint="eastAsia"/>
                <w:u w:val="single"/>
                <w:lang w:val="en-US" w:eastAsia="zh-CN"/>
              </w:rPr>
              <w:t>4.3</w:t>
            </w:r>
          </w:p>
        </w:tc>
        <w:tc>
          <w:tcPr>
            <w:tcW w:w="819" w:type="dxa"/>
            <w:vAlign w:val="center"/>
          </w:tcPr>
          <w:p>
            <w:pPr>
              <w:pStyle w:val="30"/>
              <w:ind w:firstLine="0" w:firstLineChars="0"/>
              <w:rPr>
                <w:rFonts w:hint="default"/>
                <w:lang w:val="en-US" w:eastAsia="zh-CN"/>
              </w:rPr>
            </w:pPr>
            <w:r>
              <w:rPr>
                <w:rFonts w:hint="eastAsia"/>
                <w:u w:val="single"/>
                <w:lang w:val="en-US" w:eastAsia="zh-CN"/>
              </w:rPr>
              <w:t>0.018</w:t>
            </w:r>
          </w:p>
        </w:tc>
        <w:tc>
          <w:tcPr>
            <w:tcW w:w="867" w:type="dxa"/>
            <w:vAlign w:val="center"/>
          </w:tcPr>
          <w:p>
            <w:pPr>
              <w:pStyle w:val="30"/>
              <w:ind w:firstLine="0" w:firstLineChars="0"/>
              <w:rPr>
                <w:rFonts w:hint="default"/>
                <w:lang w:val="en-US" w:eastAsia="zh-CN"/>
              </w:rPr>
            </w:pPr>
            <w:r>
              <w:rPr>
                <w:rFonts w:hint="eastAsia"/>
                <w:u w:val="single"/>
                <w:lang w:val="en-US" w:eastAsia="zh-CN"/>
              </w:rPr>
              <w:t>0.042</w:t>
            </w:r>
          </w:p>
        </w:tc>
        <w:tc>
          <w:tcPr>
            <w:tcW w:w="1134" w:type="dxa"/>
            <w:vAlign w:val="center"/>
          </w:tcPr>
          <w:p>
            <w:pPr>
              <w:pStyle w:val="30"/>
              <w:ind w:firstLine="0" w:firstLineChars="0"/>
              <w:rPr>
                <w:rFonts w:hint="default"/>
                <w:lang w:val="en-US" w:eastAsia="zh-CN"/>
              </w:rPr>
            </w:pPr>
            <w:r>
              <w:rPr>
                <w:rFonts w:hint="eastAsia"/>
                <w:u w:val="single"/>
                <w:lang w:val="en-US" w:eastAsia="zh-CN"/>
              </w:rPr>
              <w:t>20</w:t>
            </w:r>
          </w:p>
        </w:tc>
        <w:tc>
          <w:tcPr>
            <w:tcW w:w="1098" w:type="dxa"/>
            <w:vAlign w:val="center"/>
          </w:tcPr>
          <w:p>
            <w:pPr>
              <w:pStyle w:val="30"/>
              <w:ind w:firstLine="0" w:firstLineChars="0"/>
              <w:rPr>
                <w:rFonts w:hint="default"/>
                <w:lang w:val="en-US" w:eastAsia="zh-CN"/>
              </w:rPr>
            </w:pPr>
            <w:r>
              <w:rPr>
                <w:rFonts w:hint="eastAsia"/>
                <w:u w:val="single"/>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906" w:type="dxa"/>
            <w:vAlign w:val="center"/>
          </w:tcPr>
          <w:p>
            <w:pPr>
              <w:pStyle w:val="30"/>
              <w:ind w:firstLine="0" w:firstLineChars="0"/>
              <w:rPr>
                <w:rFonts w:hint="eastAsia"/>
                <w:u w:val="single"/>
                <w:lang w:eastAsia="zh-CN"/>
              </w:rPr>
            </w:pPr>
            <w:r>
              <w:rPr>
                <w:rFonts w:hint="eastAsia"/>
                <w:u w:val="single"/>
                <w:lang w:eastAsia="zh-CN"/>
              </w:rPr>
              <w:t>颗粒物</w:t>
            </w:r>
          </w:p>
        </w:tc>
        <w:tc>
          <w:tcPr>
            <w:tcW w:w="91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60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861" w:type="dxa"/>
            <w:vAlign w:val="center"/>
          </w:tcPr>
          <w:p>
            <w:pPr>
              <w:pStyle w:val="30"/>
              <w:ind w:firstLine="0" w:firstLineChars="0"/>
              <w:rPr>
                <w:rFonts w:hint="eastAsia"/>
                <w:u w:val="single"/>
                <w:lang w:val="en-US" w:eastAsia="zh-CN"/>
              </w:rPr>
            </w:pPr>
            <w:r>
              <w:rPr>
                <w:rFonts w:hint="eastAsia"/>
                <w:u w:val="single"/>
                <w:lang w:val="en-US" w:eastAsia="zh-CN"/>
              </w:rPr>
              <w:t>0.6</w:t>
            </w:r>
          </w:p>
        </w:tc>
        <w:tc>
          <w:tcPr>
            <w:tcW w:w="819" w:type="dxa"/>
            <w:vAlign w:val="center"/>
          </w:tcPr>
          <w:p>
            <w:pPr>
              <w:pStyle w:val="30"/>
              <w:ind w:firstLine="0" w:firstLineChars="0"/>
              <w:rPr>
                <w:rFonts w:hint="eastAsia"/>
                <w:u w:val="single"/>
                <w:lang w:val="en-US" w:eastAsia="zh-CN"/>
              </w:rPr>
            </w:pPr>
            <w:r>
              <w:rPr>
                <w:rFonts w:hint="eastAsia"/>
                <w:u w:val="single"/>
                <w:lang w:val="en-US" w:eastAsia="zh-CN"/>
              </w:rPr>
              <w:t>0.006</w:t>
            </w:r>
          </w:p>
        </w:tc>
        <w:tc>
          <w:tcPr>
            <w:tcW w:w="867" w:type="dxa"/>
            <w:vAlign w:val="center"/>
          </w:tcPr>
          <w:p>
            <w:pPr>
              <w:pStyle w:val="30"/>
              <w:ind w:firstLine="0" w:firstLineChars="0"/>
              <w:rPr>
                <w:rFonts w:hint="eastAsia"/>
                <w:u w:val="single"/>
                <w:lang w:val="en-US" w:eastAsia="zh-CN"/>
              </w:rPr>
            </w:pPr>
            <w:r>
              <w:rPr>
                <w:rFonts w:hint="eastAsia"/>
                <w:u w:val="single"/>
                <w:lang w:val="en-US" w:eastAsia="zh-CN"/>
              </w:rPr>
              <w:t>0.0147</w:t>
            </w:r>
          </w:p>
        </w:tc>
        <w:tc>
          <w:tcPr>
            <w:tcW w:w="1134" w:type="dxa"/>
            <w:vAlign w:val="center"/>
          </w:tcPr>
          <w:p>
            <w:pPr>
              <w:pStyle w:val="30"/>
              <w:ind w:firstLine="0" w:firstLineChars="0"/>
              <w:rPr>
                <w:rFonts w:hint="eastAsia"/>
                <w:u w:val="single"/>
                <w:lang w:val="en-US" w:eastAsia="zh-CN"/>
              </w:rPr>
            </w:pPr>
            <w:r>
              <w:rPr>
                <w:rFonts w:hint="eastAsia"/>
                <w:u w:val="single"/>
                <w:lang w:val="en-US" w:eastAsia="zh-CN"/>
              </w:rPr>
              <w:t>20</w:t>
            </w:r>
          </w:p>
        </w:tc>
        <w:tc>
          <w:tcPr>
            <w:tcW w:w="1098" w:type="dxa"/>
            <w:vAlign w:val="center"/>
          </w:tcPr>
          <w:p>
            <w:pPr>
              <w:pStyle w:val="30"/>
              <w:ind w:firstLine="0" w:firstLineChars="0"/>
              <w:rPr>
                <w:rFonts w:hint="default"/>
                <w:u w:val="single"/>
                <w:lang w:val="en-US" w:eastAsia="zh-CN"/>
              </w:rPr>
            </w:pPr>
            <w:r>
              <w:rPr>
                <w:rFonts w:hint="eastAsia"/>
                <w:u w:val="single"/>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注塑</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color w:val="000000" w:themeColor="text1"/>
                <w:sz w:val="21"/>
                <w:szCs w:val="21"/>
                <w:lang w:val="en-US" w:eastAsia="zh-CN"/>
                <w14:textFill>
                  <w14:solidFill>
                    <w14:schemeClr w14:val="tx1"/>
                  </w14:solidFill>
                </w14:textFill>
              </w:rPr>
              <w:t>吸附浓缩+催化燃烧</w:t>
            </w:r>
          </w:p>
        </w:tc>
        <w:tc>
          <w:tcPr>
            <w:tcW w:w="906" w:type="dxa"/>
            <w:vAlign w:val="center"/>
          </w:tcPr>
          <w:p>
            <w:pPr>
              <w:pStyle w:val="30"/>
              <w:ind w:firstLine="0" w:firstLineChars="0"/>
              <w:rPr>
                <w:rFonts w:hint="default"/>
                <w:lang w:val="en-US" w:eastAsia="zh-CN"/>
              </w:rPr>
            </w:pPr>
            <w:r>
              <w:rPr>
                <w:rFonts w:hint="eastAsia"/>
                <w:u w:val="single"/>
                <w:lang w:eastAsia="zh-CN"/>
              </w:rPr>
              <w:t>非甲烷总烃</w:t>
            </w:r>
          </w:p>
        </w:tc>
        <w:tc>
          <w:tcPr>
            <w:tcW w:w="91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60000</w:t>
            </w:r>
          </w:p>
        </w:tc>
        <w:tc>
          <w:tcPr>
            <w:tcW w:w="1605"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15/0.6</w:t>
            </w:r>
          </w:p>
        </w:tc>
        <w:tc>
          <w:tcPr>
            <w:tcW w:w="861" w:type="dxa"/>
            <w:vMerge w:val="restart"/>
            <w:vAlign w:val="center"/>
          </w:tcPr>
          <w:p>
            <w:pPr>
              <w:pStyle w:val="30"/>
              <w:ind w:firstLine="0" w:firstLineChars="0"/>
              <w:rPr>
                <w:rFonts w:hint="default"/>
                <w:lang w:val="en-US" w:eastAsia="zh-CN"/>
              </w:rPr>
            </w:pPr>
            <w:r>
              <w:rPr>
                <w:rFonts w:hint="eastAsia"/>
                <w:u w:val="single"/>
                <w:lang w:val="en-US" w:eastAsia="zh-CN"/>
              </w:rPr>
              <w:t>0.92</w:t>
            </w:r>
          </w:p>
        </w:tc>
        <w:tc>
          <w:tcPr>
            <w:tcW w:w="819" w:type="dxa"/>
            <w:vMerge w:val="restart"/>
            <w:vAlign w:val="center"/>
          </w:tcPr>
          <w:p>
            <w:pPr>
              <w:pStyle w:val="30"/>
              <w:ind w:firstLine="0" w:firstLineChars="0"/>
              <w:rPr>
                <w:rFonts w:hint="default"/>
                <w:lang w:val="en-US" w:eastAsia="zh-CN"/>
              </w:rPr>
            </w:pPr>
            <w:r>
              <w:rPr>
                <w:rFonts w:hint="eastAsia"/>
                <w:u w:val="single"/>
                <w:lang w:val="en-US" w:eastAsia="zh-CN"/>
              </w:rPr>
              <w:t>0.055</w:t>
            </w:r>
          </w:p>
        </w:tc>
        <w:tc>
          <w:tcPr>
            <w:tcW w:w="867" w:type="dxa"/>
            <w:vMerge w:val="restart"/>
            <w:vAlign w:val="center"/>
          </w:tcPr>
          <w:p>
            <w:pPr>
              <w:pStyle w:val="30"/>
              <w:ind w:firstLine="0" w:firstLineChars="0"/>
              <w:rPr>
                <w:rFonts w:hint="default"/>
                <w:lang w:val="en-US" w:eastAsia="zh-CN"/>
              </w:rPr>
            </w:pPr>
            <w:r>
              <w:rPr>
                <w:rFonts w:hint="eastAsia"/>
                <w:u w:val="single"/>
                <w:lang w:val="en-US" w:eastAsia="zh-CN"/>
              </w:rPr>
              <w:t>0.132</w:t>
            </w:r>
          </w:p>
        </w:tc>
        <w:tc>
          <w:tcPr>
            <w:tcW w:w="1134" w:type="dxa"/>
            <w:vMerge w:val="restart"/>
            <w:vAlign w:val="center"/>
          </w:tcPr>
          <w:p>
            <w:pPr>
              <w:pStyle w:val="30"/>
              <w:ind w:firstLine="0" w:firstLineChars="0"/>
              <w:rPr>
                <w:rFonts w:hint="default"/>
                <w:lang w:val="en-US" w:eastAsia="zh-CN"/>
              </w:rPr>
            </w:pPr>
            <w:r>
              <w:rPr>
                <w:rFonts w:hint="eastAsia"/>
                <w:u w:val="single"/>
                <w:lang w:val="en-US" w:eastAsia="zh-CN"/>
              </w:rPr>
              <w:t>60</w:t>
            </w:r>
          </w:p>
        </w:tc>
        <w:tc>
          <w:tcPr>
            <w:tcW w:w="1098" w:type="dxa"/>
            <w:vMerge w:val="restart"/>
            <w:vAlign w:val="center"/>
          </w:tcPr>
          <w:p>
            <w:pPr>
              <w:pStyle w:val="30"/>
              <w:ind w:firstLine="0" w:firstLineChars="0"/>
              <w:rPr>
                <w:rFonts w:hint="default"/>
                <w:lang w:val="en-US" w:eastAsia="zh-CN"/>
              </w:rPr>
            </w:pPr>
            <w:r>
              <w:rPr>
                <w:rFonts w:hint="eastAsia"/>
                <w:u w:val="single"/>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kern w:val="0"/>
                <w:sz w:val="21"/>
                <w:szCs w:val="21"/>
                <w:u w:val="none"/>
                <w:lang w:val="en-US" w:eastAsia="zh-CN" w:bidi="ar-SA"/>
              </w:rPr>
              <w:t>《合成树脂工业污染物排放标准》、</w:t>
            </w: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p>
        </w:tc>
        <w:tc>
          <w:tcPr>
            <w:tcW w:w="906" w:type="dxa"/>
            <w:vAlign w:val="center"/>
          </w:tcPr>
          <w:p>
            <w:pPr>
              <w:pStyle w:val="30"/>
              <w:ind w:firstLine="0" w:firstLineChars="0"/>
              <w:rPr>
                <w:rFonts w:hint="eastAsia"/>
                <w:lang w:val="en-US" w:eastAsia="zh-CN"/>
              </w:rPr>
            </w:pPr>
            <w:r>
              <w:rPr>
                <w:rFonts w:hint="eastAsia"/>
                <w:u w:val="single"/>
                <w:lang w:eastAsia="zh-CN"/>
              </w:rPr>
              <w:t>苯乙烯</w:t>
            </w:r>
          </w:p>
        </w:tc>
        <w:tc>
          <w:tcPr>
            <w:tcW w:w="91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60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1"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19"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污水处理站废气</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二级活性炭吸附</w:t>
            </w:r>
          </w:p>
        </w:tc>
        <w:tc>
          <w:tcPr>
            <w:tcW w:w="906" w:type="dxa"/>
            <w:vAlign w:val="center"/>
          </w:tcPr>
          <w:p>
            <w:pPr>
              <w:adjustRightInd w:val="0"/>
              <w:snapToGrid w:val="0"/>
              <w:spacing w:line="240" w:lineRule="auto"/>
              <w:ind w:firstLine="0" w:firstLineChars="0"/>
              <w:jc w:val="center"/>
              <w:rPr>
                <w:rFonts w:hint="eastAsia"/>
                <w:lang w:val="en-US" w:eastAsia="zh-CN"/>
              </w:rPr>
            </w:pPr>
            <w:r>
              <w:rPr>
                <w:rFonts w:cs="Times New Roman"/>
                <w:snapToGrid w:val="0"/>
                <w:kern w:val="18"/>
                <w:sz w:val="21"/>
                <w:szCs w:val="21"/>
              </w:rPr>
              <w:t>氨</w:t>
            </w:r>
          </w:p>
        </w:tc>
        <w:tc>
          <w:tcPr>
            <w:tcW w:w="91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3000</w:t>
            </w:r>
          </w:p>
        </w:tc>
        <w:tc>
          <w:tcPr>
            <w:tcW w:w="1605"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15/0.3</w:t>
            </w:r>
          </w:p>
        </w:tc>
        <w:tc>
          <w:tcPr>
            <w:tcW w:w="861" w:type="dxa"/>
            <w:vAlign w:val="center"/>
          </w:tcPr>
          <w:p>
            <w:pPr>
              <w:pStyle w:val="30"/>
              <w:ind w:firstLine="0" w:firstLineChars="0"/>
              <w:rPr>
                <w:rFonts w:hint="eastAsia"/>
                <w:lang w:val="en-US" w:eastAsia="zh-CN"/>
              </w:rPr>
            </w:pPr>
            <w:r>
              <w:rPr>
                <w:rFonts w:hint="eastAsia"/>
                <w:u w:val="single"/>
                <w:lang w:val="en-US" w:eastAsia="zh-CN"/>
              </w:rPr>
              <w:t>0.23</w:t>
            </w:r>
          </w:p>
        </w:tc>
        <w:tc>
          <w:tcPr>
            <w:tcW w:w="819" w:type="dxa"/>
            <w:vAlign w:val="center"/>
          </w:tcPr>
          <w:p>
            <w:pPr>
              <w:pStyle w:val="30"/>
              <w:ind w:firstLine="0" w:firstLineChars="0"/>
              <w:rPr>
                <w:rFonts w:hint="eastAsia"/>
                <w:lang w:val="en-US" w:eastAsia="zh-CN"/>
              </w:rPr>
            </w:pPr>
            <w:r>
              <w:rPr>
                <w:rFonts w:hint="eastAsia"/>
                <w:u w:val="single"/>
                <w:lang w:val="en-US" w:eastAsia="zh-CN"/>
              </w:rPr>
              <w:t>0.014</w:t>
            </w:r>
          </w:p>
        </w:tc>
        <w:tc>
          <w:tcPr>
            <w:tcW w:w="867" w:type="dxa"/>
            <w:vAlign w:val="center"/>
          </w:tcPr>
          <w:p>
            <w:pPr>
              <w:pStyle w:val="30"/>
              <w:ind w:firstLine="0" w:firstLineChars="0"/>
              <w:rPr>
                <w:rFonts w:hint="eastAsia"/>
                <w:lang w:val="en-US" w:eastAsia="zh-CN"/>
              </w:rPr>
            </w:pPr>
            <w:r>
              <w:rPr>
                <w:rFonts w:hint="eastAsia"/>
                <w:u w:val="single"/>
                <w:lang w:val="en-US" w:eastAsia="zh-CN"/>
              </w:rPr>
              <w:t>0.034</w:t>
            </w:r>
          </w:p>
        </w:tc>
        <w:tc>
          <w:tcPr>
            <w:tcW w:w="1134" w:type="dxa"/>
            <w:vAlign w:val="center"/>
          </w:tcPr>
          <w:p>
            <w:pPr>
              <w:pStyle w:val="30"/>
              <w:ind w:firstLine="0" w:firstLineChars="0"/>
              <w:rPr>
                <w:rFonts w:hint="eastAsia"/>
                <w:lang w:val="en-US" w:eastAsia="zh-CN"/>
              </w:rPr>
            </w:pPr>
            <w:r>
              <w:rPr>
                <w:rFonts w:hint="eastAsia"/>
                <w:u w:val="single"/>
                <w:lang w:val="en-US" w:eastAsia="zh-CN"/>
              </w:rPr>
              <w:t>20</w:t>
            </w:r>
          </w:p>
        </w:tc>
        <w:tc>
          <w:tcPr>
            <w:tcW w:w="1098" w:type="dxa"/>
            <w:vAlign w:val="center"/>
          </w:tcPr>
          <w:p>
            <w:pPr>
              <w:pStyle w:val="30"/>
              <w:ind w:firstLine="0" w:firstLineChars="0"/>
              <w:rPr>
                <w:rFonts w:hint="eastAsia"/>
                <w:lang w:val="en-US" w:eastAsia="zh-CN"/>
              </w:rPr>
            </w:pPr>
            <w:r>
              <w:rPr>
                <w:rFonts w:hint="eastAsia"/>
                <w:u w:val="single"/>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p>
        </w:tc>
        <w:tc>
          <w:tcPr>
            <w:tcW w:w="906" w:type="dxa"/>
            <w:vAlign w:val="center"/>
          </w:tcPr>
          <w:p>
            <w:pPr>
              <w:adjustRightInd w:val="0"/>
              <w:snapToGrid w:val="0"/>
              <w:spacing w:line="240" w:lineRule="auto"/>
              <w:ind w:firstLine="0" w:firstLineChars="0"/>
              <w:jc w:val="center"/>
              <w:rPr>
                <w:rFonts w:hint="eastAsia"/>
                <w:lang w:val="en-US" w:eastAsia="zh-CN"/>
              </w:rPr>
            </w:pPr>
            <w:r>
              <w:rPr>
                <w:rFonts w:cs="Times New Roman"/>
                <w:snapToGrid w:val="0"/>
                <w:kern w:val="18"/>
                <w:sz w:val="21"/>
                <w:szCs w:val="21"/>
              </w:rPr>
              <w:t>硫化氢</w:t>
            </w:r>
          </w:p>
        </w:tc>
        <w:tc>
          <w:tcPr>
            <w:tcW w:w="91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60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1" w:type="dxa"/>
            <w:vAlign w:val="center"/>
          </w:tcPr>
          <w:p>
            <w:pPr>
              <w:pStyle w:val="30"/>
              <w:ind w:firstLine="0" w:firstLineChars="0"/>
              <w:rPr>
                <w:rFonts w:hint="eastAsia"/>
                <w:lang w:val="en-US" w:eastAsia="zh-CN"/>
              </w:rPr>
            </w:pPr>
            <w:r>
              <w:rPr>
                <w:rFonts w:hint="eastAsia"/>
                <w:lang w:val="en-US" w:eastAsia="zh-CN"/>
              </w:rPr>
              <w:t>0.024</w:t>
            </w:r>
          </w:p>
        </w:tc>
        <w:tc>
          <w:tcPr>
            <w:tcW w:w="819" w:type="dxa"/>
            <w:vAlign w:val="center"/>
          </w:tcPr>
          <w:p>
            <w:pPr>
              <w:pStyle w:val="30"/>
              <w:ind w:firstLine="0" w:firstLineChars="0"/>
              <w:rPr>
                <w:rFonts w:hint="eastAsia"/>
                <w:lang w:val="en-US" w:eastAsia="zh-CN"/>
              </w:rPr>
            </w:pPr>
            <w:r>
              <w:rPr>
                <w:rFonts w:hint="eastAsia" w:cs="Times New Roman"/>
                <w:szCs w:val="28"/>
                <w:u w:val="single"/>
                <w:lang w:val="en-US" w:eastAsia="zh-CN"/>
              </w:rPr>
              <w:t>7.21</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5</w:t>
            </w:r>
          </w:p>
        </w:tc>
        <w:tc>
          <w:tcPr>
            <w:tcW w:w="867" w:type="dxa"/>
            <w:vAlign w:val="center"/>
          </w:tcPr>
          <w:p>
            <w:pPr>
              <w:pStyle w:val="30"/>
              <w:ind w:firstLine="0" w:firstLineChars="0"/>
              <w:rPr>
                <w:rFonts w:hint="eastAsia"/>
                <w:lang w:val="en-US" w:eastAsia="zh-CN"/>
              </w:rPr>
            </w:pPr>
            <w:r>
              <w:rPr>
                <w:rFonts w:hint="eastAsia" w:cs="Times New Roman"/>
                <w:szCs w:val="28"/>
                <w:u w:val="single"/>
                <w:lang w:val="en-US" w:eastAsia="zh-CN"/>
              </w:rPr>
              <w:t>1.73</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4</w:t>
            </w:r>
          </w:p>
        </w:tc>
        <w:tc>
          <w:tcPr>
            <w:tcW w:w="1134" w:type="dxa"/>
            <w:vAlign w:val="center"/>
          </w:tcPr>
          <w:p>
            <w:pPr>
              <w:pStyle w:val="30"/>
              <w:ind w:firstLine="0" w:firstLineChars="0"/>
              <w:rPr>
                <w:rFonts w:hint="eastAsia"/>
                <w:lang w:val="en-US" w:eastAsia="zh-CN"/>
              </w:rPr>
            </w:pPr>
            <w:r>
              <w:rPr>
                <w:rFonts w:hint="eastAsia"/>
                <w:lang w:val="en-US" w:eastAsia="zh-CN"/>
              </w:rPr>
              <w:t>/</w:t>
            </w:r>
          </w:p>
        </w:tc>
        <w:tc>
          <w:tcPr>
            <w:tcW w:w="10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cs="Times New Roman"/>
                <w:sz w:val="21"/>
                <w:u w:val="single"/>
              </w:rPr>
              <w:t>4.9</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eastAsia="zh-CN"/>
                <w14:textFill>
                  <w14:solidFill>
                    <w14:schemeClr w14:val="tx1"/>
                  </w14:solidFill>
                </w14:textFill>
              </w:rPr>
            </w:pPr>
          </w:p>
        </w:tc>
        <w:tc>
          <w:tcPr>
            <w:tcW w:w="906" w:type="dxa"/>
            <w:vAlign w:val="center"/>
          </w:tcPr>
          <w:p>
            <w:pPr>
              <w:adjustRightInd w:val="0"/>
              <w:snapToGrid w:val="0"/>
              <w:spacing w:line="240" w:lineRule="auto"/>
              <w:ind w:firstLine="0" w:firstLineChars="0"/>
              <w:jc w:val="center"/>
              <w:rPr>
                <w:rFonts w:hint="eastAsia"/>
                <w:lang w:val="en-US" w:eastAsia="zh-CN"/>
              </w:rPr>
            </w:pPr>
            <w:r>
              <w:rPr>
                <w:rFonts w:cs="Times New Roman"/>
                <w:snapToGrid w:val="0"/>
                <w:kern w:val="18"/>
                <w:sz w:val="21"/>
                <w:szCs w:val="21"/>
              </w:rPr>
              <w:t>非甲烷总烃</w:t>
            </w:r>
          </w:p>
        </w:tc>
        <w:tc>
          <w:tcPr>
            <w:tcW w:w="91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605"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1" w:type="dxa"/>
            <w:vAlign w:val="center"/>
          </w:tcPr>
          <w:p>
            <w:pPr>
              <w:pStyle w:val="30"/>
              <w:ind w:firstLine="0" w:firstLineChars="0"/>
              <w:rPr>
                <w:rFonts w:hint="eastAsia"/>
                <w:lang w:val="en-US" w:eastAsia="zh-CN"/>
              </w:rPr>
            </w:pPr>
            <w:r>
              <w:rPr>
                <w:rFonts w:hint="eastAsia"/>
                <w:lang w:val="en-US" w:eastAsia="zh-CN"/>
              </w:rPr>
              <w:t>0.0009</w:t>
            </w:r>
          </w:p>
        </w:tc>
        <w:tc>
          <w:tcPr>
            <w:tcW w:w="819" w:type="dxa"/>
            <w:vAlign w:val="center"/>
          </w:tcPr>
          <w:p>
            <w:pPr>
              <w:pStyle w:val="30"/>
              <w:ind w:firstLine="0" w:firstLineChars="0"/>
              <w:rPr>
                <w:rFonts w:hint="eastAsia"/>
                <w:lang w:val="en-US" w:eastAsia="zh-CN"/>
              </w:rPr>
            </w:pPr>
            <w:r>
              <w:rPr>
                <w:rFonts w:hint="eastAsia" w:cs="Times New Roman"/>
                <w:szCs w:val="28"/>
                <w:u w:val="single"/>
                <w:lang w:val="en-US" w:eastAsia="zh-CN"/>
              </w:rPr>
              <w:t>2.78</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p>
        </w:tc>
        <w:tc>
          <w:tcPr>
            <w:tcW w:w="867" w:type="dxa"/>
            <w:vAlign w:val="center"/>
          </w:tcPr>
          <w:p>
            <w:pPr>
              <w:pStyle w:val="30"/>
              <w:ind w:firstLine="0" w:firstLineChars="0"/>
              <w:rPr>
                <w:rFonts w:hint="eastAsia"/>
                <w:lang w:val="en-US" w:eastAsia="zh-CN"/>
              </w:rPr>
            </w:pPr>
            <w:r>
              <w:rPr>
                <w:rFonts w:hint="eastAsia" w:cs="Times New Roman"/>
                <w:szCs w:val="28"/>
                <w:u w:val="single"/>
                <w:lang w:val="en-US" w:eastAsia="zh-CN"/>
              </w:rPr>
              <w:t>6.66</w:t>
            </w:r>
            <w:r>
              <w:rPr>
                <w:rFonts w:cs="Times New Roman"/>
                <w:szCs w:val="28"/>
                <w:u w:val="single"/>
              </w:rPr>
              <w:t>×10</w:t>
            </w:r>
            <w:r>
              <w:rPr>
                <w:rFonts w:cs="Times New Roman"/>
                <w:szCs w:val="28"/>
                <w:u w:val="single"/>
                <w:vertAlign w:val="superscript"/>
              </w:rPr>
              <w:t>-</w:t>
            </w:r>
            <w:r>
              <w:rPr>
                <w:rFonts w:hint="eastAsia" w:cs="Times New Roman"/>
                <w:szCs w:val="28"/>
                <w:u w:val="single"/>
                <w:vertAlign w:val="superscript"/>
                <w:lang w:val="en-US" w:eastAsia="zh-CN"/>
              </w:rPr>
              <w:t>6</w:t>
            </w:r>
          </w:p>
        </w:tc>
        <w:tc>
          <w:tcPr>
            <w:tcW w:w="1134" w:type="dxa"/>
            <w:vAlign w:val="center"/>
          </w:tcPr>
          <w:p>
            <w:pPr>
              <w:pStyle w:val="30"/>
              <w:ind w:firstLine="0" w:firstLineChars="0"/>
              <w:rPr>
                <w:rFonts w:hint="eastAsia"/>
                <w:lang w:val="en-US" w:eastAsia="zh-CN"/>
              </w:rPr>
            </w:pPr>
            <w:r>
              <w:rPr>
                <w:rFonts w:hint="eastAsia"/>
                <w:lang w:val="en-US" w:eastAsia="zh-CN"/>
              </w:rPr>
              <w:t>/</w:t>
            </w:r>
          </w:p>
        </w:tc>
        <w:tc>
          <w:tcPr>
            <w:tcW w:w="10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cs="Times New Roman"/>
                <w:sz w:val="21"/>
                <w:u w:val="single"/>
                <w:lang w:val="en-US" w:eastAsia="zh-CN"/>
              </w:rPr>
              <w:t>0.33</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食堂</w:t>
            </w:r>
          </w:p>
        </w:tc>
        <w:tc>
          <w:tcPr>
            <w:tcW w:w="1373"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color w:val="000000" w:themeColor="text1"/>
                <w:lang w:eastAsia="zh-CN"/>
                <w14:textFill>
                  <w14:solidFill>
                    <w14:schemeClr w14:val="tx1"/>
                  </w14:solidFill>
                </w14:textFill>
              </w:rPr>
              <w:t>油烟净化器</w:t>
            </w:r>
          </w:p>
        </w:tc>
        <w:tc>
          <w:tcPr>
            <w:tcW w:w="906"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油烟</w:t>
            </w:r>
          </w:p>
        </w:tc>
        <w:tc>
          <w:tcPr>
            <w:tcW w:w="91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2000</w:t>
            </w:r>
          </w:p>
        </w:tc>
        <w:tc>
          <w:tcPr>
            <w:tcW w:w="1605"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6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0.1</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0.0002</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0.0003</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spacing w:val="-6"/>
                <w:sz w:val="21"/>
                <w:szCs w:val="21"/>
                <w:lang w:val="en-US"/>
              </w:rPr>
              <w:t>《餐饮业油烟污染物排放标准》（</w:t>
            </w:r>
            <w:r>
              <w:rPr>
                <w:rFonts w:hint="eastAsia"/>
                <w:spacing w:val="-6"/>
                <w:sz w:val="21"/>
                <w:szCs w:val="21"/>
                <w:lang w:val="en-US" w:eastAsia="zh-CN"/>
              </w:rPr>
              <w:t>D</w:t>
            </w:r>
            <w:r>
              <w:rPr>
                <w:spacing w:val="-6"/>
                <w:sz w:val="21"/>
                <w:szCs w:val="21"/>
                <w:lang w:val="en-US"/>
              </w:rPr>
              <w:t>B</w:t>
            </w:r>
            <w:r>
              <w:rPr>
                <w:rFonts w:hint="eastAsia"/>
                <w:spacing w:val="-6"/>
                <w:sz w:val="21"/>
                <w:szCs w:val="21"/>
                <w:lang w:val="en-US"/>
              </w:rPr>
              <w:t>41/1604</w:t>
            </w:r>
            <w:r>
              <w:rPr>
                <w:spacing w:val="-6"/>
                <w:sz w:val="21"/>
                <w:szCs w:val="21"/>
                <w:lang w:val="en-US"/>
              </w:rPr>
              <w:t>-20</w:t>
            </w:r>
            <w:r>
              <w:rPr>
                <w:rFonts w:hint="eastAsia"/>
                <w:spacing w:val="-6"/>
                <w:sz w:val="21"/>
                <w:szCs w:val="21"/>
                <w:lang w:val="en-US"/>
              </w:rPr>
              <w:t>18）表1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厂区无组织废气</w:t>
            </w:r>
          </w:p>
        </w:tc>
        <w:tc>
          <w:tcPr>
            <w:tcW w:w="1373" w:type="dxa"/>
            <w:vAlign w:val="center"/>
          </w:tcPr>
          <w:p>
            <w:pPr>
              <w:adjustRightInd w:val="0"/>
              <w:snapToGrid w:val="0"/>
              <w:spacing w:line="240" w:lineRule="auto"/>
              <w:ind w:firstLine="0" w:firstLineChars="0"/>
              <w:jc w:val="center"/>
              <w:rPr>
                <w:rFonts w:hint="default"/>
                <w:lang w:val="en-US" w:eastAsia="zh-CN"/>
              </w:rPr>
            </w:pPr>
            <w:r>
              <w:rPr>
                <w:rFonts w:hint="eastAsia" w:cs="Times New Roman"/>
                <w:snapToGrid w:val="0"/>
                <w:kern w:val="18"/>
                <w:sz w:val="21"/>
                <w:szCs w:val="21"/>
                <w:lang w:eastAsia="zh-CN"/>
              </w:rPr>
              <w:t>破碎车间</w:t>
            </w:r>
          </w:p>
        </w:tc>
        <w:tc>
          <w:tcPr>
            <w:tcW w:w="906" w:type="dxa"/>
            <w:vAlign w:val="center"/>
          </w:tcPr>
          <w:p>
            <w:pPr>
              <w:adjustRightInd w:val="0"/>
              <w:snapToGrid w:val="0"/>
              <w:spacing w:line="240" w:lineRule="auto"/>
              <w:ind w:firstLine="0" w:firstLineChars="0"/>
              <w:jc w:val="center"/>
              <w:rPr>
                <w:rFonts w:hint="default"/>
                <w:lang w:val="en-US" w:eastAsia="zh-CN"/>
              </w:rPr>
            </w:pPr>
            <w:r>
              <w:rPr>
                <w:rFonts w:cs="Times New Roman"/>
                <w:snapToGrid w:val="0"/>
                <w:kern w:val="18"/>
                <w:sz w:val="21"/>
                <w:szCs w:val="21"/>
              </w:rPr>
              <w:t>颗粒物</w:t>
            </w:r>
          </w:p>
        </w:tc>
        <w:tc>
          <w:tcPr>
            <w:tcW w:w="918"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60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61"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19" w:type="dxa"/>
            <w:vAlign w:val="center"/>
          </w:tcPr>
          <w:p>
            <w:pPr>
              <w:widowControl/>
              <w:adjustRightInd w:val="0"/>
              <w:snapToGrid w:val="0"/>
              <w:spacing w:line="240" w:lineRule="auto"/>
              <w:ind w:firstLine="0" w:firstLineChars="0"/>
              <w:jc w:val="center"/>
              <w:rPr>
                <w:rFonts w:hint="default"/>
                <w:lang w:val="en-US" w:eastAsia="zh-CN"/>
              </w:rPr>
            </w:pPr>
            <w:r>
              <w:rPr>
                <w:rFonts w:hint="eastAsia" w:cs="Times New Roman"/>
                <w:sz w:val="21"/>
                <w:szCs w:val="21"/>
                <w:lang w:val="en-US" w:eastAsia="zh-CN"/>
              </w:rPr>
              <w:t>0.021</w:t>
            </w:r>
          </w:p>
        </w:tc>
        <w:tc>
          <w:tcPr>
            <w:tcW w:w="867" w:type="dxa"/>
            <w:vAlign w:val="center"/>
          </w:tcPr>
          <w:p>
            <w:pPr>
              <w:adjustRightInd w:val="0"/>
              <w:snapToGrid w:val="0"/>
              <w:spacing w:line="240" w:lineRule="auto"/>
              <w:ind w:firstLine="0" w:firstLineChars="0"/>
              <w:jc w:val="center"/>
              <w:rPr>
                <w:rFonts w:hint="default"/>
                <w:lang w:val="en-US" w:eastAsia="zh-CN"/>
              </w:rPr>
            </w:pPr>
            <w:r>
              <w:rPr>
                <w:rFonts w:hint="eastAsia" w:cs="Times New Roman"/>
                <w:kern w:val="0"/>
                <w:sz w:val="21"/>
                <w:szCs w:val="21"/>
                <w:lang w:val="en-US" w:eastAsia="zh-CN"/>
              </w:rPr>
              <w:t>0.051</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1.0</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kern w:val="0"/>
                <w:szCs w:val="21"/>
                <w:lang w:val="en-US" w:eastAsia="zh-CN" w:bidi="ar"/>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restart"/>
            <w:vAlign w:val="center"/>
          </w:tcPr>
          <w:p>
            <w:pPr>
              <w:adjustRightInd w:val="0"/>
              <w:snapToGrid w:val="0"/>
              <w:spacing w:line="240" w:lineRule="auto"/>
              <w:ind w:firstLine="0" w:firstLineChars="0"/>
              <w:jc w:val="center"/>
              <w:rPr>
                <w:rFonts w:hint="default"/>
                <w:lang w:val="en-US" w:eastAsia="zh-CN"/>
              </w:rPr>
            </w:pPr>
            <w:r>
              <w:rPr>
                <w:rFonts w:hint="eastAsia" w:cs="Times New Roman"/>
                <w:snapToGrid w:val="0"/>
                <w:kern w:val="18"/>
                <w:sz w:val="21"/>
                <w:szCs w:val="21"/>
                <w:lang w:eastAsia="zh-CN"/>
              </w:rPr>
              <w:t>造粒车间</w:t>
            </w:r>
          </w:p>
        </w:tc>
        <w:tc>
          <w:tcPr>
            <w:tcW w:w="906" w:type="dxa"/>
            <w:vAlign w:val="center"/>
          </w:tcPr>
          <w:p>
            <w:pPr>
              <w:adjustRightInd w:val="0"/>
              <w:snapToGrid w:val="0"/>
              <w:spacing w:line="240" w:lineRule="auto"/>
              <w:ind w:firstLine="0" w:firstLineChars="0"/>
              <w:jc w:val="center"/>
              <w:rPr>
                <w:rFonts w:hint="default"/>
                <w:lang w:val="en-US" w:eastAsia="zh-CN"/>
              </w:rPr>
            </w:pPr>
            <w:r>
              <w:rPr>
                <w:rFonts w:cs="Times New Roman"/>
                <w:snapToGrid w:val="0"/>
                <w:kern w:val="18"/>
                <w:sz w:val="21"/>
                <w:szCs w:val="21"/>
              </w:rPr>
              <w:t>非甲烷总烃</w:t>
            </w:r>
          </w:p>
        </w:tc>
        <w:tc>
          <w:tcPr>
            <w:tcW w:w="918"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60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61"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19" w:type="dxa"/>
            <w:vAlign w:val="center"/>
          </w:tcPr>
          <w:p>
            <w:pPr>
              <w:widowControl/>
              <w:adjustRightInd w:val="0"/>
              <w:snapToGrid w:val="0"/>
              <w:spacing w:line="240" w:lineRule="auto"/>
              <w:ind w:firstLine="0" w:firstLineChars="0"/>
              <w:jc w:val="center"/>
              <w:rPr>
                <w:rFonts w:hint="default"/>
                <w:lang w:val="en-US" w:eastAsia="zh-CN"/>
              </w:rPr>
            </w:pPr>
            <w:r>
              <w:rPr>
                <w:rFonts w:hint="eastAsia" w:cs="Times New Roman"/>
                <w:kern w:val="0"/>
                <w:sz w:val="21"/>
                <w:szCs w:val="21"/>
                <w:lang w:val="en-US" w:eastAsia="zh-CN"/>
              </w:rPr>
              <w:t>0.047</w:t>
            </w:r>
          </w:p>
        </w:tc>
        <w:tc>
          <w:tcPr>
            <w:tcW w:w="867" w:type="dxa"/>
            <w:vAlign w:val="center"/>
          </w:tcPr>
          <w:p>
            <w:pPr>
              <w:adjustRightInd w:val="0"/>
              <w:snapToGrid w:val="0"/>
              <w:spacing w:line="240" w:lineRule="auto"/>
              <w:ind w:firstLine="0" w:firstLineChars="0"/>
              <w:jc w:val="center"/>
              <w:rPr>
                <w:rFonts w:hint="default"/>
                <w:lang w:val="en-US" w:eastAsia="zh-CN"/>
              </w:rPr>
            </w:pPr>
            <w:r>
              <w:rPr>
                <w:rFonts w:hint="eastAsia" w:cs="Times New Roman"/>
                <w:sz w:val="21"/>
                <w:szCs w:val="21"/>
                <w:lang w:val="en-US" w:eastAsia="zh-CN"/>
              </w:rPr>
              <w:t>0.101</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2.0</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color w:val="auto"/>
                <w:kern w:val="0"/>
                <w:sz w:val="21"/>
                <w:szCs w:val="21"/>
                <w:u w:val="none"/>
                <w:lang w:val="en-US" w:eastAsia="zh-CN" w:bidi="ar-SA"/>
              </w:rPr>
              <w:t>《合成树脂工业污染物排放标准》、</w:t>
            </w: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adjustRightInd w:val="0"/>
              <w:snapToGrid w:val="0"/>
              <w:spacing w:line="240" w:lineRule="auto"/>
              <w:ind w:firstLine="0" w:firstLineChars="0"/>
              <w:jc w:val="center"/>
              <w:rPr>
                <w:rFonts w:hint="eastAsia" w:cs="Times New Roman"/>
                <w:snapToGrid w:val="0"/>
                <w:kern w:val="18"/>
                <w:sz w:val="21"/>
                <w:szCs w:val="21"/>
                <w:lang w:eastAsia="zh-CN"/>
              </w:rPr>
            </w:pPr>
          </w:p>
        </w:tc>
        <w:tc>
          <w:tcPr>
            <w:tcW w:w="906" w:type="dxa"/>
            <w:vAlign w:val="center"/>
          </w:tcPr>
          <w:p>
            <w:pPr>
              <w:adjustRightInd w:val="0"/>
              <w:snapToGrid w:val="0"/>
              <w:spacing w:line="240" w:lineRule="auto"/>
              <w:ind w:firstLine="0" w:firstLineChars="0"/>
              <w:jc w:val="center"/>
              <w:rPr>
                <w:rFonts w:hint="eastAsia"/>
                <w:lang w:val="en-US" w:eastAsia="zh-CN"/>
              </w:rPr>
            </w:pPr>
            <w:r>
              <w:rPr>
                <w:rFonts w:hint="eastAsia" w:cs="Times New Roman"/>
                <w:snapToGrid w:val="0"/>
                <w:kern w:val="18"/>
                <w:sz w:val="21"/>
                <w:szCs w:val="21"/>
                <w:lang w:eastAsia="zh-CN"/>
              </w:rPr>
              <w:t>苯乙烯</w:t>
            </w:r>
          </w:p>
        </w:tc>
        <w:tc>
          <w:tcPr>
            <w:tcW w:w="918"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60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1"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19" w:type="dxa"/>
            <w:vAlign w:val="center"/>
          </w:tcPr>
          <w:p>
            <w:pPr>
              <w:widowControl/>
              <w:adjustRightInd w:val="0"/>
              <w:snapToGrid w:val="0"/>
              <w:spacing w:line="240" w:lineRule="auto"/>
              <w:ind w:firstLine="0" w:firstLineChars="0"/>
              <w:jc w:val="center"/>
              <w:rPr>
                <w:rFonts w:hint="default"/>
                <w:lang w:val="en-US" w:eastAsia="zh-CN"/>
              </w:rPr>
            </w:pPr>
            <w:r>
              <w:rPr>
                <w:rFonts w:hint="eastAsia" w:cs="Times New Roman"/>
                <w:kern w:val="0"/>
                <w:sz w:val="21"/>
                <w:szCs w:val="21"/>
                <w:lang w:val="en-US" w:eastAsia="zh-CN"/>
              </w:rPr>
              <w:t>0.024</w:t>
            </w:r>
          </w:p>
        </w:tc>
        <w:tc>
          <w:tcPr>
            <w:tcW w:w="867" w:type="dxa"/>
            <w:vAlign w:val="center"/>
          </w:tcPr>
          <w:p>
            <w:pPr>
              <w:adjustRightInd w:val="0"/>
              <w:snapToGrid w:val="0"/>
              <w:spacing w:line="240" w:lineRule="auto"/>
              <w:ind w:firstLine="0" w:firstLineChars="0"/>
              <w:jc w:val="center"/>
              <w:rPr>
                <w:rFonts w:hint="default"/>
                <w:lang w:val="en-US" w:eastAsia="zh-CN"/>
              </w:rPr>
            </w:pPr>
            <w:r>
              <w:rPr>
                <w:rFonts w:hint="eastAsia" w:cs="Times New Roman"/>
                <w:sz w:val="21"/>
                <w:szCs w:val="21"/>
                <w:lang w:val="en-US" w:eastAsia="zh-CN"/>
              </w:rPr>
              <w:t>0.057</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5.0</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adjustRightInd w:val="0"/>
              <w:snapToGrid w:val="0"/>
              <w:spacing w:line="240" w:lineRule="auto"/>
              <w:ind w:firstLine="0" w:firstLineChars="0"/>
              <w:jc w:val="center"/>
              <w:rPr>
                <w:rFonts w:hint="eastAsia" w:cs="Times New Roman"/>
                <w:snapToGrid w:val="0"/>
                <w:kern w:val="18"/>
                <w:sz w:val="21"/>
                <w:szCs w:val="21"/>
                <w:lang w:eastAsia="zh-CN"/>
              </w:rPr>
            </w:pPr>
          </w:p>
        </w:tc>
        <w:tc>
          <w:tcPr>
            <w:tcW w:w="906" w:type="dxa"/>
            <w:vAlign w:val="center"/>
          </w:tcPr>
          <w:p>
            <w:pPr>
              <w:adjustRightInd w:val="0"/>
              <w:snapToGrid w:val="0"/>
              <w:spacing w:line="240" w:lineRule="auto"/>
              <w:ind w:firstLine="0" w:firstLineChars="0"/>
              <w:jc w:val="center"/>
              <w:rPr>
                <w:rFonts w:hint="eastAsia" w:cs="Times New Roman"/>
                <w:snapToGrid w:val="0"/>
                <w:kern w:val="18"/>
                <w:sz w:val="21"/>
                <w:szCs w:val="21"/>
                <w:lang w:eastAsia="zh-CN"/>
              </w:rPr>
            </w:pPr>
            <w:r>
              <w:rPr>
                <w:rFonts w:hint="eastAsia" w:cs="Times New Roman"/>
                <w:snapToGrid w:val="0"/>
                <w:kern w:val="18"/>
                <w:sz w:val="21"/>
                <w:szCs w:val="21"/>
                <w:lang w:eastAsia="zh-CN"/>
              </w:rPr>
              <w:t>颗粒物</w:t>
            </w:r>
          </w:p>
        </w:tc>
        <w:tc>
          <w:tcPr>
            <w:tcW w:w="918"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60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61"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19" w:type="dxa"/>
            <w:vAlign w:val="center"/>
          </w:tcPr>
          <w:p>
            <w:pPr>
              <w:widowControl/>
              <w:adjustRightInd w:val="0"/>
              <w:snapToGrid w:val="0"/>
              <w:spacing w:line="240" w:lineRule="auto"/>
              <w:ind w:firstLine="0" w:firstLineChars="0"/>
              <w:jc w:val="center"/>
              <w:rPr>
                <w:rFonts w:hint="eastAsia" w:cs="Times New Roman"/>
                <w:kern w:val="0"/>
                <w:sz w:val="21"/>
                <w:szCs w:val="21"/>
                <w:lang w:val="en-US" w:eastAsia="zh-CN"/>
              </w:rPr>
            </w:pPr>
            <w:r>
              <w:rPr>
                <w:rFonts w:hint="eastAsia" w:cs="Times New Roman"/>
                <w:sz w:val="21"/>
                <w:szCs w:val="21"/>
                <w:lang w:val="en-US" w:eastAsia="zh-CN"/>
              </w:rPr>
              <w:t>0.001</w:t>
            </w:r>
          </w:p>
        </w:tc>
        <w:tc>
          <w:tcPr>
            <w:tcW w:w="867" w:type="dxa"/>
            <w:vAlign w:val="center"/>
          </w:tcPr>
          <w:p>
            <w:pPr>
              <w:adjustRightInd w:val="0"/>
              <w:snapToGrid w:val="0"/>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0.003</w:t>
            </w:r>
          </w:p>
        </w:tc>
        <w:tc>
          <w:tcPr>
            <w:tcW w:w="1134" w:type="dxa"/>
            <w:vAlign w:val="center"/>
          </w:tcPr>
          <w:p>
            <w:pPr>
              <w:widowControl/>
              <w:adjustRightInd w:val="0"/>
              <w:snapToGrid w:val="0"/>
              <w:spacing w:line="240" w:lineRule="auto"/>
              <w:ind w:firstLine="0" w:firstLineChars="0"/>
              <w:jc w:val="center"/>
              <w:rPr>
                <w:rFonts w:hint="eastAsia"/>
                <w:lang w:val="en-US" w:eastAsia="zh-CN"/>
              </w:rPr>
            </w:pPr>
            <w:r>
              <w:rPr>
                <w:rFonts w:hint="eastAsia" w:cs="Times New Roman"/>
                <w:sz w:val="21"/>
                <w:szCs w:val="21"/>
                <w:lang w:val="en-US" w:eastAsia="zh-CN"/>
              </w:rPr>
              <w:t>0.001</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restart"/>
            <w:vAlign w:val="center"/>
          </w:tcPr>
          <w:p>
            <w:pPr>
              <w:adjustRightInd w:val="0"/>
              <w:snapToGrid w:val="0"/>
              <w:spacing w:line="240" w:lineRule="auto"/>
              <w:ind w:firstLine="0" w:firstLineChars="0"/>
              <w:jc w:val="center"/>
              <w:rPr>
                <w:rFonts w:hint="default"/>
                <w:lang w:val="en-US" w:eastAsia="zh-CN"/>
              </w:rPr>
            </w:pPr>
            <w:r>
              <w:rPr>
                <w:rFonts w:cs="Times New Roman"/>
                <w:snapToGrid w:val="0"/>
                <w:kern w:val="18"/>
                <w:sz w:val="21"/>
                <w:szCs w:val="21"/>
              </w:rPr>
              <w:t>污水处理站</w:t>
            </w:r>
          </w:p>
        </w:tc>
        <w:tc>
          <w:tcPr>
            <w:tcW w:w="906" w:type="dxa"/>
            <w:vAlign w:val="center"/>
          </w:tcPr>
          <w:p>
            <w:pPr>
              <w:adjustRightInd w:val="0"/>
              <w:snapToGrid w:val="0"/>
              <w:spacing w:line="240" w:lineRule="auto"/>
              <w:ind w:firstLine="0" w:firstLineChars="0"/>
              <w:jc w:val="center"/>
              <w:rPr>
                <w:rFonts w:hint="default"/>
                <w:lang w:val="en-US" w:eastAsia="zh-CN"/>
              </w:rPr>
            </w:pPr>
            <w:r>
              <w:rPr>
                <w:rFonts w:cs="Times New Roman"/>
                <w:snapToGrid w:val="0"/>
                <w:kern w:val="18"/>
                <w:sz w:val="21"/>
                <w:szCs w:val="21"/>
              </w:rPr>
              <w:t>氨</w:t>
            </w:r>
          </w:p>
        </w:tc>
        <w:tc>
          <w:tcPr>
            <w:tcW w:w="918"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60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61"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819" w:type="dxa"/>
            <w:vAlign w:val="center"/>
          </w:tcPr>
          <w:p>
            <w:pPr>
              <w:widowControl/>
              <w:adjustRightInd w:val="0"/>
              <w:snapToGrid w:val="0"/>
              <w:spacing w:line="240" w:lineRule="auto"/>
              <w:ind w:firstLine="0" w:firstLineChars="0"/>
              <w:jc w:val="center"/>
              <w:rPr>
                <w:rFonts w:hint="default"/>
                <w:lang w:val="en-US" w:eastAsia="zh-CN"/>
              </w:rPr>
            </w:pPr>
            <w:r>
              <w:rPr>
                <w:rFonts w:hint="eastAsia" w:cs="Times New Roman"/>
                <w:color w:val="auto"/>
                <w:sz w:val="21"/>
                <w:szCs w:val="22"/>
                <w:u w:val="single"/>
                <w:lang w:val="en-US" w:eastAsia="zh-CN"/>
              </w:rPr>
              <w:t>2</w:t>
            </w:r>
            <w:r>
              <w:rPr>
                <w:rFonts w:cs="Times New Roman"/>
                <w:color w:val="auto"/>
                <w:sz w:val="21"/>
                <w:szCs w:val="22"/>
                <w:u w:val="single"/>
              </w:rPr>
              <w:t>×10</w:t>
            </w:r>
            <w:r>
              <w:rPr>
                <w:rFonts w:cs="Times New Roman"/>
                <w:color w:val="auto"/>
                <w:sz w:val="21"/>
                <w:szCs w:val="22"/>
                <w:u w:val="single"/>
                <w:vertAlign w:val="superscript"/>
              </w:rPr>
              <w:t>-</w:t>
            </w:r>
            <w:r>
              <w:rPr>
                <w:rFonts w:hint="eastAsia" w:cs="Times New Roman"/>
                <w:color w:val="auto"/>
                <w:sz w:val="21"/>
                <w:szCs w:val="22"/>
                <w:u w:val="single"/>
                <w:vertAlign w:val="superscript"/>
                <w:lang w:val="en-US" w:eastAsia="zh-CN"/>
              </w:rPr>
              <w:t>5</w:t>
            </w:r>
          </w:p>
        </w:tc>
        <w:tc>
          <w:tcPr>
            <w:tcW w:w="867" w:type="dxa"/>
            <w:vAlign w:val="center"/>
          </w:tcPr>
          <w:p>
            <w:pPr>
              <w:adjustRightInd w:val="0"/>
              <w:snapToGrid w:val="0"/>
              <w:spacing w:line="240" w:lineRule="auto"/>
              <w:ind w:firstLine="0" w:firstLineChars="0"/>
              <w:jc w:val="center"/>
              <w:rPr>
                <w:rFonts w:hint="default"/>
                <w:lang w:val="en-US" w:eastAsia="zh-CN"/>
              </w:rPr>
            </w:pPr>
            <w:r>
              <w:rPr>
                <w:rFonts w:hint="eastAsia" w:cs="Times New Roman"/>
                <w:color w:val="auto"/>
                <w:sz w:val="21"/>
                <w:szCs w:val="22"/>
                <w:u w:val="single"/>
                <w:lang w:val="en-US" w:eastAsia="zh-CN"/>
              </w:rPr>
              <w:t>4.8</w:t>
            </w:r>
            <w:r>
              <w:rPr>
                <w:rFonts w:cs="Times New Roman"/>
                <w:color w:val="auto"/>
                <w:sz w:val="21"/>
                <w:szCs w:val="22"/>
                <w:u w:val="single"/>
              </w:rPr>
              <w:t>×10</w:t>
            </w:r>
            <w:r>
              <w:rPr>
                <w:rFonts w:cs="Times New Roman"/>
                <w:color w:val="auto"/>
                <w:sz w:val="21"/>
                <w:szCs w:val="22"/>
                <w:u w:val="single"/>
                <w:vertAlign w:val="superscript"/>
              </w:rPr>
              <w:t>-</w:t>
            </w:r>
            <w:r>
              <w:rPr>
                <w:rFonts w:hint="eastAsia" w:cs="Times New Roman"/>
                <w:color w:val="auto"/>
                <w:sz w:val="21"/>
                <w:szCs w:val="22"/>
                <w:u w:val="single"/>
                <w:vertAlign w:val="superscript"/>
                <w:lang w:val="en-US" w:eastAsia="zh-CN"/>
              </w:rPr>
              <w:t>5</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1.5</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ascii="Times New Roman" w:hAnsi="Times New Roman" w:eastAsia="宋体" w:cs="Times New Roman"/>
                <w:sz w:val="21"/>
                <w:szCs w:val="21"/>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adjustRightInd w:val="0"/>
              <w:snapToGrid w:val="0"/>
              <w:spacing w:line="240" w:lineRule="auto"/>
              <w:ind w:firstLine="0" w:firstLineChars="0"/>
              <w:jc w:val="center"/>
              <w:rPr>
                <w:rFonts w:cs="Times New Roman"/>
                <w:snapToGrid w:val="0"/>
                <w:kern w:val="18"/>
                <w:sz w:val="21"/>
                <w:szCs w:val="21"/>
              </w:rPr>
            </w:pPr>
          </w:p>
        </w:tc>
        <w:tc>
          <w:tcPr>
            <w:tcW w:w="906" w:type="dxa"/>
            <w:vAlign w:val="center"/>
          </w:tcPr>
          <w:p>
            <w:pPr>
              <w:adjustRightInd w:val="0"/>
              <w:snapToGrid w:val="0"/>
              <w:spacing w:line="240" w:lineRule="auto"/>
              <w:ind w:firstLine="0" w:firstLineChars="0"/>
              <w:jc w:val="center"/>
              <w:rPr>
                <w:rFonts w:hint="eastAsia"/>
                <w:lang w:val="en-US" w:eastAsia="zh-CN"/>
              </w:rPr>
            </w:pPr>
            <w:r>
              <w:rPr>
                <w:rFonts w:cs="Times New Roman"/>
                <w:snapToGrid w:val="0"/>
                <w:kern w:val="18"/>
                <w:sz w:val="21"/>
                <w:szCs w:val="21"/>
              </w:rPr>
              <w:t>硫化氢</w:t>
            </w:r>
          </w:p>
        </w:tc>
        <w:tc>
          <w:tcPr>
            <w:tcW w:w="918"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hint="eastAsia"/>
                <w:lang w:val="en-US" w:eastAsia="zh-CN"/>
              </w:rPr>
            </w:pPr>
          </w:p>
        </w:tc>
        <w:tc>
          <w:tcPr>
            <w:tcW w:w="160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hint="eastAsia"/>
                <w:lang w:val="en-US" w:eastAsia="zh-CN"/>
              </w:rPr>
            </w:pPr>
          </w:p>
        </w:tc>
        <w:tc>
          <w:tcPr>
            <w:tcW w:w="861"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19" w:type="dxa"/>
            <w:vAlign w:val="center"/>
          </w:tcPr>
          <w:p>
            <w:pPr>
              <w:widowControl/>
              <w:adjustRightInd w:val="0"/>
              <w:snapToGrid w:val="0"/>
              <w:spacing w:line="240" w:lineRule="auto"/>
              <w:ind w:firstLine="0" w:firstLineChars="0"/>
              <w:jc w:val="center"/>
              <w:rPr>
                <w:rFonts w:hint="eastAsia"/>
                <w:lang w:val="en-US" w:eastAsia="zh-CN"/>
              </w:rPr>
            </w:pPr>
            <w:r>
              <w:rPr>
                <w:rFonts w:hint="eastAsia" w:cs="Times New Roman"/>
                <w:color w:val="auto"/>
                <w:sz w:val="21"/>
                <w:szCs w:val="21"/>
                <w:u w:val="single"/>
                <w:lang w:val="en-US" w:eastAsia="zh-CN"/>
              </w:rPr>
              <w:t>7.71</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7</w:t>
            </w:r>
          </w:p>
        </w:tc>
        <w:tc>
          <w:tcPr>
            <w:tcW w:w="867" w:type="dxa"/>
            <w:vAlign w:val="center"/>
          </w:tcPr>
          <w:p>
            <w:pPr>
              <w:adjustRightInd w:val="0"/>
              <w:snapToGrid w:val="0"/>
              <w:spacing w:line="240" w:lineRule="auto"/>
              <w:ind w:firstLine="0" w:firstLineChars="0"/>
              <w:jc w:val="center"/>
              <w:rPr>
                <w:rFonts w:hint="eastAsia"/>
                <w:lang w:val="en-US" w:eastAsia="zh-CN"/>
              </w:rPr>
            </w:pPr>
            <w:r>
              <w:rPr>
                <w:rFonts w:hint="eastAsia" w:cs="Times New Roman"/>
                <w:color w:val="auto"/>
                <w:sz w:val="21"/>
                <w:szCs w:val="21"/>
                <w:u w:val="single"/>
                <w:lang w:val="en-US" w:eastAsia="zh-CN"/>
              </w:rPr>
              <w:t>1.85</w:t>
            </w:r>
            <w:r>
              <w:rPr>
                <w:rFonts w:cs="Times New Roman"/>
                <w:color w:val="auto"/>
                <w:sz w:val="21"/>
                <w:szCs w:val="21"/>
                <w:u w:val="single"/>
              </w:rPr>
              <w:t>×10</w:t>
            </w:r>
            <w:r>
              <w:rPr>
                <w:rFonts w:cs="Times New Roman"/>
                <w:color w:val="auto"/>
                <w:sz w:val="21"/>
                <w:szCs w:val="21"/>
                <w:u w:val="single"/>
                <w:vertAlign w:val="superscript"/>
              </w:rPr>
              <w:t>-</w:t>
            </w:r>
            <w:r>
              <w:rPr>
                <w:rFonts w:hint="eastAsia" w:cs="Times New Roman"/>
                <w:color w:val="auto"/>
                <w:sz w:val="21"/>
                <w:szCs w:val="21"/>
                <w:u w:val="single"/>
                <w:vertAlign w:val="superscript"/>
                <w:lang w:val="en-US" w:eastAsia="zh-CN"/>
              </w:rPr>
              <w:t>6</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0.06</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adjustRightInd w:val="0"/>
              <w:snapToGrid w:val="0"/>
              <w:spacing w:line="240" w:lineRule="auto"/>
              <w:ind w:firstLine="0" w:firstLineChars="0"/>
              <w:jc w:val="center"/>
              <w:rPr>
                <w:rFonts w:cs="Times New Roman"/>
                <w:snapToGrid w:val="0"/>
                <w:kern w:val="18"/>
                <w:sz w:val="21"/>
                <w:szCs w:val="21"/>
              </w:rPr>
            </w:pPr>
          </w:p>
        </w:tc>
        <w:tc>
          <w:tcPr>
            <w:tcW w:w="906" w:type="dxa"/>
            <w:vAlign w:val="center"/>
          </w:tcPr>
          <w:p>
            <w:pPr>
              <w:adjustRightInd w:val="0"/>
              <w:snapToGrid w:val="0"/>
              <w:spacing w:line="240" w:lineRule="auto"/>
              <w:ind w:firstLine="0" w:firstLineChars="0"/>
              <w:jc w:val="center"/>
              <w:rPr>
                <w:rFonts w:hint="eastAsia"/>
                <w:lang w:val="en-US" w:eastAsia="zh-CN"/>
              </w:rPr>
            </w:pPr>
            <w:r>
              <w:rPr>
                <w:rFonts w:cs="Times New Roman"/>
                <w:snapToGrid w:val="0"/>
                <w:kern w:val="18"/>
                <w:sz w:val="21"/>
                <w:szCs w:val="21"/>
              </w:rPr>
              <w:t>非甲烷总烃</w:t>
            </w:r>
          </w:p>
        </w:tc>
        <w:tc>
          <w:tcPr>
            <w:tcW w:w="918"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hint="eastAsia"/>
                <w:lang w:val="en-US" w:eastAsia="zh-CN"/>
              </w:rPr>
            </w:pPr>
          </w:p>
        </w:tc>
        <w:tc>
          <w:tcPr>
            <w:tcW w:w="1605"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hint="eastAsia"/>
                <w:lang w:val="en-US" w:eastAsia="zh-CN"/>
              </w:rPr>
            </w:pPr>
          </w:p>
        </w:tc>
        <w:tc>
          <w:tcPr>
            <w:tcW w:w="861"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819" w:type="dxa"/>
            <w:vAlign w:val="center"/>
          </w:tcPr>
          <w:p>
            <w:pPr>
              <w:widowControl/>
              <w:adjustRightInd w:val="0"/>
              <w:snapToGrid w:val="0"/>
              <w:spacing w:line="240" w:lineRule="auto"/>
              <w:ind w:firstLine="0" w:firstLineChars="0"/>
              <w:jc w:val="center"/>
              <w:rPr>
                <w:rFonts w:hint="eastAsia"/>
                <w:lang w:val="en-US" w:eastAsia="zh-CN"/>
              </w:rPr>
            </w:pPr>
            <w:r>
              <w:rPr>
                <w:rFonts w:hint="eastAsia" w:cs="Times New Roman"/>
                <w:color w:val="auto"/>
                <w:sz w:val="21"/>
                <w:szCs w:val="21"/>
                <w:lang w:val="en-US" w:eastAsia="zh-CN"/>
              </w:rPr>
              <w:t>0.001</w:t>
            </w:r>
          </w:p>
        </w:tc>
        <w:tc>
          <w:tcPr>
            <w:tcW w:w="867" w:type="dxa"/>
            <w:vAlign w:val="center"/>
          </w:tcPr>
          <w:p>
            <w:pPr>
              <w:adjustRightInd w:val="0"/>
              <w:snapToGrid w:val="0"/>
              <w:spacing w:line="240" w:lineRule="auto"/>
              <w:ind w:firstLine="0" w:firstLineChars="0"/>
              <w:jc w:val="center"/>
              <w:rPr>
                <w:rFonts w:hint="eastAsia"/>
                <w:lang w:val="en-US" w:eastAsia="zh-CN"/>
              </w:rPr>
            </w:pPr>
            <w:r>
              <w:rPr>
                <w:rFonts w:hint="eastAsia" w:cs="Times New Roman"/>
                <w:color w:val="auto"/>
                <w:sz w:val="21"/>
                <w:szCs w:val="21"/>
                <w:lang w:val="en-US" w:eastAsia="zh-CN"/>
              </w:rPr>
              <w:t>0.0025</w:t>
            </w:r>
          </w:p>
        </w:tc>
        <w:tc>
          <w:tcPr>
            <w:tcW w:w="1134"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2.0</w:t>
            </w:r>
          </w:p>
        </w:tc>
        <w:tc>
          <w:tcPr>
            <w:tcW w:w="109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restart"/>
            <w:vAlign w:val="center"/>
          </w:tcPr>
          <w:p>
            <w:pPr>
              <w:pStyle w:val="30"/>
              <w:bidi w:val="0"/>
              <w:spacing w:line="240" w:lineRule="auto"/>
              <w:rPr>
                <w:rFonts w:hint="eastAsia"/>
                <w:lang w:val="en-US" w:eastAsia="zh-CN"/>
              </w:rPr>
            </w:pPr>
            <w:r>
              <w:rPr>
                <w:rFonts w:hint="eastAsia"/>
                <w:lang w:val="en-US" w:eastAsia="zh-CN"/>
              </w:rPr>
              <w:t>类别</w:t>
            </w:r>
          </w:p>
        </w:tc>
        <w:tc>
          <w:tcPr>
            <w:tcW w:w="1104" w:type="dxa"/>
            <w:vMerge w:val="restart"/>
            <w:vAlign w:val="center"/>
          </w:tcPr>
          <w:p>
            <w:pPr>
              <w:pStyle w:val="30"/>
              <w:bidi w:val="0"/>
              <w:spacing w:line="240" w:lineRule="auto"/>
              <w:rPr>
                <w:rFonts w:hint="default"/>
                <w:lang w:val="en-US" w:eastAsia="zh-CN"/>
              </w:rPr>
            </w:pPr>
            <w:r>
              <w:rPr>
                <w:rFonts w:hint="eastAsia"/>
                <w:lang w:val="en-US" w:eastAsia="zh-CN"/>
              </w:rPr>
              <w:t>产污点</w:t>
            </w:r>
          </w:p>
        </w:tc>
        <w:tc>
          <w:tcPr>
            <w:tcW w:w="1373" w:type="dxa"/>
            <w:vMerge w:val="restart"/>
            <w:vAlign w:val="center"/>
          </w:tcPr>
          <w:p>
            <w:pPr>
              <w:pStyle w:val="30"/>
              <w:bidi w:val="0"/>
              <w:spacing w:line="240" w:lineRule="auto"/>
              <w:rPr>
                <w:rFonts w:hint="eastAsia"/>
                <w:lang w:val="en-US" w:eastAsia="zh-CN"/>
              </w:rPr>
            </w:pPr>
            <w:r>
              <w:rPr>
                <w:rFonts w:hint="eastAsia"/>
                <w:lang w:val="en-US" w:eastAsia="zh-CN"/>
              </w:rPr>
              <w:t>治理措施相关参数</w:t>
            </w:r>
          </w:p>
        </w:tc>
        <w:tc>
          <w:tcPr>
            <w:tcW w:w="1824" w:type="dxa"/>
            <w:gridSpan w:val="2"/>
            <w:vMerge w:val="restart"/>
            <w:vAlign w:val="center"/>
          </w:tcPr>
          <w:p>
            <w:pPr>
              <w:pStyle w:val="30"/>
              <w:bidi w:val="0"/>
              <w:spacing w:line="240" w:lineRule="auto"/>
              <w:rPr>
                <w:rFonts w:hint="default"/>
                <w:lang w:val="en-US" w:eastAsia="zh-CN"/>
              </w:rPr>
            </w:pPr>
            <w:r>
              <w:rPr>
                <w:rFonts w:hint="eastAsia"/>
                <w:lang w:val="en-US" w:eastAsia="zh-CN"/>
              </w:rPr>
              <w:t>废水量</w:t>
            </w:r>
          </w:p>
        </w:tc>
        <w:tc>
          <w:tcPr>
            <w:tcW w:w="3285" w:type="dxa"/>
            <w:gridSpan w:val="3"/>
            <w:vAlign w:val="center"/>
          </w:tcPr>
          <w:p>
            <w:pPr>
              <w:pStyle w:val="30"/>
              <w:bidi w:val="0"/>
              <w:spacing w:line="240" w:lineRule="auto"/>
              <w:rPr>
                <w:rFonts w:hint="default"/>
                <w:lang w:val="en-US" w:eastAsia="zh-CN"/>
              </w:rPr>
            </w:pPr>
            <w:r>
              <w:rPr>
                <w:rFonts w:hint="eastAsia"/>
                <w:lang w:val="en-US" w:eastAsia="zh-CN"/>
              </w:rPr>
              <w:t>污染物排放量</w:t>
            </w:r>
          </w:p>
        </w:tc>
        <w:tc>
          <w:tcPr>
            <w:tcW w:w="867" w:type="dxa"/>
            <w:vMerge w:val="restart"/>
            <w:vAlign w:val="center"/>
          </w:tcPr>
          <w:p>
            <w:pPr>
              <w:pStyle w:val="30"/>
              <w:bidi w:val="0"/>
              <w:spacing w:line="240" w:lineRule="auto"/>
              <w:rPr>
                <w:rFonts w:hint="default"/>
                <w:lang w:val="en-US" w:eastAsia="zh-CN"/>
              </w:rPr>
            </w:pPr>
            <w:r>
              <w:rPr>
                <w:rFonts w:hint="eastAsia"/>
                <w:lang w:val="en-US" w:eastAsia="zh-CN"/>
              </w:rPr>
              <w:t>执行标准浓度</w:t>
            </w:r>
            <w:r>
              <w:rPr>
                <w:lang w:val="en-US" w:eastAsia="zh-CN"/>
              </w:rPr>
              <w:t>mg/m</w:t>
            </w:r>
            <w:r>
              <w:rPr>
                <w:rFonts w:hint="default"/>
                <w:vertAlign w:val="superscript"/>
                <w:lang w:val="en-US" w:eastAsia="zh-CN"/>
              </w:rPr>
              <w:t>3</w:t>
            </w:r>
          </w:p>
        </w:tc>
        <w:tc>
          <w:tcPr>
            <w:tcW w:w="1134" w:type="dxa"/>
            <w:vMerge w:val="restart"/>
            <w:vAlign w:val="center"/>
          </w:tcPr>
          <w:p>
            <w:pPr>
              <w:pStyle w:val="30"/>
              <w:bidi w:val="0"/>
              <w:spacing w:line="240" w:lineRule="auto"/>
              <w:rPr>
                <w:rFonts w:hint="default"/>
                <w:lang w:val="en-US" w:eastAsia="zh-CN"/>
              </w:rPr>
            </w:pPr>
            <w:r>
              <w:rPr>
                <w:rFonts w:hint="eastAsia"/>
                <w:lang w:val="en-US" w:eastAsia="zh-CN"/>
              </w:rPr>
              <w:t>排放去向</w:t>
            </w:r>
          </w:p>
        </w:tc>
        <w:tc>
          <w:tcPr>
            <w:tcW w:w="1098" w:type="dxa"/>
            <w:vMerge w:val="restart"/>
            <w:vAlign w:val="center"/>
          </w:tcPr>
          <w:p>
            <w:pPr>
              <w:pStyle w:val="30"/>
              <w:bidi w:val="0"/>
              <w:spacing w:line="240" w:lineRule="auto"/>
              <w:rPr>
                <w:rFonts w:hint="default"/>
                <w:lang w:val="en-US" w:eastAsia="zh-CN"/>
              </w:rPr>
            </w:pPr>
            <w:r>
              <w:rPr>
                <w:rFonts w:hint="eastAsia"/>
                <w:lang w:val="en-US" w:eastAsia="zh-CN"/>
              </w:rPr>
              <w:t>年排放时间</w:t>
            </w:r>
            <w:r>
              <w:rPr>
                <w:lang w:val="en-US" w:eastAsia="zh-CN"/>
              </w:rPr>
              <w:t>h</w:t>
            </w:r>
          </w:p>
        </w:tc>
        <w:tc>
          <w:tcPr>
            <w:tcW w:w="2867" w:type="dxa"/>
            <w:vMerge w:val="restart"/>
            <w:vAlign w:val="center"/>
          </w:tcPr>
          <w:p>
            <w:pPr>
              <w:pStyle w:val="30"/>
              <w:bidi w:val="0"/>
              <w:spacing w:line="240" w:lineRule="auto"/>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605" w:type="dxa"/>
            <w:vAlign w:val="center"/>
          </w:tcPr>
          <w:p>
            <w:pPr>
              <w:pStyle w:val="30"/>
              <w:bidi w:val="0"/>
              <w:spacing w:line="240" w:lineRule="auto"/>
              <w:rPr>
                <w:rFonts w:hint="default"/>
                <w:lang w:val="en-US" w:eastAsia="zh-CN"/>
              </w:rPr>
            </w:pPr>
            <w:r>
              <w:rPr>
                <w:rFonts w:hint="eastAsia"/>
                <w:lang w:val="en-US" w:eastAsia="zh-CN"/>
              </w:rPr>
              <w:t>污染物名称</w:t>
            </w:r>
          </w:p>
        </w:tc>
        <w:tc>
          <w:tcPr>
            <w:tcW w:w="861" w:type="dxa"/>
            <w:vAlign w:val="center"/>
          </w:tcPr>
          <w:p>
            <w:pPr>
              <w:pStyle w:val="30"/>
              <w:bidi w:val="0"/>
              <w:spacing w:line="240" w:lineRule="auto"/>
              <w:rPr>
                <w:rFonts w:hint="default"/>
                <w:lang w:val="en-US" w:eastAsia="zh-CN"/>
              </w:rPr>
            </w:pPr>
            <w:r>
              <w:rPr>
                <w:rFonts w:hint="eastAsia"/>
                <w:lang w:val="en-US" w:eastAsia="zh-CN"/>
              </w:rPr>
              <w:t>浓度</w:t>
            </w:r>
            <w:r>
              <w:rPr>
                <w:lang w:val="en-US" w:eastAsia="zh-CN"/>
              </w:rPr>
              <w:t>mg/m</w:t>
            </w:r>
            <w:r>
              <w:rPr>
                <w:rFonts w:hint="default"/>
                <w:vertAlign w:val="superscript"/>
                <w:lang w:val="en-US" w:eastAsia="zh-CN"/>
              </w:rPr>
              <w:t>3</w:t>
            </w:r>
          </w:p>
        </w:tc>
        <w:tc>
          <w:tcPr>
            <w:tcW w:w="819" w:type="dxa"/>
            <w:vAlign w:val="center"/>
          </w:tcPr>
          <w:p>
            <w:pPr>
              <w:pStyle w:val="30"/>
              <w:bidi w:val="0"/>
              <w:spacing w:line="240" w:lineRule="auto"/>
              <w:rPr>
                <w:rFonts w:hint="default"/>
                <w:lang w:val="en-US" w:eastAsia="zh-CN"/>
              </w:rPr>
            </w:pPr>
            <w:r>
              <w:rPr>
                <w:rFonts w:hint="eastAsia"/>
                <w:lang w:val="en-US" w:eastAsia="zh-CN"/>
              </w:rPr>
              <w:t>排放量</w:t>
            </w:r>
            <w:r>
              <w:rPr>
                <w:lang w:val="en-US" w:eastAsia="zh-CN"/>
              </w:rPr>
              <w:t>t/a</w:t>
            </w:r>
          </w:p>
        </w:tc>
        <w:tc>
          <w:tcPr>
            <w:tcW w:w="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废水</w:t>
            </w: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物料清洗、循环冷却水</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eastAsia="zh-CN"/>
              </w:rPr>
              <w:t>沉淀+气浮+A/O+二级沉淀</w:t>
            </w:r>
          </w:p>
        </w:tc>
        <w:tc>
          <w:tcPr>
            <w:tcW w:w="1824" w:type="dxa"/>
            <w:gridSpan w:val="2"/>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sz w:val="21"/>
                <w:szCs w:val="21"/>
                <w:lang w:val="en-US" w:eastAsia="zh-CN"/>
              </w:rPr>
              <w:t>5052t/a</w:t>
            </w:r>
          </w:p>
        </w:tc>
        <w:tc>
          <w:tcPr>
            <w:tcW w:w="1605" w:type="dxa"/>
            <w:vAlign w:val="center"/>
          </w:tcPr>
          <w:p>
            <w:pPr>
              <w:pStyle w:val="30"/>
              <w:ind w:firstLine="0" w:firstLineChars="0"/>
              <w:jc w:val="center"/>
              <w:rPr>
                <w:rFonts w:hint="default"/>
                <w:lang w:val="en-US" w:eastAsia="zh-CN"/>
              </w:rPr>
            </w:pPr>
            <w:r>
              <w:rPr>
                <w:rFonts w:hint="default" w:ascii="Times New Roman" w:hAnsi="Times New Roman"/>
                <w:sz w:val="21"/>
                <w:szCs w:val="21"/>
              </w:rPr>
              <w:t>COD</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olor w:val="auto"/>
                <w:sz w:val="21"/>
                <w:szCs w:val="21"/>
                <w:lang w:val="en-US" w:eastAsia="zh-CN"/>
              </w:rPr>
              <w:t>23.66</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30</w:t>
            </w:r>
          </w:p>
        </w:tc>
        <w:tc>
          <w:tcPr>
            <w:tcW w:w="113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ascii="Times New Roman" w:hAnsi="Times New Roman" w:eastAsia="宋体"/>
                <w:color w:val="auto"/>
                <w:sz w:val="21"/>
                <w:szCs w:val="21"/>
              </w:rPr>
              <w:t>处理后全部回用</w:t>
            </w:r>
          </w:p>
        </w:tc>
        <w:tc>
          <w:tcPr>
            <w:tcW w:w="109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t>《城市污水再生利用 工业用水水质》（GB/T19923-2005）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824"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p>
        </w:tc>
        <w:tc>
          <w:tcPr>
            <w:tcW w:w="1605" w:type="dxa"/>
            <w:vAlign w:val="center"/>
          </w:tcPr>
          <w:p>
            <w:pPr>
              <w:pStyle w:val="30"/>
              <w:ind w:firstLine="0" w:firstLineChars="0"/>
              <w:jc w:val="center"/>
              <w:rPr>
                <w:rFonts w:hint="default"/>
                <w:lang w:val="en-US" w:eastAsia="zh-CN"/>
              </w:rPr>
            </w:pPr>
            <w:r>
              <w:rPr>
                <w:rFonts w:hint="default" w:ascii="Times New Roman" w:hAnsi="Times New Roman"/>
                <w:sz w:val="21"/>
                <w:szCs w:val="21"/>
              </w:rPr>
              <w:t>SS</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olor w:val="auto"/>
                <w:sz w:val="21"/>
                <w:szCs w:val="21"/>
                <w:lang w:val="en-US" w:eastAsia="zh-CN"/>
              </w:rPr>
              <w:t>23.88</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30</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824"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p>
        </w:tc>
        <w:tc>
          <w:tcPr>
            <w:tcW w:w="1605" w:type="dxa"/>
            <w:vAlign w:val="center"/>
          </w:tcPr>
          <w:p>
            <w:pPr>
              <w:pStyle w:val="30"/>
              <w:ind w:firstLine="0" w:firstLineChars="0"/>
              <w:jc w:val="center"/>
              <w:rPr>
                <w:rFonts w:hint="default"/>
                <w:lang w:val="en-US" w:eastAsia="zh-CN"/>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olor w:val="auto"/>
                <w:sz w:val="21"/>
                <w:szCs w:val="21"/>
                <w:lang w:val="en-US" w:eastAsia="zh-CN"/>
              </w:rPr>
              <w:t>6.22</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824"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p>
        </w:tc>
        <w:tc>
          <w:tcPr>
            <w:tcW w:w="1605" w:type="dxa"/>
            <w:vAlign w:val="center"/>
          </w:tcPr>
          <w:p>
            <w:pPr>
              <w:pStyle w:val="30"/>
              <w:ind w:firstLine="0" w:firstLineChars="0"/>
              <w:jc w:val="center"/>
              <w:rPr>
                <w:rFonts w:hint="default"/>
                <w:lang w:val="en-US" w:eastAsia="zh-CN"/>
              </w:rPr>
            </w:pPr>
            <w:r>
              <w:rPr>
                <w:rFonts w:hint="default"/>
                <w:sz w:val="21"/>
                <w:szCs w:val="21"/>
              </w:rPr>
              <w:t>TN</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olor w:val="auto"/>
                <w:sz w:val="21"/>
                <w:szCs w:val="21"/>
                <w:lang w:val="en-US" w:eastAsia="zh-CN"/>
              </w:rPr>
              <w:t>30</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824"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p>
        </w:tc>
        <w:tc>
          <w:tcPr>
            <w:tcW w:w="1605" w:type="dxa"/>
            <w:vAlign w:val="center"/>
          </w:tcPr>
          <w:p>
            <w:pPr>
              <w:pStyle w:val="30"/>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TP</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0.76</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1</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824"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p>
        </w:tc>
        <w:tc>
          <w:tcPr>
            <w:tcW w:w="1605" w:type="dxa"/>
            <w:vAlign w:val="center"/>
          </w:tcPr>
          <w:p>
            <w:pPr>
              <w:pStyle w:val="30"/>
              <w:ind w:firstLine="0" w:firstLineChars="0"/>
              <w:jc w:val="center"/>
              <w:rPr>
                <w:rFonts w:ascii="Times New Roman" w:hAnsi="Times New Roman" w:eastAsia="宋体"/>
                <w:color w:val="auto"/>
                <w:sz w:val="21"/>
                <w:szCs w:val="21"/>
              </w:rPr>
            </w:pPr>
            <w:r>
              <w:rPr>
                <w:rFonts w:hint="default" w:ascii="Times New Roman" w:hAnsi="Times New Roman"/>
                <w:sz w:val="21"/>
                <w:szCs w:val="21"/>
              </w:rPr>
              <w:t>苯乙烯</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color w:val="auto"/>
                <w:sz w:val="21"/>
                <w:szCs w:val="21"/>
                <w:lang w:val="en-US" w:eastAsia="zh-CN"/>
              </w:rPr>
              <w:t>0.12</w:t>
            </w:r>
          </w:p>
        </w:tc>
        <w:tc>
          <w:tcPr>
            <w:tcW w:w="819"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生活污水</w:t>
            </w:r>
          </w:p>
        </w:tc>
        <w:tc>
          <w:tcPr>
            <w:tcW w:w="1373"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化粪池</w:t>
            </w:r>
          </w:p>
        </w:tc>
        <w:tc>
          <w:tcPr>
            <w:tcW w:w="1824" w:type="dxa"/>
            <w:gridSpan w:val="2"/>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sz w:val="21"/>
                <w:szCs w:val="21"/>
                <w:lang w:val="en-US" w:eastAsia="zh-CN"/>
              </w:rPr>
              <w:t>192t/a</w:t>
            </w:r>
          </w:p>
        </w:tc>
        <w:tc>
          <w:tcPr>
            <w:tcW w:w="16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0.3</w:t>
            </w:r>
          </w:p>
        </w:tc>
        <w:tc>
          <w:tcPr>
            <w:tcW w:w="8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w:t>
            </w:r>
          </w:p>
        </w:tc>
        <w:tc>
          <w:tcPr>
            <w:tcW w:w="113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清掏肥田</w:t>
            </w:r>
          </w:p>
        </w:tc>
        <w:tc>
          <w:tcPr>
            <w:tcW w:w="109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6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297</w:t>
            </w:r>
          </w:p>
        </w:tc>
        <w:tc>
          <w:tcPr>
            <w:tcW w:w="8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sz w:val="21"/>
                <w:szCs w:val="21"/>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153</w:t>
            </w:r>
          </w:p>
        </w:tc>
        <w:tc>
          <w:tcPr>
            <w:tcW w:w="8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sz w:val="21"/>
                <w:szCs w:val="21"/>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SS</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25</w:t>
            </w:r>
          </w:p>
        </w:tc>
        <w:tc>
          <w:tcPr>
            <w:tcW w:w="8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sz w:val="21"/>
                <w:szCs w:val="21"/>
                <w:lang w:val="en-US" w:eastAsia="zh-CN"/>
              </w:rPr>
              <w:t>0</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餐饮废水</w:t>
            </w:r>
          </w:p>
        </w:tc>
        <w:tc>
          <w:tcPr>
            <w:tcW w:w="1373" w:type="dxa"/>
            <w:vMerge w:val="restart"/>
            <w:vAlign w:val="center"/>
          </w:tcPr>
          <w:p>
            <w:pPr>
              <w:pStyle w:val="30"/>
              <w:spacing w:line="240" w:lineRule="auto"/>
              <w:ind w:firstLine="0" w:firstLineChars="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隔油池+化粪池</w:t>
            </w:r>
          </w:p>
        </w:tc>
        <w:tc>
          <w:tcPr>
            <w:tcW w:w="1824" w:type="dxa"/>
            <w:gridSpan w:val="2"/>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187.2t/a</w:t>
            </w:r>
          </w:p>
        </w:tc>
        <w:tc>
          <w:tcPr>
            <w:tcW w:w="1605" w:type="dxa"/>
            <w:vAlign w:val="center"/>
          </w:tcPr>
          <w:p>
            <w:pPr>
              <w:pStyle w:val="30"/>
              <w:ind w:firstLine="0" w:firstLineChars="0"/>
              <w:rPr>
                <w:rFonts w:ascii="Times New Roman" w:hAnsi="Times New Roman" w:eastAsia="宋体"/>
                <w:color w:val="auto"/>
                <w:sz w:val="21"/>
                <w:szCs w:val="21"/>
              </w:rPr>
            </w:pPr>
            <w:r>
              <w:rPr>
                <w:rFonts w:hint="default"/>
              </w:rPr>
              <w:t>COD</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480</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0.0899</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隔油池处理后进入化粪池定期清掏肥田</w:t>
            </w:r>
          </w:p>
        </w:tc>
        <w:tc>
          <w:tcPr>
            <w:tcW w:w="109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spacing w:line="240" w:lineRule="auto"/>
              <w:ind w:firstLine="0" w:firstLineChars="0"/>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pStyle w:val="30"/>
              <w:ind w:firstLine="0" w:firstLineChars="0"/>
              <w:rPr>
                <w:rFonts w:ascii="Times New Roman" w:hAnsi="Times New Roman" w:eastAsia="宋体"/>
                <w:color w:val="auto"/>
                <w:sz w:val="21"/>
                <w:szCs w:val="21"/>
              </w:rPr>
            </w:pPr>
            <w:r>
              <w:rPr>
                <w:rFonts w:hint="default"/>
              </w:rPr>
              <w:t>BOD</w:t>
            </w:r>
            <w:r>
              <w:rPr>
                <w:rFonts w:hint="default"/>
                <w:vertAlign w:val="subscript"/>
              </w:rPr>
              <w:t>5</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340</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0.0636</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spacing w:line="240" w:lineRule="auto"/>
              <w:ind w:firstLine="0" w:firstLineChars="0"/>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pStyle w:val="30"/>
              <w:ind w:firstLine="0" w:firstLineChars="0"/>
              <w:rPr>
                <w:rFonts w:ascii="Times New Roman" w:hAnsi="Times New Roman" w:eastAsia="宋体"/>
                <w:color w:val="auto"/>
                <w:sz w:val="21"/>
                <w:szCs w:val="21"/>
              </w:rPr>
            </w:pPr>
            <w:r>
              <w:rPr>
                <w:rFonts w:hint="default"/>
              </w:rPr>
              <w:t>SS</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255</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0.0477</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spacing w:line="240" w:lineRule="auto"/>
              <w:ind w:firstLine="0" w:firstLineChars="0"/>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pStyle w:val="30"/>
              <w:ind w:firstLine="0" w:firstLineChars="0"/>
              <w:rPr>
                <w:rFonts w:ascii="Times New Roman" w:hAnsi="Times New Roman" w:eastAsia="宋体"/>
                <w:color w:val="auto"/>
                <w:sz w:val="21"/>
                <w:szCs w:val="21"/>
              </w:rPr>
            </w:pPr>
            <w:r>
              <w:rPr>
                <w:rFonts w:hint="default"/>
              </w:rPr>
              <w:t>NH</w:t>
            </w:r>
            <w:r>
              <w:rPr>
                <w:rFonts w:hint="default"/>
                <w:vertAlign w:val="subscript"/>
              </w:rPr>
              <w:t>3</w:t>
            </w:r>
            <w:r>
              <w:rPr>
                <w:rFonts w:hint="default"/>
              </w:rPr>
              <w:t>-N</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10</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0.0019</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spacing w:line="240" w:lineRule="auto"/>
              <w:ind w:firstLine="0" w:firstLineChars="0"/>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pStyle w:val="30"/>
              <w:ind w:firstLine="0" w:firstLineChars="0"/>
              <w:rPr>
                <w:rFonts w:ascii="Times New Roman" w:hAnsi="Times New Roman" w:eastAsia="宋体"/>
                <w:color w:val="auto"/>
                <w:sz w:val="21"/>
                <w:szCs w:val="21"/>
              </w:rPr>
            </w:pPr>
            <w:r>
              <w:rPr>
                <w:rFonts w:hint="default"/>
              </w:rPr>
              <w:t>TN</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30</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rFonts w:hint="eastAsia" w:ascii="Times New Roman" w:hAnsi="Times New Roman" w:eastAsia="宋体"/>
                <w:color w:val="auto"/>
                <w:sz w:val="21"/>
                <w:szCs w:val="21"/>
                <w:lang w:val="en-US" w:eastAsia="zh-CN"/>
              </w:rPr>
              <w:t>0.0056</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373" w:type="dxa"/>
            <w:vMerge w:val="continue"/>
            <w:vAlign w:val="center"/>
          </w:tcPr>
          <w:p>
            <w:pPr>
              <w:pStyle w:val="30"/>
              <w:spacing w:line="240" w:lineRule="auto"/>
              <w:ind w:firstLine="0" w:firstLineChars="0"/>
              <w:rPr>
                <w:rFonts w:ascii="Times New Roman" w:hAnsi="Times New Roman" w:eastAsia="宋体"/>
                <w:color w:val="auto"/>
                <w:sz w:val="21"/>
                <w:szCs w:val="21"/>
              </w:rPr>
            </w:pPr>
          </w:p>
        </w:tc>
        <w:tc>
          <w:tcPr>
            <w:tcW w:w="1824" w:type="dxa"/>
            <w:gridSpan w:val="2"/>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605" w:type="dxa"/>
            <w:vAlign w:val="center"/>
          </w:tcPr>
          <w:p>
            <w:pPr>
              <w:pStyle w:val="30"/>
              <w:ind w:firstLine="0" w:firstLineChars="0"/>
              <w:rPr>
                <w:rFonts w:ascii="Times New Roman" w:hAnsi="Times New Roman" w:eastAsia="宋体"/>
                <w:color w:val="auto"/>
                <w:sz w:val="21"/>
                <w:szCs w:val="21"/>
              </w:rPr>
            </w:pPr>
            <w:r>
              <w:t>动植物油</w:t>
            </w:r>
          </w:p>
        </w:tc>
        <w:tc>
          <w:tcPr>
            <w:tcW w:w="86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30</w:t>
            </w:r>
          </w:p>
        </w:tc>
        <w:tc>
          <w:tcPr>
            <w:tcW w:w="81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lang w:val="en-US" w:eastAsia="zh-CN"/>
              </w:rPr>
            </w:pPr>
            <w:r>
              <w:rPr>
                <w:rFonts w:hint="eastAsia" w:ascii="Times New Roman" w:hAnsi="Times New Roman" w:eastAsia="宋体"/>
                <w:color w:val="auto"/>
                <w:sz w:val="21"/>
                <w:szCs w:val="21"/>
                <w:lang w:val="en-US" w:eastAsia="zh-CN"/>
              </w:rPr>
              <w:t>0.0056</w:t>
            </w:r>
          </w:p>
        </w:tc>
        <w:tc>
          <w:tcPr>
            <w:tcW w:w="867"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w:t>
            </w:r>
          </w:p>
        </w:tc>
        <w:tc>
          <w:tcPr>
            <w:tcW w:w="113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109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dxa"/>
            <w:vAlign w:val="center"/>
          </w:tcPr>
          <w:p>
            <w:pPr>
              <w:pStyle w:val="30"/>
              <w:bidi w:val="0"/>
              <w:spacing w:line="240" w:lineRule="auto"/>
              <w:rPr>
                <w:rFonts w:hint="eastAsia"/>
                <w:lang w:val="en-US" w:eastAsia="zh-CN"/>
              </w:rPr>
            </w:pPr>
            <w:r>
              <w:rPr>
                <w:rFonts w:hint="eastAsia"/>
                <w:lang w:val="en-US" w:eastAsia="zh-CN"/>
              </w:rPr>
              <w:t>类别</w:t>
            </w:r>
          </w:p>
        </w:tc>
        <w:tc>
          <w:tcPr>
            <w:tcW w:w="1104" w:type="dxa"/>
            <w:vAlign w:val="center"/>
          </w:tcPr>
          <w:p>
            <w:pPr>
              <w:pStyle w:val="30"/>
              <w:bidi w:val="0"/>
              <w:spacing w:line="240" w:lineRule="auto"/>
              <w:rPr>
                <w:rFonts w:hint="eastAsia"/>
                <w:lang w:val="en-US" w:eastAsia="zh-CN"/>
              </w:rPr>
            </w:pPr>
            <w:r>
              <w:rPr>
                <w:rFonts w:hint="eastAsia"/>
                <w:lang w:val="en-US" w:eastAsia="zh-CN"/>
              </w:rPr>
              <w:t>污染源</w:t>
            </w: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污染物</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产生量</w:t>
            </w:r>
          </w:p>
        </w:tc>
        <w:tc>
          <w:tcPr>
            <w:tcW w:w="3099"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处置方式</w:t>
            </w:r>
          </w:p>
        </w:tc>
        <w:tc>
          <w:tcPr>
            <w:tcW w:w="2867" w:type="dxa"/>
            <w:vAlign w:val="center"/>
          </w:tcPr>
          <w:p>
            <w:pPr>
              <w:pStyle w:val="30"/>
              <w:bidi w:val="0"/>
              <w:spacing w:line="240" w:lineRule="auto"/>
              <w:rPr>
                <w:rFonts w:hint="eastAsia"/>
                <w:lang w:eastAsia="zh-CN"/>
              </w:rPr>
            </w:pPr>
            <w:r>
              <w:rPr>
                <w:rFonts w:hint="eastAsia"/>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68"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固废</w:t>
            </w: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一般废物</w:t>
            </w: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ascii="Times New Roman" w:hAnsi="Times New Roman"/>
                <w:color w:val="auto"/>
                <w:sz w:val="21"/>
                <w:szCs w:val="21"/>
              </w:rPr>
              <w:t>分拣废物</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283.5</w:t>
            </w:r>
            <w:r>
              <w:rPr>
                <w:sz w:val="21"/>
                <w:szCs w:val="21"/>
                <w:lang w:val="en-US" w:eastAsia="zh-CN"/>
              </w:rPr>
              <w:t>t/a</w:t>
            </w:r>
          </w:p>
        </w:tc>
        <w:tc>
          <w:tcPr>
            <w:tcW w:w="3099" w:type="dxa"/>
            <w:gridSpan w:val="3"/>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ascii="Times New Roman" w:hAnsi="Times New Roman"/>
                <w:color w:val="auto"/>
                <w:sz w:val="21"/>
                <w:szCs w:val="21"/>
              </w:rPr>
              <w:t>运往当地垃圾填埋场进行处理</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Ansi="宋体"/>
                <w:color w:val="auto"/>
                <w:szCs w:val="21"/>
                <w:u w:val="none"/>
              </w:rPr>
              <w:t>《一般工业固体废物贮存、处置场污染控制标准》（</w:t>
            </w:r>
            <w:r>
              <w:rPr>
                <w:color w:val="auto"/>
                <w:szCs w:val="21"/>
                <w:u w:val="none"/>
              </w:rPr>
              <w:t>GB 18599-20</w:t>
            </w:r>
            <w:r>
              <w:rPr>
                <w:rFonts w:hint="eastAsia"/>
                <w:color w:val="auto"/>
                <w:szCs w:val="21"/>
                <w:u w:val="none"/>
                <w:lang w:val="en-US" w:eastAsia="zh-CN"/>
              </w:rPr>
              <w:t>20</w:t>
            </w:r>
            <w:r>
              <w:rPr>
                <w:rFonts w:hAnsi="宋体"/>
                <w:color w:val="auto"/>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ascii="Times New Roman" w:hAnsi="Times New Roman"/>
                <w:color w:val="auto"/>
                <w:sz w:val="21"/>
                <w:szCs w:val="21"/>
              </w:rPr>
              <w:t>清洗</w:t>
            </w:r>
            <w:r>
              <w:rPr>
                <w:rFonts w:hint="eastAsia" w:ascii="Times New Roman" w:hAnsi="Times New Roman"/>
                <w:color w:val="auto"/>
                <w:sz w:val="21"/>
                <w:szCs w:val="21"/>
                <w:lang w:eastAsia="zh-CN"/>
              </w:rPr>
              <w:t>污泥</w:t>
            </w:r>
            <w:r>
              <w:rPr>
                <w:rFonts w:ascii="Times New Roman" w:hAnsi="Times New Roman"/>
                <w:color w:val="auto"/>
                <w:sz w:val="21"/>
                <w:szCs w:val="21"/>
              </w:rPr>
              <w:t>废渣</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15.75t/a</w:t>
            </w:r>
          </w:p>
        </w:tc>
        <w:tc>
          <w:tcPr>
            <w:tcW w:w="3099" w:type="dxa"/>
            <w:gridSpan w:val="3"/>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废包装</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5</w:t>
            </w:r>
            <w:r>
              <w:rPr>
                <w:sz w:val="21"/>
                <w:szCs w:val="21"/>
                <w:lang w:val="en-US" w:eastAsia="zh-CN"/>
              </w:rPr>
              <w:t>t/a</w:t>
            </w:r>
          </w:p>
        </w:tc>
        <w:tc>
          <w:tcPr>
            <w:tcW w:w="3099" w:type="dxa"/>
            <w:gridSpan w:val="3"/>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定期外售</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除尘器卸灰</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2.374t/a</w:t>
            </w:r>
          </w:p>
        </w:tc>
        <w:tc>
          <w:tcPr>
            <w:tcW w:w="3099" w:type="dxa"/>
            <w:gridSpan w:val="3"/>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ascii="Times New Roman" w:hAnsi="Times New Roman"/>
                <w:color w:val="auto"/>
                <w:sz w:val="21"/>
                <w:szCs w:val="21"/>
              </w:rPr>
              <w:t>废滤网</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18000张/a</w:t>
            </w:r>
          </w:p>
        </w:tc>
        <w:tc>
          <w:tcPr>
            <w:tcW w:w="3099" w:type="dxa"/>
            <w:gridSpan w:val="3"/>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厂家回收</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废催化剂</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ascii="Times New Roman" w:hAnsi="Times New Roman"/>
                <w:color w:val="auto"/>
                <w:kern w:val="0"/>
                <w:sz w:val="21"/>
                <w:szCs w:val="21"/>
                <w:u w:val="single"/>
                <w:lang w:val="en-US" w:eastAsia="zh-CN"/>
              </w:rPr>
              <w:t>5</w:t>
            </w:r>
            <w:r>
              <w:rPr>
                <w:rFonts w:hint="default" w:ascii="Times New Roman" w:hAnsi="Times New Roman"/>
                <w:color w:val="auto"/>
                <w:kern w:val="0"/>
                <w:sz w:val="21"/>
                <w:szCs w:val="21"/>
                <w:u w:val="single"/>
                <w:lang w:val="en-US" w:eastAsia="zh-CN"/>
              </w:rPr>
              <w:t>t/</w:t>
            </w:r>
            <w:r>
              <w:rPr>
                <w:rFonts w:hint="eastAsia" w:ascii="Times New Roman" w:hAnsi="Times New Roman"/>
                <w:color w:val="auto"/>
                <w:kern w:val="0"/>
                <w:sz w:val="21"/>
                <w:szCs w:val="21"/>
                <w:u w:val="single"/>
                <w:lang w:val="en-US" w:eastAsia="zh-CN"/>
              </w:rPr>
              <w:t>（4~5）</w:t>
            </w:r>
            <w:r>
              <w:rPr>
                <w:rFonts w:hint="default" w:ascii="Times New Roman" w:hAnsi="Times New Roman"/>
                <w:color w:val="auto"/>
                <w:kern w:val="0"/>
                <w:sz w:val="21"/>
                <w:szCs w:val="21"/>
                <w:u w:val="single"/>
                <w:lang w:val="en-US" w:eastAsia="zh-CN"/>
              </w:rPr>
              <w:t>a</w:t>
            </w:r>
          </w:p>
        </w:tc>
        <w:tc>
          <w:tcPr>
            <w:tcW w:w="3099" w:type="dxa"/>
            <w:gridSpan w:val="3"/>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3197"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ascii="Times New Roman" w:hAnsi="Times New Roman"/>
                <w:color w:val="auto"/>
                <w:sz w:val="21"/>
                <w:szCs w:val="21"/>
              </w:rPr>
              <w:t>生活垃圾</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3.0t/a</w:t>
            </w:r>
          </w:p>
        </w:tc>
        <w:tc>
          <w:tcPr>
            <w:tcW w:w="3099" w:type="dxa"/>
            <w:gridSpan w:val="3"/>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ascii="Times New Roman" w:hAnsi="Times New Roman"/>
                <w:color w:val="auto"/>
                <w:sz w:val="21"/>
                <w:szCs w:val="21"/>
              </w:rPr>
              <w:t>环卫部门集中收集后统一处置</w:t>
            </w: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c>
          <w:tcPr>
            <w:tcW w:w="1104"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危险废物</w:t>
            </w: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废机油</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0.01t/a</w:t>
            </w:r>
          </w:p>
        </w:tc>
        <w:tc>
          <w:tcPr>
            <w:tcW w:w="3099" w:type="dxa"/>
            <w:gridSpan w:val="3"/>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危废暂存间储存后定期交由资质单位处理</w:t>
            </w:r>
          </w:p>
        </w:tc>
        <w:tc>
          <w:tcPr>
            <w:tcW w:w="2867" w:type="dxa"/>
            <w:vMerge w:val="restart"/>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u w:val="none"/>
              </w:rPr>
            </w:pPr>
            <w:r>
              <w:rPr>
                <w:rFonts w:hAnsi="宋体"/>
                <w:color w:val="auto"/>
                <w:szCs w:val="21"/>
                <w:u w:val="none"/>
              </w:rPr>
              <w:t>《危险废物贮存污染控制标准》</w:t>
            </w:r>
            <w:r>
              <w:rPr>
                <w:color w:val="auto"/>
                <w:szCs w:val="21"/>
                <w:u w:val="none"/>
              </w:rPr>
              <w:t>(GB18597-2001)</w:t>
            </w:r>
            <w:r>
              <w:rPr>
                <w:rFonts w:hAnsi="宋体"/>
                <w:color w:val="auto"/>
                <w:szCs w:val="21"/>
                <w:u w:val="none"/>
              </w:rPr>
              <w:t>及</w:t>
            </w:r>
            <w:r>
              <w:rPr>
                <w:color w:val="auto"/>
                <w:szCs w:val="21"/>
                <w:u w:val="none"/>
              </w:rPr>
              <w:t>2013</w:t>
            </w:r>
            <w:r>
              <w:rPr>
                <w:rFonts w:hAnsi="宋体"/>
                <w:color w:val="auto"/>
                <w:szCs w:val="21"/>
                <w:u w:val="none"/>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废活性炭</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3.06t/a</w:t>
            </w:r>
          </w:p>
        </w:tc>
        <w:tc>
          <w:tcPr>
            <w:tcW w:w="3099" w:type="dxa"/>
            <w:gridSpan w:val="3"/>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68"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1104"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tc>
        <w:tc>
          <w:tcPr>
            <w:tcW w:w="3197"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u w:val="single"/>
                <w:lang w:val="en-US" w:eastAsia="zh-CN"/>
              </w:rPr>
              <w:t>喷淋塔漂浮物及沉渣</w:t>
            </w:r>
          </w:p>
        </w:tc>
        <w:tc>
          <w:tcPr>
            <w:tcW w:w="3285" w:type="dxa"/>
            <w:gridSpan w:val="3"/>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0.14t/a</w:t>
            </w:r>
          </w:p>
        </w:tc>
        <w:tc>
          <w:tcPr>
            <w:tcW w:w="3099" w:type="dxa"/>
            <w:gridSpan w:val="3"/>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c>
          <w:tcPr>
            <w:tcW w:w="2867" w:type="dxa"/>
            <w:vMerge w:val="continue"/>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68" w:type="dxa"/>
            <w:vAlign w:val="center"/>
          </w:tcPr>
          <w:p>
            <w:pPr>
              <w:pStyle w:val="30"/>
              <w:bidi w:val="0"/>
              <w:spacing w:line="240" w:lineRule="auto"/>
              <w:ind w:firstLine="0" w:firstLineChars="0"/>
              <w:rPr>
                <w:rFonts w:hint="eastAsia"/>
                <w:lang w:val="en-US" w:eastAsia="zh-CN"/>
              </w:rPr>
            </w:pPr>
            <w:r>
              <w:rPr>
                <w:rFonts w:hint="eastAsia"/>
                <w:lang w:val="en-US" w:eastAsia="zh-CN"/>
              </w:rPr>
              <w:t>类别</w:t>
            </w:r>
          </w:p>
        </w:tc>
        <w:tc>
          <w:tcPr>
            <w:tcW w:w="1104" w:type="dxa"/>
            <w:vAlign w:val="center"/>
          </w:tcPr>
          <w:p>
            <w:pPr>
              <w:pStyle w:val="30"/>
              <w:bidi w:val="0"/>
              <w:spacing w:line="240" w:lineRule="auto"/>
              <w:ind w:firstLine="0" w:firstLineChars="0"/>
              <w:rPr>
                <w:rFonts w:hint="eastAsia" w:ascii="宋体" w:hAnsi="宋体" w:eastAsia="宋体" w:cs="宋体"/>
                <w:color w:val="000000"/>
                <w:kern w:val="0"/>
                <w:sz w:val="21"/>
                <w:szCs w:val="21"/>
                <w:lang w:val="en-US" w:eastAsia="zh-CN" w:bidi="ar"/>
              </w:rPr>
            </w:pPr>
            <w:r>
              <w:rPr>
                <w:rFonts w:hint="eastAsia"/>
                <w:lang w:val="en-US" w:eastAsia="zh-CN"/>
              </w:rPr>
              <w:t>污染源</w:t>
            </w:r>
          </w:p>
        </w:tc>
        <w:tc>
          <w:tcPr>
            <w:tcW w:w="9581" w:type="dxa"/>
            <w:gridSpan w:val="9"/>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处理措施</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噪声</w:t>
            </w:r>
          </w:p>
        </w:tc>
        <w:tc>
          <w:tcPr>
            <w:tcW w:w="1104" w:type="dxa"/>
            <w:vAlign w:val="center"/>
          </w:tcPr>
          <w:p>
            <w:pPr>
              <w:keepNext w:val="0"/>
              <w:keepLines w:val="0"/>
              <w:widowControl/>
              <w:suppressLineNumbers w:val="0"/>
              <w:spacing w:line="240" w:lineRule="auto"/>
              <w:ind w:left="0" w:leftChars="0" w:firstLine="0" w:firstLineChars="0"/>
              <w:jc w:val="left"/>
              <w:rPr>
                <w:rFonts w:hint="eastAsia"/>
                <w:lang w:val="en-US" w:eastAsia="zh-CN"/>
              </w:rPr>
            </w:pPr>
            <w:r>
              <w:rPr>
                <w:rFonts w:hint="eastAsia" w:ascii="宋体" w:hAnsi="宋体" w:eastAsia="宋体" w:cs="宋体"/>
                <w:color w:val="000000"/>
                <w:kern w:val="0"/>
                <w:sz w:val="21"/>
                <w:szCs w:val="21"/>
                <w:lang w:val="en-US" w:eastAsia="zh-CN" w:bidi="ar"/>
              </w:rPr>
              <w:t>各类生产设备、风机塔等</w:t>
            </w:r>
          </w:p>
        </w:tc>
        <w:tc>
          <w:tcPr>
            <w:tcW w:w="9581" w:type="dxa"/>
            <w:gridSpan w:val="9"/>
            <w:vAlign w:val="center"/>
          </w:tcPr>
          <w:p>
            <w:pPr>
              <w:keepNext w:val="0"/>
              <w:keepLines w:val="0"/>
              <w:widowControl/>
              <w:suppressLineNumbers w:val="0"/>
              <w:spacing w:line="240" w:lineRule="auto"/>
              <w:jc w:val="center"/>
              <w:rPr>
                <w:rFonts w:hint="default"/>
                <w:lang w:val="en-US" w:eastAsia="zh-CN"/>
              </w:rPr>
            </w:pPr>
            <w:r>
              <w:rPr>
                <w:rFonts w:hint="eastAsia" w:ascii="宋体" w:hAnsi="宋体" w:eastAsia="宋体" w:cs="宋体"/>
                <w:color w:val="000000"/>
                <w:kern w:val="0"/>
                <w:sz w:val="21"/>
                <w:szCs w:val="21"/>
                <w:lang w:val="en-US" w:eastAsia="zh-CN" w:bidi="ar"/>
              </w:rPr>
              <w:t>加装消声器、减震基础等措施</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u w:val="none"/>
              </w:rPr>
            </w:pPr>
            <w:r>
              <w:rPr>
                <w:rFonts w:hint="eastAsia" w:ascii="宋体" w:hAnsi="宋体" w:eastAsia="宋体" w:cs="宋体"/>
                <w:color w:val="000000"/>
                <w:kern w:val="0"/>
                <w:sz w:val="21"/>
                <w:szCs w:val="21"/>
                <w:lang w:val="en-US" w:eastAsia="zh-CN" w:bidi="ar"/>
              </w:rPr>
              <w:t>《工业企业厂界环境噪声排放标准》（</w:t>
            </w:r>
            <w:r>
              <w:rPr>
                <w:rFonts w:hint="default" w:ascii="Times New Roman" w:hAnsi="Times New Roman" w:eastAsia="宋体" w:cs="Times New Roman"/>
                <w:color w:val="000000"/>
                <w:kern w:val="0"/>
                <w:sz w:val="21"/>
                <w:szCs w:val="21"/>
                <w:lang w:val="en-US" w:eastAsia="zh-CN" w:bidi="ar"/>
              </w:rPr>
              <w:t>GB12348-2008</w:t>
            </w:r>
            <w:r>
              <w:rPr>
                <w:rFonts w:hint="eastAsia" w:ascii="宋体" w:hAnsi="宋体" w:eastAsia="宋体" w:cs="宋体"/>
                <w:color w:val="000000"/>
                <w:kern w:val="0"/>
                <w:sz w:val="21"/>
                <w:szCs w:val="21"/>
                <w:lang w:val="en-US" w:eastAsia="zh-CN" w:bidi="ar"/>
              </w:rPr>
              <w:t>）</w:t>
            </w:r>
            <w:r>
              <w:rPr>
                <w:rFonts w:hint="eastAsia"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类标准</w:t>
            </w:r>
          </w:p>
        </w:tc>
      </w:tr>
    </w:tbl>
    <w:p>
      <w:pPr>
        <w:pStyle w:val="19"/>
        <w:keepNext w:val="0"/>
        <w:keepLines w:val="0"/>
        <w:widowControl/>
        <w:suppressLineNumbers w:val="0"/>
        <w:spacing w:before="0" w:beforeAutospacing="0" w:after="0" w:afterAutospacing="0"/>
        <w:ind w:left="0" w:right="0" w:firstLine="0"/>
        <w:rPr>
          <w:rFonts w:hint="default"/>
          <w:lang w:val="en-US" w:eastAsia="zh-CN"/>
        </w:rPr>
        <w:sectPr>
          <w:pgSz w:w="16838" w:h="11906" w:orient="landscape"/>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pPr>
        <w:pStyle w:val="3"/>
        <w:keepNext w:val="0"/>
        <w:keepLines w:val="0"/>
        <w:pageBreakBefore w:val="0"/>
        <w:kinsoku/>
        <w:wordWrap/>
        <w:overflowPunct/>
        <w:topLinePunct w:val="0"/>
        <w:autoSpaceDE/>
        <w:autoSpaceDN/>
        <w:bidi w:val="0"/>
        <w:spacing w:line="360" w:lineRule="auto"/>
        <w:textAlignment w:val="auto"/>
      </w:pPr>
      <w:bookmarkStart w:id="301" w:name="_Toc32636"/>
      <w:bookmarkStart w:id="302" w:name="_Toc20299"/>
      <w:bookmarkStart w:id="303" w:name="_Toc18452"/>
      <w:r>
        <w:rPr>
          <w:rFonts w:hint="default"/>
          <w:lang w:val="en-US" w:eastAsia="zh-CN"/>
        </w:rPr>
        <w:t>9.</w:t>
      </w:r>
      <w:r>
        <w:rPr>
          <w:rFonts w:hint="eastAsia"/>
          <w:lang w:val="en-US" w:eastAsia="zh-CN"/>
        </w:rPr>
        <w:t>2</w:t>
      </w:r>
      <w:r>
        <w:rPr>
          <w:rFonts w:hint="default"/>
          <w:lang w:val="en-US" w:eastAsia="zh-CN"/>
        </w:rPr>
        <w:t xml:space="preserve"> </w:t>
      </w:r>
      <w:r>
        <w:rPr>
          <w:lang w:val="en-US" w:eastAsia="zh-CN"/>
        </w:rPr>
        <w:t>环境管理制度的建立</w:t>
      </w:r>
      <w:bookmarkEnd w:id="301"/>
      <w:bookmarkEnd w:id="302"/>
      <w:bookmarkEnd w:id="303"/>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）环境管理规定的制定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按照环境保护监督管理的要求，出台相关具体的环境保护管理规定，主要包括以下内容：</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①</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三废</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及噪声排放、处置管理规定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②</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三废</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综合利用管理规定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③环保设施管理规定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④环保异常情况报告管理规定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⑤环境保护教育培训管理规定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⑥环境保护统计管理规定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⑦环境监测管理规定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⑧建设项目环境保护管理规定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⑨危险废物处置管理规定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⑩装置开停车、设备检维修环境保护管理规定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⑪清洁生产管理规定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⑫</w:t>
      </w:r>
      <w:r>
        <w:rPr>
          <w:rFonts w:hint="eastAsia" w:ascii="宋体" w:hAnsi="宋体" w:eastAsia="宋体" w:cs="宋体"/>
          <w:color w:val="000000"/>
          <w:kern w:val="0"/>
          <w:sz w:val="24"/>
          <w:szCs w:val="24"/>
          <w:lang w:val="en-US" w:eastAsia="zh-CN" w:bidi="ar"/>
        </w:rPr>
        <w:t>环境保护应急管理规定</w:t>
      </w:r>
    </w:p>
    <w:p>
      <w:pPr>
        <w:keepNext w:val="0"/>
        <w:keepLines w:val="0"/>
        <w:pageBreakBefore w:val="0"/>
        <w:widowControl/>
        <w:suppressLineNumbers w:val="0"/>
        <w:kinsoku/>
        <w:wordWrap/>
        <w:overflowPunct/>
        <w:topLinePunct w:val="0"/>
        <w:autoSpaceDE/>
        <w:autoSpaceDN/>
        <w:bidi w:val="0"/>
        <w:spacing w:line="360" w:lineRule="auto"/>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）报告制度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按《建设项目环境保护管理条例》（</w:t>
      </w:r>
      <w:r>
        <w:rPr>
          <w:rFonts w:hint="default" w:ascii="Times New Roman" w:hAnsi="Times New Roman" w:eastAsia="宋体" w:cs="Times New Roman"/>
          <w:color w:val="000000"/>
          <w:kern w:val="0"/>
          <w:sz w:val="24"/>
          <w:szCs w:val="24"/>
          <w:lang w:val="en-US" w:eastAsia="zh-CN" w:bidi="ar"/>
        </w:rPr>
        <w:t>1998</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29</w:t>
      </w:r>
      <w:r>
        <w:rPr>
          <w:rFonts w:hint="eastAsia" w:ascii="宋体" w:hAnsi="宋体" w:eastAsia="宋体" w:cs="宋体"/>
          <w:color w:val="000000"/>
          <w:kern w:val="0"/>
          <w:sz w:val="24"/>
          <w:szCs w:val="24"/>
          <w:lang w:val="en-US" w:eastAsia="zh-CN" w:bidi="ar"/>
        </w:rPr>
        <w:t>日施行，</w:t>
      </w:r>
      <w:r>
        <w:rPr>
          <w:rFonts w:hint="default" w:ascii="Times New Roman" w:hAnsi="Times New Roman" w:eastAsia="宋体" w:cs="Times New Roman"/>
          <w:color w:val="000000"/>
          <w:kern w:val="0"/>
          <w:sz w:val="24"/>
          <w:szCs w:val="24"/>
          <w:lang w:val="en-US" w:eastAsia="zh-CN" w:bidi="ar"/>
        </w:rPr>
        <w:t>2017</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日修订）中第十七条和第十九条规定，本项目在竣工后，应当对配套建设的环境保护设施进行验收，编制验收报告。项目配套建设的环境保护设施经验收合格，方可投入生产或者使用；未经验收或者验收不合格的，不得投入生产或使用。项目投入生产或使用后，应当按照规定开展环境影响后评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）污染治理设施的管理制度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对污染治理设施的管理必须与生产经营活动一起纳入企业的日常管理中，要建立岗位责任制，制定操作规程，建立</w:t>
      </w:r>
      <w:r>
        <w:rPr>
          <w:rFonts w:hint="eastAsia" w:ascii="宋体" w:hAnsi="宋体" w:cs="宋体"/>
          <w:color w:val="000000"/>
          <w:kern w:val="0"/>
          <w:sz w:val="24"/>
          <w:szCs w:val="24"/>
          <w:lang w:val="en-US" w:eastAsia="zh-CN" w:bidi="ar"/>
        </w:rPr>
        <w:t>管理台账</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）奖惩制度</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企业应设置环境保护奖惩制度，对改进环保治理技术、节能降耗、改善环境者给予奖励；对不按环保要求管理，造成环保设施损坏、环境污染和资源、能源浪费者予以重罚。</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）清洁生产审核制度</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根据节能减排要求，本项目要建立清洁生产审核计划，体现</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以防为主</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方针，实现环境效益和经济效益的统一。主要内容为：①核对有关生产单元操作、原材料、用水、能耗、产品和废物产生等资料；②确定废物的来源、数量及类型，确定废物削减的目标，制定有效消减废物产生的对策。</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通过清洁生产审核，对本项目污染来源、废物产生原因及其整体解决方案的系统分析，寻找尽可能高效率地利用资源（原辅料、水、能源等），减少或消除废物产生和排放的方法，达到提高生产效率、合理利用资源、降低污染的目的。</w:t>
      </w:r>
    </w:p>
    <w:p>
      <w:pPr>
        <w:pStyle w:val="3"/>
        <w:keepNext w:val="0"/>
        <w:keepLines w:val="0"/>
        <w:pageBreakBefore w:val="0"/>
        <w:kinsoku/>
        <w:wordWrap/>
        <w:overflowPunct/>
        <w:topLinePunct w:val="0"/>
        <w:autoSpaceDE/>
        <w:autoSpaceDN/>
        <w:bidi w:val="0"/>
        <w:spacing w:line="360" w:lineRule="auto"/>
        <w:textAlignment w:val="auto"/>
      </w:pPr>
      <w:bookmarkStart w:id="304" w:name="_Toc16104"/>
      <w:bookmarkStart w:id="305" w:name="_Toc4536"/>
      <w:bookmarkStart w:id="306" w:name="_Toc5213"/>
      <w:r>
        <w:rPr>
          <w:rFonts w:hint="default"/>
          <w:lang w:val="en-US" w:eastAsia="zh-CN"/>
        </w:rPr>
        <w:t>9.</w:t>
      </w:r>
      <w:r>
        <w:rPr>
          <w:rFonts w:hint="eastAsia"/>
          <w:lang w:val="en-US" w:eastAsia="zh-CN"/>
        </w:rPr>
        <w:t>3</w:t>
      </w:r>
      <w:r>
        <w:rPr>
          <w:rFonts w:hint="default"/>
          <w:lang w:val="en-US" w:eastAsia="zh-CN"/>
        </w:rPr>
        <w:t xml:space="preserve"> </w:t>
      </w:r>
      <w:r>
        <w:rPr>
          <w:lang w:val="en-US" w:eastAsia="zh-CN"/>
        </w:rPr>
        <w:t>排污口规范化要求</w:t>
      </w:r>
      <w:bookmarkEnd w:id="304"/>
      <w:bookmarkEnd w:id="305"/>
      <w:bookmarkEnd w:id="306"/>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一、废气排放口</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、排气筒应设置便于采样、监测的采样口。采样口的设置应符合《污染源监测技术规范》要求。</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、采样口位置无法满足</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规范</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要求的，其监测孔位置由当地监测部门确认。</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二、固体废物贮存、堆放场</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、一般固体废物应设置专用贮存、堆放场地。易造成二次扬尘的贮存、堆放场地，应采取不定时喷洒等防治措施。</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、有毒有害固体废物等危险废物，应设置专用堆放场地，并必须有防扬散，防流失，防渗漏等防治措施。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三、固定噪声排放源</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、凡厂界噪声超出功能区环境噪声标准要求的，其噪声源均应进行整治。</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、在固定噪声源厂界噪声敏感</w:t>
      </w:r>
      <w:r>
        <w:rPr>
          <w:rFonts w:hint="eastAsia" w:ascii="宋体" w:hAnsi="宋体" w:cs="宋体"/>
          <w:color w:val="000000"/>
          <w:kern w:val="0"/>
          <w:sz w:val="24"/>
          <w:szCs w:val="24"/>
          <w:lang w:val="en-US" w:eastAsia="zh-CN" w:bidi="ar"/>
        </w:rPr>
        <w:t>且</w:t>
      </w:r>
      <w:r>
        <w:rPr>
          <w:rFonts w:hint="eastAsia" w:ascii="宋体" w:hAnsi="宋体" w:eastAsia="宋体" w:cs="宋体"/>
          <w:color w:val="000000"/>
          <w:kern w:val="0"/>
          <w:sz w:val="24"/>
          <w:szCs w:val="24"/>
          <w:lang w:val="en-US" w:eastAsia="zh-CN" w:bidi="ar"/>
        </w:rPr>
        <w:t>对外界影响最大处设置该噪声源的监测点，并设立标志牌。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四、排污口立标要求</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、一切排污单位的污染物排放口（源）和固体废物贮存、处置场，必须进行规范化整治按照国家标准《环境保护图形标志》的规定，设置与之相适应的环境保护图形标志牌。</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、环境保护图形标志牌设置位置应距污染物排放口及固体废物贮存场较近且醒目处。</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、一般性污染物排放口（源）或固体废物贮存、处置场，设置提示性环境保护图形标志牌。</w:t>
      </w:r>
    </w:p>
    <w:p>
      <w:pPr>
        <w:pStyle w:val="3"/>
        <w:bidi w:val="0"/>
      </w:pPr>
      <w:bookmarkStart w:id="307" w:name="_Toc26241"/>
      <w:bookmarkStart w:id="308" w:name="_Toc9095"/>
      <w:bookmarkStart w:id="309" w:name="_Toc4722"/>
      <w:r>
        <w:rPr>
          <w:rFonts w:hint="eastAsia"/>
          <w:lang w:val="en-US" w:eastAsia="zh-CN"/>
        </w:rPr>
        <w:t>9.4</w:t>
      </w:r>
      <w:r>
        <w:rPr>
          <w:rFonts w:hint="default"/>
          <w:lang w:val="en-US" w:eastAsia="zh-CN"/>
        </w:rPr>
        <w:t xml:space="preserve"> </w:t>
      </w:r>
      <w:r>
        <w:rPr>
          <w:lang w:val="en-US" w:eastAsia="zh-CN"/>
        </w:rPr>
        <w:t>环境监测计划</w:t>
      </w:r>
      <w:bookmarkEnd w:id="307"/>
      <w:bookmarkEnd w:id="308"/>
      <w:bookmarkEnd w:id="309"/>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环境监测计划是环境管理的重要组成部分。通过监测计划的制定与实施，及时发现环保措施的不足，进行修正和改进，确保环保设施长期高效稳定运行。</w:t>
      </w:r>
    </w:p>
    <w:p>
      <w:pPr>
        <w:pStyle w:val="4"/>
        <w:bidi w:val="0"/>
      </w:pPr>
      <w:r>
        <w:rPr>
          <w:rFonts w:hint="default"/>
          <w:lang w:val="en-US" w:eastAsia="zh-CN"/>
        </w:rPr>
        <w:t>9.</w:t>
      </w:r>
      <w:r>
        <w:rPr>
          <w:rFonts w:hint="eastAsia"/>
          <w:lang w:val="en-US" w:eastAsia="zh-CN"/>
        </w:rPr>
        <w:t>4</w:t>
      </w:r>
      <w:r>
        <w:rPr>
          <w:rFonts w:hint="default"/>
          <w:lang w:val="en-US" w:eastAsia="zh-CN"/>
        </w:rPr>
        <w:t xml:space="preserve">.1 </w:t>
      </w:r>
      <w:r>
        <w:rPr>
          <w:lang w:val="en-US" w:eastAsia="zh-CN"/>
        </w:rPr>
        <w:t>环境监测的目的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环境监测是为环境管理提供科学依据不可缺少的基础性工作，同时是执行环保法规，判别环境质量、评价环境治理设施运行效果的重要手段，在环境管理中起着重要作用。</w:t>
      </w:r>
    </w:p>
    <w:p>
      <w:pPr>
        <w:pStyle w:val="4"/>
        <w:bidi w:val="0"/>
      </w:pPr>
      <w:r>
        <w:rPr>
          <w:rFonts w:hint="default"/>
          <w:lang w:val="en-US" w:eastAsia="zh-CN"/>
        </w:rPr>
        <w:t>9.</w:t>
      </w:r>
      <w:r>
        <w:rPr>
          <w:rFonts w:hint="eastAsia"/>
          <w:lang w:val="en-US" w:eastAsia="zh-CN"/>
        </w:rPr>
        <w:t>4</w:t>
      </w:r>
      <w:r>
        <w:rPr>
          <w:rFonts w:hint="default"/>
          <w:lang w:val="en-US" w:eastAsia="zh-CN"/>
        </w:rPr>
        <w:t xml:space="preserve">.2 </w:t>
      </w:r>
      <w:r>
        <w:rPr>
          <w:rFonts w:hint="eastAsia"/>
          <w:lang w:val="en-US" w:eastAsia="zh-CN"/>
        </w:rPr>
        <w:t>环境监测机构职责</w:t>
      </w:r>
    </w:p>
    <w:p>
      <w:pPr>
        <w:keepNext w:val="0"/>
        <w:keepLines w:val="0"/>
        <w:widowControl/>
        <w:suppressLineNumbers w:val="0"/>
        <w:jc w:val="left"/>
      </w:pPr>
      <w:r>
        <w:rPr>
          <w:rFonts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根据国家颁布的环境质量标准和污染物排放标准及环境保护监测工作规定，制定本企业的监测计划和工作方案；</w:t>
      </w:r>
    </w:p>
    <w:p>
      <w:pPr>
        <w:keepNext w:val="0"/>
        <w:keepLines w:val="0"/>
        <w:widowControl/>
        <w:suppressLineNumbers w:val="0"/>
        <w:jc w:val="left"/>
      </w:pPr>
      <w:r>
        <w:rPr>
          <w:rFonts w:hint="default"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建立质量保证体系，实施监测站规范化建设，不断提高监测质量和监测水平；</w:t>
      </w:r>
    </w:p>
    <w:p>
      <w:pPr>
        <w:keepNext w:val="0"/>
        <w:keepLines w:val="0"/>
        <w:widowControl/>
        <w:suppressLineNumbers w:val="0"/>
        <w:jc w:val="left"/>
      </w:pPr>
      <w:r>
        <w:rPr>
          <w:rFonts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定期对各类污染防治设备运行进行监测评价，随时掌握其正常及非正常运行状况，监测结果异常时查明原因，及时上报；</w:t>
      </w:r>
    </w:p>
    <w:p>
      <w:pPr>
        <w:keepNext w:val="0"/>
        <w:keepLines w:val="0"/>
        <w:widowControl/>
        <w:suppressLineNumbers w:val="0"/>
        <w:jc w:val="left"/>
      </w:pPr>
      <w:r>
        <w:rPr>
          <w:rFonts w:hint="default"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分析污染物排放规律，整理监测数据，并建立企业环保档案；</w:t>
      </w:r>
    </w:p>
    <w:p>
      <w:pPr>
        <w:keepNext w:val="0"/>
        <w:keepLines w:val="0"/>
        <w:widowControl/>
        <w:suppressLineNumbers w:val="0"/>
        <w:jc w:val="left"/>
      </w:pPr>
      <w:r>
        <w:rPr>
          <w:rFonts w:hint="default"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参加污染事故调查工作，并协助有关方面进行处理；</w:t>
      </w:r>
    </w:p>
    <w:p>
      <w:pPr>
        <w:keepNext w:val="0"/>
        <w:keepLines w:val="0"/>
        <w:widowControl/>
        <w:suppressLineNumbers w:val="0"/>
        <w:jc w:val="left"/>
      </w:pPr>
      <w:r>
        <w:rPr>
          <w:rFonts w:hint="default"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分班次记录厂内生产运行、原辅料运输等</w:t>
      </w:r>
      <w:r>
        <w:rPr>
          <w:rFonts w:hint="eastAsia" w:ascii="宋体" w:hAnsi="宋体" w:cs="宋体"/>
          <w:color w:val="000000"/>
          <w:kern w:val="0"/>
          <w:sz w:val="24"/>
          <w:szCs w:val="24"/>
          <w:lang w:val="en-US" w:eastAsia="zh-CN" w:bidi="ar"/>
        </w:rPr>
        <w:t>管理台账</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default" w:ascii="Wingdings" w:hAnsi="Wingdings" w:eastAsia="宋体" w:cs="Wingdings"/>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参加公司环境质量评价，接受地方环保部门的指导和监督。</w:t>
      </w:r>
    </w:p>
    <w:p>
      <w:pPr>
        <w:pStyle w:val="4"/>
        <w:bidi w:val="0"/>
        <w:spacing w:line="360" w:lineRule="auto"/>
      </w:pPr>
      <w:r>
        <w:rPr>
          <w:rFonts w:hint="default"/>
          <w:lang w:val="en-US" w:eastAsia="zh-CN"/>
        </w:rPr>
        <w:t>9.</w:t>
      </w:r>
      <w:r>
        <w:rPr>
          <w:rFonts w:hint="eastAsia"/>
          <w:lang w:val="en-US" w:eastAsia="zh-CN"/>
        </w:rPr>
        <w:t>4.3</w:t>
      </w:r>
      <w:r>
        <w:rPr>
          <w:rFonts w:hint="default"/>
          <w:lang w:val="en-US" w:eastAsia="zh-CN"/>
        </w:rPr>
        <w:t xml:space="preserve"> </w:t>
      </w:r>
      <w:r>
        <w:rPr>
          <w:lang w:val="en-US" w:eastAsia="zh-CN"/>
        </w:rPr>
        <w:t>监测计划</w:t>
      </w:r>
    </w:p>
    <w:p>
      <w:pPr>
        <w:bidi w:val="0"/>
        <w:rPr>
          <w:rFonts w:hint="eastAsia"/>
          <w:lang w:val="en-US" w:eastAsia="zh-CN"/>
        </w:rPr>
      </w:pPr>
      <w:r>
        <w:rPr>
          <w:rFonts w:hint="eastAsia"/>
          <w:lang w:val="en-US" w:eastAsia="zh-CN"/>
        </w:rPr>
        <w:t xml:space="preserve">根据《排污许可证申请与核发技术规范 </w:t>
      </w:r>
      <w:r>
        <w:rPr>
          <w:rFonts w:hint="default"/>
          <w:lang w:val="en-US" w:eastAsia="zh-CN"/>
        </w:rPr>
        <w:t>废弃资源加工工业</w:t>
      </w:r>
      <w:r>
        <w:rPr>
          <w:rFonts w:hint="eastAsia"/>
          <w:lang w:val="en-US" w:eastAsia="zh-CN"/>
        </w:rPr>
        <w:t>》（HJ 1034—2019）和《排污许可证申请与核发技术规范</w:t>
      </w:r>
      <w:r>
        <w:rPr>
          <w:rFonts w:hint="default"/>
          <w:lang w:val="en-US" w:eastAsia="zh-CN"/>
        </w:rPr>
        <w:t>橡胶和塑料制品工业</w:t>
      </w:r>
      <w:r>
        <w:rPr>
          <w:rFonts w:hint="eastAsia"/>
          <w:lang w:val="en-US" w:eastAsia="zh-CN"/>
        </w:rPr>
        <w:t>》HJ</w:t>
      </w:r>
      <w:r>
        <w:rPr>
          <w:rFonts w:hint="default"/>
          <w:lang w:val="en-US" w:eastAsia="zh-CN"/>
        </w:rPr>
        <w:t>1122—2020</w:t>
      </w:r>
      <w:r>
        <w:rPr>
          <w:rFonts w:hint="eastAsia"/>
          <w:lang w:val="en-US" w:eastAsia="zh-CN"/>
        </w:rPr>
        <w:t>，本项目制定监测计划见表</w:t>
      </w:r>
      <w:r>
        <w:rPr>
          <w:rFonts w:hint="default"/>
          <w:lang w:val="en-US" w:eastAsia="zh-CN"/>
        </w:rPr>
        <w:t>9.</w:t>
      </w:r>
      <w:r>
        <w:rPr>
          <w:rFonts w:hint="eastAsia"/>
          <w:lang w:val="en-US" w:eastAsia="zh-CN"/>
        </w:rPr>
        <w:t>4</w:t>
      </w:r>
      <w:r>
        <w:rPr>
          <w:rFonts w:hint="default"/>
          <w:lang w:val="en-US" w:eastAsia="zh-CN"/>
        </w:rPr>
        <w:t>-</w:t>
      </w:r>
      <w:r>
        <w:rPr>
          <w:rFonts w:hint="eastAsia"/>
          <w:lang w:val="en-US" w:eastAsia="zh-CN"/>
        </w:rPr>
        <w:t>1。</w:t>
      </w:r>
    </w:p>
    <w:p>
      <w:pPr>
        <w:bidi w:val="0"/>
        <w:spacing w:line="360" w:lineRule="auto"/>
        <w:jc w:val="center"/>
        <w:rPr>
          <w:rFonts w:hint="eastAsia"/>
          <w:b/>
          <w:bCs/>
          <w:lang w:val="en-GB" w:eastAsia="zh-CN"/>
        </w:rPr>
      </w:pPr>
      <w:r>
        <w:rPr>
          <w:rFonts w:hint="eastAsia"/>
          <w:b/>
          <w:bCs/>
          <w:lang w:val="en-GB" w:eastAsia="zh-CN"/>
        </w:rPr>
        <w:t>表</w:t>
      </w:r>
      <w:r>
        <w:rPr>
          <w:rFonts w:hint="eastAsia"/>
          <w:b/>
          <w:bCs/>
          <w:lang w:val="en-US" w:eastAsia="zh-CN"/>
        </w:rPr>
        <w:t>9.4</w:t>
      </w:r>
      <w:r>
        <w:rPr>
          <w:rFonts w:hint="eastAsia"/>
          <w:b/>
          <w:bCs/>
          <w:lang w:val="en-GB" w:eastAsia="zh-CN"/>
        </w:rPr>
        <w:t>-</w:t>
      </w:r>
      <w:r>
        <w:rPr>
          <w:rFonts w:hint="eastAsia"/>
          <w:b/>
          <w:bCs/>
          <w:lang w:val="en-US" w:eastAsia="zh-CN"/>
        </w:rPr>
        <w:t>1</w:t>
      </w:r>
      <w:r>
        <w:rPr>
          <w:rFonts w:hint="eastAsia"/>
          <w:b/>
          <w:bCs/>
          <w:lang w:val="en-GB" w:eastAsia="zh-CN"/>
        </w:rPr>
        <w:t xml:space="preserve">  本项目运营期环境监测计划明细表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665"/>
        <w:gridCol w:w="1135"/>
        <w:gridCol w:w="1256"/>
        <w:gridCol w:w="1275"/>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监测类别</w:t>
            </w: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污染源</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监测项目</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监测点位</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监测频率</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废气</w:t>
            </w:r>
          </w:p>
        </w:tc>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lang w:val="en-GB"/>
              </w:rPr>
              <w:t>生产车间</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颗粒物</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bCs/>
                <w:color w:val="auto"/>
                <w:sz w:val="21"/>
                <w:szCs w:val="21"/>
                <w:lang w:val="en-US" w:eastAsia="zh-CN"/>
              </w:rPr>
              <w:t>DA001</w:t>
            </w:r>
            <w:r>
              <w:rPr>
                <w:rFonts w:ascii="Times New Roman" w:hAnsi="Times New Roman"/>
                <w:bCs/>
                <w:color w:val="auto"/>
                <w:sz w:val="21"/>
                <w:szCs w:val="21"/>
              </w:rPr>
              <w:t>排气筒</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1次/年</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《合成树脂工业污染物排放标准》（GB31572-2015）表</w:t>
            </w:r>
            <w:r>
              <w:rPr>
                <w:rFonts w:hint="eastAsia"/>
                <w:color w:val="auto"/>
                <w:sz w:val="21"/>
                <w:szCs w:val="21"/>
                <w:lang w:val="en-US" w:eastAsia="zh-CN"/>
              </w:rPr>
              <w:t>5</w:t>
            </w:r>
            <w:r>
              <w:rPr>
                <w:rFonts w:ascii="Times New Roman" w:hAnsi="Times New Roman"/>
                <w:color w:val="auto"/>
                <w:sz w:val="21"/>
                <w:szCs w:val="21"/>
              </w:rPr>
              <w:t>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lang w:val="en-US" w:eastAsia="zh-CN"/>
              </w:rPr>
            </w:pPr>
            <w:r>
              <w:rPr>
                <w:rFonts w:ascii="Times New Roman" w:hAnsi="Times New Roman"/>
                <w:color w:val="auto"/>
                <w:sz w:val="21"/>
                <w:szCs w:val="21"/>
              </w:rPr>
              <w:t>NMHC</w:t>
            </w:r>
            <w:r>
              <w:rPr>
                <w:rFonts w:hint="eastAsia" w:ascii="Times New Roman" w:hAnsi="Times New Roman"/>
                <w:color w:val="auto"/>
                <w:sz w:val="21"/>
                <w:szCs w:val="21"/>
                <w:lang w:eastAsia="zh-CN"/>
              </w:rPr>
              <w:t>、</w:t>
            </w:r>
            <w:r>
              <w:rPr>
                <w:rFonts w:hint="eastAsia"/>
                <w:color w:val="auto"/>
                <w:sz w:val="21"/>
                <w:szCs w:val="21"/>
                <w:lang w:eastAsia="zh-CN"/>
              </w:rPr>
              <w:t>苯乙烯、颗粒物</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bCs/>
                <w:color w:val="auto"/>
                <w:sz w:val="21"/>
                <w:szCs w:val="21"/>
                <w:lang w:val="en-US" w:eastAsia="zh-CN"/>
              </w:rPr>
              <w:t>DA002</w:t>
            </w:r>
            <w:r>
              <w:rPr>
                <w:rFonts w:ascii="Times New Roman" w:hAnsi="Times New Roman"/>
                <w:bCs/>
                <w:color w:val="auto"/>
                <w:sz w:val="21"/>
                <w:szCs w:val="21"/>
              </w:rPr>
              <w:t>排气筒</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color w:val="auto"/>
                <w:sz w:val="21"/>
                <w:szCs w:val="21"/>
                <w:lang w:val="en-US" w:eastAsia="zh-CN"/>
              </w:rPr>
              <w:t>1次/半年</w:t>
            </w:r>
          </w:p>
        </w:tc>
        <w:tc>
          <w:tcPr>
            <w:tcW w:w="425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合成树脂工业污染物排放标准》、《大气污染物综合排放标准》（GB16297-1996）、《关于全省开展工业企业挥发性有机物专项治理工作中排放建议值的通知》（豫环攻坚办〔2017〕162号）限值要求、《挥发性有机物无组织排放控制标准》</w:t>
            </w:r>
            <w:r>
              <w:rPr>
                <w:rFonts w:hint="eastAsia" w:ascii="Times New Roman" w:hAnsi="Times New Roman" w:cs="Times New Roman"/>
                <w:color w:val="auto"/>
                <w:kern w:val="0"/>
                <w:sz w:val="21"/>
                <w:szCs w:val="21"/>
                <w:u w:val="none"/>
                <w:lang w:val="en-US" w:eastAsia="zh-CN" w:bidi="ar-SA"/>
              </w:rPr>
              <w:t>、</w:t>
            </w: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GB37822-2019</w:t>
            </w:r>
            <w:r>
              <w:rPr>
                <w:rFonts w:hint="eastAsia" w:ascii="Times New Roman" w:hAnsi="Times New Roman" w:eastAsia="宋体" w:cs="Times New Roman"/>
                <w:color w:val="auto"/>
                <w:kern w:val="0"/>
                <w:sz w:val="21"/>
                <w:szCs w:val="21"/>
                <w:u w:val="none"/>
                <w:lang w:val="en-US" w:eastAsia="zh-CN" w:bidi="ar-SA"/>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bCs/>
                <w:color w:val="auto"/>
                <w:sz w:val="21"/>
                <w:szCs w:val="21"/>
              </w:rPr>
            </w:pPr>
            <w:r>
              <w:rPr>
                <w:rFonts w:ascii="Times New Roman" w:hAnsi="Times New Roman"/>
                <w:color w:val="auto"/>
                <w:sz w:val="21"/>
                <w:szCs w:val="21"/>
              </w:rPr>
              <w:t>NMHC</w:t>
            </w:r>
            <w:r>
              <w:rPr>
                <w:rFonts w:hint="eastAsia" w:ascii="Times New Roman" w:hAnsi="Times New Roman"/>
                <w:color w:val="auto"/>
                <w:sz w:val="21"/>
                <w:szCs w:val="21"/>
                <w:lang w:eastAsia="zh-CN"/>
              </w:rPr>
              <w:t>、</w:t>
            </w:r>
            <w:r>
              <w:rPr>
                <w:rFonts w:hint="eastAsia"/>
                <w:color w:val="auto"/>
                <w:sz w:val="21"/>
                <w:szCs w:val="21"/>
                <w:lang w:eastAsia="zh-CN"/>
              </w:rPr>
              <w:t>苯乙烯</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bCs/>
                <w:color w:val="auto"/>
                <w:sz w:val="21"/>
                <w:szCs w:val="21"/>
                <w:lang w:val="en-US" w:eastAsia="zh-CN"/>
              </w:rPr>
              <w:t>DA003</w:t>
            </w:r>
            <w:r>
              <w:rPr>
                <w:rFonts w:ascii="Times New Roman" w:hAnsi="Times New Roman"/>
                <w:bCs/>
                <w:color w:val="auto"/>
                <w:sz w:val="21"/>
                <w:szCs w:val="21"/>
              </w:rPr>
              <w:t>排气筒</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color w:val="auto"/>
                <w:sz w:val="21"/>
                <w:szCs w:val="21"/>
                <w:lang w:val="en-US" w:eastAsia="zh-CN"/>
              </w:rPr>
              <w:t>1次/年</w:t>
            </w:r>
          </w:p>
        </w:tc>
        <w:tc>
          <w:tcPr>
            <w:tcW w:w="4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污水处理站</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NMHC</w:t>
            </w:r>
            <w:r>
              <w:rPr>
                <w:rFonts w:hint="eastAsia" w:ascii="Times New Roman" w:hAnsi="Times New Roman"/>
                <w:color w:val="auto"/>
                <w:sz w:val="21"/>
                <w:szCs w:val="21"/>
                <w:lang w:eastAsia="zh-CN"/>
              </w:rPr>
              <w:t>、</w:t>
            </w:r>
            <w:r>
              <w:rPr>
                <w:rFonts w:hint="eastAsia"/>
                <w:color w:val="auto"/>
                <w:sz w:val="21"/>
                <w:szCs w:val="21"/>
                <w:lang w:eastAsia="zh-CN"/>
              </w:rPr>
              <w:t>氨、硫化氢</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Cs/>
                <w:color w:val="auto"/>
                <w:sz w:val="21"/>
                <w:szCs w:val="21"/>
                <w:lang w:val="en-US" w:eastAsia="zh-CN"/>
              </w:rPr>
            </w:pPr>
            <w:r>
              <w:rPr>
                <w:rFonts w:hint="eastAsia"/>
                <w:bCs/>
                <w:color w:val="auto"/>
                <w:sz w:val="21"/>
                <w:szCs w:val="21"/>
                <w:lang w:val="en-US" w:eastAsia="zh-CN"/>
              </w:rPr>
              <w:t>DA004</w:t>
            </w:r>
            <w:r>
              <w:rPr>
                <w:rFonts w:ascii="Times New Roman" w:hAnsi="Times New Roman"/>
                <w:bCs/>
                <w:color w:val="auto"/>
                <w:sz w:val="21"/>
                <w:szCs w:val="21"/>
              </w:rPr>
              <w:t>排气筒</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1次/年</w:t>
            </w:r>
          </w:p>
        </w:tc>
        <w:tc>
          <w:tcPr>
            <w:tcW w:w="425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食堂</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油烟</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Cs/>
                <w:color w:val="auto"/>
                <w:sz w:val="21"/>
                <w:szCs w:val="21"/>
                <w:lang w:val="en-US" w:eastAsia="zh-CN"/>
              </w:rPr>
            </w:pPr>
            <w:r>
              <w:rPr>
                <w:rFonts w:hint="eastAsia" w:ascii="Times New Roman" w:hAnsi="Times New Roman"/>
                <w:bCs/>
                <w:color w:val="auto"/>
                <w:sz w:val="21"/>
                <w:szCs w:val="21"/>
                <w:lang w:val="en-US" w:eastAsia="zh-CN"/>
              </w:rPr>
              <w:t>油烟排气筒</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color w:val="auto"/>
                <w:sz w:val="21"/>
                <w:szCs w:val="21"/>
                <w:lang w:val="en-US" w:eastAsia="zh-CN"/>
              </w:rPr>
              <w:t>1次/年</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hint="eastAsia"/>
                <w:spacing w:val="-6"/>
                <w:sz w:val="21"/>
                <w:szCs w:val="21"/>
                <w:lang w:val="en-US"/>
              </w:rPr>
              <w:t>《餐饮业油烟污染物排放标准》（</w:t>
            </w:r>
            <w:r>
              <w:rPr>
                <w:rFonts w:hint="eastAsia"/>
                <w:spacing w:val="-6"/>
                <w:sz w:val="21"/>
                <w:szCs w:val="21"/>
                <w:lang w:val="en-US" w:eastAsia="zh-CN"/>
              </w:rPr>
              <w:t>D</w:t>
            </w:r>
            <w:r>
              <w:rPr>
                <w:spacing w:val="-6"/>
                <w:sz w:val="21"/>
                <w:szCs w:val="21"/>
                <w:lang w:val="en-US"/>
              </w:rPr>
              <w:t>B</w:t>
            </w:r>
            <w:r>
              <w:rPr>
                <w:rFonts w:hint="eastAsia"/>
                <w:spacing w:val="-6"/>
                <w:sz w:val="21"/>
                <w:szCs w:val="21"/>
                <w:lang w:val="en-US"/>
              </w:rPr>
              <w:t>41/1604</w:t>
            </w:r>
            <w:r>
              <w:rPr>
                <w:spacing w:val="-6"/>
                <w:sz w:val="21"/>
                <w:szCs w:val="21"/>
                <w:lang w:val="en-US"/>
              </w:rPr>
              <w:t>-20</w:t>
            </w:r>
            <w:r>
              <w:rPr>
                <w:rFonts w:hint="eastAsia"/>
                <w:spacing w:val="-6"/>
                <w:sz w:val="21"/>
                <w:szCs w:val="21"/>
                <w:lang w:val="en-US"/>
              </w:rPr>
              <w:t>18）表1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lang w:val="en-GB"/>
              </w:rPr>
              <w:t>厂界</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rPr>
            </w:pPr>
            <w:r>
              <w:rPr>
                <w:rFonts w:ascii="Times New Roman" w:hAnsi="Times New Roman"/>
                <w:color w:val="auto"/>
                <w:sz w:val="21"/>
                <w:szCs w:val="21"/>
              </w:rPr>
              <w:t>NMHC</w:t>
            </w:r>
            <w:r>
              <w:rPr>
                <w:rFonts w:hint="eastAsia" w:ascii="Times New Roman" w:hAnsi="Times New Roman"/>
                <w:color w:val="auto"/>
                <w:sz w:val="21"/>
                <w:szCs w:val="21"/>
                <w:lang w:eastAsia="zh-CN"/>
              </w:rPr>
              <w:t>、</w:t>
            </w:r>
            <w:r>
              <w:rPr>
                <w:rFonts w:hint="eastAsia"/>
                <w:color w:val="auto"/>
                <w:sz w:val="21"/>
                <w:szCs w:val="21"/>
                <w:lang w:eastAsia="zh-CN"/>
              </w:rPr>
              <w:t>氨、硫化氢、颗粒物、苯乙烯</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厂区上风向设1个点，下风向设3个</w:t>
            </w:r>
          </w:p>
        </w:tc>
        <w:tc>
          <w:tcPr>
            <w:tcW w:w="12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1次/年</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合成树脂工业污染物排放标准》、《大气污染物综合排放标准》（GB16297-1996）、《关于全省开展工业企业挥发性有机物专项治理工作中排放建议值的通知》（豫环攻坚办〔2017〕162号）限值要求、</w:t>
            </w:r>
            <w:r>
              <w:rPr>
                <w:rFonts w:hint="eastAsia" w:ascii="Times New Roman" w:hAnsi="Times New Roman" w:eastAsia="宋体" w:cs="Times New Roman"/>
                <w:sz w:val="21"/>
                <w:szCs w:val="21"/>
                <w:lang w:val="en-US" w:eastAsia="zh-CN"/>
              </w:rPr>
              <w:t>《恶臭污染物排放标准》（GB14554-93）</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GB37822-2019</w:t>
            </w:r>
            <w:r>
              <w:rPr>
                <w:rFonts w:hint="eastAsia" w:ascii="Times New Roman" w:hAnsi="Times New Roman" w:eastAsia="宋体" w:cs="Times New Roman"/>
                <w:color w:val="auto"/>
                <w:kern w:val="0"/>
                <w:sz w:val="21"/>
                <w:szCs w:val="21"/>
                <w:u w:val="none"/>
                <w:lang w:val="en-US" w:eastAsia="zh-CN" w:bidi="ar-SA"/>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Cs/>
                <w:color w:val="auto"/>
                <w:sz w:val="21"/>
                <w:szCs w:val="21"/>
                <w:lang w:val="en-GB" w:eastAsia="zh-CN"/>
              </w:rPr>
            </w:pPr>
            <w:r>
              <w:rPr>
                <w:rFonts w:hint="eastAsia"/>
                <w:bCs/>
                <w:color w:val="auto"/>
                <w:sz w:val="21"/>
                <w:szCs w:val="21"/>
                <w:lang w:val="en-GB" w:eastAsia="zh-CN"/>
              </w:rPr>
              <w:t>敏感点后王庄</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ascii="Times New Roman" w:hAnsi="Times New Roman"/>
                <w:color w:val="auto"/>
                <w:sz w:val="21"/>
                <w:szCs w:val="21"/>
              </w:rPr>
              <w:t>NMHC</w:t>
            </w:r>
            <w:r>
              <w:rPr>
                <w:rFonts w:hint="eastAsia" w:ascii="Times New Roman" w:hAnsi="Times New Roman"/>
                <w:color w:val="auto"/>
                <w:sz w:val="21"/>
                <w:szCs w:val="21"/>
                <w:lang w:eastAsia="zh-CN"/>
              </w:rPr>
              <w:t>、</w:t>
            </w:r>
            <w:r>
              <w:rPr>
                <w:rFonts w:hint="eastAsia"/>
                <w:color w:val="auto"/>
                <w:sz w:val="21"/>
                <w:szCs w:val="21"/>
                <w:lang w:eastAsia="zh-CN"/>
              </w:rPr>
              <w:t>氨、硫化氢、颗粒物、苯乙烯</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eastAsia="zh-CN"/>
              </w:rPr>
              <w:t>敏感点设置</w:t>
            </w:r>
            <w:r>
              <w:rPr>
                <w:rFonts w:hint="eastAsia"/>
                <w:color w:val="auto"/>
                <w:sz w:val="21"/>
                <w:szCs w:val="21"/>
                <w:lang w:val="en-US" w:eastAsia="zh-CN"/>
              </w:rPr>
              <w:t>1个监测点位</w:t>
            </w:r>
          </w:p>
        </w:tc>
        <w:tc>
          <w:tcPr>
            <w:tcW w:w="1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宋体" w:hAnsi="宋体" w:eastAsia="宋体" w:cs="宋体"/>
                <w:color w:val="000000"/>
                <w:kern w:val="0"/>
                <w:sz w:val="21"/>
                <w:szCs w:val="21"/>
                <w:lang w:val="en-US" w:eastAsia="zh-CN" w:bidi="ar"/>
              </w:rPr>
              <w:t>《环境空气质量标准》（</w:t>
            </w:r>
            <w:r>
              <w:rPr>
                <w:rFonts w:hint="default" w:ascii="Times New Roman" w:hAnsi="Times New Roman" w:eastAsia="宋体" w:cs="Times New Roman"/>
                <w:color w:val="000000"/>
                <w:kern w:val="0"/>
                <w:sz w:val="21"/>
                <w:szCs w:val="21"/>
                <w:lang w:val="en-US" w:eastAsia="zh-CN" w:bidi="ar"/>
              </w:rPr>
              <w:t>GB3095-2012</w:t>
            </w:r>
            <w:r>
              <w:rPr>
                <w:rFonts w:hint="eastAsia" w:ascii="宋体" w:hAnsi="宋体" w:eastAsia="宋体" w:cs="宋体"/>
                <w:color w:val="000000"/>
                <w:kern w:val="0"/>
                <w:sz w:val="21"/>
                <w:szCs w:val="21"/>
                <w:lang w:val="en-US" w:eastAsia="zh-CN" w:bidi="ar"/>
              </w:rPr>
              <w:t>）二级标准</w:t>
            </w:r>
            <w:r>
              <w:rPr>
                <w:rFonts w:hint="eastAsia" w:ascii="宋体" w:hAnsi="宋体" w:cs="宋体"/>
                <w:color w:val="000000"/>
                <w:kern w:val="0"/>
                <w:sz w:val="21"/>
                <w:szCs w:val="21"/>
                <w:lang w:val="en-US" w:eastAsia="zh-CN" w:bidi="ar"/>
              </w:rPr>
              <w:t>、</w:t>
            </w:r>
            <w:r>
              <w:rPr>
                <w:rFonts w:hint="eastAsia"/>
                <w:sz w:val="21"/>
                <w:szCs w:val="21"/>
                <w:lang w:val="en-US" w:eastAsia="zh-CN"/>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Cs/>
                <w:color w:val="auto"/>
                <w:sz w:val="21"/>
                <w:szCs w:val="21"/>
                <w:lang w:val="en-US" w:eastAsia="zh-CN"/>
              </w:rPr>
            </w:pPr>
            <w:r>
              <w:rPr>
                <w:rFonts w:hint="eastAsia"/>
                <w:bCs/>
                <w:color w:val="auto"/>
                <w:sz w:val="21"/>
                <w:szCs w:val="21"/>
                <w:lang w:val="en-GB" w:eastAsia="zh-CN"/>
              </w:rPr>
              <w:t>厂内</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NMHC</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eastAsia="zh-CN"/>
              </w:rPr>
              <w:t>厂内下风向</w:t>
            </w:r>
            <w:r>
              <w:rPr>
                <w:rFonts w:hint="eastAsia"/>
                <w:color w:val="auto"/>
                <w:sz w:val="21"/>
                <w:szCs w:val="21"/>
                <w:lang w:val="en-US" w:eastAsia="zh-CN"/>
              </w:rPr>
              <w:t>1个监测点位</w:t>
            </w:r>
          </w:p>
        </w:tc>
        <w:tc>
          <w:tcPr>
            <w:tcW w:w="1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eastAsia="宋体" w:cs="Times New Roman"/>
                <w:color w:val="auto"/>
                <w:kern w:val="0"/>
                <w:sz w:val="21"/>
                <w:szCs w:val="21"/>
                <w:u w:val="none"/>
                <w:lang w:val="en-US" w:eastAsia="zh-CN" w:bidi="ar-SA"/>
              </w:rPr>
              <w:t>《挥发性有机物无组织排放控制标准》（</w:t>
            </w:r>
            <w:r>
              <w:rPr>
                <w:rFonts w:hint="default" w:ascii="Times New Roman" w:hAnsi="Times New Roman" w:eastAsia="宋体" w:cs="Times New Roman"/>
                <w:color w:val="auto"/>
                <w:kern w:val="0"/>
                <w:sz w:val="21"/>
                <w:szCs w:val="21"/>
                <w:u w:val="none"/>
                <w:lang w:val="en-US" w:eastAsia="zh-CN" w:bidi="ar-SA"/>
              </w:rPr>
              <w:t>GB37822-2019</w:t>
            </w:r>
            <w:r>
              <w:rPr>
                <w:rFonts w:hint="eastAsia" w:ascii="Times New Roman" w:hAnsi="Times New Roman" w:eastAsia="宋体" w:cs="Times New Roman"/>
                <w:color w:val="auto"/>
                <w:kern w:val="0"/>
                <w:sz w:val="21"/>
                <w:szCs w:val="21"/>
                <w:u w:val="none"/>
                <w:lang w:val="en-US" w:eastAsia="zh-CN" w:bidi="ar-SA"/>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噪声</w:t>
            </w: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设备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噪声</w:t>
            </w:r>
          </w:p>
        </w:tc>
        <w:tc>
          <w:tcPr>
            <w:tcW w:w="11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等效A声级</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厂界四周1m4个点</w:t>
            </w:r>
          </w:p>
        </w:tc>
        <w:tc>
          <w:tcPr>
            <w:tcW w:w="12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每年一次，每次测两天，每天昼夜各1次。</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《工业企业厂界环境噪声排放标准》（GB12348-2008）</w:t>
            </w:r>
            <w:r>
              <w:rPr>
                <w:rFonts w:hint="eastAsia"/>
                <w:color w:val="auto"/>
                <w:sz w:val="21"/>
                <w:szCs w:val="21"/>
                <w:lang w:val="en-US" w:eastAsia="zh-CN"/>
              </w:rPr>
              <w:t>1</w:t>
            </w:r>
            <w:r>
              <w:rPr>
                <w:rFonts w:ascii="Times New Roman" w:hAnsi="Times New Roman"/>
                <w:color w:val="auto"/>
                <w:sz w:val="21"/>
                <w:szCs w:val="21"/>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环境噪声</w:t>
            </w:r>
          </w:p>
        </w:tc>
        <w:tc>
          <w:tcPr>
            <w:tcW w:w="11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敏感点后王庄</w:t>
            </w:r>
          </w:p>
        </w:tc>
        <w:tc>
          <w:tcPr>
            <w:tcW w:w="1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sz w:val="21"/>
                <w:szCs w:val="21"/>
              </w:rPr>
              <w:t>《声环境质量标准》（GB3096-2008）</w:t>
            </w:r>
            <w:r>
              <w:rPr>
                <w:rFonts w:hint="eastAsia"/>
                <w:sz w:val="21"/>
                <w:szCs w:val="21"/>
                <w:lang w:val="en-US" w:eastAsia="zh-CN"/>
              </w:rPr>
              <w:t>1</w:t>
            </w:r>
            <w:r>
              <w:rPr>
                <w:rFonts w:hint="eastAsia"/>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地下水</w:t>
            </w:r>
          </w:p>
        </w:tc>
        <w:tc>
          <w:tcPr>
            <w:tcW w:w="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厂区</w:t>
            </w:r>
          </w:p>
        </w:tc>
        <w:tc>
          <w:tcPr>
            <w:tcW w:w="11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bCs/>
                <w:color w:val="auto"/>
                <w:sz w:val="21"/>
                <w:szCs w:val="21"/>
              </w:rPr>
              <w:t>COD、NH</w:t>
            </w:r>
            <w:r>
              <w:rPr>
                <w:rFonts w:ascii="Times New Roman" w:hAnsi="Times New Roman"/>
                <w:bCs/>
                <w:color w:val="auto"/>
                <w:sz w:val="21"/>
                <w:szCs w:val="21"/>
                <w:vertAlign w:val="subscript"/>
              </w:rPr>
              <w:t>3</w:t>
            </w:r>
            <w:r>
              <w:rPr>
                <w:rFonts w:ascii="Times New Roman" w:hAnsi="Times New Roman"/>
                <w:bCs/>
                <w:color w:val="auto"/>
                <w:sz w:val="21"/>
                <w:szCs w:val="21"/>
              </w:rPr>
              <w:t>-N</w:t>
            </w:r>
            <w:r>
              <w:rPr>
                <w:rFonts w:hint="eastAsia"/>
                <w:bCs/>
                <w:color w:val="auto"/>
                <w:sz w:val="21"/>
                <w:szCs w:val="21"/>
                <w:lang w:eastAsia="zh-CN"/>
              </w:rPr>
              <w:t>、</w:t>
            </w:r>
            <w:r>
              <w:rPr>
                <w:rFonts w:hint="eastAsia"/>
                <w:bCs/>
                <w:color w:val="auto"/>
                <w:sz w:val="21"/>
                <w:szCs w:val="21"/>
                <w:lang w:val="en-US" w:eastAsia="zh-CN"/>
              </w:rPr>
              <w:t>SS、总氮、总磷、苯乙烯</w:t>
            </w:r>
          </w:p>
        </w:tc>
        <w:tc>
          <w:tcPr>
            <w:tcW w:w="12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项目厂区循环水池北侧（场地下游）设置1个监控井</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每年枯水期采样一次</w:t>
            </w:r>
          </w:p>
        </w:tc>
        <w:tc>
          <w:tcPr>
            <w:tcW w:w="42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《地下水质量标准》（GB/T14848-2017）</w:t>
            </w:r>
            <w:r>
              <w:rPr>
                <w:rFonts w:hint="eastAsia" w:ascii="宋体" w:hAnsi="宋体" w:cs="宋体"/>
                <w:color w:val="auto"/>
                <w:sz w:val="21"/>
                <w:szCs w:val="21"/>
              </w:rPr>
              <w:t>Ⅲ</w:t>
            </w:r>
            <w:r>
              <w:rPr>
                <w:rFonts w:ascii="Times New Roman" w:hAnsi="Times New Roman"/>
                <w:color w:val="auto"/>
                <w:sz w:val="21"/>
                <w:szCs w:val="21"/>
              </w:rPr>
              <w:t>类标准</w:t>
            </w:r>
          </w:p>
        </w:tc>
      </w:tr>
    </w:tbl>
    <w:p>
      <w:pPr>
        <w:pStyle w:val="4"/>
        <w:bidi w:val="0"/>
      </w:pPr>
      <w:r>
        <w:rPr>
          <w:rFonts w:hint="default"/>
          <w:lang w:val="en-US" w:eastAsia="zh-CN"/>
        </w:rPr>
        <w:t>9.</w:t>
      </w:r>
      <w:r>
        <w:rPr>
          <w:rFonts w:hint="eastAsia"/>
          <w:lang w:val="en-US" w:eastAsia="zh-CN"/>
        </w:rPr>
        <w:t xml:space="preserve">4.4 </w:t>
      </w:r>
      <w:r>
        <w:rPr>
          <w:lang w:val="en-US" w:eastAsia="zh-CN"/>
        </w:rPr>
        <w:t>信息公开</w:t>
      </w:r>
    </w:p>
    <w:p>
      <w:pPr>
        <w:bidi w:val="0"/>
      </w:pPr>
      <w:r>
        <w:rPr>
          <w:rFonts w:hint="eastAsia"/>
          <w:lang w:val="en-US" w:eastAsia="zh-CN"/>
        </w:rPr>
        <w:t>1、</w:t>
      </w:r>
      <w:r>
        <w:rPr>
          <w:lang w:val="en-US" w:eastAsia="zh-CN"/>
        </w:rPr>
        <w:t>公开内容</w:t>
      </w:r>
    </w:p>
    <w:p>
      <w:pPr>
        <w:bidi w:val="0"/>
      </w:pPr>
      <w:r>
        <w:rPr>
          <w:rFonts w:hint="eastAsia"/>
          <w:lang w:val="en-US" w:eastAsia="zh-CN"/>
        </w:rPr>
        <w:t>企业应将自行监测工作开展情况及监测结果向社会公众公开，公开内容应包括：</w:t>
      </w:r>
    </w:p>
    <w:p>
      <w:pPr>
        <w:bidi w:val="0"/>
      </w:pPr>
      <w:r>
        <w:rPr>
          <w:rFonts w:hint="eastAsia"/>
          <w:lang w:val="en-US" w:eastAsia="zh-CN"/>
        </w:rPr>
        <w:t>（</w:t>
      </w:r>
      <w:r>
        <w:rPr>
          <w:rFonts w:hint="default"/>
          <w:lang w:val="en-US" w:eastAsia="zh-CN"/>
        </w:rPr>
        <w:t>1</w:t>
      </w:r>
      <w:r>
        <w:rPr>
          <w:rFonts w:hint="eastAsia"/>
          <w:lang w:val="en-US" w:eastAsia="zh-CN"/>
        </w:rPr>
        <w:t>）基础信息：企业名称、法人代表、所属行业、地理位置、生产周期、联系方式、委托监测机构名称等；</w:t>
      </w:r>
    </w:p>
    <w:p>
      <w:pPr>
        <w:bidi w:val="0"/>
      </w:pPr>
      <w:r>
        <w:rPr>
          <w:rFonts w:hint="eastAsia"/>
          <w:lang w:val="en-US" w:eastAsia="zh-CN"/>
        </w:rPr>
        <w:t>（</w:t>
      </w:r>
      <w:r>
        <w:rPr>
          <w:rFonts w:hint="default"/>
          <w:lang w:val="en-US" w:eastAsia="zh-CN"/>
        </w:rPr>
        <w:t>2</w:t>
      </w:r>
      <w:r>
        <w:rPr>
          <w:rFonts w:hint="eastAsia"/>
          <w:lang w:val="en-US" w:eastAsia="zh-CN"/>
        </w:rPr>
        <w:t>）自行监测方案；</w:t>
      </w:r>
    </w:p>
    <w:p>
      <w:pPr>
        <w:bidi w:val="0"/>
      </w:pPr>
      <w:r>
        <w:rPr>
          <w:rFonts w:hint="eastAsia"/>
          <w:lang w:val="en-US" w:eastAsia="zh-CN"/>
        </w:rPr>
        <w:t>（</w:t>
      </w:r>
      <w:r>
        <w:rPr>
          <w:rFonts w:hint="default"/>
          <w:lang w:val="en-US" w:eastAsia="zh-CN"/>
        </w:rPr>
        <w:t>3</w:t>
      </w:r>
      <w:r>
        <w:rPr>
          <w:rFonts w:hint="eastAsia"/>
          <w:lang w:val="en-US" w:eastAsia="zh-CN"/>
        </w:rPr>
        <w:t>）自行监测结果：全部监测点位、监测时间、污染物种类及浓度、标准限值、达标情况、超标倍数、污染物排放方式及排放去向；</w:t>
      </w:r>
    </w:p>
    <w:p>
      <w:pPr>
        <w:bidi w:val="0"/>
      </w:pPr>
      <w:r>
        <w:rPr>
          <w:rFonts w:hint="eastAsia"/>
          <w:lang w:val="en-US" w:eastAsia="zh-CN"/>
        </w:rPr>
        <w:t>（</w:t>
      </w:r>
      <w:r>
        <w:rPr>
          <w:rFonts w:hint="default"/>
          <w:lang w:val="en-US" w:eastAsia="zh-CN"/>
        </w:rPr>
        <w:t>4</w:t>
      </w:r>
      <w:r>
        <w:rPr>
          <w:rFonts w:hint="eastAsia"/>
          <w:lang w:val="en-US" w:eastAsia="zh-CN"/>
        </w:rPr>
        <w:t>）未开展自行监测的原因；</w:t>
      </w:r>
    </w:p>
    <w:p>
      <w:pPr>
        <w:bidi w:val="0"/>
      </w:pPr>
      <w:r>
        <w:rPr>
          <w:rFonts w:hint="eastAsia"/>
          <w:lang w:val="en-US" w:eastAsia="zh-CN"/>
        </w:rPr>
        <w:t>（</w:t>
      </w:r>
      <w:r>
        <w:rPr>
          <w:rFonts w:hint="default"/>
          <w:lang w:val="en-US" w:eastAsia="zh-CN"/>
        </w:rPr>
        <w:t>5</w:t>
      </w:r>
      <w:r>
        <w:rPr>
          <w:rFonts w:hint="eastAsia"/>
          <w:lang w:val="en-US" w:eastAsia="zh-CN"/>
        </w:rPr>
        <w:t>）污染源监测年度报告。</w:t>
      </w:r>
    </w:p>
    <w:p>
      <w:pPr>
        <w:bidi w:val="0"/>
      </w:pPr>
      <w:r>
        <w:rPr>
          <w:rFonts w:hint="eastAsia"/>
          <w:lang w:val="en-US" w:eastAsia="zh-CN"/>
        </w:rPr>
        <w:t>2、</w:t>
      </w:r>
      <w:r>
        <w:rPr>
          <w:lang w:val="en-US" w:eastAsia="zh-CN"/>
        </w:rPr>
        <w:t>公开方式</w:t>
      </w:r>
    </w:p>
    <w:p>
      <w:pPr>
        <w:bidi w:val="0"/>
      </w:pPr>
      <w:r>
        <w:rPr>
          <w:rFonts w:hint="eastAsia"/>
          <w:lang w:val="en-US" w:eastAsia="zh-CN"/>
        </w:rPr>
        <w:t>企业可通过对外网站、报纸、广播、电视等便于公众知晓的方式公开自行监测信息。</w:t>
      </w:r>
    </w:p>
    <w:p>
      <w:pPr>
        <w:bidi w:val="0"/>
      </w:pPr>
      <w:r>
        <w:rPr>
          <w:rFonts w:hint="eastAsia"/>
          <w:lang w:val="en-US" w:eastAsia="zh-CN"/>
        </w:rPr>
        <w:t>3、公开时限</w:t>
      </w:r>
    </w:p>
    <w:p>
      <w:pPr>
        <w:bidi w:val="0"/>
      </w:pPr>
      <w:r>
        <w:rPr>
          <w:rFonts w:hint="eastAsia"/>
          <w:lang w:val="en-US" w:eastAsia="zh-CN"/>
        </w:rPr>
        <w:t>企业自行监测信息按以下要求的时限公开：</w:t>
      </w:r>
    </w:p>
    <w:p>
      <w:pPr>
        <w:bidi w:val="0"/>
      </w:pPr>
      <w:r>
        <w:rPr>
          <w:rFonts w:hint="eastAsia"/>
          <w:lang w:val="en-US" w:eastAsia="zh-CN"/>
        </w:rPr>
        <w:t>（</w:t>
      </w:r>
      <w:r>
        <w:rPr>
          <w:rFonts w:hint="default"/>
          <w:lang w:val="en-US" w:eastAsia="zh-CN"/>
        </w:rPr>
        <w:t>1</w:t>
      </w:r>
      <w:r>
        <w:rPr>
          <w:rFonts w:hint="eastAsia"/>
          <w:lang w:val="en-US" w:eastAsia="zh-CN"/>
        </w:rPr>
        <w:t>）企业基础信息应随监测数据一并公布，基础信息、自行监测方案如有调整变化时，应于变更后的五日内公布最新内容；</w:t>
      </w:r>
    </w:p>
    <w:p>
      <w:pPr>
        <w:bidi w:val="0"/>
      </w:pPr>
      <w:r>
        <w:rPr>
          <w:rFonts w:hint="eastAsia"/>
          <w:lang w:val="en-US" w:eastAsia="zh-CN"/>
        </w:rPr>
        <w:t>（</w:t>
      </w:r>
      <w:r>
        <w:rPr>
          <w:rFonts w:hint="default"/>
          <w:lang w:val="en-US" w:eastAsia="zh-CN"/>
        </w:rPr>
        <w:t>2</w:t>
      </w:r>
      <w:r>
        <w:rPr>
          <w:rFonts w:hint="eastAsia"/>
          <w:lang w:val="en-US" w:eastAsia="zh-CN"/>
        </w:rPr>
        <w:t>）手工监测数据应于每次监测完成后的次日公布；</w:t>
      </w:r>
    </w:p>
    <w:p>
      <w:pPr>
        <w:bidi w:val="0"/>
      </w:pPr>
      <w:r>
        <w:rPr>
          <w:rFonts w:hint="eastAsia"/>
          <w:lang w:val="en-US" w:eastAsia="zh-CN"/>
        </w:rPr>
        <w:t>（</w:t>
      </w:r>
      <w:r>
        <w:rPr>
          <w:rFonts w:hint="default"/>
          <w:lang w:val="en-US" w:eastAsia="zh-CN"/>
        </w:rPr>
        <w:t>3</w:t>
      </w:r>
      <w:r>
        <w:rPr>
          <w:rFonts w:hint="eastAsia"/>
          <w:lang w:val="en-US" w:eastAsia="zh-CN"/>
        </w:rPr>
        <w:t>）自动监测数据应实时公布监测结果；</w:t>
      </w:r>
    </w:p>
    <w:p>
      <w:pPr>
        <w:bidi w:val="0"/>
      </w:pPr>
      <w:r>
        <w:rPr>
          <w:rFonts w:hint="eastAsia"/>
          <w:lang w:val="en-US" w:eastAsia="zh-CN"/>
        </w:rPr>
        <w:t>（</w:t>
      </w:r>
      <w:r>
        <w:rPr>
          <w:rFonts w:hint="default"/>
          <w:lang w:val="en-US" w:eastAsia="zh-CN"/>
        </w:rPr>
        <w:t>4</w:t>
      </w:r>
      <w:r>
        <w:rPr>
          <w:rFonts w:hint="eastAsia"/>
          <w:lang w:val="en-US" w:eastAsia="zh-CN"/>
        </w:rPr>
        <w:t>）每年</w:t>
      </w:r>
      <w:r>
        <w:rPr>
          <w:rFonts w:hint="default"/>
          <w:lang w:val="en-US" w:eastAsia="zh-CN"/>
        </w:rPr>
        <w:t>1</w:t>
      </w:r>
      <w:r>
        <w:rPr>
          <w:rFonts w:hint="eastAsia"/>
          <w:lang w:val="en-US" w:eastAsia="zh-CN"/>
        </w:rPr>
        <w:t>月底前公布上年度自行监测年度报告。</w:t>
      </w:r>
    </w:p>
    <w:p>
      <w:pPr>
        <w:pStyle w:val="3"/>
        <w:bidi w:val="0"/>
      </w:pPr>
      <w:bookmarkStart w:id="310" w:name="_Toc17335"/>
      <w:bookmarkStart w:id="311" w:name="_Toc11075"/>
      <w:bookmarkStart w:id="312" w:name="_Toc13292"/>
      <w:r>
        <w:rPr>
          <w:rFonts w:hint="default"/>
          <w:lang w:val="en-US" w:eastAsia="zh-CN"/>
        </w:rPr>
        <w:t>9.</w:t>
      </w:r>
      <w:r>
        <w:rPr>
          <w:rFonts w:hint="eastAsia"/>
          <w:lang w:val="en-US" w:eastAsia="zh-CN"/>
        </w:rPr>
        <w:t>5</w:t>
      </w:r>
      <w:r>
        <w:rPr>
          <w:rFonts w:hint="default"/>
          <w:lang w:val="en-US" w:eastAsia="zh-CN"/>
        </w:rPr>
        <w:t xml:space="preserve"> </w:t>
      </w:r>
      <w:r>
        <w:rPr>
          <w:lang w:val="en-US" w:eastAsia="zh-CN"/>
        </w:rPr>
        <w:t>建设项目竣工环保验收内容</w:t>
      </w:r>
      <w:bookmarkEnd w:id="310"/>
      <w:bookmarkEnd w:id="311"/>
      <w:bookmarkEnd w:id="312"/>
    </w:p>
    <w:p>
      <w:pPr>
        <w:bidi w:val="0"/>
      </w:pPr>
      <w:r>
        <w:rPr>
          <w:rFonts w:hint="eastAsia"/>
          <w:lang w:val="en-US" w:eastAsia="zh-CN"/>
        </w:rPr>
        <w:t>本项目“三同时”验收一览表如表</w:t>
      </w:r>
      <w:r>
        <w:rPr>
          <w:rFonts w:hint="default"/>
          <w:lang w:val="en-US" w:eastAsia="zh-CN"/>
        </w:rPr>
        <w:t>9.</w:t>
      </w:r>
      <w:r>
        <w:rPr>
          <w:rFonts w:hint="eastAsia"/>
          <w:lang w:val="en-US" w:eastAsia="zh-CN"/>
        </w:rPr>
        <w:t>5</w:t>
      </w:r>
      <w:r>
        <w:rPr>
          <w:rFonts w:hint="default"/>
          <w:lang w:val="en-US" w:eastAsia="zh-CN"/>
        </w:rPr>
        <w:t>-1</w:t>
      </w:r>
      <w:r>
        <w:rPr>
          <w:rFonts w:hint="eastAsia"/>
          <w:lang w:val="en-US" w:eastAsia="zh-CN"/>
        </w:rPr>
        <w:t>所示。</w:t>
      </w:r>
    </w:p>
    <w:p>
      <w:pPr>
        <w:bidi w:val="0"/>
        <w:jc w:val="center"/>
        <w:rPr>
          <w:b/>
          <w:bCs/>
        </w:rPr>
      </w:pPr>
      <w:r>
        <w:rPr>
          <w:rFonts w:hint="eastAsia"/>
          <w:b/>
          <w:bCs/>
          <w:lang w:val="en-US" w:eastAsia="zh-CN"/>
        </w:rPr>
        <w:t>表</w:t>
      </w:r>
      <w:r>
        <w:rPr>
          <w:rFonts w:hint="default"/>
          <w:b/>
          <w:bCs/>
          <w:lang w:val="en-US" w:eastAsia="zh-CN"/>
        </w:rPr>
        <w:t>9.</w:t>
      </w:r>
      <w:r>
        <w:rPr>
          <w:rFonts w:hint="eastAsia"/>
          <w:b/>
          <w:bCs/>
          <w:lang w:val="en-US" w:eastAsia="zh-CN"/>
        </w:rPr>
        <w:t>5</w:t>
      </w:r>
      <w:r>
        <w:rPr>
          <w:rFonts w:hint="default"/>
          <w:b/>
          <w:bCs/>
          <w:lang w:val="en-US" w:eastAsia="zh-CN"/>
        </w:rPr>
        <w:t xml:space="preserve">-1 </w:t>
      </w:r>
      <w:r>
        <w:rPr>
          <w:rFonts w:hint="eastAsia"/>
          <w:b/>
          <w:bCs/>
          <w:lang w:val="en-US" w:eastAsia="zh-CN"/>
        </w:rPr>
        <w:t xml:space="preserve"> 本项目“三同时”验收一览表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315"/>
        <w:gridCol w:w="3375"/>
        <w:gridCol w:w="3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65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项目</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污染物</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治理设施</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b/>
                <w:bCs/>
              </w:rPr>
            </w:pPr>
            <w:r>
              <w:rPr>
                <w:rFonts w:hint="eastAsia"/>
                <w:color w:val="000000"/>
                <w:sz w:val="21"/>
                <w:szCs w:val="21"/>
                <w:lang w:val="en-US" w:bidi="ar"/>
              </w:rPr>
              <w:t>处理效果、执行标准或拟达要求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废水</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生活污水</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化粪池</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餐饮废水</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eastAsia="zh-CN"/>
              </w:rPr>
              <w:t>隔油池</w:t>
            </w:r>
            <w:r>
              <w:rPr>
                <w:rFonts w:hint="eastAsia"/>
                <w:lang w:val="en-US" w:eastAsia="zh-CN"/>
              </w:rPr>
              <w:t>+化粪池</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清洗废水</w:t>
            </w:r>
          </w:p>
        </w:tc>
        <w:tc>
          <w:tcPr>
            <w:tcW w:w="3375"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eastAsia="zh-CN"/>
              </w:rPr>
              <w:t>沉淀+气浮+A/O+二级沉淀</w:t>
            </w:r>
          </w:p>
        </w:tc>
        <w:tc>
          <w:tcPr>
            <w:tcW w:w="3942"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《城市污水再生利用 工业用水水质》（GB/T19923-2005）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冷却循环水</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喷淋塔废水</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废气</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粉碎废气</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u w:val="single"/>
                <w:lang w:val="en-US" w:eastAsia="zh-CN"/>
              </w:rPr>
            </w:pPr>
            <w:r>
              <w:rPr>
                <w:rFonts w:hint="eastAsia"/>
                <w:u w:val="single"/>
                <w:lang w:val="en-US" w:eastAsia="zh-CN"/>
              </w:rPr>
              <w:t>粉碎工序车间内二次密闭+</w:t>
            </w:r>
            <w:r>
              <w:rPr>
                <w:rFonts w:hint="eastAsia"/>
                <w:u w:val="single"/>
                <w:lang w:eastAsia="zh-CN"/>
              </w:rPr>
              <w:t>微负压</w:t>
            </w:r>
            <w:r>
              <w:rPr>
                <w:rFonts w:hint="eastAsia"/>
                <w:u w:val="single"/>
                <w:lang w:val="en-US" w:eastAsia="zh-CN"/>
              </w:rPr>
              <w:t>+袋式除尘器+15m高排气筒</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color w:val="auto"/>
                <w:kern w:val="0"/>
                <w:szCs w:val="21"/>
                <w:lang w:val="en-US" w:eastAsia="zh-CN" w:bidi="ar"/>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造粒废气</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u w:val="single"/>
              </w:rPr>
            </w:pPr>
            <w:r>
              <w:rPr>
                <w:rFonts w:hint="eastAsia"/>
                <w:u w:val="single"/>
                <w:lang w:eastAsia="zh-CN"/>
              </w:rPr>
              <w:t>造粒</w:t>
            </w:r>
            <w:r>
              <w:rPr>
                <w:rFonts w:hint="eastAsia"/>
                <w:u w:val="single"/>
                <w:lang w:val="en-US" w:eastAsia="zh-CN"/>
              </w:rPr>
              <w:t>工序车间内二次密闭+</w:t>
            </w:r>
            <w:r>
              <w:rPr>
                <w:rFonts w:hint="eastAsia"/>
                <w:u w:val="single"/>
                <w:lang w:eastAsia="zh-CN"/>
              </w:rPr>
              <w:t>微负压</w:t>
            </w:r>
            <w:r>
              <w:rPr>
                <w:rFonts w:hint="eastAsia"/>
                <w:u w:val="single"/>
                <w:lang w:val="en-US" w:eastAsia="zh-CN"/>
              </w:rPr>
              <w:t>+</w:t>
            </w:r>
            <w:r>
              <w:rPr>
                <w:rFonts w:hint="eastAsia"/>
                <w:u w:val="single"/>
                <w:lang w:eastAsia="zh-CN"/>
              </w:rPr>
              <w:t>喷淋塔</w:t>
            </w:r>
            <w:r>
              <w:rPr>
                <w:rFonts w:hint="eastAsia"/>
                <w:u w:val="single"/>
                <w:lang w:val="en-US" w:eastAsia="zh-CN"/>
              </w:rPr>
              <w:t>+吸附浓缩+催化燃烧+15m高排气筒；配套在线监测设施</w:t>
            </w:r>
          </w:p>
        </w:tc>
        <w:tc>
          <w:tcPr>
            <w:tcW w:w="3942"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color w:val="auto"/>
                <w:kern w:val="0"/>
                <w:sz w:val="21"/>
                <w:szCs w:val="21"/>
                <w:u w:val="none"/>
                <w:lang w:val="en-US" w:eastAsia="zh-CN" w:bidi="ar-SA"/>
              </w:rPr>
              <w:t>《合成树脂工业污染物排放标准》、《关于全省开展工业企业挥发性有机物专项治理工作中排放建议值的通知》（豫环攻坚办〔2017〕162号）限值要求、</w:t>
            </w:r>
            <w:r>
              <w:rPr>
                <w:rFonts w:hint="eastAsia" w:ascii="Times New Roman" w:hAnsi="Times New Roman" w:eastAsia="宋体" w:cs="Times New Roman"/>
                <w:sz w:val="21"/>
                <w:szCs w:val="21"/>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注塑废气</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rPr>
                <w:rFonts w:hint="eastAsia"/>
                <w:u w:val="single"/>
                <w:lang w:eastAsia="zh-CN"/>
              </w:rPr>
              <w:t>注塑</w:t>
            </w:r>
            <w:r>
              <w:rPr>
                <w:rFonts w:hint="eastAsia"/>
                <w:u w:val="single"/>
                <w:lang w:val="en-US" w:eastAsia="zh-CN"/>
              </w:rPr>
              <w:t>工序车间内二次密闭+</w:t>
            </w:r>
            <w:r>
              <w:rPr>
                <w:rFonts w:hint="eastAsia"/>
                <w:u w:val="single"/>
                <w:lang w:eastAsia="zh-CN"/>
              </w:rPr>
              <w:t>微负压</w:t>
            </w:r>
            <w:r>
              <w:rPr>
                <w:rFonts w:hint="eastAsia"/>
                <w:u w:val="single"/>
                <w:lang w:val="en-US" w:eastAsia="zh-CN"/>
              </w:rPr>
              <w:t>+吸附浓缩+催化燃烧+15m高排气筒；配套在线监测设施</w:t>
            </w: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油烟废气</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油烟净化器</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spacing w:val="-6"/>
                <w:sz w:val="21"/>
                <w:szCs w:val="21"/>
                <w:lang w:val="en-US"/>
              </w:rPr>
              <w:t>《餐饮业油烟污染物排放标准》（</w:t>
            </w:r>
            <w:r>
              <w:rPr>
                <w:rFonts w:hint="eastAsia"/>
                <w:spacing w:val="-6"/>
                <w:sz w:val="21"/>
                <w:szCs w:val="21"/>
                <w:lang w:val="en-US" w:eastAsia="zh-CN"/>
              </w:rPr>
              <w:t>D</w:t>
            </w:r>
            <w:r>
              <w:rPr>
                <w:spacing w:val="-6"/>
                <w:sz w:val="21"/>
                <w:szCs w:val="21"/>
                <w:lang w:val="en-US"/>
              </w:rPr>
              <w:t>B</w:t>
            </w:r>
            <w:r>
              <w:rPr>
                <w:rFonts w:hint="eastAsia"/>
                <w:spacing w:val="-6"/>
                <w:sz w:val="21"/>
                <w:szCs w:val="21"/>
                <w:lang w:val="en-US"/>
              </w:rPr>
              <w:t>41/1604</w:t>
            </w:r>
            <w:r>
              <w:rPr>
                <w:spacing w:val="-6"/>
                <w:sz w:val="21"/>
                <w:szCs w:val="21"/>
                <w:lang w:val="en-US"/>
              </w:rPr>
              <w:t>-20</w:t>
            </w:r>
            <w:r>
              <w:rPr>
                <w:rFonts w:hint="eastAsia"/>
                <w:spacing w:val="-6"/>
                <w:sz w:val="21"/>
                <w:szCs w:val="21"/>
                <w:lang w:val="en-U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污水站废气</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color w:val="000000" w:themeColor="text1"/>
                <w:sz w:val="21"/>
                <w:szCs w:val="21"/>
                <w:lang w:eastAsia="zh-CN"/>
                <w14:textFill>
                  <w14:solidFill>
                    <w14:schemeClr w14:val="tx1"/>
                  </w14:solidFill>
                </w14:textFill>
              </w:rPr>
              <w:t>二级活性炭吸附</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Times New Roman" w:hAnsi="Times New Roman" w:eastAsia="宋体" w:cs="Times New Roman"/>
                <w:sz w:val="21"/>
                <w:szCs w:val="21"/>
                <w:lang w:val="en-US" w:eastAsia="zh-CN"/>
              </w:rPr>
              <w:t>《恶臭污染物排放标准》（GB14554-93）</w:t>
            </w:r>
            <w:r>
              <w:rPr>
                <w:rFonts w:hint="eastAsia" w:cs="Times New Roman"/>
                <w:sz w:val="21"/>
                <w:szCs w:val="21"/>
                <w:lang w:val="en-US" w:eastAsia="zh-CN"/>
              </w:rPr>
              <w:t>、</w:t>
            </w:r>
            <w:r>
              <w:rPr>
                <w:rFonts w:hint="eastAsia" w:ascii="Times New Roman" w:hAnsi="Times New Roman" w:eastAsia="宋体" w:cs="Times New Roman"/>
                <w:color w:val="auto"/>
                <w:kern w:val="0"/>
                <w:sz w:val="21"/>
                <w:szCs w:val="21"/>
                <w:u w:val="none"/>
                <w:lang w:val="en-US" w:eastAsia="zh-CN" w:bidi="ar-SA"/>
              </w:rPr>
              <w:t>豫环攻坚办〔2017〕162号</w:t>
            </w:r>
            <w:r>
              <w:rPr>
                <w:rFonts w:hint="eastAsia" w:cs="Times New Roman"/>
                <w:color w:val="auto"/>
                <w:kern w:val="0"/>
                <w:sz w:val="21"/>
                <w:szCs w:val="21"/>
                <w:u w:val="none"/>
                <w:lang w:val="en-US" w:eastAsia="zh-CN" w:bidi="ar-SA"/>
              </w:rPr>
              <w:t>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噪声</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噪声</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设备减振、隔声、软连接</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《工业企业厂界环境噪声排放标准》（</w:t>
            </w:r>
            <w:r>
              <w:rPr>
                <w:color w:val="auto"/>
                <w:szCs w:val="21"/>
                <w:u w:val="none"/>
              </w:rPr>
              <w:t>GB12348-2008</w:t>
            </w:r>
            <w:r>
              <w:rPr>
                <w:rFonts w:hAnsi="宋体"/>
                <w:color w:val="auto"/>
                <w:szCs w:val="21"/>
                <w:u w:val="none"/>
              </w:rPr>
              <w:t>）</w:t>
            </w:r>
            <w:r>
              <w:rPr>
                <w:rFonts w:hint="eastAsia"/>
                <w:color w:val="auto"/>
                <w:szCs w:val="21"/>
                <w:u w:val="none"/>
                <w:lang w:val="en-US" w:eastAsia="zh-CN"/>
              </w:rPr>
              <w:t>1</w:t>
            </w:r>
            <w:r>
              <w:rPr>
                <w:rFonts w:hAnsi="宋体"/>
                <w:color w:val="auto"/>
                <w:szCs w:val="21"/>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固废</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分拣固废</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一般固废暂存间暂存</w:t>
            </w:r>
            <w:r>
              <w:t>，定期清运至垃圾填埋场</w:t>
            </w:r>
          </w:p>
        </w:tc>
        <w:tc>
          <w:tcPr>
            <w:tcW w:w="3942"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《一般工业固体废物贮存、处置场污染控制标准》（</w:t>
            </w:r>
            <w:r>
              <w:rPr>
                <w:color w:val="auto"/>
                <w:szCs w:val="21"/>
                <w:u w:val="none"/>
              </w:rPr>
              <w:t>GB 18599-20</w:t>
            </w:r>
            <w:r>
              <w:rPr>
                <w:rFonts w:hint="eastAsia"/>
                <w:color w:val="auto"/>
                <w:szCs w:val="21"/>
                <w:u w:val="none"/>
                <w:lang w:val="en-US" w:eastAsia="zh-CN"/>
              </w:rPr>
              <w:t>20</w:t>
            </w:r>
            <w:r>
              <w:rPr>
                <w:rFonts w:hAnsi="宋体"/>
                <w:color w:val="auto"/>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废包装</w:t>
            </w:r>
          </w:p>
        </w:tc>
        <w:tc>
          <w:tcPr>
            <w:tcW w:w="3375"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lang w:val="en-US" w:eastAsia="zh-CN"/>
              </w:rPr>
            </w:pPr>
            <w:r>
              <w:rPr>
                <w:rFonts w:hint="eastAsia"/>
                <w:lang w:eastAsia="zh-CN"/>
              </w:rPr>
              <w:t>一般固废暂存间暂存</w:t>
            </w:r>
            <w:r>
              <w:t>，定期</w:t>
            </w:r>
            <w:r>
              <w:rPr>
                <w:rFonts w:hint="eastAsia"/>
                <w:lang w:eastAsia="zh-CN"/>
              </w:rPr>
              <w:t>外售</w:t>
            </w: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t>除尘器卸灰</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废渣</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压滤机脱水后清运至垃圾填埋场</w:t>
            </w: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废滤网</w:t>
            </w:r>
          </w:p>
        </w:tc>
        <w:tc>
          <w:tcPr>
            <w:tcW w:w="3375"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厂家回收</w:t>
            </w: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废催化剂</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eastAsia="zh-CN"/>
              </w:rPr>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生活垃圾</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r>
              <w:t>垃圾收集桶</w:t>
            </w: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废机油</w:t>
            </w:r>
          </w:p>
        </w:tc>
        <w:tc>
          <w:tcPr>
            <w:tcW w:w="3375"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设置</w:t>
            </w:r>
            <w:r>
              <w:rPr>
                <w:rFonts w:hint="eastAsia"/>
                <w:lang w:val="en-US" w:eastAsia="zh-CN"/>
              </w:rPr>
              <w:t>10</w:t>
            </w:r>
            <w:r>
              <w:t>m</w:t>
            </w:r>
            <w:r>
              <w:rPr>
                <w:rFonts w:hint="eastAsia"/>
                <w:vertAlign w:val="superscript"/>
                <w:lang w:val="en-US" w:eastAsia="zh-CN"/>
              </w:rPr>
              <w:t>2</w:t>
            </w:r>
            <w:r>
              <w:t>的危废暂存间暂存后，交由有资质单位</w:t>
            </w:r>
          </w:p>
        </w:tc>
        <w:tc>
          <w:tcPr>
            <w:tcW w:w="3942"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Ansi="宋体"/>
                <w:color w:val="auto"/>
                <w:szCs w:val="21"/>
                <w:u w:val="none"/>
              </w:rPr>
              <w:t>《危险废物贮存污染控制标准》</w:t>
            </w:r>
            <w:r>
              <w:rPr>
                <w:color w:val="auto"/>
                <w:szCs w:val="21"/>
                <w:u w:val="none"/>
              </w:rPr>
              <w:t>(GB18597-2001)</w:t>
            </w:r>
            <w:r>
              <w:rPr>
                <w:rFonts w:hAnsi="宋体"/>
                <w:color w:val="auto"/>
                <w:szCs w:val="21"/>
                <w:u w:val="none"/>
              </w:rPr>
              <w:t>及</w:t>
            </w:r>
            <w:r>
              <w:rPr>
                <w:color w:val="auto"/>
                <w:szCs w:val="21"/>
                <w:u w:val="none"/>
              </w:rPr>
              <w:t>2013</w:t>
            </w:r>
            <w:r>
              <w:rPr>
                <w:rFonts w:hAnsi="宋体"/>
                <w:color w:val="auto"/>
                <w:szCs w:val="21"/>
                <w:u w:val="none"/>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废活性炭</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u w:val="single"/>
                <w:lang w:val="en-US" w:eastAsia="zh-CN"/>
              </w:rPr>
              <w:t>喷淋塔漂浮物及沉渣</w:t>
            </w:r>
          </w:p>
        </w:tc>
        <w:tc>
          <w:tcPr>
            <w:tcW w:w="3375"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3942"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restart"/>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地下水</w:t>
            </w: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一般区域</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水泥硬化，防腐防渗</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vMerge w:val="continue"/>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31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危废暂存间</w:t>
            </w:r>
          </w:p>
        </w:tc>
        <w:tc>
          <w:tcPr>
            <w:tcW w:w="3375"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t>防渗措施等效黏土防渗层Mb≥1.5m，K≤1.0×10</w:t>
            </w:r>
            <w:r>
              <w:rPr>
                <w:vertAlign w:val="superscript"/>
              </w:rPr>
              <w:t>-7</w:t>
            </w:r>
            <w:r>
              <w:t>cm/s；或参照GB16889，执行加强管理</w:t>
            </w:r>
          </w:p>
        </w:tc>
        <w:tc>
          <w:tcPr>
            <w:tcW w:w="3942"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56" w:type="dxa"/>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环境风险</w:t>
            </w:r>
          </w:p>
        </w:tc>
        <w:tc>
          <w:tcPr>
            <w:tcW w:w="8632" w:type="dxa"/>
            <w:gridSpan w:val="3"/>
            <w:noWrap w:val="0"/>
            <w:vAlign w:val="center"/>
          </w:tcPr>
          <w:p>
            <w:pPr>
              <w:pStyle w:val="30"/>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lang w:eastAsia="zh-CN"/>
              </w:rPr>
              <w:t>应急事故池</w:t>
            </w:r>
          </w:p>
        </w:tc>
      </w:tr>
    </w:tbl>
    <w:p>
      <w:pPr>
        <w:pStyle w:val="3"/>
        <w:bidi w:val="0"/>
      </w:pPr>
      <w:bookmarkStart w:id="313" w:name="_Toc28782"/>
      <w:bookmarkStart w:id="314" w:name="_Toc17219"/>
      <w:bookmarkStart w:id="315" w:name="_Toc23953"/>
      <w:r>
        <w:rPr>
          <w:rFonts w:hint="default"/>
          <w:lang w:val="en-US" w:eastAsia="zh-CN"/>
        </w:rPr>
        <w:t>9.</w:t>
      </w:r>
      <w:r>
        <w:rPr>
          <w:rFonts w:hint="eastAsia"/>
          <w:lang w:val="en-US" w:eastAsia="zh-CN"/>
        </w:rPr>
        <w:t>6</w:t>
      </w:r>
      <w:r>
        <w:rPr>
          <w:rFonts w:hint="default"/>
          <w:lang w:val="en-US" w:eastAsia="zh-CN"/>
        </w:rPr>
        <w:t xml:space="preserve"> </w:t>
      </w:r>
      <w:r>
        <w:rPr>
          <w:lang w:val="en-US" w:eastAsia="zh-CN"/>
        </w:rPr>
        <w:t>总量控制</w:t>
      </w:r>
      <w:bookmarkEnd w:id="313"/>
      <w:bookmarkEnd w:id="314"/>
      <w:bookmarkEnd w:id="315"/>
    </w:p>
    <w:p>
      <w:pPr>
        <w:pStyle w:val="4"/>
        <w:bidi w:val="0"/>
      </w:pPr>
      <w:r>
        <w:rPr>
          <w:rFonts w:hint="default"/>
          <w:lang w:val="en-US" w:eastAsia="zh-CN"/>
        </w:rPr>
        <w:t>9.</w:t>
      </w:r>
      <w:r>
        <w:rPr>
          <w:rFonts w:hint="eastAsia"/>
          <w:lang w:val="en-US" w:eastAsia="zh-CN"/>
        </w:rPr>
        <w:t>6</w:t>
      </w:r>
      <w:r>
        <w:rPr>
          <w:rFonts w:hint="default"/>
          <w:lang w:val="en-US" w:eastAsia="zh-CN"/>
        </w:rPr>
        <w:t xml:space="preserve">.1 </w:t>
      </w:r>
      <w:r>
        <w:rPr>
          <w:lang w:val="en-US" w:eastAsia="zh-CN"/>
        </w:rPr>
        <w:t>总量控制因子</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根据原国家环保部《关于印发〈建设项目主要污染物排放总量控制指标审核及管理暂行办法〉的通知》（环发</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2014</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197号），对项目排放污染物进行总量控制。结合本项目工艺特征和排污特点及所在区域环境质量现状，确定本项目污染物总量控制指标为：</w:t>
      </w:r>
      <w:r>
        <w:rPr>
          <w:rFonts w:hint="eastAsia" w:ascii="宋体" w:hAnsi="宋体" w:eastAsia="宋体" w:cs="宋体"/>
          <w:color w:val="000000"/>
          <w:kern w:val="0"/>
          <w:sz w:val="24"/>
          <w:szCs w:val="24"/>
          <w:lang w:val="en-US" w:eastAsia="zh-CN" w:bidi="ar"/>
        </w:rPr>
        <w:t>总量控制因子：</w:t>
      </w:r>
      <w:r>
        <w:rPr>
          <w:rFonts w:hint="default" w:ascii="Times New Roman" w:hAnsi="Times New Roman" w:eastAsia="宋体" w:cs="Times New Roman"/>
          <w:color w:val="000000"/>
          <w:kern w:val="0"/>
          <w:sz w:val="24"/>
          <w:szCs w:val="24"/>
          <w:lang w:val="en-US" w:eastAsia="zh-CN" w:bidi="ar"/>
        </w:rPr>
        <w:t>颗粒物、</w:t>
      </w:r>
      <w:r>
        <w:rPr>
          <w:rFonts w:hint="default" w:ascii="Times New Roman" w:hAnsi="Times New Roman" w:cs="Times New Roman"/>
          <w:color w:val="000000"/>
          <w:kern w:val="0"/>
          <w:sz w:val="24"/>
          <w:szCs w:val="24"/>
          <w:lang w:val="en-US" w:eastAsia="zh-CN" w:bidi="ar"/>
        </w:rPr>
        <w:t>VOCs</w:t>
      </w:r>
      <w:r>
        <w:rPr>
          <w:rFonts w:hint="default" w:ascii="Times New Roman" w:hAnsi="Times New Roman" w:eastAsia="宋体" w:cs="Times New Roman"/>
          <w:color w:val="000000"/>
          <w:kern w:val="0"/>
          <w:sz w:val="24"/>
          <w:szCs w:val="24"/>
          <w:lang w:val="en-US" w:eastAsia="zh-CN" w:bidi="ar"/>
        </w:rPr>
        <w:t>。</w:t>
      </w:r>
    </w:p>
    <w:p>
      <w:pPr>
        <w:pStyle w:val="4"/>
        <w:bidi w:val="0"/>
      </w:pPr>
      <w:r>
        <w:rPr>
          <w:rFonts w:hint="default"/>
          <w:lang w:val="en-US" w:eastAsia="zh-CN"/>
        </w:rPr>
        <w:t>9.</w:t>
      </w:r>
      <w:r>
        <w:rPr>
          <w:rFonts w:hint="eastAsia"/>
          <w:lang w:val="en-US" w:eastAsia="zh-CN"/>
        </w:rPr>
        <w:t>6</w:t>
      </w:r>
      <w:r>
        <w:rPr>
          <w:rFonts w:hint="default"/>
          <w:lang w:val="en-US" w:eastAsia="zh-CN"/>
        </w:rPr>
        <w:t xml:space="preserve">.2 </w:t>
      </w:r>
      <w:r>
        <w:rPr>
          <w:rFonts w:hint="eastAsia"/>
          <w:lang w:val="en-US" w:eastAsia="zh-CN"/>
        </w:rPr>
        <w:t>本项目总量控制指标分析及建议总量控制指标</w:t>
      </w:r>
    </w:p>
    <w:p>
      <w:pPr>
        <w:bidi w:val="0"/>
        <w:rPr>
          <w:rFonts w:hint="eastAsia" w:ascii="Times New Roman" w:hAnsi="Times New Roman" w:eastAsia="宋体" w:cs="Times New Roman"/>
          <w:color w:val="000000"/>
          <w:kern w:val="0"/>
          <w:sz w:val="24"/>
          <w:szCs w:val="24"/>
          <w:u w:val="single"/>
          <w:lang w:val="en-US" w:eastAsia="zh-CN" w:bidi="ar"/>
        </w:rPr>
      </w:pPr>
      <w:r>
        <w:rPr>
          <w:rFonts w:hint="eastAsia" w:ascii="Times New Roman" w:hAnsi="Times New Roman" w:eastAsia="宋体" w:cs="Times New Roman"/>
          <w:color w:val="000000"/>
          <w:kern w:val="0"/>
          <w:sz w:val="24"/>
          <w:szCs w:val="24"/>
          <w:u w:val="single"/>
          <w:lang w:val="en-US" w:eastAsia="zh-CN" w:bidi="ar"/>
        </w:rPr>
        <w:t>根据工程分析核算，本项目颗粒物排放量为0.1</w:t>
      </w:r>
      <w:r>
        <w:rPr>
          <w:rFonts w:hint="eastAsia" w:cs="Times New Roman"/>
          <w:color w:val="000000"/>
          <w:kern w:val="0"/>
          <w:sz w:val="24"/>
          <w:szCs w:val="24"/>
          <w:u w:val="single"/>
          <w:lang w:val="en-US" w:eastAsia="zh-CN" w:bidi="ar"/>
        </w:rPr>
        <w:t>937</w:t>
      </w:r>
      <w:r>
        <w:rPr>
          <w:rFonts w:hint="default" w:ascii="Times New Roman" w:hAnsi="Times New Roman" w:eastAsia="宋体" w:cs="Times New Roman"/>
          <w:color w:val="000000"/>
          <w:kern w:val="0"/>
          <w:sz w:val="24"/>
          <w:szCs w:val="24"/>
          <w:u w:val="single"/>
          <w:lang w:val="en-US" w:eastAsia="zh-CN" w:bidi="ar"/>
        </w:rPr>
        <w:t>t/a</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VOCs</w:t>
      </w:r>
      <w:r>
        <w:rPr>
          <w:rFonts w:hint="eastAsia" w:ascii="Times New Roman" w:hAnsi="Times New Roman" w:eastAsia="宋体" w:cs="Times New Roman"/>
          <w:color w:val="000000"/>
          <w:kern w:val="0"/>
          <w:sz w:val="24"/>
          <w:szCs w:val="24"/>
          <w:u w:val="single"/>
          <w:lang w:val="en-US" w:eastAsia="zh-CN" w:bidi="ar"/>
        </w:rPr>
        <w:t>排放量为0.5228t/a。因此本项目新增总量控制指标为颗粒物0.</w:t>
      </w:r>
      <w:r>
        <w:rPr>
          <w:rFonts w:hint="eastAsia" w:cs="Times New Roman"/>
          <w:color w:val="000000"/>
          <w:kern w:val="0"/>
          <w:sz w:val="24"/>
          <w:szCs w:val="24"/>
          <w:u w:val="single"/>
          <w:lang w:val="en-US" w:eastAsia="zh-CN" w:bidi="ar"/>
        </w:rPr>
        <w:t>1937</w:t>
      </w:r>
      <w:r>
        <w:rPr>
          <w:rFonts w:hint="default" w:ascii="Times New Roman" w:hAnsi="Times New Roman" w:eastAsia="宋体" w:cs="Times New Roman"/>
          <w:color w:val="000000"/>
          <w:kern w:val="0"/>
          <w:sz w:val="24"/>
          <w:szCs w:val="24"/>
          <w:u w:val="single"/>
          <w:lang w:val="en-US" w:eastAsia="zh-CN" w:bidi="ar"/>
        </w:rPr>
        <w:t>t/a</w:t>
      </w:r>
      <w:r>
        <w:rPr>
          <w:rFonts w:hint="eastAsia" w:ascii="Times New Roman" w:hAnsi="Times New Roman" w:eastAsia="宋体" w:cs="Times New Roman"/>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VOCs</w:t>
      </w:r>
      <w:r>
        <w:rPr>
          <w:rFonts w:hint="eastAsia" w:ascii="Times New Roman" w:hAnsi="Times New Roman" w:eastAsia="宋体" w:cs="Times New Roman"/>
          <w:color w:val="000000"/>
          <w:kern w:val="0"/>
          <w:sz w:val="24"/>
          <w:szCs w:val="24"/>
          <w:u w:val="single"/>
          <w:lang w:val="en-US" w:eastAsia="zh-CN" w:bidi="ar"/>
        </w:rPr>
        <w:t>0.5228t/a。VOC</w:t>
      </w:r>
      <w:r>
        <w:rPr>
          <w:rFonts w:hint="eastAsia" w:ascii="Times New Roman" w:hAnsi="Times New Roman" w:eastAsia="宋体" w:cs="Times New Roman"/>
          <w:color w:val="000000"/>
          <w:kern w:val="0"/>
          <w:sz w:val="24"/>
          <w:szCs w:val="24"/>
          <w:u w:val="single"/>
          <w:vertAlign w:val="subscript"/>
          <w:lang w:val="en-US" w:eastAsia="zh-CN" w:bidi="ar"/>
        </w:rPr>
        <w:t>S</w:t>
      </w:r>
      <w:r>
        <w:rPr>
          <w:rFonts w:hint="eastAsia" w:ascii="Times New Roman" w:hAnsi="Times New Roman" w:eastAsia="宋体" w:cs="Times New Roman"/>
          <w:color w:val="000000"/>
          <w:kern w:val="0"/>
          <w:sz w:val="24"/>
          <w:szCs w:val="24"/>
          <w:u w:val="single"/>
          <w:lang w:val="en-US" w:eastAsia="zh-CN" w:bidi="ar"/>
        </w:rPr>
        <w:t>通过河南隆鑫机车有限公司废气治理减排量替代，余量为91.607t/a，可满足该项目VOC</w:t>
      </w:r>
      <w:r>
        <w:rPr>
          <w:rFonts w:hint="eastAsia" w:ascii="Times New Roman" w:hAnsi="Times New Roman" w:eastAsia="宋体" w:cs="Times New Roman"/>
          <w:color w:val="000000"/>
          <w:kern w:val="0"/>
          <w:sz w:val="24"/>
          <w:szCs w:val="24"/>
          <w:u w:val="single"/>
          <w:vertAlign w:val="subscript"/>
          <w:lang w:val="en-US" w:eastAsia="zh-CN" w:bidi="ar"/>
        </w:rPr>
        <w:t>S</w:t>
      </w:r>
      <w:r>
        <w:rPr>
          <w:rFonts w:hint="eastAsia" w:ascii="Times New Roman" w:hAnsi="Times New Roman" w:eastAsia="宋体" w:cs="Times New Roman"/>
          <w:color w:val="000000"/>
          <w:kern w:val="0"/>
          <w:sz w:val="24"/>
          <w:szCs w:val="24"/>
          <w:u w:val="single"/>
          <w:lang w:val="en-US" w:eastAsia="zh-CN" w:bidi="ar"/>
        </w:rPr>
        <w:t>1.0456t/a替代需要。</w:t>
      </w:r>
    </w:p>
    <w:p>
      <w:pPr>
        <w:bidi w:val="0"/>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br w:type="page"/>
      </w:r>
    </w:p>
    <w:p>
      <w:pPr>
        <w:pStyle w:val="2"/>
        <w:ind w:firstLine="883"/>
      </w:pPr>
      <w:bookmarkStart w:id="316" w:name="_Toc4201"/>
      <w:bookmarkStart w:id="317" w:name="_Toc21152"/>
      <w:bookmarkStart w:id="318" w:name="_Toc31131"/>
      <w:bookmarkStart w:id="319" w:name="_Toc7205"/>
      <w:r>
        <w:rPr>
          <w:rFonts w:hint="eastAsia"/>
          <w:lang w:val="en-US"/>
        </w:rPr>
        <w:t xml:space="preserve">第十章  </w:t>
      </w:r>
      <w:r>
        <w:rPr>
          <w:lang w:val="en-US"/>
        </w:rPr>
        <w:t>评价结论</w:t>
      </w:r>
      <w:bookmarkEnd w:id="316"/>
      <w:bookmarkEnd w:id="317"/>
      <w:bookmarkEnd w:id="318"/>
      <w:bookmarkEnd w:id="319"/>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pPr>
      <w:bookmarkStart w:id="320" w:name="_Toc26569"/>
      <w:bookmarkStart w:id="321" w:name="_Toc26220"/>
      <w:bookmarkStart w:id="322" w:name="_Toc30646"/>
      <w:bookmarkStart w:id="323" w:name="_Toc26904"/>
      <w:r>
        <w:rPr>
          <w:lang w:val="en-US"/>
        </w:rPr>
        <w:t xml:space="preserve">10.1 </w:t>
      </w:r>
      <w:r>
        <w:rPr>
          <w:rFonts w:hint="eastAsia"/>
          <w:lang w:val="en-US"/>
        </w:rPr>
        <w:t>项目概况</w:t>
      </w:r>
      <w:bookmarkEnd w:id="320"/>
      <w:bookmarkEnd w:id="321"/>
      <w:bookmarkEnd w:id="322"/>
      <w:bookmarkEnd w:id="323"/>
    </w:p>
    <w:p>
      <w:pPr>
        <w:bidi w:val="0"/>
        <w:rPr>
          <w:rFonts w:hint="default"/>
          <w:lang w:val="en-US"/>
        </w:rPr>
      </w:pPr>
      <w:r>
        <w:rPr>
          <w:rFonts w:hint="eastAsia"/>
          <w:lang w:val="en-US" w:eastAsia="zh-CN"/>
        </w:rPr>
        <w:t>叶县景喻再生资源回收有限公司年处置6000吨废旧塑料再生资源综合利用项目建设地点位于平顶山市叶县廉村镇二郎庙村村北200米路东，建设利用废旧塑料造粒和注塑生产线。项目总投资1500万元，环保投资131万元，占</w:t>
      </w:r>
      <w:r>
        <w:rPr>
          <w:lang w:val="en-US" w:eastAsia="zh-CN"/>
        </w:rPr>
        <w:t>总投资的</w:t>
      </w:r>
      <w:r>
        <w:rPr>
          <w:rFonts w:hint="eastAsia"/>
          <w:lang w:val="en-US" w:eastAsia="zh-CN"/>
        </w:rPr>
        <w:t>8.73%。项目建设</w:t>
      </w:r>
      <w:r>
        <w:rPr>
          <w:rFonts w:hint="eastAsia"/>
          <w:u w:val="single"/>
          <w:lang w:val="en-US" w:eastAsia="zh-CN"/>
        </w:rPr>
        <w:t>完成后生产ABS再生颗粒2000t/a、PS筛选料3000t/a，注塑产品1000t/a。</w:t>
      </w:r>
    </w:p>
    <w:p>
      <w:pPr>
        <w:bidi w:val="0"/>
        <w:rPr>
          <w:u w:val="single"/>
        </w:rPr>
      </w:pPr>
      <w:r>
        <w:rPr>
          <w:u w:val="single"/>
        </w:rPr>
        <w:t>本项目</w:t>
      </w:r>
      <w:r>
        <w:rPr>
          <w:rFonts w:hint="eastAsia"/>
          <w:u w:val="single"/>
          <w:lang w:eastAsia="zh-CN"/>
        </w:rPr>
        <w:t>部分</w:t>
      </w:r>
      <w:r>
        <w:rPr>
          <w:u w:val="single"/>
        </w:rPr>
        <w:t>租赁厂房</w:t>
      </w:r>
      <w:r>
        <w:rPr>
          <w:rFonts w:hint="eastAsia"/>
          <w:u w:val="single"/>
          <w:lang w:eastAsia="zh-CN"/>
        </w:rPr>
        <w:t>，部分厂房新建，同时</w:t>
      </w:r>
      <w:r>
        <w:rPr>
          <w:u w:val="single"/>
        </w:rPr>
        <w:t>新建污水处理站和进行设备安装等，预计建设周期为</w:t>
      </w:r>
      <w:r>
        <w:rPr>
          <w:rFonts w:hint="eastAsia"/>
          <w:u w:val="single"/>
          <w:lang w:val="en-US" w:eastAsia="zh-CN"/>
        </w:rPr>
        <w:t>3个月</w:t>
      </w:r>
      <w:r>
        <w:rPr>
          <w:u w:val="single"/>
        </w:rPr>
        <w:t>，计划20</w:t>
      </w:r>
      <w:r>
        <w:rPr>
          <w:rFonts w:hint="eastAsia"/>
          <w:u w:val="single"/>
          <w:lang w:val="en-US" w:eastAsia="zh-CN"/>
        </w:rPr>
        <w:t>22</w:t>
      </w:r>
      <w:r>
        <w:rPr>
          <w:u w:val="single"/>
        </w:rPr>
        <w:t>年</w:t>
      </w:r>
      <w:r>
        <w:rPr>
          <w:rFonts w:hint="eastAsia"/>
          <w:u w:val="single"/>
          <w:lang w:val="en-US" w:eastAsia="zh-CN"/>
        </w:rPr>
        <w:t>01</w:t>
      </w:r>
      <w:r>
        <w:rPr>
          <w:u w:val="single"/>
        </w:rPr>
        <w:t>月开工建设，</w:t>
      </w:r>
      <w:r>
        <w:rPr>
          <w:rFonts w:hint="eastAsia"/>
          <w:u w:val="single"/>
          <w:lang w:val="en-US" w:eastAsia="zh-CN"/>
        </w:rPr>
        <w:t>2022</w:t>
      </w:r>
      <w:r>
        <w:rPr>
          <w:u w:val="single"/>
        </w:rPr>
        <w:t>年</w:t>
      </w:r>
      <w:r>
        <w:rPr>
          <w:rFonts w:hint="eastAsia"/>
          <w:u w:val="single"/>
          <w:lang w:val="en-US" w:eastAsia="zh-CN"/>
        </w:rPr>
        <w:t>04</w:t>
      </w:r>
      <w:r>
        <w:rPr>
          <w:u w:val="single"/>
        </w:rPr>
        <w:t>月投入生产。年工作</w:t>
      </w:r>
      <w:r>
        <w:rPr>
          <w:rFonts w:hint="eastAsia"/>
          <w:u w:val="single"/>
          <w:lang w:val="en-US" w:eastAsia="zh-CN"/>
        </w:rPr>
        <w:t>300</w:t>
      </w:r>
      <w:r>
        <w:rPr>
          <w:u w:val="single"/>
        </w:rPr>
        <w:t>天。本项目劳动定员</w:t>
      </w:r>
      <w:r>
        <w:rPr>
          <w:rFonts w:hint="eastAsia"/>
          <w:u w:val="single"/>
          <w:lang w:val="en-US" w:eastAsia="zh-CN"/>
        </w:rPr>
        <w:t>20</w:t>
      </w:r>
      <w:r>
        <w:rPr>
          <w:u w:val="single"/>
        </w:rPr>
        <w:t>人。实行</w:t>
      </w:r>
      <w:r>
        <w:rPr>
          <w:rFonts w:hint="eastAsia"/>
          <w:u w:val="single"/>
          <w:lang w:val="en-US" w:eastAsia="zh-CN"/>
        </w:rPr>
        <w:t>8</w:t>
      </w:r>
      <w:r>
        <w:rPr>
          <w:u w:val="single"/>
        </w:rPr>
        <w:t>小时工作制。</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24" w:name="_Toc1385"/>
      <w:bookmarkStart w:id="325" w:name="_Toc8427"/>
      <w:bookmarkStart w:id="326" w:name="_Toc14160"/>
      <w:bookmarkStart w:id="327" w:name="_Toc28732"/>
      <w:r>
        <w:rPr>
          <w:rFonts w:ascii="Times New Roman" w:hAnsi="Times New Roman" w:eastAsia="宋体" w:cs="宋体"/>
          <w:lang w:val="en-US"/>
        </w:rPr>
        <w:t>10.2 项目相符性结论</w:t>
      </w:r>
      <w:bookmarkEnd w:id="324"/>
      <w:bookmarkEnd w:id="325"/>
      <w:bookmarkEnd w:id="326"/>
      <w:bookmarkEnd w:id="327"/>
    </w:p>
    <w:p>
      <w:pPr>
        <w:pStyle w:val="4"/>
        <w:ind w:firstLine="602"/>
      </w:pPr>
      <w:bookmarkStart w:id="328" w:name="_Toc18140"/>
      <w:r>
        <w:rPr>
          <w:lang w:val="en-US"/>
        </w:rPr>
        <w:t xml:space="preserve">10.2.1 </w:t>
      </w:r>
      <w:r>
        <w:rPr>
          <w:rFonts w:hint="eastAsia"/>
          <w:lang w:val="en-US"/>
        </w:rPr>
        <w:t>与相关产业政策相符</w:t>
      </w:r>
      <w:bookmarkEnd w:id="328"/>
    </w:p>
    <w:p>
      <w:pPr>
        <w:ind w:firstLine="480"/>
        <w:rPr>
          <w:color w:val="000000" w:themeColor="text1"/>
          <w:u w:val="single"/>
          <w:lang w:val="en-US"/>
          <w14:textFill>
            <w14:solidFill>
              <w14:schemeClr w14:val="tx1"/>
            </w14:solidFill>
          </w14:textFill>
        </w:rPr>
      </w:pPr>
      <w:r>
        <w:rPr>
          <w:rFonts w:hint="eastAsia"/>
          <w:lang w:val="en-US"/>
        </w:rPr>
        <w:t>根据《产业结构调整指导目录（</w:t>
      </w:r>
      <w:r>
        <w:rPr>
          <w:lang w:val="en-US"/>
        </w:rPr>
        <w:t>2019</w:t>
      </w:r>
      <w:r>
        <w:rPr>
          <w:rFonts w:hint="eastAsia"/>
          <w:lang w:val="en-US"/>
        </w:rPr>
        <w:t>年本）》中</w:t>
      </w:r>
      <w:r>
        <w:rPr>
          <w:rFonts w:hint="eastAsia"/>
          <w:lang w:val="en-US" w:eastAsia="zh-CN"/>
        </w:rPr>
        <w:t>“本次工程属于第一类鼓励类中</w:t>
      </w:r>
      <w:r>
        <w:t>四十三、环境保护与资源节约综合利用</w:t>
      </w:r>
      <w:r>
        <w:rPr>
          <w:rFonts w:hint="eastAsia"/>
          <w:lang w:eastAsia="zh-CN"/>
        </w:rPr>
        <w:t>，</w:t>
      </w:r>
      <w:r>
        <w:t>27</w:t>
      </w:r>
      <w:r>
        <w:rPr>
          <w:rFonts w:hint="default"/>
        </w:rPr>
        <w:t>、废旧木材、废旧电器电子产品、废印刷电路板、废旧电池、废旧船舶、废旧农机、废塑料、废旧纺织品及纺织废料和边角料、废（碎）玻璃、废橡胶、废弃油脂等废旧物资等资源循环再利用技术、设备开发及应用</w:t>
      </w:r>
      <w:r>
        <w:rPr>
          <w:rFonts w:hint="eastAsia"/>
          <w:lang w:val="en-US" w:eastAsia="zh-CN"/>
        </w:rPr>
        <w:t>”</w:t>
      </w:r>
      <w:r>
        <w:rPr>
          <w:rFonts w:hint="eastAsia"/>
          <w:lang w:val="en-US"/>
        </w:rPr>
        <w:t>。经对照，本项目属于名录中的鼓励类。因此，本次工程的建设符合国家产业政策。</w:t>
      </w:r>
      <w:r>
        <w:rPr>
          <w:rFonts w:hint="eastAsia"/>
          <w:u w:val="single"/>
          <w:lang w:val="en-US" w:eastAsia="zh-CN"/>
        </w:rPr>
        <w:t>根据叶县自然资源局出具的证明显示</w:t>
      </w:r>
      <w:r>
        <w:rPr>
          <w:rFonts w:hint="eastAsia"/>
          <w:color w:val="000000" w:themeColor="text1"/>
          <w:u w:val="single"/>
          <w:lang w:val="en-US"/>
          <w14:textFill>
            <w14:solidFill>
              <w14:schemeClr w14:val="tx1"/>
            </w14:solidFill>
          </w14:textFill>
        </w:rPr>
        <w:t>项目占地属于</w:t>
      </w:r>
      <w:r>
        <w:rPr>
          <w:rFonts w:hint="eastAsia"/>
          <w:color w:val="000000" w:themeColor="text1"/>
          <w:u w:val="single"/>
          <w:lang w:val="en-US" w:eastAsia="zh-CN"/>
          <w14:textFill>
            <w14:solidFill>
              <w14:schemeClr w14:val="tx1"/>
            </w14:solidFill>
          </w14:textFill>
        </w:rPr>
        <w:t>建设</w:t>
      </w:r>
      <w:r>
        <w:rPr>
          <w:rFonts w:hint="eastAsia"/>
          <w:color w:val="000000" w:themeColor="text1"/>
          <w:u w:val="single"/>
          <w:lang w:val="en-US"/>
          <w14:textFill>
            <w14:solidFill>
              <w14:schemeClr w14:val="tx1"/>
            </w14:solidFill>
          </w14:textFill>
        </w:rPr>
        <w:t>用地，符合用地要求。</w:t>
      </w:r>
    </w:p>
    <w:p>
      <w:pPr>
        <w:widowControl/>
        <w:ind w:firstLine="480"/>
        <w:jc w:val="left"/>
      </w:pPr>
      <w:r>
        <w:rPr>
          <w:rFonts w:hint="eastAsia" w:ascii="宋体" w:hAnsi="宋体"/>
          <w:color w:val="000000"/>
          <w:szCs w:val="24"/>
          <w:lang w:val="en-US" w:bidi="ar"/>
        </w:rPr>
        <w:t>（</w:t>
      </w:r>
      <w:r>
        <w:rPr>
          <w:rFonts w:hint="eastAsia" w:cs="Times New Roman"/>
          <w:color w:val="000000"/>
          <w:szCs w:val="24"/>
          <w:lang w:val="en-US" w:bidi="ar"/>
        </w:rPr>
        <w:t>2</w:t>
      </w:r>
      <w:r>
        <w:rPr>
          <w:rFonts w:hint="eastAsia" w:ascii="宋体" w:hAnsi="宋体"/>
          <w:color w:val="000000"/>
          <w:szCs w:val="24"/>
          <w:lang w:val="en-US" w:bidi="ar"/>
        </w:rPr>
        <w:t>）对照《限制用地项目目录》（</w:t>
      </w:r>
      <w:r>
        <w:rPr>
          <w:rFonts w:cs="Times New Roman"/>
          <w:color w:val="000000"/>
          <w:szCs w:val="24"/>
          <w:lang w:val="en-US" w:bidi="ar"/>
        </w:rPr>
        <w:t>2012</w:t>
      </w:r>
      <w:r>
        <w:rPr>
          <w:rFonts w:hint="eastAsia" w:ascii="宋体" w:hAnsi="宋体"/>
          <w:color w:val="000000"/>
          <w:szCs w:val="24"/>
          <w:lang w:val="en-US" w:bidi="ar"/>
        </w:rPr>
        <w:t>年）、《禁止用地项目目录》（</w:t>
      </w:r>
      <w:r>
        <w:rPr>
          <w:rFonts w:cs="Times New Roman"/>
          <w:color w:val="000000"/>
          <w:szCs w:val="24"/>
          <w:lang w:val="en-US" w:bidi="ar"/>
        </w:rPr>
        <w:t>2012</w:t>
      </w:r>
      <w:r>
        <w:rPr>
          <w:rFonts w:hint="eastAsia" w:ascii="宋体" w:hAnsi="宋体"/>
          <w:color w:val="000000"/>
          <w:szCs w:val="24"/>
          <w:lang w:val="en-US" w:bidi="ar"/>
        </w:rPr>
        <w:t>年），本项目用地不属于限制、禁止类别。</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29" w:name="_Toc24584"/>
      <w:bookmarkStart w:id="330" w:name="_Toc12344"/>
      <w:bookmarkStart w:id="331" w:name="_Toc16886"/>
      <w:bookmarkStart w:id="332" w:name="_Toc12449"/>
      <w:r>
        <w:rPr>
          <w:rFonts w:ascii="Times New Roman" w:hAnsi="Times New Roman" w:eastAsia="宋体" w:cs="宋体"/>
          <w:lang w:val="en-US"/>
        </w:rPr>
        <w:t>10.3 环境质量现状</w:t>
      </w:r>
      <w:bookmarkEnd w:id="329"/>
      <w:bookmarkEnd w:id="330"/>
      <w:bookmarkEnd w:id="331"/>
      <w:bookmarkEnd w:id="332"/>
    </w:p>
    <w:p>
      <w:pPr>
        <w:pStyle w:val="4"/>
        <w:ind w:firstLine="602"/>
      </w:pPr>
      <w:bookmarkStart w:id="333" w:name="_Toc13964"/>
      <w:r>
        <w:rPr>
          <w:lang w:val="en-US"/>
        </w:rPr>
        <w:t xml:space="preserve">10.3.1 </w:t>
      </w:r>
      <w:r>
        <w:rPr>
          <w:rFonts w:hint="eastAsia"/>
          <w:lang w:val="en-US"/>
        </w:rPr>
        <w:t>大气</w:t>
      </w:r>
      <w:r>
        <w:rPr>
          <w:lang w:val="en-US"/>
        </w:rPr>
        <w:t>环境</w:t>
      </w:r>
      <w:bookmarkEnd w:id="333"/>
    </w:p>
    <w:p>
      <w:pPr>
        <w:bidi w:val="0"/>
        <w:rPr>
          <w:rFonts w:ascii="Times New Roman" w:hAnsi="Times New Roman" w:eastAsia="宋体"/>
          <w:u w:val="single"/>
        </w:rPr>
      </w:pPr>
      <w:r>
        <w:rPr>
          <w:b w:val="0"/>
          <w:bCs w:val="0"/>
          <w:u w:val="single"/>
        </w:rPr>
        <w:t>根据平</w:t>
      </w:r>
      <w:r>
        <w:rPr>
          <w:rFonts w:hint="default"/>
          <w:b w:val="0"/>
          <w:bCs w:val="0"/>
          <w:u w:val="single"/>
        </w:rPr>
        <w:t>顶山市</w:t>
      </w:r>
      <w:r>
        <w:rPr>
          <w:b w:val="0"/>
          <w:bCs w:val="0"/>
          <w:u w:val="single"/>
        </w:rPr>
        <w:t>2</w:t>
      </w:r>
      <w:r>
        <w:rPr>
          <w:rFonts w:hint="default"/>
          <w:b w:val="0"/>
          <w:bCs w:val="0"/>
          <w:u w:val="single"/>
        </w:rPr>
        <w:t>020年环境</w:t>
      </w:r>
      <w:r>
        <w:rPr>
          <w:rFonts w:hint="eastAsia"/>
          <w:b w:val="0"/>
          <w:bCs w:val="0"/>
          <w:u w:val="single"/>
          <w:lang w:eastAsia="zh-CN"/>
        </w:rPr>
        <w:t>质量状况公报（年报），全年无严重污染天</w:t>
      </w:r>
      <w:r>
        <w:rPr>
          <w:b w:val="0"/>
          <w:bCs w:val="0"/>
          <w:u w:val="single"/>
          <w:lang w:val="en-US"/>
        </w:rPr>
        <w:t>。</w:t>
      </w:r>
      <w:r>
        <w:rPr>
          <w:rFonts w:hint="eastAsia" w:ascii="宋体" w:hAnsi="宋体"/>
          <w:color w:val="000000"/>
          <w:szCs w:val="24"/>
          <w:u w:val="single"/>
          <w:lang w:val="en-US" w:bidi="ar"/>
        </w:rPr>
        <w:t>补充监测结果表明，</w:t>
      </w:r>
      <w:r>
        <w:rPr>
          <w:rFonts w:hint="eastAsia" w:ascii="Times New Roman" w:hAnsi="Times New Roman" w:eastAsia="宋体"/>
          <w:u w:val="single"/>
          <w:lang w:eastAsia="zh-CN"/>
        </w:rPr>
        <w:t>颗粒物满足</w:t>
      </w:r>
      <w:r>
        <w:rPr>
          <w:rFonts w:hint="eastAsia" w:ascii="Times New Roman" w:hAnsi="Times New Roman" w:eastAsia="宋体"/>
          <w:u w:val="single"/>
          <w:lang w:val="en-US" w:eastAsia="zh-CN"/>
        </w:rPr>
        <w:t>《环境空气质量标准》（</w:t>
      </w:r>
      <w:r>
        <w:rPr>
          <w:rFonts w:hint="default" w:ascii="Times New Roman" w:hAnsi="Times New Roman" w:eastAsia="宋体"/>
          <w:u w:val="single"/>
          <w:lang w:val="en-US" w:eastAsia="zh-CN"/>
        </w:rPr>
        <w:t>GB3095-2012</w:t>
      </w:r>
      <w:r>
        <w:rPr>
          <w:rFonts w:hint="eastAsia" w:ascii="Times New Roman" w:hAnsi="Times New Roman" w:eastAsia="宋体"/>
          <w:u w:val="single"/>
          <w:lang w:val="en-US" w:eastAsia="zh-CN"/>
        </w:rPr>
        <w:t>）二级标准，非甲烷总烃满足《大气污染物综合排放标准详解》</w:t>
      </w:r>
      <w:r>
        <w:rPr>
          <w:rFonts w:ascii="Times New Roman" w:hAnsi="Times New Roman" w:eastAsia="宋体"/>
          <w:u w:val="single"/>
        </w:rPr>
        <w:t>空气质量浓度参考限值</w:t>
      </w:r>
      <w:r>
        <w:rPr>
          <w:rFonts w:hint="eastAsia"/>
          <w:u w:val="single"/>
          <w:lang w:eastAsia="zh-CN"/>
        </w:rPr>
        <w:t>，苯乙烯、氨和硫化氢满足</w:t>
      </w:r>
      <w:r>
        <w:rPr>
          <w:rFonts w:hint="eastAsia"/>
          <w:u w:val="single"/>
          <w:lang w:val="en-US" w:eastAsia="zh-CN"/>
        </w:rPr>
        <w:t>《环境影响评价技术导则  大气环境》（HJ2.2-2018）附录D标准值要求</w:t>
      </w:r>
      <w:r>
        <w:rPr>
          <w:rFonts w:ascii="Times New Roman" w:hAnsi="Times New Roman" w:eastAsia="宋体"/>
          <w:u w:val="single"/>
        </w:rPr>
        <w:t>。</w:t>
      </w:r>
    </w:p>
    <w:p>
      <w:pPr>
        <w:pStyle w:val="4"/>
        <w:ind w:firstLine="602"/>
      </w:pPr>
      <w:bookmarkStart w:id="334" w:name="_Toc8530"/>
      <w:r>
        <w:rPr>
          <w:lang w:val="en-US"/>
        </w:rPr>
        <w:t>10.3.</w:t>
      </w:r>
      <w:r>
        <w:rPr>
          <w:rFonts w:hint="eastAsia"/>
          <w:lang w:val="en-US"/>
        </w:rPr>
        <w:t>2</w:t>
      </w:r>
      <w:r>
        <w:rPr>
          <w:lang w:val="en-US"/>
        </w:rPr>
        <w:t xml:space="preserve"> </w:t>
      </w:r>
      <w:r>
        <w:rPr>
          <w:rFonts w:hint="eastAsia"/>
          <w:lang w:val="en-US"/>
        </w:rPr>
        <w:t>水</w:t>
      </w:r>
      <w:r>
        <w:rPr>
          <w:lang w:val="en-US"/>
        </w:rPr>
        <w:t>环境</w:t>
      </w:r>
      <w:bookmarkEnd w:id="33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rPr>
      </w:pPr>
      <w:r>
        <w:rPr>
          <w:rFonts w:hint="eastAsia" w:ascii="宋体" w:hAnsi="宋体"/>
          <w:color w:val="000000"/>
          <w:szCs w:val="24"/>
          <w:lang w:val="en-US" w:bidi="ar"/>
        </w:rPr>
        <w:t>本项目</w:t>
      </w:r>
      <w:r>
        <w:rPr>
          <w:rFonts w:ascii="Times New Roman" w:hAnsi="Times New Roman"/>
          <w:color w:val="auto"/>
          <w:sz w:val="24"/>
        </w:rPr>
        <w:t>生产</w:t>
      </w:r>
      <w:r>
        <w:rPr>
          <w:rFonts w:hint="eastAsia"/>
          <w:color w:val="auto"/>
          <w:sz w:val="24"/>
          <w:lang w:eastAsia="zh-CN"/>
        </w:rPr>
        <w:t>清洗</w:t>
      </w:r>
      <w:r>
        <w:rPr>
          <w:rFonts w:ascii="Times New Roman" w:hAnsi="Times New Roman"/>
          <w:color w:val="auto"/>
          <w:sz w:val="24"/>
        </w:rPr>
        <w:t>废水</w:t>
      </w:r>
      <w:r>
        <w:rPr>
          <w:rFonts w:hint="eastAsia"/>
          <w:color w:val="auto"/>
          <w:sz w:val="24"/>
          <w:lang w:eastAsia="zh-CN"/>
        </w:rPr>
        <w:t>、循环冷污水</w:t>
      </w:r>
      <w:r>
        <w:rPr>
          <w:rFonts w:ascii="Times New Roman" w:hAnsi="Times New Roman"/>
          <w:color w:val="auto"/>
          <w:sz w:val="24"/>
        </w:rPr>
        <w:t>经厂内废水处理系统处理后全部循环回用于生产中；</w:t>
      </w:r>
      <w:r>
        <w:rPr>
          <w:rFonts w:hint="eastAsia"/>
          <w:color w:val="auto"/>
          <w:sz w:val="24"/>
          <w:lang w:eastAsia="zh-CN"/>
        </w:rPr>
        <w:t>餐饮废水经隔油池处理后与</w:t>
      </w:r>
      <w:r>
        <w:rPr>
          <w:rFonts w:ascii="Times New Roman" w:hAnsi="Times New Roman"/>
          <w:color w:val="auto"/>
          <w:sz w:val="24"/>
        </w:rPr>
        <w:t>生活污水</w:t>
      </w:r>
      <w:r>
        <w:rPr>
          <w:rFonts w:hint="eastAsia"/>
          <w:color w:val="auto"/>
          <w:sz w:val="24"/>
          <w:lang w:eastAsia="zh-CN"/>
        </w:rPr>
        <w:t>进入</w:t>
      </w:r>
      <w:r>
        <w:rPr>
          <w:rFonts w:ascii="Times New Roman" w:hAnsi="Times New Roman"/>
          <w:color w:val="auto"/>
          <w:sz w:val="24"/>
        </w:rPr>
        <w:t>化粪池，生活污水经化粪池收集后，由专人定期清运。项目运营期各类废水均达到合理利用，无外排废水</w:t>
      </w:r>
      <w:r>
        <w:rPr>
          <w:rFonts w:ascii="Times New Roman" w:hAnsi="Times New Roman"/>
          <w:color w:val="auto"/>
        </w:rPr>
        <w:t>。</w:t>
      </w:r>
    </w:p>
    <w:p>
      <w:pPr>
        <w:pageBreakBefore w:val="0"/>
        <w:widowControl w:val="0"/>
        <w:kinsoku/>
        <w:wordWrap/>
        <w:overflowPunct/>
        <w:topLinePunct w:val="0"/>
        <w:autoSpaceDE/>
        <w:autoSpaceDN/>
        <w:bidi w:val="0"/>
        <w:spacing w:line="360" w:lineRule="auto"/>
        <w:textAlignment w:val="auto"/>
      </w:pPr>
      <w:r>
        <w:rPr>
          <w:rFonts w:hint="eastAsia" w:ascii="宋体" w:hAnsi="宋体"/>
          <w:color w:val="000000"/>
          <w:szCs w:val="24"/>
          <w:lang w:val="en-US" w:bidi="ar"/>
        </w:rPr>
        <w:t>根据</w:t>
      </w:r>
      <w:r>
        <w:rPr>
          <w:rFonts w:hint="eastAsia" w:hAnsi="宋体"/>
          <w:sz w:val="24"/>
          <w:lang w:eastAsia="zh-CN"/>
        </w:rPr>
        <w:t>平顶山市</w:t>
      </w:r>
      <w:r>
        <w:rPr>
          <w:rFonts w:hint="eastAsia" w:ascii="Times New Roman" w:hAnsi="Times New Roman"/>
          <w:u w:val="single"/>
          <w:lang w:val="en-US" w:eastAsia="zh-CN"/>
        </w:rPr>
        <w:t>地表水环境灰河屈庄断面2019年内COD、总氮、总磷因子常规监测数据不能稳定达标，氨氮因子能够满足《地表水环境质量标准》（GB3838-2002）Ⅲ类标准要求。</w:t>
      </w:r>
    </w:p>
    <w:p>
      <w:pPr>
        <w:pStyle w:val="4"/>
        <w:ind w:firstLine="602"/>
      </w:pPr>
      <w:bookmarkStart w:id="335" w:name="_Toc22717"/>
      <w:r>
        <w:rPr>
          <w:lang w:val="en-US"/>
        </w:rPr>
        <w:t>10.3.3 声环境</w:t>
      </w:r>
      <w:bookmarkEnd w:id="335"/>
    </w:p>
    <w:p>
      <w:pPr>
        <w:pStyle w:val="10"/>
        <w:ind w:firstLine="480"/>
        <w:rPr>
          <w:rFonts w:ascii="Times New Roman" w:hAnsi="Times New Roman"/>
        </w:rPr>
      </w:pPr>
      <w:r>
        <w:rPr>
          <w:rFonts w:hint="eastAsia"/>
          <w:color w:val="000000"/>
          <w:lang w:val="en-US" w:bidi="ar"/>
        </w:rPr>
        <w:t>本次对</w:t>
      </w:r>
      <w:r>
        <w:rPr>
          <w:rFonts w:hint="eastAsia" w:ascii="Times New Roman" w:hAnsi="Times New Roman"/>
          <w:lang w:eastAsia="zh-CN"/>
        </w:rPr>
        <w:t>后王庄</w:t>
      </w:r>
      <w:r>
        <w:rPr>
          <w:rFonts w:hint="eastAsia" w:ascii="Times New Roman" w:hAnsi="Times New Roman"/>
        </w:rPr>
        <w:t>敏感点和</w:t>
      </w:r>
      <w:r>
        <w:rPr>
          <w:rFonts w:ascii="Times New Roman" w:hAnsi="Times New Roman"/>
        </w:rPr>
        <w:t>项目厂址</w:t>
      </w:r>
      <w:r>
        <w:rPr>
          <w:rFonts w:hint="eastAsia" w:ascii="Times New Roman" w:hAnsi="Times New Roman"/>
        </w:rPr>
        <w:t>厂界</w:t>
      </w:r>
      <w:r>
        <w:rPr>
          <w:rFonts w:ascii="Times New Roman" w:hAnsi="Times New Roman"/>
        </w:rPr>
        <w:t>声环境质量现状昼、夜监测结果均能满足《声环境质量标准》（GB3096-2008）</w:t>
      </w:r>
      <w:r>
        <w:rPr>
          <w:rFonts w:hint="eastAsia" w:ascii="Times New Roman" w:hAnsi="Times New Roman"/>
          <w:lang w:val="en-US" w:eastAsia="zh-CN"/>
        </w:rPr>
        <w:t>1</w:t>
      </w:r>
      <w:r>
        <w:rPr>
          <w:rFonts w:ascii="Times New Roman" w:hAnsi="Times New Roman"/>
        </w:rPr>
        <w:t>类标准要求</w:t>
      </w:r>
      <w:r>
        <w:rPr>
          <w:rFonts w:hint="eastAsia" w:ascii="Times New Roman" w:hAnsi="Times New Roman"/>
        </w:rPr>
        <w:t>，</w:t>
      </w:r>
      <w:r>
        <w:rPr>
          <w:rFonts w:ascii="Times New Roman" w:hAnsi="Times New Roman"/>
        </w:rPr>
        <w:t>说明项目厂址所在区域声环境质量现状良好。</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36" w:name="_Toc17204"/>
      <w:bookmarkStart w:id="337" w:name="_Toc4469"/>
      <w:bookmarkStart w:id="338" w:name="_Toc8785"/>
      <w:bookmarkStart w:id="339" w:name="_Toc25186"/>
      <w:r>
        <w:rPr>
          <w:rFonts w:ascii="Times New Roman" w:hAnsi="Times New Roman" w:eastAsia="宋体" w:cs="宋体"/>
          <w:lang w:val="en-US"/>
        </w:rPr>
        <w:t>10.4 污染物排放情况及主要环境影响</w:t>
      </w:r>
      <w:bookmarkEnd w:id="336"/>
      <w:bookmarkEnd w:id="337"/>
      <w:bookmarkEnd w:id="338"/>
      <w:bookmarkEnd w:id="339"/>
    </w:p>
    <w:p>
      <w:pPr>
        <w:ind w:firstLine="480"/>
      </w:pPr>
      <w:r>
        <w:rPr>
          <w:rFonts w:hint="eastAsia"/>
          <w:lang w:val="en-US"/>
        </w:rPr>
        <w:t>根据工程分析，确定了</w:t>
      </w:r>
      <w:r>
        <w:rPr>
          <w:rFonts w:hint="eastAsia"/>
          <w:lang w:val="en-US" w:eastAsia="zh-CN"/>
        </w:rPr>
        <w:t>企业</w:t>
      </w:r>
      <w:r>
        <w:rPr>
          <w:rFonts w:hint="eastAsia"/>
          <w:lang w:val="en-US"/>
        </w:rPr>
        <w:t>运营过程中的产污环节、污染物种类及排放量，针对污染物产生状况提出了相应的污染治理措施，有效削减了排污量，使污染物排放达到国家地方有关排放标准，对周围环境影响较小，不会改变区域功能现状。</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40" w:name="_Toc10712"/>
      <w:bookmarkStart w:id="341" w:name="_Toc7632"/>
      <w:bookmarkStart w:id="342" w:name="_Toc10860"/>
      <w:bookmarkStart w:id="343" w:name="_Toc22309"/>
      <w:r>
        <w:rPr>
          <w:rFonts w:ascii="Times New Roman" w:hAnsi="Times New Roman" w:eastAsia="宋体" w:cs="宋体"/>
          <w:lang w:val="en-US"/>
        </w:rPr>
        <w:t>10.5 环境保护措施有效性评估</w:t>
      </w:r>
      <w:bookmarkEnd w:id="340"/>
      <w:bookmarkEnd w:id="341"/>
      <w:bookmarkEnd w:id="342"/>
      <w:bookmarkEnd w:id="343"/>
    </w:p>
    <w:p>
      <w:pPr>
        <w:pStyle w:val="4"/>
        <w:ind w:firstLine="602"/>
      </w:pPr>
      <w:bookmarkStart w:id="344" w:name="_Toc15174"/>
      <w:r>
        <w:rPr>
          <w:lang w:val="en-US"/>
        </w:rPr>
        <w:t xml:space="preserve">10.5.1 </w:t>
      </w:r>
      <w:r>
        <w:rPr>
          <w:rFonts w:hint="eastAsia"/>
          <w:lang w:val="en-US"/>
        </w:rPr>
        <w:t>水环境保护措施</w:t>
      </w:r>
      <w:bookmarkEnd w:id="34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sz w:val="24"/>
          <w:u w:val="single"/>
          <w:lang w:eastAsia="zh-CN"/>
        </w:rPr>
      </w:pPr>
      <w:r>
        <w:rPr>
          <w:rFonts w:ascii="Times New Roman" w:hAnsi="Times New Roman"/>
          <w:color w:val="auto"/>
          <w:sz w:val="24"/>
          <w:u w:val="single"/>
        </w:rPr>
        <w:t>根据现场调查，项目所在地的市政污水管网</w:t>
      </w:r>
      <w:r>
        <w:rPr>
          <w:rFonts w:hint="eastAsia" w:ascii="Times New Roman" w:hAnsi="Times New Roman"/>
          <w:color w:val="auto"/>
          <w:sz w:val="24"/>
          <w:u w:val="single"/>
          <w:lang w:eastAsia="zh-CN"/>
        </w:rPr>
        <w:t>尚</w:t>
      </w:r>
      <w:r>
        <w:rPr>
          <w:rFonts w:ascii="Times New Roman" w:hAnsi="Times New Roman"/>
          <w:color w:val="auto"/>
          <w:sz w:val="24"/>
          <w:u w:val="single"/>
        </w:rPr>
        <w:t>未铺设。生产</w:t>
      </w:r>
      <w:r>
        <w:rPr>
          <w:rFonts w:hint="eastAsia"/>
          <w:color w:val="auto"/>
          <w:sz w:val="24"/>
          <w:u w:val="single"/>
          <w:lang w:eastAsia="zh-CN"/>
        </w:rPr>
        <w:t>清洗</w:t>
      </w:r>
      <w:r>
        <w:rPr>
          <w:rFonts w:ascii="Times New Roman" w:hAnsi="Times New Roman"/>
          <w:color w:val="auto"/>
          <w:sz w:val="24"/>
          <w:u w:val="single"/>
        </w:rPr>
        <w:t>废水</w:t>
      </w:r>
      <w:r>
        <w:rPr>
          <w:rFonts w:hint="eastAsia"/>
          <w:color w:val="auto"/>
          <w:sz w:val="24"/>
          <w:u w:val="single"/>
          <w:lang w:eastAsia="zh-CN"/>
        </w:rPr>
        <w:t>、循环冷污水直接用于物料清洗</w:t>
      </w:r>
      <w:r>
        <w:rPr>
          <w:rFonts w:ascii="Times New Roman" w:hAnsi="Times New Roman"/>
          <w:color w:val="auto"/>
          <w:sz w:val="24"/>
          <w:u w:val="single"/>
        </w:rPr>
        <w:t>经厂内废水处理系统处理后全部循环回用于生产中</w:t>
      </w:r>
      <w:r>
        <w:rPr>
          <w:rFonts w:hint="eastAsia"/>
          <w:color w:val="auto"/>
          <w:sz w:val="24"/>
          <w:u w:val="single"/>
          <w:lang w:eastAsia="zh-CN"/>
        </w:rPr>
        <w:t>；餐饮废水经隔油池处理后与</w:t>
      </w:r>
      <w:r>
        <w:rPr>
          <w:rFonts w:ascii="Times New Roman" w:hAnsi="Times New Roman"/>
          <w:color w:val="auto"/>
          <w:sz w:val="24"/>
          <w:u w:val="single"/>
        </w:rPr>
        <w:t>生活污水</w:t>
      </w:r>
      <w:r>
        <w:rPr>
          <w:rFonts w:hint="eastAsia"/>
          <w:color w:val="auto"/>
          <w:sz w:val="24"/>
          <w:u w:val="single"/>
          <w:lang w:eastAsia="zh-CN"/>
        </w:rPr>
        <w:t>进入</w:t>
      </w:r>
      <w:r>
        <w:rPr>
          <w:rFonts w:ascii="Times New Roman" w:hAnsi="Times New Roman"/>
          <w:color w:val="auto"/>
          <w:sz w:val="24"/>
          <w:u w:val="single"/>
        </w:rPr>
        <w:t>化粪池，生活污水经化粪池收集后，由专人定期清运。</w:t>
      </w:r>
      <w:r>
        <w:rPr>
          <w:color w:val="auto"/>
          <w:sz w:val="24"/>
          <w:u w:val="single"/>
        </w:rPr>
        <w:t>根据项目运营期废水产生特点，废水处理系拟选用</w:t>
      </w:r>
      <w:r>
        <w:rPr>
          <w:rFonts w:hint="eastAsia"/>
          <w:color w:val="auto"/>
          <w:sz w:val="24"/>
          <w:u w:val="single"/>
          <w:lang w:eastAsia="zh-CN"/>
        </w:rPr>
        <w:t>“沉淀+气浮+A/O+二级沉淀”</w:t>
      </w:r>
      <w:r>
        <w:rPr>
          <w:color w:val="auto"/>
          <w:sz w:val="24"/>
          <w:u w:val="single"/>
        </w:rPr>
        <w:t>工艺对其中的SS、COD、NH</w:t>
      </w:r>
      <w:r>
        <w:rPr>
          <w:color w:val="auto"/>
          <w:sz w:val="24"/>
          <w:u w:val="single"/>
          <w:vertAlign w:val="subscript"/>
        </w:rPr>
        <w:t>3</w:t>
      </w:r>
      <w:r>
        <w:rPr>
          <w:color w:val="auto"/>
          <w:sz w:val="24"/>
          <w:u w:val="single"/>
        </w:rPr>
        <w:t>-N、TP等污染物进行去除</w:t>
      </w:r>
      <w:r>
        <w:rPr>
          <w:rFonts w:hint="eastAsia"/>
          <w:color w:val="auto"/>
          <w:sz w:val="24"/>
          <w:u w:val="single"/>
          <w:lang w:eastAsia="zh-CN"/>
        </w:rPr>
        <w:t>。</w:t>
      </w:r>
    </w:p>
    <w:p>
      <w:pPr>
        <w:pStyle w:val="4"/>
        <w:ind w:firstLine="602"/>
        <w:rPr>
          <w:rFonts w:hint="eastAsia"/>
          <w:lang w:val="en-US"/>
        </w:rPr>
      </w:pPr>
      <w:bookmarkStart w:id="345" w:name="_Toc20637"/>
      <w:r>
        <w:rPr>
          <w:lang w:val="en-US"/>
        </w:rPr>
        <w:t xml:space="preserve">10.5.2 </w:t>
      </w:r>
      <w:r>
        <w:rPr>
          <w:rFonts w:hint="eastAsia"/>
          <w:lang w:val="en-US"/>
        </w:rPr>
        <w:t>大气环境保护措施</w:t>
      </w:r>
      <w:bookmarkEnd w:id="345"/>
    </w:p>
    <w:p>
      <w:pPr>
        <w:bidi w:val="0"/>
        <w:rPr>
          <w:rFonts w:hint="eastAsia"/>
          <w:lang w:val="en-US" w:eastAsia="zh-CN"/>
        </w:rPr>
      </w:pPr>
      <w:r>
        <w:rPr>
          <w:rFonts w:hint="eastAsia"/>
          <w:lang w:val="en-US"/>
        </w:rPr>
        <w:t>（</w:t>
      </w:r>
      <w:r>
        <w:rPr>
          <w:lang w:val="en-US"/>
        </w:rPr>
        <w:t>1</w:t>
      </w:r>
      <w:r>
        <w:rPr>
          <w:rFonts w:hint="eastAsia"/>
          <w:lang w:val="en-US"/>
        </w:rPr>
        <w:t>）</w:t>
      </w:r>
      <w:r>
        <w:rPr>
          <w:rFonts w:hint="eastAsia"/>
          <w:lang w:val="en-US" w:eastAsia="zh-CN"/>
        </w:rPr>
        <w:t>破碎粉尘</w:t>
      </w:r>
    </w:p>
    <w:p>
      <w:pPr>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u w:val="single"/>
          <w:lang w:val="en-US" w:eastAsia="zh-CN"/>
          <w14:textFill>
            <w14:solidFill>
              <w14:schemeClr w14:val="tx1"/>
            </w14:solidFill>
          </w14:textFill>
        </w:rPr>
      </w:pPr>
      <w:r>
        <w:rPr>
          <w:rFonts w:hint="eastAsia" w:ascii="宋体" w:hAnsi="宋体"/>
          <w:color w:val="000000"/>
          <w:szCs w:val="24"/>
          <w:u w:val="single"/>
          <w:lang w:val="en-US" w:bidi="ar"/>
        </w:rPr>
        <w:t>本项目</w:t>
      </w:r>
      <w:r>
        <w:rPr>
          <w:rFonts w:hint="eastAsia" w:ascii="宋体" w:hAnsi="宋体"/>
          <w:color w:val="000000"/>
          <w:szCs w:val="24"/>
          <w:u w:val="single"/>
          <w:lang w:val="en-US" w:eastAsia="zh-CN" w:bidi="ar"/>
        </w:rPr>
        <w:t>废塑料破碎产生粉尘，</w:t>
      </w:r>
      <w:r>
        <w:rPr>
          <w:rFonts w:hint="default" w:ascii="Times New Roman" w:hAnsi="Times New Roman" w:cs="Times New Roman"/>
          <w:color w:val="000000" w:themeColor="text1"/>
          <w:sz w:val="24"/>
          <w:u w:val="single"/>
          <w14:textFill>
            <w14:solidFill>
              <w14:schemeClr w14:val="tx1"/>
            </w14:solidFill>
          </w14:textFill>
        </w:rPr>
        <w:t>设置专门的</w:t>
      </w:r>
      <w:r>
        <w:rPr>
          <w:rFonts w:hint="eastAsia" w:ascii="Times New Roman" w:hAnsi="Times New Roman" w:cs="Times New Roman"/>
          <w:color w:val="000000" w:themeColor="text1"/>
          <w:sz w:val="24"/>
          <w:u w:val="single"/>
          <w:lang w:eastAsia="zh-CN"/>
          <w14:textFill>
            <w14:solidFill>
              <w14:schemeClr w14:val="tx1"/>
            </w14:solidFill>
          </w14:textFill>
        </w:rPr>
        <w:t>破碎</w:t>
      </w:r>
      <w:r>
        <w:rPr>
          <w:rFonts w:hint="default" w:ascii="Times New Roman" w:hAnsi="Times New Roman" w:cs="Times New Roman"/>
          <w:color w:val="000000" w:themeColor="text1"/>
          <w:sz w:val="24"/>
          <w:u w:val="single"/>
          <w14:textFill>
            <w14:solidFill>
              <w14:schemeClr w14:val="tx1"/>
            </w14:solidFill>
          </w14:textFill>
        </w:rPr>
        <w:t>室</w:t>
      </w:r>
      <w:r>
        <w:rPr>
          <w:rFonts w:hint="eastAsia" w:cs="Times New Roman"/>
          <w:color w:val="000000" w:themeColor="text1"/>
          <w:sz w:val="24"/>
          <w:u w:val="single"/>
          <w:lang w:eastAsia="zh-CN"/>
          <w14:textFill>
            <w14:solidFill>
              <w14:schemeClr w14:val="tx1"/>
            </w14:solidFill>
          </w14:textFill>
        </w:rPr>
        <w:t>二次密闭</w:t>
      </w:r>
      <w:r>
        <w:rPr>
          <w:rFonts w:hint="default" w:ascii="Times New Roman" w:hAnsi="Times New Roman" w:cs="Times New Roman"/>
          <w:color w:val="000000" w:themeColor="text1"/>
          <w:sz w:val="24"/>
          <w:u w:val="single"/>
          <w14:textFill>
            <w14:solidFill>
              <w14:schemeClr w14:val="tx1"/>
            </w14:solidFill>
          </w14:textFill>
        </w:rPr>
        <w:t>，室内设置抽气孔，使配料室形成微负压系统</w:t>
      </w:r>
      <w:r>
        <w:rPr>
          <w:rFonts w:hint="eastAsia" w:ascii="Times New Roman" w:hAnsi="Times New Roman" w:cs="Times New Roman"/>
          <w:color w:val="000000" w:themeColor="text1"/>
          <w:sz w:val="24"/>
          <w:u w:val="single"/>
          <w:lang w:eastAsia="zh-CN"/>
          <w14:textFill>
            <w14:solidFill>
              <w14:schemeClr w14:val="tx1"/>
            </w14:solidFill>
          </w14:textFill>
        </w:rPr>
        <w:t>，</w:t>
      </w:r>
      <w:r>
        <w:rPr>
          <w:rFonts w:hint="eastAsia" w:ascii="Times New Roman" w:hAnsi="Times New Roman" w:cs="Times New Roman"/>
          <w:color w:val="000000" w:themeColor="text1"/>
          <w:sz w:val="24"/>
          <w:u w:val="single"/>
          <w:lang w:val="en-US" w:eastAsia="zh-CN"/>
          <w14:textFill>
            <w14:solidFill>
              <w14:schemeClr w14:val="tx1"/>
            </w14:solidFill>
          </w14:textFill>
        </w:rPr>
        <w:t>破碎机</w:t>
      </w:r>
      <w:r>
        <w:rPr>
          <w:rFonts w:hint="default" w:ascii="Times New Roman" w:hAnsi="Times New Roman" w:cs="Times New Roman"/>
          <w:color w:val="000000" w:themeColor="text1"/>
          <w:sz w:val="24"/>
          <w:u w:val="single"/>
          <w14:textFill>
            <w14:solidFill>
              <w14:schemeClr w14:val="tx1"/>
            </w14:solidFill>
          </w14:textFill>
        </w:rPr>
        <w:t>采取全密闭措施，上方设置呼吸孔，呼吸孔直接连通至袋式除尘器</w:t>
      </w:r>
      <w:r>
        <w:rPr>
          <w:rFonts w:hint="eastAsia" w:ascii="Times New Roman" w:hAnsi="Times New Roman" w:cs="Times New Roman"/>
          <w:color w:val="000000" w:themeColor="text1"/>
          <w:sz w:val="24"/>
          <w:u w:val="single"/>
          <w:lang w:eastAsia="zh-CN"/>
          <w14:textFill>
            <w14:solidFill>
              <w14:schemeClr w14:val="tx1"/>
            </w14:solidFill>
          </w14:textFill>
        </w:rPr>
        <w:t>。经袋式除尘器处理后废气由</w:t>
      </w:r>
      <w:r>
        <w:rPr>
          <w:rFonts w:hint="eastAsia" w:ascii="Times New Roman" w:hAnsi="Times New Roman" w:cs="Times New Roman"/>
          <w:color w:val="000000" w:themeColor="text1"/>
          <w:sz w:val="24"/>
          <w:u w:val="single"/>
          <w:lang w:val="en-US" w:eastAsia="zh-CN"/>
          <w14:textFill>
            <w14:solidFill>
              <w14:schemeClr w14:val="tx1"/>
            </w14:solidFill>
          </w14:textFill>
        </w:rPr>
        <w:t>15m高排气筒排放。</w:t>
      </w:r>
    </w:p>
    <w:p>
      <w:pPr>
        <w:pageBreakBefore w:val="0"/>
        <w:widowControl/>
        <w:numPr>
          <w:ilvl w:val="0"/>
          <w:numId w:val="0"/>
        </w:numPr>
        <w:kinsoku/>
        <w:wordWrap/>
        <w:overflowPunct/>
        <w:topLinePunct w:val="0"/>
        <w:autoSpaceDN/>
        <w:bidi w:val="0"/>
        <w:adjustRightInd/>
        <w:snapToGrid/>
        <w:spacing w:line="360" w:lineRule="auto"/>
        <w:ind w:firstLine="480" w:firstLineChars="200"/>
        <w:jc w:val="both"/>
        <w:textAlignment w:val="auto"/>
        <w:rPr>
          <w:rFonts w:hint="eastAsia"/>
          <w:lang w:val="en-US" w:eastAsia="zh-CN"/>
        </w:rPr>
      </w:pPr>
      <w:r>
        <w:rPr>
          <w:rFonts w:hint="eastAsia"/>
          <w:lang w:val="en-US" w:eastAsia="zh-CN"/>
        </w:rPr>
        <w:t>（2）造粒车间废气</w:t>
      </w:r>
    </w:p>
    <w:p>
      <w:pPr>
        <w:bidi w:val="0"/>
        <w:rPr>
          <w:rFonts w:hint="eastAsia"/>
          <w:u w:val="single"/>
          <w:lang w:val="en-US" w:eastAsia="zh-CN"/>
        </w:rPr>
      </w:pPr>
      <w:r>
        <w:rPr>
          <w:rFonts w:hint="eastAsia"/>
          <w:u w:val="single"/>
          <w:lang w:val="en-US" w:eastAsia="zh-CN"/>
        </w:rPr>
        <w:t>造粒阶段会产生一定的苯乙烯、有机废气非甲烷总烃和颗粒物。造粒工序车间内二次密闭，</w:t>
      </w:r>
      <w:r>
        <w:rPr>
          <w:rFonts w:hint="default" w:ascii="Times New Roman" w:hAnsi="Times New Roman" w:cs="Times New Roman"/>
          <w:color w:val="000000" w:themeColor="text1"/>
          <w:sz w:val="24"/>
          <w:u w:val="single"/>
          <w14:textFill>
            <w14:solidFill>
              <w14:schemeClr w14:val="tx1"/>
            </w14:solidFill>
          </w14:textFill>
        </w:rPr>
        <w:t>内设置抽气孔，使配料室形成微负压系统</w:t>
      </w:r>
      <w:r>
        <w:rPr>
          <w:rFonts w:hint="eastAsia" w:ascii="Times New Roman" w:hAnsi="Times New Roman" w:cs="Times New Roman"/>
          <w:color w:val="000000" w:themeColor="text1"/>
          <w:sz w:val="24"/>
          <w:u w:val="single"/>
          <w:lang w:eastAsia="zh-CN"/>
          <w14:textFill>
            <w14:solidFill>
              <w14:schemeClr w14:val="tx1"/>
            </w14:solidFill>
          </w14:textFill>
        </w:rPr>
        <w:t>，</w:t>
      </w:r>
      <w:r>
        <w:rPr>
          <w:rFonts w:hint="default"/>
          <w:u w:val="single"/>
          <w:lang w:val="en-US" w:eastAsia="zh-CN"/>
        </w:rPr>
        <w:t>产生的</w:t>
      </w:r>
      <w:r>
        <w:rPr>
          <w:rFonts w:hint="eastAsia"/>
          <w:u w:val="single"/>
          <w:lang w:val="en-US" w:eastAsia="zh-CN"/>
        </w:rPr>
        <w:t>苯乙烯、有机废气非甲烷总烃和颗粒物</w:t>
      </w:r>
      <w:r>
        <w:rPr>
          <w:rFonts w:hint="default"/>
          <w:u w:val="single"/>
          <w:lang w:val="en-US" w:eastAsia="zh-CN"/>
        </w:rPr>
        <w:t>经收集后（风量为1</w:t>
      </w:r>
      <w:r>
        <w:rPr>
          <w:rFonts w:hint="eastAsia"/>
          <w:u w:val="single"/>
          <w:lang w:val="en-US" w:eastAsia="zh-CN"/>
        </w:rPr>
        <w:t>0</w:t>
      </w:r>
      <w:r>
        <w:rPr>
          <w:rFonts w:hint="default"/>
          <w:u w:val="single"/>
          <w:lang w:val="en-US" w:eastAsia="zh-CN"/>
        </w:rPr>
        <w:t>000m</w:t>
      </w:r>
      <w:r>
        <w:rPr>
          <w:rFonts w:hint="default"/>
          <w:u w:val="single"/>
          <w:vertAlign w:val="superscript"/>
          <w:lang w:val="en-US" w:eastAsia="zh-CN"/>
        </w:rPr>
        <w:t>3</w:t>
      </w:r>
      <w:r>
        <w:rPr>
          <w:rFonts w:hint="default"/>
          <w:u w:val="single"/>
          <w:lang w:val="en-US" w:eastAsia="zh-CN"/>
        </w:rPr>
        <w:t>/h）通过</w:t>
      </w:r>
      <w:r>
        <w:rPr>
          <w:rFonts w:hint="eastAsia"/>
          <w:u w:val="single"/>
          <w:lang w:val="en-US" w:eastAsia="zh-CN"/>
        </w:rPr>
        <w:t>喷淋塔+吸附浓缩+催化燃烧装置</w:t>
      </w:r>
      <w:r>
        <w:rPr>
          <w:rFonts w:hint="default"/>
          <w:u w:val="single"/>
          <w:lang w:val="en-US" w:eastAsia="zh-CN"/>
        </w:rPr>
        <w:t>处理，最终通过不低于</w:t>
      </w:r>
      <w:r>
        <w:rPr>
          <w:rFonts w:hint="eastAsia"/>
          <w:u w:val="single"/>
          <w:lang w:val="en-US" w:eastAsia="zh-CN"/>
        </w:rPr>
        <w:t>2#</w:t>
      </w:r>
      <w:r>
        <w:rPr>
          <w:rFonts w:hint="default"/>
          <w:u w:val="single"/>
          <w:lang w:val="en-US" w:eastAsia="zh-CN"/>
        </w:rPr>
        <w:t>15m高排气筒排放</w:t>
      </w:r>
      <w:r>
        <w:rPr>
          <w:rFonts w:hint="eastAsia"/>
          <w:u w:val="single"/>
          <w:lang w:val="en-US" w:eastAsia="zh-CN"/>
        </w:rPr>
        <w:t>。</w:t>
      </w:r>
    </w:p>
    <w:p>
      <w:pPr>
        <w:keepNext w:val="0"/>
        <w:keepLines w:val="0"/>
        <w:widowControl/>
        <w:suppressLineNumbers w:val="0"/>
        <w:jc w:val="left"/>
        <w:rPr>
          <w:rFonts w:hint="default" w:eastAsia="宋体"/>
          <w:lang w:val="en-US" w:eastAsia="zh-CN"/>
        </w:rPr>
      </w:pPr>
      <w:r>
        <w:rPr>
          <w:rFonts w:hint="eastAsia"/>
          <w:color w:val="000000"/>
          <w:szCs w:val="24"/>
          <w:lang w:val="en-US" w:bidi="ar"/>
        </w:rPr>
        <w:t>（3）</w:t>
      </w:r>
      <w:r>
        <w:rPr>
          <w:rFonts w:hint="eastAsia"/>
          <w:lang w:val="en-US" w:eastAsia="zh-CN"/>
        </w:rPr>
        <w:t>注塑有机废气</w:t>
      </w:r>
    </w:p>
    <w:p>
      <w:pPr>
        <w:widowControl/>
        <w:numPr>
          <w:ilvl w:val="0"/>
          <w:numId w:val="0"/>
        </w:numPr>
        <w:ind w:firstLine="480" w:firstLineChars="200"/>
        <w:rPr>
          <w:rFonts w:hint="default" w:ascii="Times New Roman" w:hAnsi="Times New Roman" w:eastAsia="宋体" w:cs="Times New Roman"/>
          <w:b w:val="0"/>
          <w:color w:val="auto"/>
          <w:kern w:val="2"/>
          <w:sz w:val="24"/>
          <w:szCs w:val="24"/>
          <w:u w:val="single"/>
          <w:lang w:val="en-US" w:eastAsia="zh-CN" w:bidi="ar-SA"/>
        </w:rPr>
      </w:pPr>
      <w:r>
        <w:rPr>
          <w:rFonts w:hint="eastAsia"/>
          <w:u w:val="single"/>
          <w:lang w:val="en-US" w:eastAsia="zh-CN"/>
        </w:rPr>
        <w:t>注塑工序车间内二次密闭，</w:t>
      </w:r>
      <w:r>
        <w:rPr>
          <w:rFonts w:hint="default" w:ascii="Times New Roman" w:hAnsi="Times New Roman" w:cs="Times New Roman"/>
          <w:color w:val="000000" w:themeColor="text1"/>
          <w:sz w:val="24"/>
          <w:u w:val="single"/>
          <w14:textFill>
            <w14:solidFill>
              <w14:schemeClr w14:val="tx1"/>
            </w14:solidFill>
          </w14:textFill>
        </w:rPr>
        <w:t>室内设置抽气孔，使配料室形成微负压系统</w:t>
      </w:r>
      <w:r>
        <w:rPr>
          <w:rFonts w:hint="eastAsia" w:ascii="Times New Roman" w:hAnsi="Times New Roman" w:cs="Times New Roman"/>
          <w:color w:val="000000" w:themeColor="text1"/>
          <w:sz w:val="24"/>
          <w:u w:val="single"/>
          <w:lang w:eastAsia="zh-CN"/>
          <w14:textFill>
            <w14:solidFill>
              <w14:schemeClr w14:val="tx1"/>
            </w14:solidFill>
          </w14:textFill>
        </w:rPr>
        <w:t>，</w:t>
      </w:r>
      <w:r>
        <w:rPr>
          <w:rFonts w:hint="default" w:ascii="Times New Roman" w:hAnsi="Times New Roman" w:eastAsia="宋体" w:cs="Times New Roman"/>
          <w:b w:val="0"/>
          <w:color w:val="auto"/>
          <w:kern w:val="2"/>
          <w:sz w:val="24"/>
          <w:szCs w:val="24"/>
          <w:u w:val="single"/>
          <w:lang w:val="en-US" w:eastAsia="zh-CN" w:bidi="ar-SA"/>
        </w:rPr>
        <w:t>产生的非甲烷总烃经</w:t>
      </w:r>
      <w:r>
        <w:rPr>
          <w:rFonts w:hint="eastAsia" w:cs="Times New Roman"/>
          <w:b w:val="0"/>
          <w:color w:val="auto"/>
          <w:kern w:val="2"/>
          <w:sz w:val="24"/>
          <w:szCs w:val="24"/>
          <w:u w:val="single"/>
          <w:lang w:val="en-US" w:eastAsia="zh-CN" w:bidi="ar-SA"/>
        </w:rPr>
        <w:t>、苯乙烯</w:t>
      </w:r>
      <w:r>
        <w:rPr>
          <w:rFonts w:hint="default" w:ascii="Times New Roman" w:hAnsi="Times New Roman" w:eastAsia="宋体" w:cs="Times New Roman"/>
          <w:b w:val="0"/>
          <w:color w:val="auto"/>
          <w:kern w:val="2"/>
          <w:sz w:val="24"/>
          <w:szCs w:val="24"/>
          <w:u w:val="single"/>
          <w:lang w:val="en-US" w:eastAsia="zh-CN" w:bidi="ar-SA"/>
        </w:rPr>
        <w:t>收集后（</w:t>
      </w:r>
      <w:r>
        <w:rPr>
          <w:rFonts w:hint="default" w:ascii="Times New Roman" w:hAnsi="Times New Roman" w:eastAsia="宋体" w:cs="Times New Roman"/>
          <w:b w:val="0"/>
          <w:color w:val="auto"/>
          <w:kern w:val="2"/>
          <w:sz w:val="24"/>
          <w:szCs w:val="24"/>
          <w:highlight w:val="none"/>
          <w:u w:val="single"/>
          <w:lang w:val="en-US" w:eastAsia="zh-CN" w:bidi="ar-SA"/>
        </w:rPr>
        <w:t>风量为</w:t>
      </w:r>
      <w:r>
        <w:rPr>
          <w:rFonts w:hint="eastAsia" w:cs="Times New Roman"/>
          <w:b w:val="0"/>
          <w:color w:val="auto"/>
          <w:kern w:val="2"/>
          <w:sz w:val="24"/>
          <w:szCs w:val="24"/>
          <w:highlight w:val="none"/>
          <w:u w:val="single"/>
          <w:lang w:val="en-US" w:eastAsia="zh-CN" w:bidi="ar-SA"/>
        </w:rPr>
        <w:t>6</w:t>
      </w:r>
      <w:r>
        <w:rPr>
          <w:rFonts w:hint="eastAsia" w:ascii="Times New Roman" w:hAnsi="Times New Roman" w:cs="Times New Roman"/>
          <w:b w:val="0"/>
          <w:color w:val="auto"/>
          <w:kern w:val="2"/>
          <w:sz w:val="24"/>
          <w:szCs w:val="24"/>
          <w:highlight w:val="none"/>
          <w:u w:val="single"/>
          <w:lang w:val="en-US" w:eastAsia="zh-CN" w:bidi="ar-SA"/>
        </w:rPr>
        <w:t>0</w:t>
      </w:r>
      <w:r>
        <w:rPr>
          <w:rFonts w:hint="default" w:ascii="Times New Roman" w:hAnsi="Times New Roman" w:eastAsia="宋体" w:cs="Times New Roman"/>
          <w:b w:val="0"/>
          <w:color w:val="auto"/>
          <w:kern w:val="2"/>
          <w:sz w:val="24"/>
          <w:szCs w:val="24"/>
          <w:highlight w:val="none"/>
          <w:u w:val="single"/>
          <w:lang w:val="en-US" w:eastAsia="zh-CN" w:bidi="ar-SA"/>
        </w:rPr>
        <w:t>000m</w:t>
      </w:r>
      <w:r>
        <w:rPr>
          <w:rFonts w:hint="default" w:ascii="Times New Roman" w:hAnsi="Times New Roman" w:eastAsia="宋体" w:cs="Times New Roman"/>
          <w:b w:val="0"/>
          <w:color w:val="auto"/>
          <w:kern w:val="2"/>
          <w:sz w:val="24"/>
          <w:szCs w:val="24"/>
          <w:highlight w:val="none"/>
          <w:u w:val="single"/>
          <w:vertAlign w:val="superscript"/>
          <w:lang w:val="en-US" w:eastAsia="zh-CN" w:bidi="ar-SA"/>
        </w:rPr>
        <w:t>3</w:t>
      </w:r>
      <w:r>
        <w:rPr>
          <w:rFonts w:hint="default" w:ascii="Times New Roman" w:hAnsi="Times New Roman" w:eastAsia="宋体" w:cs="Times New Roman"/>
          <w:b w:val="0"/>
          <w:color w:val="auto"/>
          <w:kern w:val="2"/>
          <w:sz w:val="24"/>
          <w:szCs w:val="24"/>
          <w:highlight w:val="none"/>
          <w:u w:val="single"/>
          <w:lang w:val="en-US" w:eastAsia="zh-CN" w:bidi="ar-SA"/>
        </w:rPr>
        <w:t>/h）</w:t>
      </w:r>
      <w:r>
        <w:rPr>
          <w:rFonts w:hint="default" w:ascii="Times New Roman" w:hAnsi="Times New Roman" w:eastAsia="宋体" w:cs="Times New Roman"/>
          <w:b w:val="0"/>
          <w:color w:val="auto"/>
          <w:kern w:val="2"/>
          <w:sz w:val="24"/>
          <w:szCs w:val="24"/>
          <w:u w:val="single"/>
          <w:lang w:val="en-US" w:eastAsia="zh-CN" w:bidi="ar-SA"/>
        </w:rPr>
        <w:t>通过</w:t>
      </w:r>
      <w:r>
        <w:rPr>
          <w:rFonts w:hint="eastAsia" w:ascii="Times New Roman" w:hAnsi="Times New Roman" w:eastAsia="宋体" w:cs="Times New Roman"/>
          <w:b w:val="0"/>
          <w:bCs/>
          <w:color w:val="auto"/>
          <w:kern w:val="2"/>
          <w:sz w:val="24"/>
          <w:szCs w:val="24"/>
          <w:u w:val="single"/>
          <w:lang w:val="en-US" w:eastAsia="zh-CN" w:bidi="ar-SA"/>
        </w:rPr>
        <w:t>吸附浓缩+催化燃烧装置</w:t>
      </w:r>
      <w:r>
        <w:rPr>
          <w:rFonts w:hint="default" w:ascii="Times New Roman" w:hAnsi="Times New Roman" w:eastAsia="宋体" w:cs="Times New Roman"/>
          <w:b w:val="0"/>
          <w:bCs/>
          <w:color w:val="auto"/>
          <w:kern w:val="2"/>
          <w:sz w:val="24"/>
          <w:szCs w:val="24"/>
          <w:u w:val="single"/>
          <w:lang w:val="en-US" w:eastAsia="zh-CN" w:bidi="ar-SA"/>
        </w:rPr>
        <w:t>处理，最终通</w:t>
      </w:r>
      <w:r>
        <w:rPr>
          <w:rFonts w:hint="default" w:ascii="Times New Roman" w:hAnsi="Times New Roman" w:eastAsia="宋体" w:cs="Times New Roman"/>
          <w:b w:val="0"/>
          <w:color w:val="auto"/>
          <w:kern w:val="2"/>
          <w:sz w:val="24"/>
          <w:szCs w:val="24"/>
          <w:u w:val="single"/>
          <w:lang w:val="en-US" w:eastAsia="zh-CN" w:bidi="ar-SA"/>
        </w:rPr>
        <w:t>过不低于</w:t>
      </w:r>
      <w:r>
        <w:rPr>
          <w:rFonts w:hint="eastAsia" w:ascii="Times New Roman" w:hAnsi="Times New Roman" w:cs="Times New Roman"/>
          <w:b w:val="0"/>
          <w:color w:val="auto"/>
          <w:kern w:val="2"/>
          <w:sz w:val="24"/>
          <w:szCs w:val="24"/>
          <w:u w:val="single"/>
          <w:lang w:val="en-US" w:eastAsia="zh-CN" w:bidi="ar-SA"/>
        </w:rPr>
        <w:t>3</w:t>
      </w:r>
      <w:r>
        <w:rPr>
          <w:rFonts w:hint="eastAsia" w:ascii="Times New Roman" w:hAnsi="Times New Roman" w:eastAsia="宋体" w:cs="Times New Roman"/>
          <w:b w:val="0"/>
          <w:color w:val="auto"/>
          <w:kern w:val="2"/>
          <w:sz w:val="24"/>
          <w:szCs w:val="24"/>
          <w:u w:val="single"/>
          <w:lang w:val="en-US" w:eastAsia="zh-CN" w:bidi="ar-SA"/>
        </w:rPr>
        <w:t>#</w:t>
      </w:r>
      <w:r>
        <w:rPr>
          <w:rFonts w:hint="default" w:ascii="Times New Roman" w:hAnsi="Times New Roman" w:eastAsia="宋体" w:cs="Times New Roman"/>
          <w:b w:val="0"/>
          <w:color w:val="auto"/>
          <w:kern w:val="2"/>
          <w:sz w:val="24"/>
          <w:szCs w:val="24"/>
          <w:u w:val="single"/>
          <w:lang w:val="en-US" w:eastAsia="zh-CN" w:bidi="ar-SA"/>
        </w:rPr>
        <w:t>15m高排气筒排放</w:t>
      </w:r>
      <w:r>
        <w:rPr>
          <w:rFonts w:hint="eastAsia" w:ascii="Times New Roman" w:hAnsi="Times New Roman" w:cs="Times New Roman"/>
          <w:b w:val="0"/>
          <w:color w:val="auto"/>
          <w:kern w:val="2"/>
          <w:sz w:val="24"/>
          <w:szCs w:val="24"/>
          <w:u w:val="single"/>
          <w:lang w:val="en-US" w:eastAsia="zh-CN" w:bidi="ar-SA"/>
        </w:rPr>
        <w:t>。</w:t>
      </w:r>
    </w:p>
    <w:p>
      <w:pPr>
        <w:widowControl/>
        <w:spacing w:line="348" w:lineRule="auto"/>
        <w:ind w:firstLine="480"/>
        <w:rPr>
          <w:color w:val="000000"/>
          <w:szCs w:val="24"/>
          <w:lang w:val="en-US" w:bidi="ar"/>
        </w:rPr>
      </w:pPr>
      <w:r>
        <w:rPr>
          <w:rFonts w:hint="eastAsia" w:ascii="Times New Roman" w:hAnsi="Times New Roman"/>
          <w:color w:val="000000"/>
          <w:szCs w:val="24"/>
          <w:lang w:val="en-US" w:eastAsia="zh-CN" w:bidi="ar"/>
        </w:rPr>
        <w:t>（4）</w:t>
      </w:r>
      <w:r>
        <w:rPr>
          <w:rFonts w:hint="eastAsia"/>
          <w:color w:val="000000"/>
          <w:szCs w:val="24"/>
          <w:lang w:val="en-US" w:bidi="ar"/>
        </w:rPr>
        <w:t>餐饮油烟</w:t>
      </w:r>
    </w:p>
    <w:p>
      <w:pPr>
        <w:widowControl/>
        <w:ind w:firstLine="480"/>
        <w:jc w:val="left"/>
        <w:rPr>
          <w:rFonts w:hint="eastAsia"/>
          <w:color w:val="000000"/>
          <w:szCs w:val="24"/>
          <w:lang w:val="en-US" w:eastAsia="zh-CN" w:bidi="ar"/>
        </w:rPr>
      </w:pPr>
      <w:r>
        <w:rPr>
          <w:rFonts w:hint="eastAsia"/>
          <w:color w:val="000000"/>
          <w:szCs w:val="24"/>
          <w:lang w:val="en-US" w:bidi="ar"/>
        </w:rPr>
        <w:t>本项目食堂属于</w:t>
      </w:r>
      <w:r>
        <w:rPr>
          <w:rFonts w:hint="eastAsia"/>
          <w:color w:val="000000"/>
          <w:szCs w:val="24"/>
          <w:lang w:val="en-US" w:eastAsia="zh-CN" w:bidi="ar"/>
        </w:rPr>
        <w:t>小</w:t>
      </w:r>
      <w:r>
        <w:rPr>
          <w:rFonts w:hint="eastAsia"/>
          <w:color w:val="000000"/>
          <w:szCs w:val="24"/>
          <w:lang w:val="en-US" w:bidi="ar"/>
        </w:rPr>
        <w:t>型单位，需采用经国家认可的单位检测合格的油烟净化设施（油烟净化效率≥9</w:t>
      </w:r>
      <w:r>
        <w:rPr>
          <w:rFonts w:hint="eastAsia"/>
          <w:color w:val="000000"/>
          <w:szCs w:val="24"/>
          <w:lang w:val="en-US" w:eastAsia="zh-CN" w:bidi="ar"/>
        </w:rPr>
        <w:t>0</w:t>
      </w:r>
      <w:r>
        <w:rPr>
          <w:color w:val="000000"/>
          <w:szCs w:val="24"/>
          <w:lang w:val="en-US" w:bidi="ar"/>
        </w:rPr>
        <w:t>%</w:t>
      </w:r>
      <w:r>
        <w:rPr>
          <w:rFonts w:hint="eastAsia"/>
          <w:color w:val="000000"/>
          <w:szCs w:val="24"/>
          <w:lang w:val="en-US" w:bidi="ar"/>
        </w:rPr>
        <w:t>）。经过净化处理后，</w:t>
      </w:r>
      <w:r>
        <w:rPr>
          <w:rFonts w:hint="eastAsia"/>
          <w:color w:val="000000"/>
          <w:szCs w:val="24"/>
          <w:lang w:val="en-US" w:eastAsia="zh-CN" w:bidi="ar"/>
        </w:rPr>
        <w:t>油烟经专用烟道排至屋顶排放。</w:t>
      </w:r>
    </w:p>
    <w:p>
      <w:pPr>
        <w:widowControl/>
        <w:spacing w:line="348" w:lineRule="auto"/>
        <w:ind w:firstLine="480"/>
        <w:rPr>
          <w:rFonts w:hint="eastAsia" w:ascii="Times New Roman" w:hAnsi="Times New Roman" w:eastAsia="宋体"/>
          <w:color w:val="000000"/>
          <w:szCs w:val="24"/>
          <w:u w:val="single"/>
          <w:lang w:val="en-US" w:eastAsia="zh-CN" w:bidi="ar"/>
        </w:rPr>
      </w:pPr>
      <w:r>
        <w:rPr>
          <w:rFonts w:hint="eastAsia" w:ascii="Times New Roman" w:hAnsi="Times New Roman" w:eastAsia="宋体"/>
          <w:color w:val="000000"/>
          <w:szCs w:val="24"/>
          <w:u w:val="single"/>
          <w:lang w:val="en-US" w:eastAsia="zh-CN" w:bidi="ar"/>
        </w:rPr>
        <w:t>（5）污水处理站废气</w:t>
      </w:r>
    </w:p>
    <w:p>
      <w:pPr>
        <w:widowControl/>
        <w:numPr>
          <w:ilvl w:val="0"/>
          <w:numId w:val="0"/>
        </w:numPr>
        <w:ind w:firstLine="480" w:firstLineChars="200"/>
        <w:rPr>
          <w:rFonts w:hint="default" w:ascii="Times New Roman" w:hAnsi="Times New Roman" w:eastAsia="宋体" w:cs="Times New Roman"/>
          <w:b w:val="0"/>
          <w:color w:val="auto"/>
          <w:kern w:val="2"/>
          <w:sz w:val="24"/>
          <w:szCs w:val="24"/>
          <w:u w:val="single"/>
          <w:lang w:val="en-US" w:eastAsia="zh-CN" w:bidi="ar-SA"/>
        </w:rPr>
      </w:pPr>
      <w:r>
        <w:rPr>
          <w:rFonts w:hint="eastAsia"/>
          <w:u w:val="single"/>
          <w:lang w:val="en-US" w:eastAsia="zh-CN"/>
        </w:rPr>
        <w:t>项目污水处理站废气采用“二级活性炭吸附”装置处理后最终通过</w:t>
      </w:r>
      <w:r>
        <w:rPr>
          <w:rFonts w:hint="default" w:ascii="Times New Roman" w:hAnsi="Times New Roman" w:eastAsia="宋体" w:cs="Times New Roman"/>
          <w:b w:val="0"/>
          <w:color w:val="auto"/>
          <w:kern w:val="2"/>
          <w:sz w:val="24"/>
          <w:szCs w:val="24"/>
          <w:u w:val="single"/>
          <w:lang w:val="en-US" w:eastAsia="zh-CN" w:bidi="ar-SA"/>
        </w:rPr>
        <w:t>15m高排气筒排放</w:t>
      </w:r>
      <w:r>
        <w:rPr>
          <w:rFonts w:hint="eastAsia" w:ascii="Times New Roman" w:hAnsi="Times New Roman" w:cs="Times New Roman"/>
          <w:b w:val="0"/>
          <w:color w:val="auto"/>
          <w:kern w:val="2"/>
          <w:sz w:val="24"/>
          <w:szCs w:val="24"/>
          <w:u w:val="single"/>
          <w:lang w:val="en-US" w:eastAsia="zh-CN" w:bidi="ar-SA"/>
        </w:rPr>
        <w:t>。</w:t>
      </w:r>
    </w:p>
    <w:p>
      <w:pPr>
        <w:widowControl/>
        <w:ind w:firstLine="480"/>
        <w:jc w:val="left"/>
      </w:pPr>
      <w:r>
        <w:rPr>
          <w:rFonts w:hint="eastAsia" w:ascii="宋体" w:hAnsi="宋体"/>
          <w:color w:val="000000"/>
          <w:szCs w:val="24"/>
          <w:lang w:val="en-US" w:bidi="ar"/>
        </w:rPr>
        <w:t>通过预测可知，本项目各废气源在采取上述环境保护措施后，各大气污染物最大落地浓度占标率均较小，对周边大气环境影响较小，不会降低当地的环境空气功能。</w:t>
      </w:r>
    </w:p>
    <w:p>
      <w:pPr>
        <w:pStyle w:val="4"/>
        <w:ind w:firstLine="602"/>
      </w:pPr>
      <w:bookmarkStart w:id="346" w:name="_Toc9895"/>
      <w:r>
        <w:rPr>
          <w:lang w:val="en-US"/>
        </w:rPr>
        <w:t>10.5.3 声环境保护措施</w:t>
      </w:r>
      <w:bookmarkEnd w:id="346"/>
    </w:p>
    <w:p>
      <w:pPr>
        <w:widowControl/>
        <w:ind w:firstLine="480"/>
      </w:pPr>
      <w:r>
        <w:rPr>
          <w:rFonts w:hint="eastAsia" w:ascii="宋体" w:hAnsi="宋体"/>
          <w:color w:val="000000"/>
          <w:szCs w:val="24"/>
          <w:lang w:val="en-US" w:bidi="ar"/>
        </w:rPr>
        <w:t>本项目通过合理布局、选用低噪设备，对高噪设备采取隔声、减振等措施，加强</w:t>
      </w:r>
      <w:r>
        <w:rPr>
          <w:rFonts w:hint="eastAsia" w:ascii="宋体" w:hAnsi="宋体"/>
          <w:color w:val="000000"/>
          <w:szCs w:val="24"/>
          <w:lang w:val="en-US" w:eastAsia="zh-CN" w:bidi="ar"/>
        </w:rPr>
        <w:t>厂区</w:t>
      </w:r>
      <w:r>
        <w:rPr>
          <w:rFonts w:hint="eastAsia" w:ascii="宋体" w:hAnsi="宋体"/>
          <w:color w:val="000000"/>
          <w:szCs w:val="24"/>
          <w:lang w:val="en-US" w:bidi="ar"/>
        </w:rPr>
        <w:t>周边绿化，在车辆进出的主要路口设置减速带，控制车辆行驶速度。通过采取上述措施，可确保厂界声环境达到相关标准要求。</w:t>
      </w:r>
    </w:p>
    <w:p>
      <w:pPr>
        <w:pStyle w:val="4"/>
        <w:ind w:firstLine="602"/>
      </w:pPr>
      <w:bookmarkStart w:id="347" w:name="_Toc18824"/>
      <w:r>
        <w:rPr>
          <w:lang w:val="en-US"/>
        </w:rPr>
        <w:t>10.5.4 固体废物处理处置措施</w:t>
      </w:r>
      <w:bookmarkEnd w:id="347"/>
    </w:p>
    <w:p>
      <w:pPr>
        <w:widowControl/>
        <w:ind w:firstLine="480"/>
        <w:rPr>
          <w:rFonts w:hint="eastAsia" w:ascii="宋体" w:hAnsi="宋体"/>
          <w:color w:val="000000"/>
          <w:szCs w:val="24"/>
          <w:lang w:val="en-US" w:bidi="ar"/>
        </w:rPr>
      </w:pPr>
      <w:r>
        <w:rPr>
          <w:rFonts w:hint="eastAsia" w:ascii="宋体" w:hAnsi="宋体"/>
          <w:color w:val="000000"/>
          <w:szCs w:val="24"/>
          <w:lang w:val="en-US" w:eastAsia="zh-CN" w:bidi="ar"/>
        </w:rPr>
        <w:t>一般固废</w:t>
      </w:r>
      <w:r>
        <w:rPr>
          <w:rFonts w:hint="eastAsia" w:ascii="宋体" w:hAnsi="宋体"/>
          <w:color w:val="000000"/>
          <w:szCs w:val="24"/>
          <w:lang w:val="en-US" w:bidi="ar"/>
        </w:rPr>
        <w:t>分拣废物运往当地垃圾填埋场进行处理</w:t>
      </w:r>
      <w:r>
        <w:rPr>
          <w:rFonts w:hint="eastAsia" w:ascii="宋体" w:hAnsi="宋体"/>
          <w:color w:val="000000"/>
          <w:szCs w:val="24"/>
          <w:lang w:val="en-US" w:eastAsia="zh-CN" w:bidi="ar"/>
        </w:rPr>
        <w:t>，废包装定期外售废品收购站，</w:t>
      </w:r>
      <w:r>
        <w:rPr>
          <w:rFonts w:hint="eastAsia" w:ascii="宋体" w:hAnsi="宋体"/>
          <w:color w:val="000000"/>
          <w:szCs w:val="24"/>
          <w:lang w:val="en-US" w:bidi="ar"/>
        </w:rPr>
        <w:t>清洗</w:t>
      </w:r>
      <w:r>
        <w:rPr>
          <w:rFonts w:hint="eastAsia" w:ascii="宋体" w:hAnsi="宋体"/>
          <w:color w:val="000000"/>
          <w:szCs w:val="24"/>
          <w:lang w:val="en-US" w:eastAsia="zh-CN" w:bidi="ar"/>
        </w:rPr>
        <w:t>污泥</w:t>
      </w:r>
      <w:r>
        <w:rPr>
          <w:rFonts w:hint="eastAsia" w:ascii="宋体" w:hAnsi="宋体"/>
          <w:color w:val="000000"/>
          <w:szCs w:val="24"/>
          <w:lang w:val="en-US" w:bidi="ar"/>
        </w:rPr>
        <w:t>废渣采用压滤机脱水后集中收集送至当地垃圾填埋场进行处置</w:t>
      </w:r>
      <w:r>
        <w:rPr>
          <w:rFonts w:hint="eastAsia" w:ascii="宋体" w:hAnsi="宋体"/>
          <w:color w:val="000000"/>
          <w:szCs w:val="24"/>
          <w:lang w:val="en-US" w:eastAsia="zh-CN" w:bidi="ar"/>
        </w:rPr>
        <w:t>，除尘器卸灰主要成分为塑料颗粒，定期外售。</w:t>
      </w:r>
      <w:r>
        <w:rPr>
          <w:rFonts w:hint="eastAsia" w:ascii="宋体" w:hAnsi="宋体"/>
          <w:color w:val="000000"/>
          <w:szCs w:val="24"/>
          <w:lang w:val="en-US" w:bidi="ar"/>
        </w:rPr>
        <w:t>废滤网</w:t>
      </w:r>
      <w:r>
        <w:rPr>
          <w:rFonts w:hint="eastAsia" w:ascii="宋体" w:hAnsi="宋体"/>
          <w:color w:val="000000"/>
          <w:szCs w:val="24"/>
          <w:lang w:val="en-US" w:eastAsia="zh-CN" w:bidi="ar"/>
        </w:rPr>
        <w:t>、废催化剂</w:t>
      </w:r>
      <w:r>
        <w:rPr>
          <w:rFonts w:hint="eastAsia" w:ascii="宋体" w:hAnsi="宋体"/>
          <w:color w:val="000000"/>
          <w:szCs w:val="24"/>
          <w:lang w:val="en-US" w:bidi="ar"/>
        </w:rPr>
        <w:t>暂存后交由原厂家回收</w:t>
      </w:r>
      <w:r>
        <w:rPr>
          <w:rFonts w:hint="eastAsia" w:ascii="宋体" w:hAnsi="宋体"/>
          <w:color w:val="000000"/>
          <w:szCs w:val="24"/>
          <w:lang w:val="en-US" w:eastAsia="zh-CN" w:bidi="ar"/>
        </w:rPr>
        <w:t>，</w:t>
      </w:r>
      <w:r>
        <w:rPr>
          <w:rFonts w:hint="eastAsia" w:ascii="宋体" w:hAnsi="宋体"/>
          <w:color w:val="000000"/>
          <w:szCs w:val="24"/>
          <w:lang w:val="en-US" w:bidi="ar"/>
        </w:rPr>
        <w:t>生活垃圾由环卫部门集中收集后统一处置。</w:t>
      </w:r>
    </w:p>
    <w:p>
      <w:pPr>
        <w:bidi w:val="0"/>
        <w:rPr>
          <w:rFonts w:hint="eastAsia"/>
          <w:u w:val="single"/>
          <w:lang w:val="en-US" w:eastAsia="zh-CN"/>
        </w:rPr>
      </w:pPr>
      <w:r>
        <w:rPr>
          <w:rFonts w:hint="eastAsia"/>
          <w:u w:val="single"/>
          <w:lang w:val="en-US" w:eastAsia="zh-CN"/>
        </w:rPr>
        <w:t>危险废物</w:t>
      </w:r>
      <w:r>
        <w:rPr>
          <w:rFonts w:hint="eastAsia"/>
          <w:u w:val="single"/>
          <w:lang w:val="en-US"/>
        </w:rPr>
        <w:t>废活性炭</w:t>
      </w:r>
      <w:r>
        <w:rPr>
          <w:rFonts w:hint="eastAsia"/>
          <w:u w:val="single"/>
          <w:lang w:val="en-US" w:eastAsia="zh-CN"/>
        </w:rPr>
        <w:t>、喷淋塔漂浮物及沉渣和废机油危废暂存间暂存后定期交有资质单位处理。</w:t>
      </w:r>
    </w:p>
    <w:p>
      <w:pPr>
        <w:widowControl/>
        <w:ind w:firstLine="480"/>
        <w:jc w:val="left"/>
      </w:pPr>
      <w:r>
        <w:rPr>
          <w:rFonts w:hint="eastAsia" w:ascii="宋体" w:hAnsi="宋体"/>
          <w:color w:val="000000"/>
          <w:szCs w:val="24"/>
          <w:lang w:val="en-US" w:bidi="ar"/>
        </w:rPr>
        <w:t>各固体废物均得到合理有效处置，零排放。</w:t>
      </w:r>
    </w:p>
    <w:p>
      <w:pPr>
        <w:bidi w:val="0"/>
        <w:rPr>
          <w:rFonts w:hint="eastAsia" w:ascii="Times New Roman" w:hAnsi="Times New Roman" w:eastAsia="宋体" w:cstheme="minorBidi"/>
          <w:kern w:val="2"/>
          <w:sz w:val="24"/>
          <w:szCs w:val="24"/>
          <w:lang w:val="en-US" w:eastAsia="zh-CN" w:bidi="ar-SA"/>
        </w:rPr>
      </w:pPr>
      <w:r>
        <w:rPr>
          <w:rFonts w:hint="eastAsia"/>
          <w:lang w:val="en-US" w:eastAsia="zh-CN"/>
        </w:rPr>
        <w:t>采取以上措施后满足</w:t>
      </w:r>
      <w:r>
        <w:rPr>
          <w:rFonts w:hint="eastAsia"/>
          <w:lang w:val="en-US"/>
        </w:rPr>
        <w:t>《废塑料回收与再生利用污染控制技术规范（试行）》（HJ/T364-2007）</w:t>
      </w:r>
      <w:r>
        <w:rPr>
          <w:rFonts w:hint="eastAsia"/>
          <w:lang w:val="en-US" w:eastAsia="zh-CN"/>
        </w:rPr>
        <w:t>、《一般工业固体废物贮存、处置场污染控制标准》（</w:t>
      </w:r>
      <w:r>
        <w:rPr>
          <w:rFonts w:hint="default"/>
          <w:lang w:val="en-US" w:eastAsia="zh-CN"/>
        </w:rPr>
        <w:t>GB18599-2</w:t>
      </w:r>
      <w:r>
        <w:rPr>
          <w:rFonts w:hint="eastAsia"/>
          <w:lang w:val="en-US" w:eastAsia="zh-CN"/>
        </w:rPr>
        <w:t>020）、危险废物执行《危险废物贮存污染控制标准》（</w:t>
      </w:r>
      <w:r>
        <w:rPr>
          <w:rFonts w:hint="default"/>
          <w:lang w:val="en-US" w:eastAsia="zh-CN"/>
        </w:rPr>
        <w:t>GB18597-2001</w:t>
      </w:r>
      <w:r>
        <w:rPr>
          <w:rFonts w:hint="eastAsia"/>
          <w:lang w:val="en-US" w:eastAsia="zh-CN"/>
        </w:rPr>
        <w:t>）及其修改单规定。</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48" w:name="_Toc31829"/>
      <w:bookmarkStart w:id="349" w:name="_Toc27830"/>
      <w:bookmarkStart w:id="350" w:name="_Toc5381"/>
      <w:bookmarkStart w:id="351" w:name="_Toc5307"/>
      <w:r>
        <w:rPr>
          <w:rFonts w:ascii="Times New Roman" w:hAnsi="Times New Roman" w:eastAsia="宋体" w:cs="宋体"/>
          <w:lang w:val="en-US"/>
        </w:rPr>
        <w:t>10.6 环境风险可接受</w:t>
      </w:r>
      <w:bookmarkEnd w:id="348"/>
      <w:bookmarkEnd w:id="349"/>
      <w:bookmarkEnd w:id="350"/>
      <w:bookmarkEnd w:id="351"/>
    </w:p>
    <w:p>
      <w:pPr>
        <w:ind w:firstLine="480"/>
      </w:pPr>
      <w:r>
        <w:rPr>
          <w:rFonts w:hint="eastAsia"/>
          <w:lang w:val="en-US"/>
        </w:rPr>
        <w:t>本项目通过加强风险管理，制定合理、切实可行的应急防范措施，可以</w:t>
      </w:r>
      <w:r>
        <w:rPr>
          <w:rFonts w:hint="eastAsia"/>
          <w:lang w:val="en-US" w:eastAsia="zh-CN"/>
        </w:rPr>
        <w:t>有效地防范</w:t>
      </w:r>
      <w:r>
        <w:rPr>
          <w:rFonts w:hint="eastAsia"/>
          <w:lang w:val="en-US"/>
        </w:rPr>
        <w:t>风险事故的发生，结合</w:t>
      </w:r>
      <w:r>
        <w:rPr>
          <w:rFonts w:hint="eastAsia"/>
          <w:lang w:val="en-US" w:eastAsia="zh-CN"/>
        </w:rPr>
        <w:t>企业</w:t>
      </w:r>
      <w:r>
        <w:rPr>
          <w:rFonts w:hint="eastAsia"/>
          <w:lang w:val="en-US"/>
        </w:rPr>
        <w:t>在运营期间不断完善的风险防范措施，发生环境风险可控制在较低的水平，环境风险可接受。</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52" w:name="_Toc12879"/>
      <w:bookmarkStart w:id="353" w:name="_Toc22419"/>
      <w:bookmarkStart w:id="354" w:name="_Toc4399"/>
      <w:bookmarkStart w:id="355" w:name="_Toc6796"/>
      <w:r>
        <w:rPr>
          <w:rFonts w:ascii="Times New Roman" w:hAnsi="Times New Roman" w:eastAsia="宋体" w:cs="宋体"/>
          <w:lang w:val="en-US"/>
        </w:rPr>
        <w:t>10.7 环境经济损益分析</w:t>
      </w:r>
      <w:bookmarkEnd w:id="352"/>
      <w:bookmarkEnd w:id="353"/>
      <w:bookmarkEnd w:id="354"/>
      <w:bookmarkEnd w:id="355"/>
    </w:p>
    <w:p>
      <w:pPr>
        <w:widowControl/>
        <w:ind w:firstLine="480"/>
        <w:jc w:val="left"/>
      </w:pPr>
      <w:r>
        <w:rPr>
          <w:rFonts w:hint="eastAsia" w:ascii="宋体" w:hAnsi="宋体"/>
          <w:color w:val="000000"/>
          <w:szCs w:val="24"/>
          <w:lang w:val="en-US" w:bidi="ar"/>
        </w:rPr>
        <w:t>本项目建成投入使用后，将产生大气污染物、噪声和固体废物等环境影响因素，在保证前述环保投资的前提下，严格采取各种废气、噪声、固体废物污染防治措施，确保各种污染物均能达标排放。尽管本工程采取了各项环保措施，但仍然会排放一定的污染物，因此，建设单位应在建设完善污染防治措施的基础上，加强生产管理和日常环境监测工作，保证各项环保设施安全有效运行，使生产对环境产生的不良影响降到最低程度。</w:t>
      </w:r>
    </w:p>
    <w:p>
      <w:pPr>
        <w:widowControl/>
        <w:ind w:firstLine="480"/>
        <w:jc w:val="left"/>
      </w:pPr>
      <w:r>
        <w:rPr>
          <w:rFonts w:hint="eastAsia" w:ascii="宋体" w:hAnsi="宋体"/>
          <w:color w:val="000000"/>
          <w:szCs w:val="24"/>
          <w:lang w:val="en-US" w:bidi="ar"/>
        </w:rPr>
        <w:t>总体来说，本工程环境影响导致的环境损失远小于拟建项目带来的经济效益和社会效益，拟建项目的建设将带来可观的经济效益、广泛的社会效益，在环境保护方面也是可以接受的。</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56" w:name="_Toc820"/>
      <w:bookmarkStart w:id="357" w:name="_Toc13825"/>
      <w:bookmarkStart w:id="358" w:name="_Toc23237"/>
      <w:bookmarkStart w:id="359" w:name="_Toc22220"/>
      <w:r>
        <w:rPr>
          <w:rFonts w:ascii="Times New Roman" w:hAnsi="Times New Roman" w:eastAsia="宋体" w:cs="宋体"/>
          <w:lang w:val="en-US"/>
        </w:rPr>
        <w:t xml:space="preserve">10.8 </w:t>
      </w:r>
      <w:r>
        <w:rPr>
          <w:rFonts w:hint="eastAsia" w:ascii="Times New Roman" w:hAnsi="Times New Roman" w:eastAsia="宋体" w:cs="宋体"/>
          <w:lang w:val="en-US"/>
        </w:rPr>
        <w:t>环境管理与监测计划</w:t>
      </w:r>
      <w:bookmarkEnd w:id="356"/>
      <w:bookmarkEnd w:id="357"/>
      <w:bookmarkEnd w:id="358"/>
      <w:bookmarkEnd w:id="359"/>
    </w:p>
    <w:p>
      <w:pPr>
        <w:ind w:firstLine="480"/>
      </w:pPr>
      <w:r>
        <w:rPr>
          <w:rFonts w:hint="eastAsia"/>
          <w:lang w:val="en-US"/>
        </w:rPr>
        <w:t>本项目在运营期将对周围环境产生一定的影响，因此建设单位应在加强环境管理的同时，定期进行环境监测，以便及时了解项目排放的污染物对环境造成的影响情况，并及时采取相应措施，消除不利因素，减轻环境污染，使各项环保措施落到实处，以达到预定的各项环保目标。</w:t>
      </w:r>
    </w:p>
    <w:p>
      <w:pPr>
        <w:pStyle w:val="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eastAsia="宋体" w:cs="宋体"/>
          <w:lang w:val="en-US"/>
        </w:rPr>
      </w:pPr>
      <w:bookmarkStart w:id="360" w:name="_Toc24121"/>
      <w:bookmarkStart w:id="361" w:name="_Toc3219"/>
      <w:bookmarkStart w:id="362" w:name="_Toc11763"/>
      <w:bookmarkStart w:id="363" w:name="_Toc23709"/>
      <w:r>
        <w:rPr>
          <w:rFonts w:ascii="Times New Roman" w:hAnsi="Times New Roman" w:eastAsia="宋体" w:cs="宋体"/>
          <w:lang w:val="en-US"/>
        </w:rPr>
        <w:t>10.9 公众意见采纳情况</w:t>
      </w:r>
      <w:bookmarkEnd w:id="360"/>
      <w:bookmarkEnd w:id="361"/>
      <w:bookmarkEnd w:id="362"/>
      <w:bookmarkEnd w:id="363"/>
    </w:p>
    <w:p>
      <w:pPr>
        <w:widowControl/>
        <w:ind w:firstLine="48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szCs w:val="24"/>
          <w:u w:val="single"/>
          <w:lang w:val="en-US" w:bidi="ar"/>
          <w14:textFill>
            <w14:solidFill>
              <w14:schemeClr w14:val="tx1"/>
            </w14:solidFill>
          </w14:textFill>
        </w:rPr>
        <w:t>根据《环境影响评价公众参与办法》（生态环境部令部令第4号）</w:t>
      </w:r>
      <w:r>
        <w:rPr>
          <w:rFonts w:hint="default" w:ascii="Times New Roman" w:hAnsi="Times New Roman" w:cs="Times New Roman"/>
          <w:color w:val="000000" w:themeColor="text1"/>
          <w:szCs w:val="24"/>
          <w:u w:val="single"/>
          <w:lang w:val="en-US" w:eastAsia="zh-CN" w:bidi="ar"/>
          <w14:textFill>
            <w14:solidFill>
              <w14:schemeClr w14:val="tx1"/>
            </w14:solidFill>
          </w14:textFill>
        </w:rPr>
        <w:t>“</w:t>
      </w:r>
      <w:r>
        <w:rPr>
          <w:rFonts w:hint="default" w:ascii="Times New Roman" w:hAnsi="Times New Roman" w:cs="Times New Roman"/>
          <w:color w:val="000000" w:themeColor="text1"/>
          <w:szCs w:val="24"/>
          <w:u w:val="single"/>
          <w:lang w:val="en-US" w:bidi="ar"/>
          <w14:textFill>
            <w14:solidFill>
              <w14:schemeClr w14:val="tx1"/>
            </w14:solidFill>
          </w14:textFill>
        </w:rPr>
        <w:t>第二条依法应当编制环境影响报告书的建设项目应开展的环境影响评价公众参与</w:t>
      </w:r>
      <w:r>
        <w:rPr>
          <w:rFonts w:hint="default" w:ascii="Times New Roman" w:hAnsi="Times New Roman" w:cs="Times New Roman"/>
          <w:color w:val="000000" w:themeColor="text1"/>
          <w:szCs w:val="24"/>
          <w:u w:val="single"/>
          <w:lang w:val="en-US" w:eastAsia="zh-CN" w:bidi="ar"/>
          <w14:textFill>
            <w14:solidFill>
              <w14:schemeClr w14:val="tx1"/>
            </w14:solidFill>
          </w14:textFill>
        </w:rPr>
        <w:t>”</w:t>
      </w:r>
      <w:r>
        <w:rPr>
          <w:rFonts w:hint="default" w:ascii="Times New Roman" w:hAnsi="Times New Roman" w:cs="Times New Roman"/>
          <w:color w:val="000000" w:themeColor="text1"/>
          <w:szCs w:val="24"/>
          <w:u w:val="single"/>
          <w:lang w:val="en-US" w:bidi="ar"/>
          <w14:textFill>
            <w14:solidFill>
              <w14:schemeClr w14:val="tx1"/>
            </w14:solidFill>
          </w14:textFill>
        </w:rPr>
        <w:t>。环评期间，建设单位严格按照要求开展公众参与工作，采取了两次网络公示、登报刊公示及现场张贴公示等形式，具体情况如下：建设单位2021年0</w:t>
      </w:r>
      <w:r>
        <w:rPr>
          <w:rFonts w:hint="default" w:ascii="Times New Roman" w:hAnsi="Times New Roman" w:cs="Times New Roman"/>
          <w:color w:val="000000" w:themeColor="text1"/>
          <w:szCs w:val="24"/>
          <w:u w:val="single"/>
          <w:lang w:val="en-US" w:eastAsia="zh-CN" w:bidi="ar"/>
          <w14:textFill>
            <w14:solidFill>
              <w14:schemeClr w14:val="tx1"/>
            </w14:solidFill>
          </w14:textFill>
        </w:rPr>
        <w:t>7</w:t>
      </w:r>
      <w:r>
        <w:rPr>
          <w:rFonts w:hint="default" w:ascii="Times New Roman" w:hAnsi="Times New Roman" w:cs="Times New Roman"/>
          <w:color w:val="000000" w:themeColor="text1"/>
          <w:szCs w:val="24"/>
          <w:u w:val="single"/>
          <w:lang w:val="en-US" w:bidi="ar"/>
          <w14:textFill>
            <w14:solidFill>
              <w14:schemeClr w14:val="tx1"/>
            </w14:solidFill>
          </w14:textFill>
        </w:rPr>
        <w:t>月</w:t>
      </w:r>
      <w:r>
        <w:rPr>
          <w:rFonts w:hint="default" w:ascii="Times New Roman" w:hAnsi="Times New Roman" w:cs="Times New Roman"/>
          <w:color w:val="000000" w:themeColor="text1"/>
          <w:szCs w:val="24"/>
          <w:u w:val="single"/>
          <w:lang w:val="en-US" w:eastAsia="zh-CN" w:bidi="ar"/>
          <w14:textFill>
            <w14:solidFill>
              <w14:schemeClr w14:val="tx1"/>
            </w14:solidFill>
          </w14:textFill>
        </w:rPr>
        <w:t>16</w:t>
      </w:r>
      <w:r>
        <w:rPr>
          <w:rFonts w:hint="default" w:ascii="Times New Roman" w:hAnsi="Times New Roman" w:cs="Times New Roman"/>
          <w:color w:val="000000" w:themeColor="text1"/>
          <w:szCs w:val="24"/>
          <w:u w:val="single"/>
          <w:lang w:val="en-US" w:bidi="ar"/>
          <w14:textFill>
            <w14:solidFill>
              <w14:schemeClr w14:val="tx1"/>
            </w14:solidFill>
          </w14:textFill>
        </w:rPr>
        <w:t>日在环保学社论坛网站上进行了第一次网上公示（10个工作日）；2021年</w:t>
      </w:r>
      <w:r>
        <w:rPr>
          <w:rFonts w:hint="default" w:ascii="Times New Roman" w:hAnsi="Times New Roman" w:cs="Times New Roman"/>
          <w:color w:val="000000" w:themeColor="text1"/>
          <w:szCs w:val="24"/>
          <w:u w:val="single"/>
          <w:lang w:val="en-US" w:eastAsia="zh-CN" w:bidi="ar"/>
          <w14:textFill>
            <w14:solidFill>
              <w14:schemeClr w14:val="tx1"/>
            </w14:solidFill>
          </w14:textFill>
        </w:rPr>
        <w:t>11</w:t>
      </w:r>
      <w:r>
        <w:rPr>
          <w:rFonts w:hint="default" w:ascii="Times New Roman" w:hAnsi="Times New Roman" w:cs="Times New Roman"/>
          <w:color w:val="000000" w:themeColor="text1"/>
          <w:szCs w:val="24"/>
          <w:u w:val="single"/>
          <w:lang w:val="en-US" w:bidi="ar"/>
          <w14:textFill>
            <w14:solidFill>
              <w14:schemeClr w14:val="tx1"/>
            </w14:solidFill>
          </w14:textFill>
        </w:rPr>
        <w:t>月1</w:t>
      </w:r>
      <w:r>
        <w:rPr>
          <w:rFonts w:hint="default" w:ascii="Times New Roman" w:hAnsi="Times New Roman" w:cs="Times New Roman"/>
          <w:color w:val="000000" w:themeColor="text1"/>
          <w:szCs w:val="24"/>
          <w:u w:val="single"/>
          <w:lang w:val="en-US" w:eastAsia="zh-CN" w:bidi="ar"/>
          <w14:textFill>
            <w14:solidFill>
              <w14:schemeClr w14:val="tx1"/>
            </w14:solidFill>
          </w14:textFill>
        </w:rPr>
        <w:t>7</w:t>
      </w:r>
      <w:r>
        <w:rPr>
          <w:rFonts w:hint="default" w:ascii="Times New Roman" w:hAnsi="Times New Roman" w:cs="Times New Roman"/>
          <w:color w:val="000000" w:themeColor="text1"/>
          <w:szCs w:val="24"/>
          <w:u w:val="single"/>
          <w:lang w:val="en-US" w:bidi="ar"/>
          <w14:textFill>
            <w14:solidFill>
              <w14:schemeClr w14:val="tx1"/>
            </w14:solidFill>
          </w14:textFill>
        </w:rPr>
        <w:t>日在环保学社论坛网站上进行了第二次网上公示（10个工作日），公示期间同时进行了张贴公告公示。</w:t>
      </w:r>
    </w:p>
    <w:p>
      <w:pPr>
        <w:widowControl/>
        <w:ind w:firstLine="480"/>
        <w:rPr>
          <w:color w:val="000000" w:themeColor="text1"/>
          <w:u w:val="single"/>
          <w14:textFill>
            <w14:solidFill>
              <w14:schemeClr w14:val="tx1"/>
            </w14:solidFill>
          </w14:textFill>
        </w:rPr>
      </w:pPr>
      <w:r>
        <w:rPr>
          <w:rFonts w:hint="eastAsia" w:ascii="宋体" w:hAnsi="宋体"/>
          <w:color w:val="000000" w:themeColor="text1"/>
          <w:szCs w:val="24"/>
          <w:u w:val="single"/>
          <w:lang w:val="en-US" w:bidi="ar"/>
          <w14:textFill>
            <w14:solidFill>
              <w14:schemeClr w14:val="tx1"/>
            </w14:solidFill>
          </w14:textFill>
        </w:rPr>
        <w:t>本项目同时在项目周边</w:t>
      </w:r>
      <w:r>
        <w:rPr>
          <w:rFonts w:hint="eastAsia" w:ascii="宋体" w:hAnsi="宋体"/>
          <w:color w:val="000000" w:themeColor="text1"/>
          <w:szCs w:val="24"/>
          <w:u w:val="single"/>
          <w:lang w:val="en-US" w:eastAsia="zh-CN" w:bidi="ar"/>
          <w14:textFill>
            <w14:solidFill>
              <w14:schemeClr w14:val="tx1"/>
            </w14:solidFill>
          </w14:textFill>
        </w:rPr>
        <w:t>村庄</w:t>
      </w:r>
      <w:r>
        <w:rPr>
          <w:rFonts w:hint="eastAsia" w:ascii="宋体" w:hAnsi="宋体"/>
          <w:color w:val="000000" w:themeColor="text1"/>
          <w:szCs w:val="24"/>
          <w:u w:val="single"/>
          <w:lang w:val="en-US" w:bidi="ar"/>
          <w14:textFill>
            <w14:solidFill>
              <w14:schemeClr w14:val="tx1"/>
            </w14:solidFill>
          </w14:textFill>
        </w:rPr>
        <w:t>等环境敏感点共计</w:t>
      </w:r>
      <w:r>
        <w:rPr>
          <w:rFonts w:hint="default" w:ascii="Times New Roman" w:hAnsi="Times New Roman" w:cs="Times New Roman"/>
          <w:color w:val="000000" w:themeColor="text1"/>
          <w:szCs w:val="24"/>
          <w:u w:val="single"/>
          <w:lang w:val="en-US" w:bidi="ar"/>
          <w14:textFill>
            <w14:solidFill>
              <w14:schemeClr w14:val="tx1"/>
            </w14:solidFill>
          </w14:textFill>
        </w:rPr>
        <w:t>5</w:t>
      </w:r>
      <w:r>
        <w:rPr>
          <w:rFonts w:hint="eastAsia" w:ascii="宋体" w:hAnsi="宋体"/>
          <w:color w:val="000000" w:themeColor="text1"/>
          <w:szCs w:val="24"/>
          <w:u w:val="single"/>
          <w:lang w:val="en-US" w:bidi="ar"/>
          <w14:textFill>
            <w14:solidFill>
              <w14:schemeClr w14:val="tx1"/>
            </w14:solidFill>
          </w14:textFill>
        </w:rPr>
        <w:t>处张贴了公告公示，公告注明了建设项目基本信息、可能存在的环境影响、拟采取的污染防治措施及效果、公示期限、反映意见联系方式等内容。</w:t>
      </w:r>
    </w:p>
    <w:p>
      <w:pPr>
        <w:widowControl/>
        <w:ind w:firstLine="480"/>
        <w:rPr>
          <w:color w:val="000000" w:themeColor="text1"/>
          <w:u w:val="single"/>
          <w14:textFill>
            <w14:solidFill>
              <w14:schemeClr w14:val="tx1"/>
            </w14:solidFill>
          </w14:textFill>
        </w:rPr>
      </w:pPr>
      <w:r>
        <w:rPr>
          <w:rFonts w:hint="eastAsia" w:ascii="宋体" w:hAnsi="宋体"/>
          <w:color w:val="000000" w:themeColor="text1"/>
          <w:szCs w:val="24"/>
          <w:u w:val="single"/>
          <w:lang w:val="en-US" w:bidi="ar"/>
          <w14:textFill>
            <w14:solidFill>
              <w14:schemeClr w14:val="tx1"/>
            </w14:solidFill>
          </w14:textFill>
        </w:rPr>
        <w:t>本项目经过了首次网络公示、征求意见稿公示、</w:t>
      </w:r>
      <w:r>
        <w:rPr>
          <w:rFonts w:hint="eastAsia" w:cs="Times New Roman"/>
          <w:color w:val="000000" w:themeColor="text1"/>
          <w:szCs w:val="24"/>
          <w:u w:val="single"/>
          <w:lang w:val="en-US" w:eastAsia="zh-CN" w:bidi="ar"/>
          <w14:textFill>
            <w14:solidFill>
              <w14:schemeClr w14:val="tx1"/>
            </w14:solidFill>
          </w14:textFill>
        </w:rPr>
        <w:t>1</w:t>
      </w:r>
      <w:r>
        <w:rPr>
          <w:rFonts w:hint="eastAsia" w:ascii="宋体" w:hAnsi="宋体"/>
          <w:color w:val="000000" w:themeColor="text1"/>
          <w:szCs w:val="24"/>
          <w:u w:val="single"/>
          <w:lang w:val="en-US" w:bidi="ar"/>
          <w14:textFill>
            <w14:solidFill>
              <w14:schemeClr w14:val="tx1"/>
            </w14:solidFill>
          </w14:textFill>
        </w:rPr>
        <w:t>次报纸公示、张贴公告等，其公示方式、公示内容、公示时间等符合《环境影响评价公众参与管理办法》（生态环境部令第</w:t>
      </w:r>
      <w:r>
        <w:rPr>
          <w:rFonts w:cs="Times New Roman"/>
          <w:color w:val="000000" w:themeColor="text1"/>
          <w:szCs w:val="24"/>
          <w:u w:val="single"/>
          <w:lang w:val="en-US" w:bidi="ar"/>
          <w14:textFill>
            <w14:solidFill>
              <w14:schemeClr w14:val="tx1"/>
            </w14:solidFill>
          </w14:textFill>
        </w:rPr>
        <w:t>4</w:t>
      </w:r>
      <w:r>
        <w:rPr>
          <w:rFonts w:hint="eastAsia" w:ascii="宋体" w:hAnsi="宋体"/>
          <w:color w:val="000000" w:themeColor="text1"/>
          <w:szCs w:val="24"/>
          <w:u w:val="single"/>
          <w:lang w:val="en-US" w:bidi="ar"/>
          <w14:textFill>
            <w14:solidFill>
              <w14:schemeClr w14:val="tx1"/>
            </w14:solidFill>
          </w14:textFill>
        </w:rPr>
        <w:t>号）相关要求。公示期间未收到电话来访。本次评价在报告中进一步强化了施工期环境管理、环保措施落实以及信息公开等方面要求。建设单位表示在本项目施工期及运营期将严格遵守相关环保法规，重视环境保护，加强</w:t>
      </w:r>
      <w:r>
        <w:rPr>
          <w:rFonts w:hint="eastAsia" w:ascii="宋体" w:hAnsi="宋体"/>
          <w:color w:val="000000" w:themeColor="text1"/>
          <w:szCs w:val="24"/>
          <w:u w:val="single"/>
          <w:lang w:val="en-US" w:eastAsia="zh-CN" w:bidi="ar"/>
          <w14:textFill>
            <w14:solidFill>
              <w14:schemeClr w14:val="tx1"/>
            </w14:solidFill>
          </w14:textFill>
        </w:rPr>
        <w:t>“</w:t>
      </w:r>
      <w:r>
        <w:rPr>
          <w:rFonts w:hint="eastAsia" w:ascii="宋体" w:hAnsi="宋体"/>
          <w:color w:val="000000" w:themeColor="text1"/>
          <w:szCs w:val="24"/>
          <w:u w:val="single"/>
          <w:lang w:val="en-US" w:bidi="ar"/>
          <w14:textFill>
            <w14:solidFill>
              <w14:schemeClr w14:val="tx1"/>
            </w14:solidFill>
          </w14:textFill>
        </w:rPr>
        <w:t>三废</w:t>
      </w:r>
      <w:r>
        <w:rPr>
          <w:rFonts w:hint="eastAsia" w:ascii="宋体" w:hAnsi="宋体"/>
          <w:color w:val="000000" w:themeColor="text1"/>
          <w:szCs w:val="24"/>
          <w:u w:val="single"/>
          <w:lang w:val="en-US" w:eastAsia="zh-CN" w:bidi="ar"/>
          <w14:textFill>
            <w14:solidFill>
              <w14:schemeClr w14:val="tx1"/>
            </w14:solidFill>
          </w14:textFill>
        </w:rPr>
        <w:t>”</w:t>
      </w:r>
      <w:r>
        <w:rPr>
          <w:rFonts w:hint="eastAsia" w:ascii="宋体" w:hAnsi="宋体"/>
          <w:color w:val="000000" w:themeColor="text1"/>
          <w:szCs w:val="24"/>
          <w:u w:val="single"/>
          <w:lang w:val="en-US" w:bidi="ar"/>
          <w14:textFill>
            <w14:solidFill>
              <w14:schemeClr w14:val="tx1"/>
            </w14:solidFill>
          </w14:textFill>
        </w:rPr>
        <w:t>治理，切实落实各项环境保护措施，达标排放，确保对周围环境不造成污染影响。</w:t>
      </w:r>
    </w:p>
    <w:p>
      <w:pPr>
        <w:pStyle w:val="3"/>
        <w:ind w:firstLine="721"/>
      </w:pPr>
      <w:bookmarkStart w:id="364" w:name="_Toc12669"/>
      <w:bookmarkStart w:id="365" w:name="_Toc1660"/>
      <w:bookmarkStart w:id="366" w:name="_Toc9734"/>
      <w:bookmarkStart w:id="367" w:name="_Toc28778"/>
      <w:r>
        <w:rPr>
          <w:lang w:val="en-US"/>
        </w:rPr>
        <w:t>10.10 总结论</w:t>
      </w:r>
      <w:bookmarkEnd w:id="364"/>
      <w:bookmarkEnd w:id="365"/>
      <w:bookmarkEnd w:id="366"/>
      <w:bookmarkEnd w:id="367"/>
    </w:p>
    <w:p>
      <w:pPr>
        <w:widowControl/>
        <w:ind w:firstLine="480"/>
        <w:rPr>
          <w:u w:val="none"/>
        </w:rPr>
      </w:pPr>
      <w:r>
        <w:rPr>
          <w:rFonts w:hint="eastAsia" w:ascii="宋体" w:hAnsi="宋体"/>
          <w:color w:val="000000"/>
          <w:szCs w:val="24"/>
          <w:u w:val="none"/>
          <w:lang w:val="en-US" w:eastAsia="zh-CN" w:bidi="ar"/>
        </w:rPr>
        <w:t>叶县景喻再生资源回收有限公司</w:t>
      </w:r>
      <w:r>
        <w:rPr>
          <w:rFonts w:hint="eastAsia" w:ascii="宋体" w:hAnsi="宋体"/>
          <w:color w:val="000000" w:themeColor="text1"/>
          <w:szCs w:val="24"/>
          <w:u w:val="none"/>
          <w:lang w:val="en-US" w:eastAsia="zh-CN" w:bidi="ar"/>
          <w14:textFill>
            <w14:solidFill>
              <w14:schemeClr w14:val="tx1"/>
            </w14:solidFill>
          </w14:textFill>
        </w:rPr>
        <w:t>年处置</w:t>
      </w:r>
      <w:r>
        <w:rPr>
          <w:rFonts w:hint="default" w:ascii="Times New Roman" w:hAnsi="Times New Roman" w:cs="Times New Roman"/>
          <w:color w:val="000000" w:themeColor="text1"/>
          <w:szCs w:val="24"/>
          <w:u w:val="none"/>
          <w:lang w:val="en-US" w:eastAsia="zh-CN" w:bidi="ar"/>
          <w14:textFill>
            <w14:solidFill>
              <w14:schemeClr w14:val="tx1"/>
            </w14:solidFill>
          </w14:textFill>
        </w:rPr>
        <w:t>6000</w:t>
      </w:r>
      <w:r>
        <w:rPr>
          <w:rFonts w:hint="eastAsia" w:ascii="宋体" w:hAnsi="宋体"/>
          <w:color w:val="000000" w:themeColor="text1"/>
          <w:szCs w:val="24"/>
          <w:u w:val="none"/>
          <w:lang w:val="en-US" w:eastAsia="zh-CN" w:bidi="ar"/>
          <w14:textFill>
            <w14:solidFill>
              <w14:schemeClr w14:val="tx1"/>
            </w14:solidFill>
          </w14:textFill>
        </w:rPr>
        <w:t>吨废旧塑料再生资源综合利用项目</w:t>
      </w:r>
      <w:r>
        <w:rPr>
          <w:rFonts w:hint="eastAsia" w:ascii="宋体" w:hAnsi="宋体"/>
          <w:color w:val="000000" w:themeColor="text1"/>
          <w:szCs w:val="24"/>
          <w:u w:val="none"/>
          <w:lang w:val="en-US" w:bidi="ar"/>
          <w14:textFill>
            <w14:solidFill>
              <w14:schemeClr w14:val="tx1"/>
            </w14:solidFill>
          </w14:textFill>
        </w:rPr>
        <w:t>符合国家和地方产业政策，选址符合区域规划；采取的污染治理措施技术经济可行，</w:t>
      </w:r>
      <w:r>
        <w:rPr>
          <w:rFonts w:hint="eastAsia" w:ascii="宋体" w:hAnsi="宋体"/>
          <w:color w:val="000000"/>
          <w:szCs w:val="24"/>
          <w:u w:val="none"/>
          <w:lang w:val="en-US" w:bidi="ar"/>
        </w:rPr>
        <w:t>可确保污染物稳定达标排放，对周边环境影响较小，可维持环境质量现状；具有一定的经济效益、社会效益和环境效益；公众参与期间未收到电话来访，建设单位表示在本项目施工期及运营期将严格遵守相关环保法规，重视环境保护，加强</w:t>
      </w:r>
      <w:r>
        <w:rPr>
          <w:rFonts w:hint="eastAsia" w:ascii="宋体" w:hAnsi="宋体"/>
          <w:color w:val="000000"/>
          <w:szCs w:val="24"/>
          <w:u w:val="none"/>
          <w:lang w:val="en-US" w:eastAsia="zh-CN" w:bidi="ar"/>
        </w:rPr>
        <w:t>“</w:t>
      </w:r>
      <w:r>
        <w:rPr>
          <w:rFonts w:hint="eastAsia" w:ascii="宋体" w:hAnsi="宋体"/>
          <w:color w:val="000000"/>
          <w:szCs w:val="24"/>
          <w:u w:val="none"/>
          <w:lang w:val="en-US" w:bidi="ar"/>
        </w:rPr>
        <w:t>三废</w:t>
      </w:r>
      <w:r>
        <w:rPr>
          <w:rFonts w:hint="eastAsia" w:ascii="宋体" w:hAnsi="宋体"/>
          <w:color w:val="000000"/>
          <w:szCs w:val="24"/>
          <w:u w:val="none"/>
          <w:lang w:val="en-US" w:eastAsia="zh-CN" w:bidi="ar"/>
        </w:rPr>
        <w:t>”</w:t>
      </w:r>
      <w:r>
        <w:rPr>
          <w:rFonts w:hint="eastAsia" w:ascii="宋体" w:hAnsi="宋体"/>
          <w:color w:val="000000"/>
          <w:szCs w:val="24"/>
          <w:u w:val="none"/>
          <w:lang w:val="en-US" w:bidi="ar"/>
        </w:rPr>
        <w:t>治理，切实落实各项环境保护措施，达标排放。因此，建设单位在严格落实本环评报告提出的各项环境保护措施，严格执行</w:t>
      </w:r>
      <w:r>
        <w:rPr>
          <w:rFonts w:hint="eastAsia" w:cs="Times New Roman"/>
          <w:color w:val="000000"/>
          <w:szCs w:val="24"/>
          <w:u w:val="none"/>
          <w:lang w:val="en-US" w:eastAsia="zh-CN" w:bidi="ar"/>
        </w:rPr>
        <w:t>“</w:t>
      </w:r>
      <w:r>
        <w:rPr>
          <w:rFonts w:hint="eastAsia" w:ascii="宋体" w:hAnsi="宋体"/>
          <w:color w:val="000000"/>
          <w:szCs w:val="24"/>
          <w:u w:val="none"/>
          <w:lang w:val="en-US" w:bidi="ar"/>
        </w:rPr>
        <w:t>三同时</w:t>
      </w:r>
      <w:r>
        <w:rPr>
          <w:rFonts w:hint="eastAsia" w:cs="Times New Roman"/>
          <w:color w:val="000000"/>
          <w:szCs w:val="24"/>
          <w:u w:val="none"/>
          <w:lang w:val="en-US" w:eastAsia="zh-CN" w:bidi="ar"/>
        </w:rPr>
        <w:t>”</w:t>
      </w:r>
      <w:r>
        <w:rPr>
          <w:rFonts w:hint="eastAsia" w:ascii="宋体" w:hAnsi="宋体"/>
          <w:color w:val="000000"/>
          <w:szCs w:val="24"/>
          <w:u w:val="none"/>
          <w:lang w:val="en-US" w:bidi="ar"/>
        </w:rPr>
        <w:t>及各级环保主管部门管理要求的前提下，从环保角度分析，本项目建设具有环境可行性。</w:t>
      </w:r>
    </w:p>
    <w:p>
      <w:pPr>
        <w:pStyle w:val="3"/>
        <w:ind w:firstLine="721"/>
        <w:rPr>
          <w:lang w:val="en-US"/>
        </w:rPr>
      </w:pPr>
      <w:bookmarkStart w:id="368" w:name="_Toc25194"/>
      <w:bookmarkStart w:id="369" w:name="_Toc26195"/>
      <w:bookmarkStart w:id="370" w:name="_Toc9388"/>
      <w:bookmarkStart w:id="371" w:name="_Toc1654"/>
      <w:r>
        <w:rPr>
          <w:lang w:val="en-US"/>
        </w:rPr>
        <w:t xml:space="preserve">10.11 </w:t>
      </w:r>
      <w:r>
        <w:rPr>
          <w:rFonts w:hint="eastAsia"/>
          <w:lang w:val="en-US"/>
        </w:rPr>
        <w:t>建议</w:t>
      </w:r>
      <w:bookmarkEnd w:id="368"/>
      <w:bookmarkEnd w:id="369"/>
      <w:bookmarkEnd w:id="370"/>
      <w:bookmarkEnd w:id="371"/>
    </w:p>
    <w:p>
      <w:pPr>
        <w:widowControl/>
        <w:ind w:firstLine="480"/>
      </w:pPr>
      <w:r>
        <w:rPr>
          <w:rFonts w:hint="eastAsia" w:ascii="宋体" w:hAnsi="宋体"/>
          <w:color w:val="000000"/>
          <w:szCs w:val="24"/>
          <w:lang w:val="en-US" w:bidi="ar"/>
        </w:rPr>
        <w:t>（</w:t>
      </w:r>
      <w:r>
        <w:rPr>
          <w:rFonts w:cs="Times New Roman"/>
          <w:color w:val="000000"/>
          <w:szCs w:val="24"/>
          <w:lang w:val="en-US" w:bidi="ar"/>
        </w:rPr>
        <w:t>1</w:t>
      </w:r>
      <w:r>
        <w:rPr>
          <w:rFonts w:hint="eastAsia" w:ascii="宋体" w:hAnsi="宋体"/>
          <w:color w:val="000000"/>
          <w:szCs w:val="24"/>
          <w:lang w:val="en-US" w:bidi="ar"/>
        </w:rPr>
        <w:t>）建设单位应认真贯彻执行有关建设项目环境保护管理文件的精神，建立健全各项环保规章制度，严格执行</w:t>
      </w:r>
      <w:r>
        <w:rPr>
          <w:rFonts w:hint="eastAsia" w:cs="Times New Roman"/>
          <w:color w:val="000000"/>
          <w:szCs w:val="24"/>
          <w:lang w:val="en-US" w:eastAsia="zh-CN" w:bidi="ar"/>
        </w:rPr>
        <w:t>“</w:t>
      </w:r>
      <w:r>
        <w:rPr>
          <w:rFonts w:hint="eastAsia" w:ascii="宋体" w:hAnsi="宋体"/>
          <w:color w:val="000000"/>
          <w:szCs w:val="24"/>
          <w:lang w:val="en-US" w:bidi="ar"/>
        </w:rPr>
        <w:t>三同时</w:t>
      </w:r>
      <w:r>
        <w:rPr>
          <w:rFonts w:hint="eastAsia" w:cs="Times New Roman"/>
          <w:color w:val="000000"/>
          <w:szCs w:val="24"/>
          <w:lang w:val="en-US" w:eastAsia="zh-CN" w:bidi="ar"/>
        </w:rPr>
        <w:t>”</w:t>
      </w:r>
      <w:r>
        <w:rPr>
          <w:rFonts w:hint="eastAsia" w:ascii="宋体" w:hAnsi="宋体"/>
          <w:color w:val="000000"/>
          <w:szCs w:val="24"/>
          <w:lang w:val="en-US" w:bidi="ar"/>
        </w:rPr>
        <w:t>制度。</w:t>
      </w:r>
    </w:p>
    <w:p>
      <w:pPr>
        <w:widowControl/>
        <w:ind w:firstLine="480"/>
      </w:pPr>
      <w:r>
        <w:rPr>
          <w:rFonts w:hint="eastAsia" w:ascii="宋体" w:hAnsi="宋体"/>
          <w:color w:val="000000"/>
          <w:szCs w:val="24"/>
          <w:lang w:val="en-US" w:bidi="ar"/>
        </w:rPr>
        <w:t>（</w:t>
      </w:r>
      <w:r>
        <w:rPr>
          <w:rFonts w:cs="Times New Roman"/>
          <w:color w:val="000000"/>
          <w:szCs w:val="24"/>
          <w:lang w:val="en-US" w:bidi="ar"/>
        </w:rPr>
        <w:t>2</w:t>
      </w:r>
      <w:r>
        <w:rPr>
          <w:rFonts w:hint="eastAsia" w:ascii="宋体" w:hAnsi="宋体"/>
          <w:color w:val="000000"/>
          <w:szCs w:val="24"/>
          <w:lang w:val="en-US" w:bidi="ar"/>
        </w:rPr>
        <w:t>）施工期合理安排施工计划，尽量避免夜间施工。高噪声设备尽可能布置在远离环境敏感度的一侧，并采取降噪措施。加强管理，定期对污染防治设施进行维护保养，确保其长期稳定安全运行、污染物达标排放，避免非正常工况或污染事故发生。</w:t>
      </w:r>
    </w:p>
    <w:p>
      <w:pPr>
        <w:widowControl/>
        <w:ind w:firstLine="480"/>
      </w:pPr>
      <w:r>
        <w:rPr>
          <w:rFonts w:hint="eastAsia" w:ascii="宋体" w:hAnsi="宋体"/>
          <w:color w:val="000000"/>
          <w:szCs w:val="24"/>
          <w:lang w:val="en-US" w:bidi="ar"/>
        </w:rPr>
        <w:t>（</w:t>
      </w:r>
      <w:r>
        <w:rPr>
          <w:rFonts w:cs="Times New Roman"/>
          <w:color w:val="000000"/>
          <w:szCs w:val="24"/>
          <w:lang w:val="en-US" w:bidi="ar"/>
        </w:rPr>
        <w:t>3</w:t>
      </w:r>
      <w:r>
        <w:rPr>
          <w:rFonts w:hint="eastAsia" w:ascii="宋体" w:hAnsi="宋体"/>
          <w:color w:val="000000"/>
          <w:szCs w:val="24"/>
          <w:lang w:val="en-US" w:bidi="ar"/>
        </w:rPr>
        <w:t>）项目的建设应重视引进和建立先进的环保管理模式，完善管理机制，强化职工自身的环保意识。配备必要的环境管理专职人员，落实、检查环保设施的运行状况，保证长期、安全、稳定运行，配合当地环保部门做好环境管理、验收、监督和检查工作。</w:t>
      </w:r>
    </w:p>
    <w:p>
      <w:pPr>
        <w:widowControl/>
        <w:ind w:firstLine="480"/>
      </w:pPr>
      <w:r>
        <w:rPr>
          <w:rFonts w:hint="eastAsia" w:ascii="宋体" w:hAnsi="宋体"/>
          <w:color w:val="000000"/>
          <w:szCs w:val="24"/>
          <w:lang w:val="en-US" w:bidi="ar"/>
        </w:rPr>
        <w:t>（</w:t>
      </w:r>
      <w:r>
        <w:rPr>
          <w:rFonts w:hint="eastAsia" w:cs="Times New Roman"/>
          <w:color w:val="000000"/>
          <w:szCs w:val="24"/>
          <w:lang w:val="en-US" w:eastAsia="zh-CN" w:bidi="ar"/>
        </w:rPr>
        <w:t>4</w:t>
      </w:r>
      <w:r>
        <w:rPr>
          <w:rFonts w:hint="eastAsia" w:ascii="宋体" w:hAnsi="宋体"/>
          <w:color w:val="000000"/>
          <w:szCs w:val="24"/>
          <w:lang w:val="en-US" w:bidi="ar"/>
        </w:rPr>
        <w:t>）按照</w:t>
      </w:r>
      <w:r>
        <w:rPr>
          <w:rFonts w:hint="eastAsia"/>
          <w:lang w:val="en-US" w:eastAsia="zh-CN"/>
        </w:rPr>
        <w:t xml:space="preserve">《排污许可证申请与核发技术规范 </w:t>
      </w:r>
      <w:r>
        <w:rPr>
          <w:rFonts w:hint="default"/>
          <w:lang w:val="en-US" w:eastAsia="zh-CN"/>
        </w:rPr>
        <w:t>废弃资源加工工业</w:t>
      </w:r>
      <w:r>
        <w:rPr>
          <w:rFonts w:hint="eastAsia"/>
          <w:lang w:val="en-US" w:eastAsia="zh-CN"/>
        </w:rPr>
        <w:t>》（HJ 1034—2019）和《排污许可证申请与核发技术规范</w:t>
      </w:r>
      <w:r>
        <w:rPr>
          <w:rFonts w:hint="default"/>
          <w:lang w:val="en-US" w:eastAsia="zh-CN"/>
        </w:rPr>
        <w:t>橡胶和塑料制品工业</w:t>
      </w:r>
      <w:r>
        <w:rPr>
          <w:rFonts w:hint="eastAsia"/>
          <w:lang w:val="en-US" w:eastAsia="zh-CN"/>
        </w:rPr>
        <w:t>》HJ</w:t>
      </w:r>
      <w:r>
        <w:rPr>
          <w:rFonts w:hint="default"/>
          <w:lang w:val="en-US" w:eastAsia="zh-CN"/>
        </w:rPr>
        <w:t>1122—2020</w:t>
      </w:r>
      <w:r>
        <w:rPr>
          <w:rFonts w:hint="eastAsia" w:ascii="宋体" w:hAnsi="宋体"/>
          <w:color w:val="000000"/>
          <w:szCs w:val="24"/>
          <w:lang w:val="en-US" w:bidi="ar"/>
        </w:rPr>
        <w:t>等文件的要求，做好后续的自行监测工作。</w:t>
      </w:r>
    </w:p>
    <w:p>
      <w:pPr>
        <w:widowControl/>
        <w:ind w:firstLine="480"/>
        <w:rPr>
          <w:rFonts w:hint="default"/>
          <w:lang w:val="en-US" w:eastAsia="zh-CN"/>
        </w:rPr>
      </w:pPr>
      <w:r>
        <w:rPr>
          <w:rFonts w:hint="eastAsia" w:ascii="宋体" w:hAnsi="宋体"/>
          <w:color w:val="000000"/>
          <w:szCs w:val="24"/>
          <w:lang w:val="en-US" w:bidi="ar"/>
        </w:rPr>
        <w:t>（</w:t>
      </w:r>
      <w:r>
        <w:rPr>
          <w:rFonts w:hint="eastAsia" w:cs="Times New Roman"/>
          <w:color w:val="000000"/>
          <w:szCs w:val="24"/>
          <w:lang w:val="en-US" w:eastAsia="zh-CN" w:bidi="ar"/>
        </w:rPr>
        <w:t>5</w:t>
      </w:r>
      <w:r>
        <w:rPr>
          <w:rFonts w:hint="eastAsia" w:ascii="宋体" w:hAnsi="宋体"/>
          <w:color w:val="000000"/>
          <w:szCs w:val="24"/>
          <w:lang w:val="en-US" w:bidi="ar"/>
        </w:rPr>
        <w:t>）项目在设计、建设、运行全过程中还必须满足消防、安全、职业卫生等相关管理要求，进行规范化的设计、施工和运行管理。</w:t>
      </w:r>
    </w:p>
    <w:sectPr>
      <w:pgSz w:w="11906" w:h="16838"/>
      <w:pgMar w:top="1417" w:right="1417" w:bottom="1417" w:left="1417"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posOffset>2705735</wp:posOffset>
              </wp:positionH>
              <wp:positionV relativeFrom="paragraph">
                <wp:posOffset>-125730</wp:posOffset>
              </wp:positionV>
              <wp:extent cx="41656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165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3.05pt;margin-top:-9.9pt;height:144pt;width:32.8pt;mso-position-horizontal-relative:margin;z-index:251663360;mso-width-relative:page;mso-height-relative:page;" filled="f" stroked="f" coordsize="21600,21600" o:gfxdata="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GKC53aAAAACwEAAA8AAAAAAAAAAQAgAAAAIgAAAGRycy9k&#10;b3ducmV2LnhtbFBLAQIUABQAAAAIAIdO4kAwiPiROQIAAGQEAAAOAAAAAAAAAAEAIAAAACkBAABk&#10;cnMvZTJvRG9jLnhtbFBLBQYAAAAABgAGAFkBAADU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ind w:firstLine="40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360"/>
                          </w:pPr>
                          <w:r>
                            <w:t xml:space="preserve">— </w:t>
                          </w:r>
                          <w:r>
                            <w:fldChar w:fldCharType="begin"/>
                          </w:r>
                          <w:r>
                            <w:instrText xml:space="preserve"> PAGE  \* MERGEFORMAT </w:instrText>
                          </w:r>
                          <w:r>
                            <w:fldChar w:fldCharType="separate"/>
                          </w:r>
                          <w:r>
                            <w:t>68</w:t>
                          </w:r>
                          <w:r>
                            <w:fldChar w:fldCharType="end"/>
                          </w:r>
                          <w: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H8mMgBAACZ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NhTHbpnBgZ9//jj/+nP+/Z1U&#10;qT29hxqzHj3mxeGDG3BpZj+gM6keZDDpi3oIxrG5p0tzxRAJT4+qVVWVGOIYmy+IXzw99wHiR+EM&#10;SUZDA04vN5Ud7yGOqXNKqmbdndI6T1DbfxyImTxF4j5yTFYcdsMkaOfaE+rpcfANtbjnlOhPFvua&#10;dmQ2wmzsZuPgg9p3SG2ZeYG/PUQkkbmlCiPsVBgnltVN25VW4vk9Zz39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h/JjIAQAAmQMAAA4AAAAAAAAAAQAgAAAAHgEAAGRycy9lMm9Eb2Mu&#10;eG1sUEsFBgAAAAAGAAYAWQEAAFgFAAAAAA==&#10;">
              <v:fill on="f" focussize="0,0"/>
              <v:stroke on="f"/>
              <v:imagedata o:title=""/>
              <o:lock v:ext="edit" aspectratio="f"/>
              <v:textbox inset="0mm,0mm,0mm,0mm" style="mso-fit-shape-to-text:t;">
                <w:txbxContent>
                  <w:p>
                    <w:pPr>
                      <w:pStyle w:val="16"/>
                      <w:ind w:firstLine="360"/>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jc w:val="center"/>
      <w:rPr>
        <w:b w:val="0"/>
        <w:bCs w:val="0"/>
        <w:i w:val="0"/>
        <w:iCs w:val="0"/>
        <w:sz w:val="21"/>
        <w:szCs w:val="21"/>
        <w:u w:val="single"/>
      </w:rPr>
    </w:pPr>
    <w:r>
      <w:rPr>
        <w:rFonts w:hint="eastAsia" w:ascii="Times New Roman" w:hAnsi="Times New Roman" w:eastAsia="宋体" w:cs="宋体"/>
        <w:b w:val="0"/>
        <w:bCs w:val="0"/>
        <w:i w:val="0"/>
        <w:iCs w:val="0"/>
        <w:color w:val="000000"/>
        <w:kern w:val="0"/>
        <w:sz w:val="21"/>
        <w:szCs w:val="21"/>
        <w:u w:val="single"/>
        <w:lang w:val="en-US" w:eastAsia="zh-CN" w:bidi="ar"/>
      </w:rPr>
      <w:t>叶县景喻再生资源回收有限公司年处置6000吨废旧塑料再生资源综合利用项目环境影响报告书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04" w:lineRule="auto"/>
      <w:ind w:firstLine="0" w:firstLineChars="0"/>
      <w:jc w:val="center"/>
      <w:textAlignment w:val="auto"/>
      <w:rPr>
        <w:rFonts w:ascii="宋体" w:hAnsi="宋体" w:eastAsia="宋体" w:cs="宋体"/>
        <w:sz w:val="18"/>
        <w:szCs w:val="18"/>
      </w:rPr>
    </w:pPr>
    <w:r>
      <w:rPr>
        <w:rFonts w:hint="eastAsia" w:ascii="Times New Roman" w:hAnsi="Times New Roman" w:eastAsia="宋体" w:cs="宋体"/>
        <w:b w:val="0"/>
        <w:bCs w:val="0"/>
        <w:i w:val="0"/>
        <w:iCs w:val="0"/>
        <w:color w:val="000000"/>
        <w:kern w:val="0"/>
        <w:sz w:val="21"/>
        <w:szCs w:val="21"/>
        <w:u w:val="single"/>
        <w:lang w:val="en-US" w:eastAsia="zh-CN" w:bidi="ar"/>
      </w:rPr>
      <w:t>叶县景喻再生资源回收有限公司年处置6000吨废旧塑料再生资源综合利用项目环境影响报告书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2B261"/>
    <w:multiLevelType w:val="singleLevel"/>
    <w:tmpl w:val="9BC2B261"/>
    <w:lvl w:ilvl="0" w:tentative="0">
      <w:start w:val="1"/>
      <w:numFmt w:val="decimal"/>
      <w:suff w:val="nothing"/>
      <w:lvlText w:val="（%1）"/>
      <w:lvlJc w:val="left"/>
    </w:lvl>
  </w:abstractNum>
  <w:abstractNum w:abstractNumId="1">
    <w:nsid w:val="A56920D2"/>
    <w:multiLevelType w:val="singleLevel"/>
    <w:tmpl w:val="A56920D2"/>
    <w:lvl w:ilvl="0" w:tentative="0">
      <w:start w:val="1"/>
      <w:numFmt w:val="decimal"/>
      <w:suff w:val="nothing"/>
      <w:lvlText w:val="%1、"/>
      <w:lvlJc w:val="left"/>
    </w:lvl>
  </w:abstractNum>
  <w:abstractNum w:abstractNumId="2">
    <w:nsid w:val="AADD306B"/>
    <w:multiLevelType w:val="singleLevel"/>
    <w:tmpl w:val="AADD306B"/>
    <w:lvl w:ilvl="0" w:tentative="0">
      <w:start w:val="1"/>
      <w:numFmt w:val="decimal"/>
      <w:suff w:val="nothing"/>
      <w:lvlText w:val="%1、"/>
      <w:lvlJc w:val="left"/>
    </w:lvl>
  </w:abstractNum>
  <w:abstractNum w:abstractNumId="3">
    <w:nsid w:val="BD10D463"/>
    <w:multiLevelType w:val="singleLevel"/>
    <w:tmpl w:val="BD10D463"/>
    <w:lvl w:ilvl="0" w:tentative="0">
      <w:start w:val="1"/>
      <w:numFmt w:val="chineseCounting"/>
      <w:suff w:val="nothing"/>
      <w:lvlText w:val="（%1）"/>
      <w:lvlJc w:val="left"/>
      <w:rPr>
        <w:rFonts w:hint="eastAsia"/>
      </w:rPr>
    </w:lvl>
  </w:abstractNum>
  <w:abstractNum w:abstractNumId="4">
    <w:nsid w:val="F3173F82"/>
    <w:multiLevelType w:val="singleLevel"/>
    <w:tmpl w:val="F3173F82"/>
    <w:lvl w:ilvl="0" w:tentative="0">
      <w:start w:val="3"/>
      <w:numFmt w:val="decimal"/>
      <w:suff w:val="nothing"/>
      <w:lvlText w:val="（%1）"/>
      <w:lvlJc w:val="left"/>
      <w:pPr>
        <w:ind w:left="720"/>
      </w:pPr>
    </w:lvl>
  </w:abstractNum>
  <w:abstractNum w:abstractNumId="5">
    <w:nsid w:val="09BB10CE"/>
    <w:multiLevelType w:val="singleLevel"/>
    <w:tmpl w:val="09BB10CE"/>
    <w:lvl w:ilvl="0" w:tentative="0">
      <w:start w:val="1"/>
      <w:numFmt w:val="decimal"/>
      <w:suff w:val="nothing"/>
      <w:lvlText w:val="（%1）"/>
      <w:lvlJc w:val="left"/>
    </w:lvl>
  </w:abstractNum>
  <w:abstractNum w:abstractNumId="6">
    <w:nsid w:val="1FB56D5B"/>
    <w:multiLevelType w:val="singleLevel"/>
    <w:tmpl w:val="1FB56D5B"/>
    <w:lvl w:ilvl="0" w:tentative="0">
      <w:start w:val="4"/>
      <w:numFmt w:val="chineseCounting"/>
      <w:suff w:val="nothing"/>
      <w:lvlText w:val="%1、"/>
      <w:lvlJc w:val="left"/>
      <w:rPr>
        <w:rFonts w:hint="eastAsia"/>
      </w:rPr>
    </w:lvl>
  </w:abstractNum>
  <w:abstractNum w:abstractNumId="7">
    <w:nsid w:val="56420184"/>
    <w:multiLevelType w:val="singleLevel"/>
    <w:tmpl w:val="56420184"/>
    <w:lvl w:ilvl="0" w:tentative="0">
      <w:start w:val="1"/>
      <w:numFmt w:val="decimal"/>
      <w:suff w:val="nothing"/>
      <w:lvlText w:val="%1、"/>
      <w:lvlJc w:val="left"/>
    </w:lvl>
  </w:abstractNum>
  <w:abstractNum w:abstractNumId="8">
    <w:nsid w:val="6745DE12"/>
    <w:multiLevelType w:val="singleLevel"/>
    <w:tmpl w:val="6745DE12"/>
    <w:lvl w:ilvl="0" w:tentative="0">
      <w:start w:val="1"/>
      <w:numFmt w:val="decimal"/>
      <w:suff w:val="nothing"/>
      <w:lvlText w:val="%1、"/>
      <w:lvlJc w:val="left"/>
    </w:lvl>
  </w:abstractNum>
  <w:abstractNum w:abstractNumId="9">
    <w:nsid w:val="7A53CAC7"/>
    <w:multiLevelType w:val="singleLevel"/>
    <w:tmpl w:val="7A53CAC7"/>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8"/>
  </w:num>
  <w:num w:numId="7">
    <w:abstractNumId w:val="4"/>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A578C6"/>
    <w:rsid w:val="00050D47"/>
    <w:rsid w:val="000A021C"/>
    <w:rsid w:val="004F4398"/>
    <w:rsid w:val="006B5B77"/>
    <w:rsid w:val="007E5A98"/>
    <w:rsid w:val="00A2640F"/>
    <w:rsid w:val="0122669E"/>
    <w:rsid w:val="015C5821"/>
    <w:rsid w:val="01673472"/>
    <w:rsid w:val="01881626"/>
    <w:rsid w:val="01C234AA"/>
    <w:rsid w:val="01D70A8B"/>
    <w:rsid w:val="02A659B0"/>
    <w:rsid w:val="03153150"/>
    <w:rsid w:val="03462D29"/>
    <w:rsid w:val="03704323"/>
    <w:rsid w:val="038422BF"/>
    <w:rsid w:val="03B323B2"/>
    <w:rsid w:val="03CF2BD1"/>
    <w:rsid w:val="03E157AD"/>
    <w:rsid w:val="04A026ED"/>
    <w:rsid w:val="055F2666"/>
    <w:rsid w:val="0579530C"/>
    <w:rsid w:val="0667486D"/>
    <w:rsid w:val="06833607"/>
    <w:rsid w:val="06B2596C"/>
    <w:rsid w:val="06E26386"/>
    <w:rsid w:val="07190FAF"/>
    <w:rsid w:val="0767739F"/>
    <w:rsid w:val="079A1AE4"/>
    <w:rsid w:val="07B6242A"/>
    <w:rsid w:val="07D9286B"/>
    <w:rsid w:val="0803295A"/>
    <w:rsid w:val="0841225B"/>
    <w:rsid w:val="08B77236"/>
    <w:rsid w:val="08DD014C"/>
    <w:rsid w:val="091C14FF"/>
    <w:rsid w:val="095E248B"/>
    <w:rsid w:val="0A975D2D"/>
    <w:rsid w:val="0AD33B20"/>
    <w:rsid w:val="0AE002B7"/>
    <w:rsid w:val="0AE7650E"/>
    <w:rsid w:val="0B2B4EB1"/>
    <w:rsid w:val="0B930B91"/>
    <w:rsid w:val="0BB77E8B"/>
    <w:rsid w:val="0BEE0BCC"/>
    <w:rsid w:val="0C326A7A"/>
    <w:rsid w:val="0C326ADC"/>
    <w:rsid w:val="0C4D6975"/>
    <w:rsid w:val="0C685F53"/>
    <w:rsid w:val="0C710851"/>
    <w:rsid w:val="0CA7317B"/>
    <w:rsid w:val="0D222E5C"/>
    <w:rsid w:val="0D3606B5"/>
    <w:rsid w:val="0D474476"/>
    <w:rsid w:val="0D5079C9"/>
    <w:rsid w:val="0DC6749E"/>
    <w:rsid w:val="0DD55DB0"/>
    <w:rsid w:val="0E727ADE"/>
    <w:rsid w:val="0EF25104"/>
    <w:rsid w:val="0F322F8F"/>
    <w:rsid w:val="0F36396A"/>
    <w:rsid w:val="0F5C32B6"/>
    <w:rsid w:val="0F9D0EBF"/>
    <w:rsid w:val="0FD64CEF"/>
    <w:rsid w:val="0FF1792D"/>
    <w:rsid w:val="10064752"/>
    <w:rsid w:val="100D7DF3"/>
    <w:rsid w:val="101A6F4D"/>
    <w:rsid w:val="10346839"/>
    <w:rsid w:val="1066490C"/>
    <w:rsid w:val="10B22749"/>
    <w:rsid w:val="10C50F0D"/>
    <w:rsid w:val="10E314B8"/>
    <w:rsid w:val="111A2DA3"/>
    <w:rsid w:val="119C64DB"/>
    <w:rsid w:val="119C6E41"/>
    <w:rsid w:val="11AC4C31"/>
    <w:rsid w:val="11B10648"/>
    <w:rsid w:val="124F1AD1"/>
    <w:rsid w:val="12762877"/>
    <w:rsid w:val="129A31CA"/>
    <w:rsid w:val="13020EFD"/>
    <w:rsid w:val="13162370"/>
    <w:rsid w:val="133D1DE4"/>
    <w:rsid w:val="138645E7"/>
    <w:rsid w:val="13950620"/>
    <w:rsid w:val="13C95D9D"/>
    <w:rsid w:val="13E27834"/>
    <w:rsid w:val="13E73D36"/>
    <w:rsid w:val="148B6D64"/>
    <w:rsid w:val="14D7542C"/>
    <w:rsid w:val="1530371A"/>
    <w:rsid w:val="15871488"/>
    <w:rsid w:val="15994CE1"/>
    <w:rsid w:val="15EF5E3E"/>
    <w:rsid w:val="163E7398"/>
    <w:rsid w:val="16553D33"/>
    <w:rsid w:val="166663DF"/>
    <w:rsid w:val="170513DE"/>
    <w:rsid w:val="173B2ABC"/>
    <w:rsid w:val="177F3AE5"/>
    <w:rsid w:val="178527DA"/>
    <w:rsid w:val="181E1E9E"/>
    <w:rsid w:val="185D172F"/>
    <w:rsid w:val="189764F7"/>
    <w:rsid w:val="18E101F5"/>
    <w:rsid w:val="18E972DE"/>
    <w:rsid w:val="18E97F2A"/>
    <w:rsid w:val="18FE7C80"/>
    <w:rsid w:val="19E848D6"/>
    <w:rsid w:val="19EF080C"/>
    <w:rsid w:val="1A2C356C"/>
    <w:rsid w:val="1A612D39"/>
    <w:rsid w:val="1ACC08E9"/>
    <w:rsid w:val="1AE8196B"/>
    <w:rsid w:val="1B1526C5"/>
    <w:rsid w:val="1B53687C"/>
    <w:rsid w:val="1B5D2B7C"/>
    <w:rsid w:val="1B8E39D3"/>
    <w:rsid w:val="1BD0357D"/>
    <w:rsid w:val="1BD42672"/>
    <w:rsid w:val="1BDE247F"/>
    <w:rsid w:val="1C0F10C8"/>
    <w:rsid w:val="1CD5665F"/>
    <w:rsid w:val="1CFD6D33"/>
    <w:rsid w:val="1D380AFD"/>
    <w:rsid w:val="1DC35F95"/>
    <w:rsid w:val="1DC8140E"/>
    <w:rsid w:val="1DD04F3F"/>
    <w:rsid w:val="1EC4051E"/>
    <w:rsid w:val="1ECE4BF1"/>
    <w:rsid w:val="1EF52064"/>
    <w:rsid w:val="1F1458E0"/>
    <w:rsid w:val="1FCA52CD"/>
    <w:rsid w:val="1FEE1B68"/>
    <w:rsid w:val="1FF62C80"/>
    <w:rsid w:val="203501A0"/>
    <w:rsid w:val="20567DC6"/>
    <w:rsid w:val="2061318F"/>
    <w:rsid w:val="206560CE"/>
    <w:rsid w:val="213275C6"/>
    <w:rsid w:val="216078CF"/>
    <w:rsid w:val="21664513"/>
    <w:rsid w:val="21835BCE"/>
    <w:rsid w:val="21A64593"/>
    <w:rsid w:val="21FA4B14"/>
    <w:rsid w:val="223965AF"/>
    <w:rsid w:val="22C00DE4"/>
    <w:rsid w:val="23290648"/>
    <w:rsid w:val="23354390"/>
    <w:rsid w:val="23474D6D"/>
    <w:rsid w:val="23822228"/>
    <w:rsid w:val="23931BDA"/>
    <w:rsid w:val="23BF0844"/>
    <w:rsid w:val="23C87262"/>
    <w:rsid w:val="241F68E9"/>
    <w:rsid w:val="243112C3"/>
    <w:rsid w:val="24324109"/>
    <w:rsid w:val="24343F05"/>
    <w:rsid w:val="25644C47"/>
    <w:rsid w:val="25891872"/>
    <w:rsid w:val="25D53712"/>
    <w:rsid w:val="261D1747"/>
    <w:rsid w:val="26280913"/>
    <w:rsid w:val="263E6795"/>
    <w:rsid w:val="26823F61"/>
    <w:rsid w:val="26BC6761"/>
    <w:rsid w:val="26C62716"/>
    <w:rsid w:val="273C28C7"/>
    <w:rsid w:val="276B7112"/>
    <w:rsid w:val="27A206DF"/>
    <w:rsid w:val="281A1F54"/>
    <w:rsid w:val="285C3928"/>
    <w:rsid w:val="289A1CBC"/>
    <w:rsid w:val="28CD76B8"/>
    <w:rsid w:val="28EE261A"/>
    <w:rsid w:val="2903193C"/>
    <w:rsid w:val="290F20B1"/>
    <w:rsid w:val="2911540E"/>
    <w:rsid w:val="29433C0A"/>
    <w:rsid w:val="297A2DE1"/>
    <w:rsid w:val="29CB3BAE"/>
    <w:rsid w:val="29F6456B"/>
    <w:rsid w:val="2A0855DD"/>
    <w:rsid w:val="2A7358E1"/>
    <w:rsid w:val="2A7A170D"/>
    <w:rsid w:val="2AA6132E"/>
    <w:rsid w:val="2B0F1725"/>
    <w:rsid w:val="2B1C0CF9"/>
    <w:rsid w:val="2B4A2F79"/>
    <w:rsid w:val="2B8250CC"/>
    <w:rsid w:val="2BD37EF7"/>
    <w:rsid w:val="2BE7708B"/>
    <w:rsid w:val="2D566108"/>
    <w:rsid w:val="2D7D7322"/>
    <w:rsid w:val="2E0C15E9"/>
    <w:rsid w:val="2E7C4EF8"/>
    <w:rsid w:val="2E7F7CB6"/>
    <w:rsid w:val="2E9506F3"/>
    <w:rsid w:val="2E9643EA"/>
    <w:rsid w:val="2F3C05FE"/>
    <w:rsid w:val="2F6C2E7D"/>
    <w:rsid w:val="2F7A0149"/>
    <w:rsid w:val="2F9B71C0"/>
    <w:rsid w:val="2FA476D7"/>
    <w:rsid w:val="2FAE7398"/>
    <w:rsid w:val="2FBA7CEE"/>
    <w:rsid w:val="2FDB5650"/>
    <w:rsid w:val="302F6AB6"/>
    <w:rsid w:val="30420288"/>
    <w:rsid w:val="3066049A"/>
    <w:rsid w:val="3071315C"/>
    <w:rsid w:val="308C3D41"/>
    <w:rsid w:val="30C0714E"/>
    <w:rsid w:val="30D004D9"/>
    <w:rsid w:val="31244332"/>
    <w:rsid w:val="31A844E9"/>
    <w:rsid w:val="324F2808"/>
    <w:rsid w:val="32AD425F"/>
    <w:rsid w:val="32B15A51"/>
    <w:rsid w:val="32F461BC"/>
    <w:rsid w:val="3341566F"/>
    <w:rsid w:val="33532C08"/>
    <w:rsid w:val="344813C0"/>
    <w:rsid w:val="349E572B"/>
    <w:rsid w:val="34D82FDC"/>
    <w:rsid w:val="34E217AD"/>
    <w:rsid w:val="34F604AA"/>
    <w:rsid w:val="35506C21"/>
    <w:rsid w:val="35724CEE"/>
    <w:rsid w:val="35B13A6F"/>
    <w:rsid w:val="362B5604"/>
    <w:rsid w:val="368C406F"/>
    <w:rsid w:val="368E0C6D"/>
    <w:rsid w:val="36920FBD"/>
    <w:rsid w:val="36A66D39"/>
    <w:rsid w:val="36B55EFA"/>
    <w:rsid w:val="36C049ED"/>
    <w:rsid w:val="36C165F9"/>
    <w:rsid w:val="36CD53C7"/>
    <w:rsid w:val="375D5BCE"/>
    <w:rsid w:val="37A92546"/>
    <w:rsid w:val="37D979D1"/>
    <w:rsid w:val="37E529F8"/>
    <w:rsid w:val="37F25156"/>
    <w:rsid w:val="380C6541"/>
    <w:rsid w:val="381B180E"/>
    <w:rsid w:val="38211DDE"/>
    <w:rsid w:val="38614BD1"/>
    <w:rsid w:val="38CE7B26"/>
    <w:rsid w:val="38D7068B"/>
    <w:rsid w:val="38E319B7"/>
    <w:rsid w:val="390751F8"/>
    <w:rsid w:val="392614F7"/>
    <w:rsid w:val="393C3451"/>
    <w:rsid w:val="39572206"/>
    <w:rsid w:val="39935056"/>
    <w:rsid w:val="39FF6727"/>
    <w:rsid w:val="3A806327"/>
    <w:rsid w:val="3A8C2EB7"/>
    <w:rsid w:val="3AFE179D"/>
    <w:rsid w:val="3B786538"/>
    <w:rsid w:val="3B79498C"/>
    <w:rsid w:val="3B7B1696"/>
    <w:rsid w:val="3BBC29B0"/>
    <w:rsid w:val="3C0473B1"/>
    <w:rsid w:val="3C251C05"/>
    <w:rsid w:val="3C69636B"/>
    <w:rsid w:val="3CB4221F"/>
    <w:rsid w:val="3CCA2335"/>
    <w:rsid w:val="3CCF1AEB"/>
    <w:rsid w:val="3CD01F14"/>
    <w:rsid w:val="3DF61CC5"/>
    <w:rsid w:val="3E6D671B"/>
    <w:rsid w:val="3EA65946"/>
    <w:rsid w:val="3EA67D9C"/>
    <w:rsid w:val="3EE917AD"/>
    <w:rsid w:val="3EEC033D"/>
    <w:rsid w:val="3EF26282"/>
    <w:rsid w:val="3EF56D6F"/>
    <w:rsid w:val="3F0E22F9"/>
    <w:rsid w:val="3F6A314C"/>
    <w:rsid w:val="3FB5491A"/>
    <w:rsid w:val="3FCE7E6A"/>
    <w:rsid w:val="40211946"/>
    <w:rsid w:val="403A5000"/>
    <w:rsid w:val="404D1AC4"/>
    <w:rsid w:val="408F7FA1"/>
    <w:rsid w:val="40C93B00"/>
    <w:rsid w:val="40EA339B"/>
    <w:rsid w:val="411E5BED"/>
    <w:rsid w:val="4142017A"/>
    <w:rsid w:val="41664F08"/>
    <w:rsid w:val="41AF045B"/>
    <w:rsid w:val="41E10949"/>
    <w:rsid w:val="420408D6"/>
    <w:rsid w:val="42F75102"/>
    <w:rsid w:val="434A3ADA"/>
    <w:rsid w:val="439C4C0D"/>
    <w:rsid w:val="43D83EAF"/>
    <w:rsid w:val="447B2709"/>
    <w:rsid w:val="44844B58"/>
    <w:rsid w:val="44B07D93"/>
    <w:rsid w:val="44C4270B"/>
    <w:rsid w:val="452322C6"/>
    <w:rsid w:val="45271601"/>
    <w:rsid w:val="452C04F3"/>
    <w:rsid w:val="45637AD6"/>
    <w:rsid w:val="45C24CFE"/>
    <w:rsid w:val="45EE754F"/>
    <w:rsid w:val="46D03F4E"/>
    <w:rsid w:val="46E932C4"/>
    <w:rsid w:val="4701173D"/>
    <w:rsid w:val="470B1C8F"/>
    <w:rsid w:val="47105F1B"/>
    <w:rsid w:val="476A3AF6"/>
    <w:rsid w:val="4792779A"/>
    <w:rsid w:val="47AA0842"/>
    <w:rsid w:val="47B84A4D"/>
    <w:rsid w:val="47CC5039"/>
    <w:rsid w:val="480F767A"/>
    <w:rsid w:val="4847319B"/>
    <w:rsid w:val="48833418"/>
    <w:rsid w:val="48E84796"/>
    <w:rsid w:val="49217A8E"/>
    <w:rsid w:val="49356D22"/>
    <w:rsid w:val="495C3AAC"/>
    <w:rsid w:val="496E6D07"/>
    <w:rsid w:val="497C731C"/>
    <w:rsid w:val="4A170550"/>
    <w:rsid w:val="4A654FEC"/>
    <w:rsid w:val="4AC8135D"/>
    <w:rsid w:val="4AD80BCB"/>
    <w:rsid w:val="4B2C468F"/>
    <w:rsid w:val="4B43148B"/>
    <w:rsid w:val="4B6422B6"/>
    <w:rsid w:val="4BB171D0"/>
    <w:rsid w:val="4BF349ED"/>
    <w:rsid w:val="4C406229"/>
    <w:rsid w:val="4C6D30C7"/>
    <w:rsid w:val="4D2F74A3"/>
    <w:rsid w:val="4DAF5758"/>
    <w:rsid w:val="4E0C65B4"/>
    <w:rsid w:val="4E1C349D"/>
    <w:rsid w:val="4E471E88"/>
    <w:rsid w:val="4EAD625D"/>
    <w:rsid w:val="4F217DFD"/>
    <w:rsid w:val="4F4A531F"/>
    <w:rsid w:val="4F5213AA"/>
    <w:rsid w:val="4F765846"/>
    <w:rsid w:val="4F8A0790"/>
    <w:rsid w:val="4FA578C6"/>
    <w:rsid w:val="4FB15A6D"/>
    <w:rsid w:val="4FC052F4"/>
    <w:rsid w:val="4FD22534"/>
    <w:rsid w:val="4FDD5C43"/>
    <w:rsid w:val="501D030A"/>
    <w:rsid w:val="506577AD"/>
    <w:rsid w:val="50AC32B0"/>
    <w:rsid w:val="50B80EDC"/>
    <w:rsid w:val="50F45E4E"/>
    <w:rsid w:val="50F739B5"/>
    <w:rsid w:val="513B2E12"/>
    <w:rsid w:val="51546080"/>
    <w:rsid w:val="51DF4388"/>
    <w:rsid w:val="51F23EAF"/>
    <w:rsid w:val="51F70702"/>
    <w:rsid w:val="522D1654"/>
    <w:rsid w:val="527B5C43"/>
    <w:rsid w:val="53171706"/>
    <w:rsid w:val="532D55A4"/>
    <w:rsid w:val="53335358"/>
    <w:rsid w:val="53CE7B91"/>
    <w:rsid w:val="541B7F89"/>
    <w:rsid w:val="54911A46"/>
    <w:rsid w:val="54A0098E"/>
    <w:rsid w:val="54F14BCA"/>
    <w:rsid w:val="551420A4"/>
    <w:rsid w:val="552100C6"/>
    <w:rsid w:val="552B3688"/>
    <w:rsid w:val="553A14FC"/>
    <w:rsid w:val="5553061E"/>
    <w:rsid w:val="55714E91"/>
    <w:rsid w:val="557844B1"/>
    <w:rsid w:val="559129F4"/>
    <w:rsid w:val="55B515D5"/>
    <w:rsid w:val="55CA00FB"/>
    <w:rsid w:val="55D25DC0"/>
    <w:rsid w:val="55DC0E37"/>
    <w:rsid w:val="55E806CE"/>
    <w:rsid w:val="562144E0"/>
    <w:rsid w:val="562A62E8"/>
    <w:rsid w:val="569A393B"/>
    <w:rsid w:val="56F033B1"/>
    <w:rsid w:val="56F9554F"/>
    <w:rsid w:val="57CF6471"/>
    <w:rsid w:val="57F05039"/>
    <w:rsid w:val="5854454E"/>
    <w:rsid w:val="5862028F"/>
    <w:rsid w:val="588E0AFB"/>
    <w:rsid w:val="588F04B0"/>
    <w:rsid w:val="58ED4C31"/>
    <w:rsid w:val="59806703"/>
    <w:rsid w:val="59E727C8"/>
    <w:rsid w:val="5A2E3EDE"/>
    <w:rsid w:val="5A4B5556"/>
    <w:rsid w:val="5A8056DD"/>
    <w:rsid w:val="5A907DF1"/>
    <w:rsid w:val="5AAB1D04"/>
    <w:rsid w:val="5AD964DC"/>
    <w:rsid w:val="5AE345F7"/>
    <w:rsid w:val="5AE44F46"/>
    <w:rsid w:val="5AED107D"/>
    <w:rsid w:val="5B287F7B"/>
    <w:rsid w:val="5B5D5785"/>
    <w:rsid w:val="5B703115"/>
    <w:rsid w:val="5BA567AF"/>
    <w:rsid w:val="5C2A4762"/>
    <w:rsid w:val="5CE157CF"/>
    <w:rsid w:val="5CF14A7C"/>
    <w:rsid w:val="5CFC7D24"/>
    <w:rsid w:val="5D975D55"/>
    <w:rsid w:val="5DBB4FD6"/>
    <w:rsid w:val="5DC66FC3"/>
    <w:rsid w:val="5E1336BB"/>
    <w:rsid w:val="5E21086B"/>
    <w:rsid w:val="5E7B7939"/>
    <w:rsid w:val="5EB01F34"/>
    <w:rsid w:val="5ED82F18"/>
    <w:rsid w:val="5F4A4E2B"/>
    <w:rsid w:val="5F59039D"/>
    <w:rsid w:val="5F5A04DB"/>
    <w:rsid w:val="5F9342A8"/>
    <w:rsid w:val="5F9D0DB5"/>
    <w:rsid w:val="5FD5216F"/>
    <w:rsid w:val="5FDB58BF"/>
    <w:rsid w:val="61D02E56"/>
    <w:rsid w:val="62471B3B"/>
    <w:rsid w:val="62545B99"/>
    <w:rsid w:val="62852F04"/>
    <w:rsid w:val="62937094"/>
    <w:rsid w:val="62B221F2"/>
    <w:rsid w:val="62B83FED"/>
    <w:rsid w:val="62EA08B1"/>
    <w:rsid w:val="63116369"/>
    <w:rsid w:val="63137395"/>
    <w:rsid w:val="63BC2837"/>
    <w:rsid w:val="645F319F"/>
    <w:rsid w:val="6495197D"/>
    <w:rsid w:val="65421EE2"/>
    <w:rsid w:val="65517FF2"/>
    <w:rsid w:val="65CE585E"/>
    <w:rsid w:val="660850ED"/>
    <w:rsid w:val="666F151A"/>
    <w:rsid w:val="668025C1"/>
    <w:rsid w:val="66A222E6"/>
    <w:rsid w:val="671822EB"/>
    <w:rsid w:val="671D0BC2"/>
    <w:rsid w:val="67246E4D"/>
    <w:rsid w:val="67BA5C7F"/>
    <w:rsid w:val="67C75BC3"/>
    <w:rsid w:val="67F10B8E"/>
    <w:rsid w:val="68147040"/>
    <w:rsid w:val="682055B9"/>
    <w:rsid w:val="683D5E2E"/>
    <w:rsid w:val="68A17154"/>
    <w:rsid w:val="68EE10FD"/>
    <w:rsid w:val="68F13EA9"/>
    <w:rsid w:val="692A1630"/>
    <w:rsid w:val="695E35DC"/>
    <w:rsid w:val="69AE1CCF"/>
    <w:rsid w:val="6A1F050F"/>
    <w:rsid w:val="6A81492E"/>
    <w:rsid w:val="6ADB108B"/>
    <w:rsid w:val="6AE327DD"/>
    <w:rsid w:val="6B045962"/>
    <w:rsid w:val="6B19056F"/>
    <w:rsid w:val="6B3E3564"/>
    <w:rsid w:val="6B5E28D1"/>
    <w:rsid w:val="6B6B43F5"/>
    <w:rsid w:val="6B8519A4"/>
    <w:rsid w:val="6BB61E3D"/>
    <w:rsid w:val="6CAD1C1C"/>
    <w:rsid w:val="6CC53D1C"/>
    <w:rsid w:val="6D316A09"/>
    <w:rsid w:val="6D85163D"/>
    <w:rsid w:val="6DDD7190"/>
    <w:rsid w:val="6E172BE7"/>
    <w:rsid w:val="6E2E7E8E"/>
    <w:rsid w:val="6E3940CE"/>
    <w:rsid w:val="6E5245F1"/>
    <w:rsid w:val="6E891568"/>
    <w:rsid w:val="6EBF26EB"/>
    <w:rsid w:val="6EC64457"/>
    <w:rsid w:val="6F0E4B15"/>
    <w:rsid w:val="6F324850"/>
    <w:rsid w:val="6F917A37"/>
    <w:rsid w:val="6F9831B4"/>
    <w:rsid w:val="6FDA2CCF"/>
    <w:rsid w:val="70401343"/>
    <w:rsid w:val="70440E78"/>
    <w:rsid w:val="70471D11"/>
    <w:rsid w:val="70503D44"/>
    <w:rsid w:val="706A1A49"/>
    <w:rsid w:val="707A52E7"/>
    <w:rsid w:val="70DE4F33"/>
    <w:rsid w:val="712E71EF"/>
    <w:rsid w:val="715E252D"/>
    <w:rsid w:val="717E27ED"/>
    <w:rsid w:val="718409CE"/>
    <w:rsid w:val="71C0668C"/>
    <w:rsid w:val="72122CB0"/>
    <w:rsid w:val="725729A9"/>
    <w:rsid w:val="72B15AC4"/>
    <w:rsid w:val="73167AE0"/>
    <w:rsid w:val="73326548"/>
    <w:rsid w:val="735D7455"/>
    <w:rsid w:val="7389406F"/>
    <w:rsid w:val="73A80439"/>
    <w:rsid w:val="73DA36A7"/>
    <w:rsid w:val="73E04631"/>
    <w:rsid w:val="73F33D47"/>
    <w:rsid w:val="73F40692"/>
    <w:rsid w:val="741471CE"/>
    <w:rsid w:val="744866FF"/>
    <w:rsid w:val="751D151C"/>
    <w:rsid w:val="754D1A14"/>
    <w:rsid w:val="756F3EA4"/>
    <w:rsid w:val="757E7099"/>
    <w:rsid w:val="76522B87"/>
    <w:rsid w:val="76981D7E"/>
    <w:rsid w:val="76BD5391"/>
    <w:rsid w:val="76F2473B"/>
    <w:rsid w:val="76F32B02"/>
    <w:rsid w:val="77664A8D"/>
    <w:rsid w:val="777858C7"/>
    <w:rsid w:val="77BE04D4"/>
    <w:rsid w:val="77C622B9"/>
    <w:rsid w:val="77F04D10"/>
    <w:rsid w:val="78302364"/>
    <w:rsid w:val="7834247E"/>
    <w:rsid w:val="788B5D07"/>
    <w:rsid w:val="789C0E8C"/>
    <w:rsid w:val="78B63C7D"/>
    <w:rsid w:val="797757F9"/>
    <w:rsid w:val="79AC75FB"/>
    <w:rsid w:val="7A601DE7"/>
    <w:rsid w:val="7A9F5A6E"/>
    <w:rsid w:val="7AC04E9B"/>
    <w:rsid w:val="7B0A1EF6"/>
    <w:rsid w:val="7C2D2AEF"/>
    <w:rsid w:val="7C4534E7"/>
    <w:rsid w:val="7CAB7616"/>
    <w:rsid w:val="7CBD142D"/>
    <w:rsid w:val="7D114B4F"/>
    <w:rsid w:val="7D5D6355"/>
    <w:rsid w:val="7E0B5F64"/>
    <w:rsid w:val="7E720CEC"/>
    <w:rsid w:val="7EB03CF6"/>
    <w:rsid w:val="7F646774"/>
    <w:rsid w:val="7FA00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3"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spacing w:before="100" w:beforeLines="100" w:after="100" w:afterLines="100"/>
      <w:jc w:val="center"/>
      <w:outlineLvl w:val="0"/>
    </w:pPr>
    <w:rPr>
      <w:rFonts w:ascii="黑体" w:hAnsi="黑体" w:eastAsia="黑体" w:cs="黑体"/>
      <w:sz w:val="44"/>
      <w:szCs w:val="44"/>
      <w:lang w:val="zh-CN" w:bidi="zh-CN"/>
    </w:rPr>
  </w:style>
  <w:style w:type="paragraph" w:styleId="3">
    <w:name w:val="heading 2"/>
    <w:basedOn w:val="1"/>
    <w:next w:val="1"/>
    <w:link w:val="35"/>
    <w:unhideWhenUsed/>
    <w:qFormat/>
    <w:uiPriority w:val="0"/>
    <w:pPr>
      <w:adjustRightInd w:val="0"/>
      <w:snapToGrid w:val="0"/>
      <w:spacing w:line="360" w:lineRule="auto"/>
      <w:ind w:left="0" w:firstLine="723" w:firstLineChars="200"/>
      <w:jc w:val="both"/>
      <w:outlineLvl w:val="1"/>
    </w:pPr>
    <w:rPr>
      <w:rFonts w:ascii="Times New Roman" w:hAnsi="Times New Roman" w:eastAsia="宋体" w:cs="宋体"/>
      <w:b/>
      <w:bCs/>
      <w:sz w:val="32"/>
      <w:szCs w:val="28"/>
      <w:lang w:val="zh-CN" w:bidi="zh-CN"/>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rFonts w:eastAsia="宋体"/>
      <w:b/>
      <w:sz w:val="28"/>
    </w:rPr>
  </w:style>
  <w:style w:type="paragraph" w:styleId="5">
    <w:name w:val="heading 4"/>
    <w:basedOn w:val="1"/>
    <w:next w:val="1"/>
    <w:semiHidden/>
    <w:unhideWhenUsed/>
    <w:qFormat/>
    <w:uiPriority w:val="0"/>
    <w:pPr>
      <w:spacing w:before="100" w:beforeLines="100" w:after="80"/>
      <w:ind w:left="0" w:firstLine="0"/>
      <w:jc w:val="both"/>
      <w:outlineLvl w:val="3"/>
    </w:pPr>
    <w:rPr>
      <w:rFonts w:ascii="Times New Roman" w:hAnsi="Times New Roman" w:eastAsia="宋体" w:cstheme="minorBidi"/>
      <w:b/>
      <w:bCs/>
      <w:sz w:val="24"/>
      <w:szCs w:val="24"/>
    </w:rPr>
  </w:style>
  <w:style w:type="paragraph" w:styleId="6">
    <w:name w:val="heading 5"/>
    <w:basedOn w:val="1"/>
    <w:next w:val="1"/>
    <w:semiHidden/>
    <w:unhideWhenUsed/>
    <w:qFormat/>
    <w:uiPriority w:val="0"/>
    <w:pPr>
      <w:keepNext/>
      <w:keepLines/>
      <w:spacing w:before="100" w:beforeLines="100" w:beforeAutospacing="0" w:after="80" w:afterAutospacing="0" w:line="240" w:lineRule="auto"/>
      <w:jc w:val="both"/>
      <w:outlineLvl w:val="4"/>
    </w:pPr>
    <w:rPr>
      <w:rFonts w:ascii="Times New Roman" w:hAnsi="Times New Roman" w:eastAsia="宋体" w:cs="宋体"/>
      <w:b/>
      <w:sz w:val="24"/>
      <w:szCs w:val="22"/>
      <w:lang w:val="zh-CN" w:bidi="zh-CN"/>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rPr>
      <w:sz w:val="28"/>
    </w:rPr>
  </w:style>
  <w:style w:type="paragraph" w:customStyle="1" w:styleId="8">
    <w:name w:val="正文首行缩进2个字 Char"/>
    <w:basedOn w:val="1"/>
    <w:qFormat/>
    <w:uiPriority w:val="0"/>
    <w:pPr>
      <w:ind w:firstLine="480" w:firstLineChars="200"/>
    </w:pPr>
    <w:rPr>
      <w:rFonts w:eastAsia="楷体"/>
      <w:sz w:val="24"/>
      <w:szCs w:val="24"/>
    </w:rPr>
  </w:style>
  <w:style w:type="paragraph" w:styleId="9">
    <w:name w:val="annotation text"/>
    <w:basedOn w:val="1"/>
    <w:qFormat/>
    <w:uiPriority w:val="0"/>
    <w:pPr>
      <w:jc w:val="left"/>
    </w:pPr>
  </w:style>
  <w:style w:type="paragraph" w:styleId="10">
    <w:name w:val="Body Text"/>
    <w:basedOn w:val="1"/>
    <w:next w:val="1"/>
    <w:qFormat/>
    <w:uiPriority w:val="1"/>
    <w:rPr>
      <w:rFonts w:ascii="宋体" w:hAnsi="宋体" w:eastAsia="宋体" w:cs="宋体"/>
      <w:sz w:val="24"/>
      <w:szCs w:val="24"/>
      <w:lang w:val="zh-CN" w:eastAsia="zh-CN" w:bidi="zh-CN"/>
    </w:rPr>
  </w:style>
  <w:style w:type="paragraph" w:styleId="11">
    <w:name w:val="Body Text Indent"/>
    <w:basedOn w:val="1"/>
    <w:qFormat/>
    <w:uiPriority w:val="0"/>
    <w:pPr>
      <w:spacing w:after="120"/>
      <w:ind w:left="420" w:leftChars="200"/>
    </w:pPr>
  </w:style>
  <w:style w:type="paragraph" w:styleId="12">
    <w:name w:val="Block Text"/>
    <w:basedOn w:val="1"/>
    <w:qFormat/>
    <w:uiPriority w:val="0"/>
    <w:pPr>
      <w:ind w:left="113" w:right="113"/>
    </w:pPr>
  </w:style>
  <w:style w:type="paragraph" w:styleId="13">
    <w:name w:val="toc 3"/>
    <w:basedOn w:val="1"/>
    <w:next w:val="1"/>
    <w:qFormat/>
    <w:uiPriority w:val="0"/>
    <w:pPr>
      <w:ind w:left="840" w:leftChars="400"/>
    </w:pPr>
  </w:style>
  <w:style w:type="paragraph" w:styleId="14">
    <w:name w:val="Plain Text"/>
    <w:basedOn w:val="1"/>
    <w:next w:val="15"/>
    <w:qFormat/>
    <w:uiPriority w:val="0"/>
    <w:rPr>
      <w:rFonts w:ascii="宋体" w:hAnsi="Courier New"/>
    </w:rPr>
  </w:style>
  <w:style w:type="paragraph" w:styleId="15">
    <w:name w:val="toc 1"/>
    <w:basedOn w:val="1"/>
    <w:next w:val="1"/>
    <w:qFormat/>
    <w:uiPriority w:val="0"/>
    <w:pPr>
      <w:tabs>
        <w:tab w:val="left" w:pos="5760"/>
      </w:tabs>
      <w:adjustRightInd w:val="0"/>
      <w:snapToGrid w:val="0"/>
      <w:jc w:val="center"/>
    </w:pPr>
    <w:rPr>
      <w:rFonts w:ascii="宋体" w:hAnsi="宋体"/>
      <w:sz w:val="24"/>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2"/>
    <w:basedOn w:val="1"/>
    <w:next w:val="1"/>
    <w:qFormat/>
    <w:uiPriority w:val="0"/>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2"/>
    <w:basedOn w:val="11"/>
    <w:next w:val="1"/>
    <w:qFormat/>
    <w:uiPriority w:val="0"/>
    <w:pPr>
      <w:spacing w:after="120"/>
      <w:ind w:left="420" w:leftChars="200"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paragraph" w:customStyle="1" w:styleId="25">
    <w:name w:val="报告表表头"/>
    <w:basedOn w:val="1"/>
    <w:qFormat/>
    <w:uiPriority w:val="0"/>
    <w:pPr>
      <w:spacing w:before="120" w:after="120"/>
      <w:jc w:val="center"/>
    </w:pPr>
    <w:rPr>
      <w:rFonts w:ascii="Times New Roman" w:hAnsi="Times New Roman" w:eastAsia="黑体" w:cs="宋体"/>
      <w:sz w:val="24"/>
      <w:szCs w:val="20"/>
      <w:lang w:val="zh-CN" w:bidi="zh-CN"/>
    </w:rPr>
  </w:style>
  <w:style w:type="paragraph" w:styleId="26">
    <w:name w:val="List Paragraph"/>
    <w:basedOn w:val="1"/>
    <w:qFormat/>
    <w:uiPriority w:val="1"/>
    <w:pPr>
      <w:spacing w:before="160"/>
      <w:ind w:left="0" w:firstLine="0"/>
      <w:jc w:val="both"/>
    </w:pPr>
    <w:rPr>
      <w:rFonts w:ascii="Times New Roman" w:hAnsi="Times New Roman" w:eastAsia="宋体" w:cs="Times New Roman"/>
      <w:sz w:val="22"/>
    </w:rPr>
  </w:style>
  <w:style w:type="paragraph" w:customStyle="1" w:styleId="27">
    <w:name w:val="表头(G)"/>
    <w:basedOn w:val="1"/>
    <w:link w:val="28"/>
    <w:semiHidden/>
    <w:qFormat/>
    <w:uiPriority w:val="0"/>
    <w:pPr>
      <w:tabs>
        <w:tab w:val="left" w:pos="1021"/>
      </w:tabs>
      <w:adjustRightInd w:val="0"/>
      <w:spacing w:line="480" w:lineRule="exact"/>
      <w:jc w:val="center"/>
    </w:pPr>
    <w:rPr>
      <w:rFonts w:ascii="Times New Roman" w:hAnsi="Times New Roman" w:eastAsia="黑体" w:cs="Times New Roman"/>
      <w:color w:val="000000"/>
      <w:kern w:val="24"/>
      <w:sz w:val="24"/>
    </w:rPr>
  </w:style>
  <w:style w:type="character" w:customStyle="1" w:styleId="28">
    <w:name w:val="表头(G) Char Char"/>
    <w:link w:val="27"/>
    <w:semiHidden/>
    <w:qFormat/>
    <w:locked/>
    <w:uiPriority w:val="0"/>
    <w:rPr>
      <w:rFonts w:ascii="Times New Roman" w:hAnsi="Times New Roman" w:eastAsia="黑体" w:cs="Times New Roman"/>
      <w:color w:val="000000"/>
      <w:kern w:val="24"/>
      <w:sz w:val="24"/>
      <w:szCs w:val="24"/>
    </w:rPr>
  </w:style>
  <w:style w:type="paragraph" w:customStyle="1" w:styleId="29">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0">
    <w:name w:val="表格"/>
    <w:basedOn w:val="1"/>
    <w:qFormat/>
    <w:uiPriority w:val="0"/>
    <w:pPr>
      <w:widowControl/>
      <w:spacing w:line="240" w:lineRule="auto"/>
      <w:ind w:firstLine="0" w:firstLineChars="0"/>
      <w:jc w:val="center"/>
    </w:pPr>
    <w:rPr>
      <w:rFonts w:hint="eastAsia" w:ascii="Times New Roman" w:hAnsi="Times New Roman" w:eastAsia="宋体"/>
      <w:color w:val="000000"/>
      <w:sz w:val="21"/>
      <w:szCs w:val="21"/>
      <w:lang w:val="en-US" w:bidi="ar"/>
    </w:rPr>
  </w:style>
  <w:style w:type="paragraph" w:customStyle="1" w:styleId="31">
    <w:name w:val="Table Paragraph"/>
    <w:basedOn w:val="1"/>
    <w:qFormat/>
    <w:uiPriority w:val="1"/>
    <w:pPr>
      <w:jc w:val="center"/>
    </w:pPr>
    <w:rPr>
      <w:rFonts w:ascii="宋体" w:hAnsi="宋体" w:eastAsia="宋体" w:cs="宋体"/>
      <w:lang w:val="zh-CN" w:eastAsia="zh-CN" w:bidi="zh-CN"/>
    </w:rPr>
  </w:style>
  <w:style w:type="paragraph" w:customStyle="1" w:styleId="32">
    <w:name w:val="表格文字"/>
    <w:basedOn w:val="33"/>
    <w:next w:val="1"/>
    <w:qFormat/>
    <w:uiPriority w:val="0"/>
    <w:pPr>
      <w:jc w:val="center"/>
    </w:pPr>
    <w:rPr>
      <w:rFonts w:ascii="仿宋_GB2312" w:hAnsi="Arial Black" w:eastAsia="仿宋_GB2312"/>
      <w:kern w:val="44"/>
      <w:sz w:val="24"/>
    </w:rPr>
  </w:style>
  <w:style w:type="paragraph" w:customStyle="1" w:styleId="33">
    <w:name w:val="正文东铝"/>
    <w:basedOn w:val="1"/>
    <w:qFormat/>
    <w:uiPriority w:val="0"/>
    <w:pPr>
      <w:spacing w:line="520" w:lineRule="exact"/>
      <w:ind w:firstLine="200" w:firstLineChars="200"/>
      <w:jc w:val="left"/>
    </w:pPr>
    <w:rPr>
      <w:color w:val="000000"/>
      <w:sz w:val="24"/>
      <w:szCs w:val="22"/>
    </w:rPr>
  </w:style>
  <w:style w:type="paragraph" w:customStyle="1" w:styleId="34">
    <w:name w:val="报告正文"/>
    <w:basedOn w:val="1"/>
    <w:qFormat/>
    <w:uiPriority w:val="0"/>
    <w:pPr>
      <w:spacing w:line="360" w:lineRule="auto"/>
      <w:ind w:firstLine="480" w:firstLineChars="200"/>
    </w:pPr>
    <w:rPr>
      <w:color w:val="000000"/>
      <w:sz w:val="24"/>
      <w:szCs w:val="22"/>
    </w:rPr>
  </w:style>
  <w:style w:type="character" w:customStyle="1" w:styleId="35">
    <w:name w:val="标题 2 Char"/>
    <w:link w:val="3"/>
    <w:qFormat/>
    <w:uiPriority w:val="0"/>
    <w:rPr>
      <w:rFonts w:ascii="Times New Roman" w:hAnsi="Times New Roman" w:eastAsia="宋体" w:cs="宋体"/>
      <w:b/>
      <w:bCs/>
      <w:sz w:val="32"/>
      <w:szCs w:val="28"/>
      <w:lang w:val="zh-CN" w:bidi="zh-CN"/>
    </w:rPr>
  </w:style>
  <w:style w:type="paragraph" w:customStyle="1" w:styleId="36">
    <w:name w:val="无间隔11"/>
    <w:basedOn w:val="1"/>
    <w:qFormat/>
    <w:uiPriority w:val="0"/>
    <w:pPr>
      <w:spacing w:line="360" w:lineRule="exact"/>
    </w:pPr>
    <w:rPr>
      <w:szCs w:val="21"/>
    </w:rPr>
  </w:style>
  <w:style w:type="paragraph" w:customStyle="1" w:styleId="37">
    <w:name w:val="表头1"/>
    <w:basedOn w:val="1"/>
    <w:qFormat/>
    <w:uiPriority w:val="0"/>
    <w:pPr>
      <w:jc w:val="center"/>
    </w:pPr>
    <w:rPr>
      <w:rFonts w:eastAsia="黑体"/>
      <w:szCs w:val="20"/>
    </w:rPr>
  </w:style>
  <w:style w:type="paragraph" w:customStyle="1" w:styleId="38">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39">
    <w:name w:val="二级标题"/>
    <w:basedOn w:val="3"/>
    <w:qFormat/>
    <w:uiPriority w:val="0"/>
    <w:pPr>
      <w:tabs>
        <w:tab w:val="left" w:pos="360"/>
        <w:tab w:val="left" w:pos="578"/>
      </w:tabs>
      <w:adjustRightInd w:val="0"/>
      <w:snapToGrid w:val="0"/>
      <w:spacing w:before="0" w:beforeLines="0" w:after="0" w:afterLines="0"/>
    </w:pPr>
    <w:rPr>
      <w:rFonts w:eastAsia="黑体"/>
      <w:snapToGrid w:val="0"/>
      <w:color w:val="000000"/>
      <w:sz w:val="28"/>
      <w:szCs w:val="28"/>
    </w:rPr>
  </w:style>
  <w:style w:type="paragraph" w:customStyle="1" w:styleId="40">
    <w:name w:val="p0"/>
    <w:basedOn w:val="1"/>
    <w:qFormat/>
    <w:uiPriority w:val="0"/>
    <w:pPr>
      <w:widowControl/>
    </w:pPr>
    <w:rPr>
      <w:rFonts w:hint="eastAsia"/>
      <w:szCs w:val="21"/>
    </w:rPr>
  </w:style>
  <w:style w:type="paragraph" w:customStyle="1" w:styleId="41">
    <w:name w:val="1.1.1"/>
    <w:basedOn w:val="1"/>
    <w:next w:val="1"/>
    <w:qFormat/>
    <w:uiPriority w:val="0"/>
    <w:rPr>
      <w:rFonts w:ascii="黑体"/>
      <w:sz w:val="24"/>
    </w:rPr>
  </w:style>
  <w:style w:type="paragraph" w:customStyle="1" w:styleId="42">
    <w:name w:val="表1"/>
    <w:next w:val="1"/>
    <w:qFormat/>
    <w:uiPriority w:val="0"/>
    <w:pPr>
      <w:widowControl w:val="0"/>
      <w:spacing w:line="520" w:lineRule="exact"/>
      <w:ind w:firstLine="200" w:firstLineChars="200"/>
      <w:jc w:val="both"/>
    </w:pPr>
    <w:rPr>
      <w:rFonts w:ascii="Times New Roman" w:hAnsi="Times New Roman" w:eastAsia="黑体" w:cs="Times New Roman"/>
      <w:kern w:val="2"/>
      <w:sz w:val="24"/>
      <w:szCs w:val="22"/>
      <w:lang w:val="en-US" w:eastAsia="zh-CN" w:bidi="ar-SA"/>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表格标题样式"/>
    <w:basedOn w:val="1"/>
    <w:qFormat/>
    <w:uiPriority w:val="0"/>
    <w:pPr>
      <w:spacing w:line="360" w:lineRule="auto"/>
      <w:jc w:val="center"/>
    </w:pPr>
    <w:rPr>
      <w:rFonts w:eastAsia="黑体"/>
      <w:color w:val="000000"/>
      <w:kern w:val="0"/>
      <w:sz w:val="24"/>
      <w:szCs w:val="20"/>
    </w:rPr>
  </w:style>
  <w:style w:type="paragraph" w:customStyle="1" w:styleId="45">
    <w:name w:val="00"/>
    <w:basedOn w:val="1"/>
    <w:qFormat/>
    <w:uiPriority w:val="0"/>
    <w:pPr>
      <w:spacing w:line="520" w:lineRule="exact"/>
      <w:ind w:firstLine="480"/>
    </w:pPr>
    <w:rPr>
      <w:rFonts w:hAnsi="宋体"/>
      <w:sz w:val="24"/>
    </w:rPr>
  </w:style>
  <w:style w:type="paragraph" w:customStyle="1" w:styleId="46">
    <w:name w:val="表内 定"/>
    <w:basedOn w:val="1"/>
    <w:qFormat/>
    <w:uiPriority w:val="0"/>
    <w:pPr>
      <w:jc w:val="left"/>
    </w:pPr>
    <w:rPr>
      <w:rFonts w:eastAsia="仿宋"/>
      <w:snapToGrid w:val="0"/>
      <w:color w:val="000000"/>
      <w:kern w:val="0"/>
      <w:sz w:val="20"/>
      <w:szCs w:val="22"/>
    </w:rPr>
  </w:style>
  <w:style w:type="paragraph" w:customStyle="1" w:styleId="47">
    <w:name w:val="日化表格"/>
    <w:basedOn w:val="1"/>
    <w:qFormat/>
    <w:uiPriority w:val="0"/>
    <w:pPr>
      <w:adjustRightInd w:val="0"/>
      <w:snapToGrid w:val="0"/>
      <w:spacing w:line="360" w:lineRule="exact"/>
      <w:jc w:val="center"/>
    </w:pPr>
    <w:rPr>
      <w:szCs w:val="21"/>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 w:type="paragraph" w:customStyle="1" w:styleId="49">
    <w:name w:val="WPSOffice手动目录 2"/>
    <w:qFormat/>
    <w:uiPriority w:val="0"/>
    <w:pPr>
      <w:ind w:leftChars="200"/>
    </w:pPr>
    <w:rPr>
      <w:rFonts w:ascii="Times New Roman" w:hAnsi="Times New Roman" w:eastAsia="宋体" w:cs="Times New Roman"/>
      <w:sz w:val="20"/>
      <w:szCs w:val="20"/>
    </w:rPr>
  </w:style>
  <w:style w:type="character" w:customStyle="1" w:styleId="50">
    <w:name w:val="font21"/>
    <w:basedOn w:val="23"/>
    <w:qFormat/>
    <w:uiPriority w:val="0"/>
    <w:rPr>
      <w:rFonts w:hint="eastAsia" w:ascii="宋体" w:hAnsi="宋体" w:eastAsia="宋体" w:cs="宋体"/>
      <w:color w:val="000000"/>
      <w:sz w:val="22"/>
      <w:szCs w:val="22"/>
      <w:u w:val="none"/>
    </w:rPr>
  </w:style>
  <w:style w:type="paragraph" w:customStyle="1" w:styleId="5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54.png"/><Relationship Id="rId68" Type="http://schemas.openxmlformats.org/officeDocument/2006/relationships/image" Target="media/image53.jpe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bmp"/><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wmf"/><Relationship Id="rId40" Type="http://schemas.openxmlformats.org/officeDocument/2006/relationships/oleObject" Target="embeddings/oleObject4.bin"/><Relationship Id="rId4" Type="http://schemas.openxmlformats.org/officeDocument/2006/relationships/endnotes" Target="endnotes.xml"/><Relationship Id="rId39" Type="http://schemas.openxmlformats.org/officeDocument/2006/relationships/image" Target="media/image25.wmf"/><Relationship Id="rId38" Type="http://schemas.openxmlformats.org/officeDocument/2006/relationships/oleObject" Target="embeddings/oleObject3.bin"/><Relationship Id="rId37" Type="http://schemas.openxmlformats.org/officeDocument/2006/relationships/image" Target="media/image24.wmf"/><Relationship Id="rId36" Type="http://schemas.openxmlformats.org/officeDocument/2006/relationships/oleObject" Target="embeddings/oleObject2.bin"/><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218</Pages>
  <Words>135511</Words>
  <Characters>168791</Characters>
  <Lines>0</Lines>
  <Paragraphs>0</Paragraphs>
  <TotalTime>8</TotalTime>
  <ScaleCrop>false</ScaleCrop>
  <LinksUpToDate>false</LinksUpToDate>
  <CharactersWithSpaces>170678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2021-07-09T08:12:00Z</dcterms:created>
  <dc:creator>小龙</dc:creator>
  <cp:lastModifiedBy>小龙</cp:lastModifiedBy>
  <dcterms:modified xsi:type="dcterms:W3CDTF">2022-01-25T14:28:17Z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EE00C0D0BC444F44BD4521B7C74F5146</vt:lpwstr>
  </property>
</Properties>
</file>