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hint="eastAsia" w:cs="Times New Roman"/>
          <w:b/>
          <w:color w:val="000000"/>
          <w:sz w:val="44"/>
          <w:szCs w:val="44"/>
        </w:rPr>
      </w:pPr>
      <w:r>
        <w:rPr>
          <w:rFonts w:cs="Times New Roman"/>
          <w:b/>
          <w:color w:val="000000"/>
          <w:sz w:val="52"/>
          <w:szCs w:val="52"/>
        </w:rPr>
        <w:t>叶县农业农村局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cs="Times New Roman"/>
          <w:b/>
          <w:color w:val="000000"/>
          <w:sz w:val="44"/>
          <w:szCs w:val="44"/>
        </w:rPr>
      </w:pPr>
      <w:r>
        <w:rPr>
          <w:rFonts w:cs="Times New Roman"/>
          <w:b/>
          <w:color w:val="000000"/>
          <w:sz w:val="44"/>
          <w:szCs w:val="44"/>
        </w:rPr>
        <w:t>关于印发叶县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color w:val="000000"/>
          <w:sz w:val="44"/>
          <w:szCs w:val="44"/>
        </w:rPr>
        <w:t>2</w:t>
      </w:r>
      <w:r>
        <w:rPr>
          <w:rFonts w:cs="Times New Roman"/>
          <w:b/>
          <w:color w:val="000000"/>
          <w:sz w:val="44"/>
          <w:szCs w:val="44"/>
        </w:rPr>
        <w:t>年生猪良种补贴项目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ascii="Times New Roman" w:hAnsi="Times New Roman" w:cs="Times New Roman"/>
          <w:b/>
          <w:color w:val="000000"/>
          <w:sz w:val="44"/>
          <w:szCs w:val="44"/>
        </w:rPr>
      </w:pPr>
      <w:bookmarkStart w:id="3" w:name="_GoBack"/>
      <w:bookmarkEnd w:id="3"/>
      <w:r>
        <w:rPr>
          <w:rFonts w:cs="Times New Roman"/>
          <w:b/>
          <w:color w:val="000000"/>
          <w:sz w:val="44"/>
          <w:szCs w:val="44"/>
        </w:rPr>
        <w:t>实施方案的通知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OLE_LINK12"/>
      <w:r>
        <w:rPr>
          <w:rFonts w:ascii="仿宋" w:hAnsi="仿宋" w:eastAsia="仿宋" w:cs="Times New Roman"/>
          <w:color w:val="000000"/>
          <w:sz w:val="32"/>
          <w:szCs w:val="32"/>
        </w:rPr>
        <w:t>各乡（镇、街道办）农业服务中心，各相关养殖场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（户）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平顶山市</w:t>
      </w:r>
      <w:r>
        <w:rPr>
          <w:rFonts w:ascii="仿宋" w:hAnsi="仿宋" w:eastAsia="仿宋" w:cs="Times New Roman"/>
          <w:color w:val="000000"/>
          <w:sz w:val="32"/>
          <w:szCs w:val="32"/>
        </w:rPr>
        <w:t>农业农村局关于印发《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平顶山市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年生猪良种补贴项目实施方案的通知》文件精神，制定了《叶县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年生猪良种补贴项目实施方案》，现印发给你们，请认真贯彻执行。</w:t>
      </w:r>
    </w:p>
    <w:bookmarkEnd w:id="0"/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附：叶县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年生猪良种补贴项目实施方案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5203" w:firstLineChars="1626"/>
        <w:textAlignment w:val="baseline"/>
        <w:rPr>
          <w:rFonts w:hint="eastAsia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2022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480"/>
        <w:textAlignment w:val="baseline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cs="Times New Roman"/>
          <w:b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1" w:name="OLE_LINK18"/>
      <w:bookmarkStart w:id="2" w:name="OLE_LINK19"/>
      <w:r>
        <w:rPr>
          <w:rFonts w:hint="eastAsia" w:cs="Times New Roman"/>
          <w:b/>
          <w:color w:val="000000"/>
          <w:sz w:val="32"/>
          <w:szCs w:val="32"/>
        </w:rPr>
        <w:t>附件：</w:t>
      </w:r>
    </w:p>
    <w:bookmarkEnd w:id="1"/>
    <w:bookmarkEnd w:id="2"/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cs="Times New Roman"/>
          <w:b/>
          <w:color w:val="000000"/>
          <w:sz w:val="44"/>
          <w:szCs w:val="44"/>
        </w:rPr>
        <w:t>叶县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cs="Times New Roman"/>
          <w:b/>
          <w:color w:val="000000"/>
          <w:sz w:val="44"/>
          <w:szCs w:val="44"/>
        </w:rPr>
        <w:t>2</w:t>
      </w:r>
      <w:r>
        <w:rPr>
          <w:rFonts w:cs="Times New Roman"/>
          <w:b/>
          <w:color w:val="000000"/>
          <w:sz w:val="44"/>
          <w:szCs w:val="44"/>
        </w:rPr>
        <w:t>年生猪良种补贴项目实施方案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为提高我县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生</w:t>
      </w:r>
      <w:r>
        <w:rPr>
          <w:rFonts w:ascii="仿宋" w:hAnsi="仿宋" w:eastAsia="仿宋" w:cs="Times New Roman"/>
          <w:color w:val="000000"/>
          <w:sz w:val="32"/>
          <w:szCs w:val="32"/>
        </w:rPr>
        <w:t>猪良种化水平，加快生猪良种改良步伐，促进生猪生产发展，根据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平顶山市</w:t>
      </w:r>
      <w:r>
        <w:rPr>
          <w:rFonts w:ascii="仿宋" w:hAnsi="仿宋" w:eastAsia="仿宋" w:cs="Times New Roman"/>
          <w:color w:val="000000"/>
          <w:sz w:val="32"/>
          <w:szCs w:val="32"/>
        </w:rPr>
        <w:t>农业农村局关于印发《平顶山市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Times New Roman"/>
          <w:color w:val="000000"/>
          <w:sz w:val="32"/>
          <w:szCs w:val="32"/>
        </w:rPr>
        <w:t>年生猪良种补贴项目实施方案的通知》文件精神，结合我县实际情况，制定本实施方案。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color w:val="000000"/>
          <w:sz w:val="32"/>
          <w:szCs w:val="32"/>
        </w:rPr>
        <w:t>一、目标任务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全年完成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1.375万头</w:t>
      </w:r>
      <w:r>
        <w:rPr>
          <w:rFonts w:ascii="仿宋" w:hAnsi="仿宋" w:eastAsia="仿宋" w:cs="Times New Roman"/>
          <w:color w:val="000000"/>
          <w:sz w:val="32"/>
          <w:szCs w:val="32"/>
        </w:rPr>
        <w:t>能繁母猪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良种补贴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二、实施内容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（一）补贴对象。</w:t>
      </w:r>
      <w:r>
        <w:rPr>
          <w:rFonts w:ascii="仿宋" w:hAnsi="仿宋" w:eastAsia="仿宋" w:cs="Times New Roman"/>
          <w:color w:val="000000"/>
          <w:sz w:val="32"/>
          <w:szCs w:val="32"/>
        </w:rPr>
        <w:t>叶县范围内使用良种猪精液开展人工授精的生猪养殖场（户）进行补贴。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（二）补贴标准。</w:t>
      </w:r>
      <w:r>
        <w:rPr>
          <w:rFonts w:ascii="仿宋" w:hAnsi="仿宋" w:eastAsia="仿宋" w:cs="Times New Roman"/>
          <w:color w:val="000000"/>
          <w:sz w:val="32"/>
          <w:szCs w:val="32"/>
        </w:rPr>
        <w:t>按照每头能繁母猪每年使用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份精液计算，每份精液补贴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10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（三）实施期限。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项目实施时间自方案下发之日起计算，2022年12月31日前完成全部任务，项目资金补完为止。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三、责任分工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楷体" w:hAnsi="楷体" w:eastAsia="楷体" w:cs="Times New Roman"/>
          <w:b/>
          <w:color w:val="000000"/>
          <w:sz w:val="32"/>
          <w:szCs w:val="32"/>
        </w:rPr>
        <w:t>（一）县农业农村局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负责全县项目的实施和监管，对项目的各种资料、数据、档案等真实性负责。根据省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sz w:val="32"/>
          <w:szCs w:val="32"/>
        </w:rPr>
        <w:t>市项目实施方案，编制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本</w:t>
      </w:r>
      <w:r>
        <w:rPr>
          <w:rFonts w:ascii="仿宋" w:hAnsi="仿宋" w:eastAsia="仿宋" w:cs="Times New Roman"/>
          <w:color w:val="000000"/>
          <w:sz w:val="32"/>
          <w:szCs w:val="32"/>
        </w:rPr>
        <w:t>县的实施方案，并组织实施；确定项目供精单位及种公猪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（标准参考附件1），明确精液价格等，供精单位可在全省范围内选定，不得超过5家，并报市级和省级备案（详见附件2）</w:t>
      </w:r>
      <w:r>
        <w:rPr>
          <w:rFonts w:ascii="仿宋" w:hAnsi="仿宋" w:eastAsia="仿宋" w:cs="Times New Roman"/>
          <w:color w:val="000000"/>
          <w:sz w:val="32"/>
          <w:szCs w:val="32"/>
        </w:rPr>
        <w:t>；对基层技术人员和养殖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场（户）</w:t>
      </w:r>
      <w:r>
        <w:rPr>
          <w:rFonts w:ascii="仿宋" w:hAnsi="仿宋" w:eastAsia="仿宋" w:cs="Times New Roman"/>
          <w:color w:val="000000"/>
          <w:sz w:val="32"/>
          <w:szCs w:val="32"/>
        </w:rPr>
        <w:t>开展技术培训；加强供精单位、人工授精技术员管理；指导供精单位和养殖场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（户）填写猪精液发放</w:t>
      </w:r>
      <w:r>
        <w:rPr>
          <w:rFonts w:ascii="仿宋" w:hAnsi="仿宋" w:eastAsia="仿宋" w:cs="Times New Roman"/>
          <w:color w:val="000000"/>
          <w:sz w:val="32"/>
          <w:szCs w:val="32"/>
        </w:rPr>
        <w:t>、使用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登记表</w:t>
      </w:r>
      <w:r>
        <w:rPr>
          <w:rFonts w:ascii="仿宋" w:hAnsi="仿宋" w:eastAsia="仿宋" w:cs="Times New Roman"/>
          <w:color w:val="000000"/>
          <w:sz w:val="32"/>
          <w:szCs w:val="32"/>
        </w:rPr>
        <w:t>（详见附表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）；定期对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养殖场（户）</w:t>
      </w:r>
      <w:r>
        <w:rPr>
          <w:rFonts w:ascii="仿宋" w:hAnsi="仿宋" w:eastAsia="仿宋" w:cs="Times New Roman"/>
          <w:color w:val="000000"/>
          <w:sz w:val="32"/>
          <w:szCs w:val="32"/>
        </w:rPr>
        <w:t>进行核查，做好项目实施效果跟踪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ascii="仿宋" w:hAnsi="仿宋" w:eastAsia="仿宋" w:cs="Times New Roman"/>
          <w:color w:val="000000"/>
          <w:sz w:val="32"/>
          <w:szCs w:val="32"/>
        </w:rPr>
        <w:t>如实填写项目实施效果跟踪表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（详见附件4）；及时协调财政部门做好项目补贴资金结算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楷体" w:hAnsi="楷体" w:eastAsia="楷体" w:cs="Times New Roman"/>
          <w:b/>
          <w:color w:val="000000"/>
          <w:sz w:val="32"/>
          <w:szCs w:val="32"/>
        </w:rPr>
        <w:t>（二）县财政局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负责项目资金使用情况的监督检查，按照项目实施进度及时做好项目补贴资金结算工作。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楷体" w:hAnsi="楷体" w:eastAsia="楷体" w:cs="Times New Roman"/>
          <w:b/>
          <w:color w:val="000000"/>
          <w:sz w:val="32"/>
          <w:szCs w:val="32"/>
        </w:rPr>
        <w:t>（三）供精单位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做好项目宣传，认真核查供精范围内养殖场（户）和能繁母猪存栏数量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ascii="仿宋" w:hAnsi="仿宋" w:eastAsia="仿宋" w:cs="Times New Roman"/>
          <w:color w:val="000000"/>
          <w:sz w:val="32"/>
          <w:szCs w:val="32"/>
        </w:rPr>
        <w:t>按要求自行建立完善人工授精台账，如实填写养殖场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（户）</w:t>
      </w:r>
      <w:r>
        <w:rPr>
          <w:rFonts w:ascii="仿宋" w:hAnsi="仿宋" w:eastAsia="仿宋" w:cs="Times New Roman"/>
          <w:color w:val="000000"/>
          <w:sz w:val="32"/>
          <w:szCs w:val="32"/>
        </w:rPr>
        <w:t>姓名、人工授精的母猪数量以及养殖场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（户）</w:t>
      </w:r>
      <w:r>
        <w:rPr>
          <w:rFonts w:ascii="仿宋" w:hAnsi="仿宋" w:eastAsia="仿宋" w:cs="Times New Roman"/>
          <w:color w:val="000000"/>
          <w:sz w:val="32"/>
          <w:szCs w:val="32"/>
        </w:rPr>
        <w:t>的签字、盖章（手印）等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</w:t>
      </w:r>
      <w:r>
        <w:rPr>
          <w:rFonts w:ascii="仿宋" w:hAnsi="仿宋" w:eastAsia="仿宋" w:cs="Times New Roman"/>
          <w:color w:val="000000"/>
          <w:sz w:val="32"/>
          <w:szCs w:val="32"/>
        </w:rPr>
        <w:t>按照项目区精液需求组织生产和运送，确保猪精液质量和数量，并做好生产检验记录；精液产品包装加贴生猪良种补贴标签，注明种公猪品种、精液生产日期、活力水平等技术指标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  <w:r>
        <w:rPr>
          <w:rFonts w:ascii="仿宋" w:hAnsi="仿宋" w:eastAsia="仿宋" w:cs="Times New Roman"/>
          <w:color w:val="000000"/>
          <w:sz w:val="32"/>
          <w:szCs w:val="32"/>
        </w:rPr>
        <w:t>项目实施结束后，供精单位按照规定填写生猪良种补贴项目精液发放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ascii="仿宋" w:hAnsi="仿宋" w:eastAsia="仿宋" w:cs="Times New Roman"/>
          <w:color w:val="000000"/>
          <w:sz w:val="32"/>
          <w:szCs w:val="32"/>
        </w:rPr>
        <w:t>使用登记表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ascii="仿宋" w:hAnsi="仿宋" w:eastAsia="仿宋" w:cs="Times New Roman"/>
          <w:color w:val="000000"/>
          <w:sz w:val="32"/>
          <w:szCs w:val="32"/>
        </w:rPr>
        <w:t>报县农业农村局审核并存档备案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黑体" w:hAnsi="黑体" w:eastAsia="黑体" w:cs="Times New Roman"/>
          <w:b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color w:val="000000"/>
          <w:sz w:val="32"/>
          <w:szCs w:val="32"/>
        </w:rPr>
        <w:t>四、有关要求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Style w:val="9"/>
          <w:rFonts w:ascii="楷体" w:hAnsi="楷体" w:eastAsia="楷体" w:cs="Times New Roman"/>
          <w:color w:val="000000"/>
          <w:sz w:val="32"/>
          <w:szCs w:val="32"/>
        </w:rPr>
        <w:t>（一）强化指导，确保效果。</w:t>
      </w:r>
      <w:r>
        <w:rPr>
          <w:rFonts w:ascii="仿宋" w:hAnsi="仿宋" w:eastAsia="仿宋" w:cs="Times New Roman"/>
          <w:color w:val="000000"/>
          <w:sz w:val="32"/>
          <w:szCs w:val="32"/>
        </w:rPr>
        <w:t>农业农村部门要认真组织项目实施，及时指导和掌握项目进展、猪精液使用、项目资金拨付等情况，发现问题，及时解决。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9"/>
          <w:rFonts w:ascii="楷体" w:hAnsi="楷体" w:eastAsia="楷体" w:cs="Times New Roman"/>
          <w:color w:val="000000"/>
          <w:sz w:val="32"/>
          <w:szCs w:val="32"/>
        </w:rPr>
        <w:t>（二）广泛宣传，接受监督。</w:t>
      </w:r>
      <w:r>
        <w:rPr>
          <w:rFonts w:ascii="仿宋" w:hAnsi="仿宋" w:eastAsia="仿宋" w:cs="Times New Roman"/>
          <w:color w:val="000000"/>
          <w:sz w:val="32"/>
          <w:szCs w:val="32"/>
        </w:rPr>
        <w:t>按照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仿宋" w:hAnsi="仿宋" w:eastAsia="仿宋" w:cs="Times New Roman"/>
          <w:color w:val="000000"/>
          <w:sz w:val="32"/>
          <w:szCs w:val="32"/>
        </w:rPr>
        <w:t>政策公开、农民自愿、先到先补、补完为止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仿宋" w:hAnsi="仿宋" w:eastAsia="仿宋" w:cs="Times New Roman"/>
          <w:color w:val="000000"/>
          <w:sz w:val="32"/>
          <w:szCs w:val="32"/>
        </w:rPr>
        <w:t>的原则，抓好项目实施。及时向社会公布补贴政策、补贴标准、供精单位名称、种公猪耳号及精液价格，公开设立生猪良种补贴项目监督举报电话，接受社会监督。（叶县农业农村局监督电话：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0375—8053415</w:t>
      </w:r>
      <w:r>
        <w:rPr>
          <w:rFonts w:ascii="仿宋" w:hAnsi="仿宋" w:eastAsia="仿宋" w:cs="Times New Roman"/>
          <w:color w:val="000000"/>
          <w:sz w:val="32"/>
          <w:szCs w:val="32"/>
        </w:rPr>
        <w:t>）。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Style w:val="9"/>
          <w:rFonts w:ascii="楷体" w:hAnsi="楷体" w:eastAsia="楷体" w:cs="Times New Roman"/>
          <w:color w:val="000000"/>
          <w:sz w:val="32"/>
          <w:szCs w:val="32"/>
        </w:rPr>
        <w:t>（三）认真总结，按时上报。</w:t>
      </w:r>
      <w:r>
        <w:rPr>
          <w:rFonts w:ascii="仿宋" w:hAnsi="仿宋" w:eastAsia="仿宋" w:cs="Times New Roman"/>
          <w:color w:val="000000"/>
          <w:sz w:val="32"/>
          <w:szCs w:val="32"/>
        </w:rPr>
        <w:t>县农业农村局要在保证项目实施效果的前提下，加快项目实施进度。及时对实施效果进行评估，认真总结项目实施过程中的好经验、好做法，并将实施情况按时上报上级农业农村部门。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附表：</w:t>
      </w:r>
    </w:p>
    <w:p>
      <w:pPr>
        <w:autoSpaceDE w:val="0"/>
        <w:autoSpaceDN w:val="0"/>
        <w:adjustRightInd w:val="0"/>
        <w:spacing w:line="600" w:lineRule="exact"/>
        <w:ind w:firstLine="707" w:firstLineChars="221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、供精单位及种公猪选择标准</w:t>
      </w:r>
    </w:p>
    <w:p>
      <w:pPr>
        <w:autoSpaceDE w:val="0"/>
        <w:autoSpaceDN w:val="0"/>
        <w:adjustRightInd w:val="0"/>
        <w:spacing w:line="600" w:lineRule="exact"/>
        <w:ind w:firstLine="707" w:firstLineChars="221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2、河南省生猪良种补贴项目供精单位情况备案表</w:t>
      </w:r>
    </w:p>
    <w:p>
      <w:pPr>
        <w:autoSpaceDE w:val="0"/>
        <w:autoSpaceDN w:val="0"/>
        <w:adjustRightInd w:val="0"/>
        <w:spacing w:line="600" w:lineRule="exact"/>
        <w:ind w:firstLine="707" w:firstLineChars="221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河南省生猪良种补贴项目猪精液发放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使用登记表</w:t>
      </w:r>
    </w:p>
    <w:p>
      <w:pPr>
        <w:autoSpaceDE w:val="0"/>
        <w:autoSpaceDN w:val="0"/>
        <w:adjustRightInd w:val="0"/>
        <w:spacing w:line="600" w:lineRule="exact"/>
        <w:ind w:firstLine="707" w:firstLineChars="221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、河南省生猪良种补贴项目实施效果跟踪表</w:t>
      </w:r>
    </w:p>
    <w:p>
      <w:pPr>
        <w:spacing w:line="60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after="5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</w:pPr>
      <w:r>
        <w:rPr>
          <w:rFonts w:ascii="华文中宋" w:hAnsi="华文中宋" w:eastAsia="华文中宋"/>
          <w:color w:val="000000"/>
          <w:kern w:val="0"/>
          <w:sz w:val="36"/>
          <w:szCs w:val="36"/>
        </w:rPr>
        <w:t>供精单位及种公猪选择标准</w:t>
      </w:r>
    </w:p>
    <w:p>
      <w:pPr>
        <w:spacing w:line="600" w:lineRule="exact"/>
        <w:ind w:firstLine="630" w:firstLineChars="196"/>
        <w:rPr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30" w:firstLineChars="196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楷体" w:hAnsi="楷体" w:eastAsia="楷体"/>
          <w:b/>
          <w:bCs/>
          <w:color w:val="000000"/>
          <w:kern w:val="0"/>
          <w:sz w:val="32"/>
          <w:szCs w:val="32"/>
        </w:rPr>
        <w:t>1、种公猪品种和质量。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杜洛克猪、长白猪、大约克夏猪等国家批准的引进品种，培育品种（配套系）和地方品种（豫南黑猪和淮南猪、南阳黑猪、确山黑猪等）。要优先选用有生产性能测定成绩、遗传评估成绩优秀的种公猪。</w:t>
      </w:r>
    </w:p>
    <w:p>
      <w:pPr>
        <w:spacing w:line="600" w:lineRule="exact"/>
        <w:ind w:firstLine="630" w:firstLineChars="196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楷体" w:hAnsi="楷体" w:eastAsia="楷体"/>
          <w:b/>
          <w:bCs/>
          <w:color w:val="000000"/>
          <w:kern w:val="0"/>
          <w:sz w:val="32"/>
          <w:szCs w:val="32"/>
        </w:rPr>
        <w:t>2、供精单位。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供精单位必须取得《种畜禽生产经营许可证》；应优先选择独立建站，有必备的精液生产、检测、保存和运输设施且管理规范、种畜系谱档案齐全的站（场）作为项目供精单位；供精单位采精种公猪存栏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30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头以上，配备有种公猪饲养、精液采集、生产检验、动物防疫等专业技术人员，至少有一名获得国家资格认定的技术人员。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ascii="黑体" w:hAnsi="黑体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457" w:bottom="1440" w:left="145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河南省生猪良种补贴项目供精单位情况备案表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上报单位：      县（市、区）农业农村（畜牧）局                    上报日期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48"/>
        <w:gridCol w:w="1575"/>
        <w:gridCol w:w="1905"/>
        <w:gridCol w:w="1559"/>
        <w:gridCol w:w="1559"/>
        <w:gridCol w:w="1560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供精单位名称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种公猪情况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配种价格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头数（头）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种公猪ID号（括号内填写对应的猪耳牌号）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补贴后精液价格（元/剂）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配种收费（元/胎）</w:t>
            </w:r>
          </w:p>
        </w:tc>
        <w:tc>
          <w:tcPr>
            <w:tcW w:w="156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01" w:type="dxa"/>
            <w:vMerge w:val="continue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杜洛克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  <w:vMerge w:val="continue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长白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大白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培育品种和地方品种（豫南黑猪、淮南猪、南阳黑猪、确山黑猪）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01" w:type="dxa"/>
            <w:vMerge w:val="continue"/>
          </w:tcPr>
          <w:p>
            <w:pPr>
              <w:autoSpaceDE w:val="0"/>
              <w:autoSpaceDN w:val="0"/>
              <w:adjustRightInd w:val="0"/>
              <w:spacing w:before="312" w:beforeLines="100" w:after="62" w:afterLines="20" w:line="600" w:lineRule="exact"/>
              <w:jc w:val="left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合计头数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62" w:afterLines="20"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center"/>
        <w:rPr>
          <w:rFonts w:hint="eastAsia" w:ascii="Times New Roman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河南省生猪良种补贴项目猪精液发放、使用汇总表</w:t>
      </w:r>
    </w:p>
    <w:p>
      <w:pPr>
        <w:autoSpaceDE w:val="0"/>
        <w:autoSpaceDN w:val="0"/>
        <w:adjustRightInd w:val="0"/>
        <w:spacing w:after="50" w:line="60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供精单位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:                       </w:t>
      </w:r>
    </w:p>
    <w:tbl>
      <w:tblPr>
        <w:tblStyle w:val="5"/>
        <w:tblW w:w="5000" w:type="pct"/>
        <w:tblInd w:w="9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424"/>
        <w:gridCol w:w="1399"/>
        <w:gridCol w:w="1399"/>
        <w:gridCol w:w="3312"/>
        <w:gridCol w:w="3413"/>
        <w:gridCol w:w="1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养殖场户序号</w:t>
            </w:r>
          </w:p>
        </w:tc>
        <w:tc>
          <w:tcPr>
            <w:tcW w:w="5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养殖场户名称</w:t>
            </w: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/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存栏母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猪数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领取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精液数</w:t>
            </w:r>
          </w:p>
        </w:tc>
        <w:tc>
          <w:tcPr>
            <w:tcW w:w="11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122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9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8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before="312" w:beforeLines="100" w:after="62" w:afterLines="20" w:line="60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河南省生猪良种补贴项目实施效果跟踪表</w:t>
      </w:r>
    </w:p>
    <w:p>
      <w:pPr>
        <w:autoSpaceDE w:val="0"/>
        <w:autoSpaceDN w:val="0"/>
        <w:adjustRightInd w:val="0"/>
        <w:spacing w:after="50" w:line="600" w:lineRule="exact"/>
        <w:rPr>
          <w:rFonts w:hint="eastAsia" w:ascii="Times New Roman" w:hAnsi="Times New Roman" w:eastAsia="仿宋"/>
          <w:color w:val="000000"/>
          <w:sz w:val="44"/>
          <w:szCs w:val="44"/>
        </w:rPr>
      </w:pPr>
      <w:r>
        <w:rPr>
          <w:rFonts w:ascii="仿宋" w:hAnsi="仿宋" w:eastAsia="仿宋"/>
          <w:color w:val="000000"/>
          <w:sz w:val="24"/>
          <w:szCs w:val="24"/>
        </w:rPr>
        <w:t>供精单位</w:t>
      </w:r>
      <w:r>
        <w:rPr>
          <w:rFonts w:ascii="Times New Roman" w:hAnsi="Times New Roman" w:eastAsia="仿宋"/>
          <w:color w:val="000000"/>
          <w:sz w:val="24"/>
          <w:szCs w:val="24"/>
        </w:rPr>
        <w:t xml:space="preserve">:              </w:t>
      </w:r>
      <w:r>
        <w:rPr>
          <w:rFonts w:hint="eastAsia" w:ascii="Times New Roman" w:hAnsi="Times New Roman" w:eastAsia="仿宋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"/>
          <w:color w:val="00000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</w:rPr>
        <w:t>受益场（户）：</w:t>
      </w:r>
      <w:r>
        <w:rPr>
          <w:rFonts w:hint="eastAsia" w:ascii="Times New Roman" w:hAnsi="Times New Roman" w:eastAsia="仿宋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"/>
          <w:color w:val="000000"/>
          <w:sz w:val="24"/>
          <w:szCs w:val="24"/>
        </w:rPr>
        <w:t xml:space="preserve">            </w:t>
      </w:r>
      <w:r>
        <w:rPr>
          <w:rFonts w:ascii="仿宋" w:hAnsi="仿宋" w:eastAsia="仿宋"/>
          <w:color w:val="000000"/>
          <w:sz w:val="24"/>
          <w:szCs w:val="24"/>
        </w:rPr>
        <w:t>联系方式</w:t>
      </w:r>
      <w:r>
        <w:rPr>
          <w:rFonts w:ascii="仿宋" w:hAnsi="仿宋" w:eastAsia="仿宋"/>
          <w:color w:val="000000"/>
          <w:sz w:val="32"/>
          <w:szCs w:val="32"/>
        </w:rPr>
        <w:t>：</w:t>
      </w:r>
    </w:p>
    <w:tbl>
      <w:tblPr>
        <w:tblStyle w:val="5"/>
        <w:tblW w:w="5000" w:type="pct"/>
        <w:tblInd w:w="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992"/>
        <w:gridCol w:w="1985"/>
        <w:gridCol w:w="992"/>
        <w:gridCol w:w="1985"/>
        <w:gridCol w:w="1275"/>
        <w:gridCol w:w="1392"/>
        <w:gridCol w:w="892"/>
        <w:gridCol w:w="1272"/>
        <w:gridCol w:w="1202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序号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母猪</w:t>
            </w:r>
          </w:p>
        </w:tc>
        <w:tc>
          <w:tcPr>
            <w:tcW w:w="10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供精公猪</w:t>
            </w: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配种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日期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产仔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日期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总产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仔数</w:t>
            </w:r>
          </w:p>
        </w:tc>
        <w:tc>
          <w:tcPr>
            <w:tcW w:w="45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日期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育肥猪出栏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头数</w:t>
            </w:r>
          </w:p>
        </w:tc>
        <w:tc>
          <w:tcPr>
            <w:tcW w:w="43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</w:rPr>
              <w:t>育肥猪出栏均重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品种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耳号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品种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</w:rPr>
              <w:t>耳号</w:t>
            </w:r>
          </w:p>
        </w:tc>
        <w:tc>
          <w:tcPr>
            <w:tcW w:w="45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注：此表由项目县农业农村（畜牧）部门对部分受益农户进行效果跟踪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6838" w:h="11906" w:orient="landscape"/>
      <w:pgMar w:top="1457" w:right="1440" w:bottom="145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WQyY2JlMTkxNmEyNTYxOWQ2OWZhY2U0OWM3YTMifQ=="/>
  </w:docVars>
  <w:rsids>
    <w:rsidRoot w:val="00C44ADB"/>
    <w:rsid w:val="000120C2"/>
    <w:rsid w:val="000877A6"/>
    <w:rsid w:val="000E3963"/>
    <w:rsid w:val="001F2B14"/>
    <w:rsid w:val="00275CC9"/>
    <w:rsid w:val="002A06C9"/>
    <w:rsid w:val="00364DB6"/>
    <w:rsid w:val="00452D0E"/>
    <w:rsid w:val="00462750"/>
    <w:rsid w:val="004646FE"/>
    <w:rsid w:val="00530271"/>
    <w:rsid w:val="005D1F7C"/>
    <w:rsid w:val="00620388"/>
    <w:rsid w:val="00814F02"/>
    <w:rsid w:val="00954A45"/>
    <w:rsid w:val="00B90F0A"/>
    <w:rsid w:val="00BC2FE4"/>
    <w:rsid w:val="00C44ADB"/>
    <w:rsid w:val="00D117AD"/>
    <w:rsid w:val="321F306D"/>
    <w:rsid w:val="6C4934BA"/>
    <w:rsid w:val="795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560305-B368-4399-80B7-970011A54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1971</Words>
  <Characters>2014</Characters>
  <Lines>18</Lines>
  <Paragraphs>5</Paragraphs>
  <TotalTime>915</TotalTime>
  <ScaleCrop>false</ScaleCrop>
  <LinksUpToDate>false</LinksUpToDate>
  <CharactersWithSpaces>2208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2022-07-19T10:01:00Z</dcterms:created>
  <dc:creator>lenovo</dc:creator>
  <cp:lastModifiedBy>pc</cp:lastModifiedBy>
  <cp:lastPrinted>2022-07-21T00:41:00Z</cp:lastPrinted>
  <dcterms:modified xsi:type="dcterms:W3CDTF">2022-08-02T06:46:18Z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180EF1A16192496B85C50A316BE61804</vt:lpwstr>
  </property>
</Properties>
</file>